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ous-titr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lang w:val="fr-FR" w:eastAsia="fr-FR"/>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ous-titr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Paragraphedeliste"/>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Paragraphedeliste"/>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Paragraphedeliste"/>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Paragraphedeliste"/>
        <w:numPr>
          <w:ilvl w:val="0"/>
          <w:numId w:val="35"/>
        </w:numPr>
        <w:contextualSpacing w:val="0"/>
        <w:rPr>
          <w:sz w:val="20"/>
          <w:szCs w:val="18"/>
        </w:rPr>
      </w:pPr>
      <w:proofErr w:type="gramStart"/>
      <w:r w:rsidRPr="00AF763D">
        <w:rPr>
          <w:sz w:val="20"/>
          <w:szCs w:val="18"/>
        </w:rPr>
        <w:t>describe</w:t>
      </w:r>
      <w:proofErr w:type="gramEnd"/>
      <w:r w:rsidRPr="00AF763D">
        <w:rPr>
          <w:sz w:val="20"/>
          <w:szCs w:val="18"/>
        </w:rPr>
        <w:t xml:space="preserv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 xml:space="preserve">In order to facilitate analysis of responses to the Consultation Paper, respondents </w:t>
      </w:r>
      <w:proofErr w:type="gramStart"/>
      <w:r w:rsidRPr="00AF763D">
        <w:rPr>
          <w:sz w:val="20"/>
          <w:szCs w:val="18"/>
        </w:rPr>
        <w:t>are requested</w:t>
      </w:r>
      <w:proofErr w:type="gramEnd"/>
      <w:r w:rsidRPr="00AF763D">
        <w:rPr>
          <w:sz w:val="20"/>
          <w:szCs w:val="18"/>
        </w:rPr>
        <w:t xml:space="preserve"> to follow the below steps when preparing and submitting their response:</w:t>
      </w:r>
    </w:p>
    <w:p w14:paraId="0BA6B4DE" w14:textId="77777777" w:rsidR="009D6E99" w:rsidRPr="00AF763D" w:rsidRDefault="009D6E99" w:rsidP="00E43387">
      <w:pPr>
        <w:pStyle w:val="Paragraphedeliste"/>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Paragraphedeliste"/>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has to </w:t>
      </w:r>
      <w:proofErr w:type="gramStart"/>
      <w:r w:rsidRPr="00AF763D">
        <w:rPr>
          <w:sz w:val="20"/>
          <w:szCs w:val="18"/>
        </w:rPr>
        <w:t>be framed</w:t>
      </w:r>
      <w:proofErr w:type="gramEnd"/>
      <w:r w:rsidRPr="00AF763D">
        <w:rPr>
          <w:sz w:val="20"/>
          <w:szCs w:val="18"/>
        </w:rPr>
        <w:t xml:space="preserve"> by the two tags corresponding to the question.</w:t>
      </w:r>
    </w:p>
    <w:p w14:paraId="534A9E90" w14:textId="77777777" w:rsidR="009D6E99" w:rsidRPr="00AF763D" w:rsidRDefault="009D6E99" w:rsidP="00E43387">
      <w:pPr>
        <w:pStyle w:val="Paragraphedeliste"/>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Paragraphedeliste"/>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Paragraphedeliste"/>
        <w:ind w:left="360"/>
        <w:contextualSpacing w:val="0"/>
        <w:rPr>
          <w:sz w:val="20"/>
          <w:szCs w:val="18"/>
        </w:rPr>
      </w:pPr>
      <w:r w:rsidRPr="00AF763D">
        <w:rPr>
          <w:sz w:val="20"/>
          <w:szCs w:val="18"/>
        </w:rPr>
        <w:t xml:space="preserve">For example, for a respondent named ABCD, the reply form </w:t>
      </w:r>
      <w:proofErr w:type="gramStart"/>
      <w:r w:rsidRPr="00AF763D">
        <w:rPr>
          <w:sz w:val="20"/>
          <w:szCs w:val="18"/>
        </w:rPr>
        <w:t>would be saved</w:t>
      </w:r>
      <w:proofErr w:type="gramEnd"/>
      <w:r w:rsidRPr="00AF763D">
        <w:rPr>
          <w:sz w:val="20"/>
          <w:szCs w:val="18"/>
        </w:rPr>
        <w:t xml:space="preserve">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Paragraphedeliste"/>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 xml:space="preserve">pdf documents </w:t>
      </w:r>
      <w:proofErr w:type="gramStart"/>
      <w:r w:rsidRPr="00AF763D">
        <w:rPr>
          <w:b/>
          <w:bCs/>
          <w:sz w:val="20"/>
          <w:szCs w:val="18"/>
        </w:rPr>
        <w:t>will not be considered</w:t>
      </w:r>
      <w:proofErr w:type="gramEnd"/>
      <w:r w:rsidRPr="00AF763D">
        <w:rPr>
          <w:b/>
          <w:bCs/>
          <w:sz w:val="20"/>
          <w:szCs w:val="18"/>
        </w:rPr>
        <w:t xml:space="preserve"> except for annexes</w:t>
      </w:r>
      <w:r w:rsidRPr="00AF763D">
        <w:rPr>
          <w:sz w:val="20"/>
          <w:szCs w:val="18"/>
        </w:rPr>
        <w:t xml:space="preserve">). All contributions should be submitted online at </w:t>
      </w:r>
      <w:hyperlink r:id="rId21" w:history="1">
        <w:r w:rsidRPr="00AF763D">
          <w:rPr>
            <w:rStyle w:val="Lienhypertexte"/>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 xml:space="preserve">All contributions received </w:t>
      </w:r>
      <w:proofErr w:type="gramStart"/>
      <w:r w:rsidRPr="00AF763D">
        <w:rPr>
          <w:sz w:val="20"/>
          <w:szCs w:val="18"/>
        </w:rPr>
        <w:t>will be published</w:t>
      </w:r>
      <w:proofErr w:type="gramEnd"/>
      <w:r w:rsidRPr="00AF763D">
        <w:rPr>
          <w:sz w:val="20"/>
          <w:szCs w:val="18"/>
        </w:rPr>
        <w:t xml:space="preserve"> following the close of the consultation, unless you request otherwise. Please clearly and prominently indicate in your submission any part you do not wish to </w:t>
      </w:r>
      <w:proofErr w:type="gramStart"/>
      <w:r w:rsidRPr="00AF763D">
        <w:rPr>
          <w:sz w:val="20"/>
          <w:szCs w:val="18"/>
        </w:rPr>
        <w:t>be publicly disclosed</w:t>
      </w:r>
      <w:proofErr w:type="gramEnd"/>
      <w:r w:rsidRPr="00AF763D">
        <w:rPr>
          <w:sz w:val="20"/>
          <w:szCs w:val="18"/>
        </w:rPr>
        <w:t xml:space="preserve">. A standard confidentiality statement in an email message </w:t>
      </w:r>
      <w:proofErr w:type="gramStart"/>
      <w:r w:rsidRPr="00AF763D">
        <w:rPr>
          <w:sz w:val="20"/>
          <w:szCs w:val="18"/>
        </w:rPr>
        <w:t>will not be treated</w:t>
      </w:r>
      <w:proofErr w:type="gramEnd"/>
      <w:r w:rsidRPr="00AF763D">
        <w:rPr>
          <w:sz w:val="20"/>
          <w:szCs w:val="18"/>
        </w:rPr>
        <w:t xml:space="preserve"> as a request for non-disclosure. A confidential response </w:t>
      </w:r>
      <w:proofErr w:type="gramStart"/>
      <w:r w:rsidRPr="00AF763D">
        <w:rPr>
          <w:sz w:val="20"/>
          <w:szCs w:val="18"/>
        </w:rPr>
        <w:t>may be requested</w:t>
      </w:r>
      <w:proofErr w:type="gramEnd"/>
      <w:r w:rsidRPr="00AF763D">
        <w:rPr>
          <w:sz w:val="20"/>
          <w:szCs w:val="18"/>
        </w:rPr>
        <w:t xml:space="preserve">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Lienhypertexte"/>
            <w:sz w:val="20"/>
            <w:szCs w:val="18"/>
          </w:rPr>
          <w:t>www.esma.europa.eu</w:t>
        </w:r>
      </w:hyperlink>
      <w:r w:rsidRPr="00AF763D">
        <w:rPr>
          <w:sz w:val="20"/>
          <w:szCs w:val="18"/>
        </w:rPr>
        <w:t xml:space="preserve"> under the </w:t>
      </w:r>
      <w:r w:rsidRPr="00AF763D">
        <w:rPr>
          <w:sz w:val="20"/>
          <w:lang w:eastAsia="en-GB"/>
        </w:rPr>
        <w:t>headings ‘</w:t>
      </w:r>
      <w:proofErr w:type="gramStart"/>
      <w:r w:rsidRPr="00AF763D">
        <w:rPr>
          <w:sz w:val="20"/>
          <w:lang w:eastAsia="en-GB"/>
        </w:rPr>
        <w:t>Legal</w:t>
      </w:r>
      <w:proofErr w:type="gramEnd"/>
      <w:r w:rsidRPr="00AF763D">
        <w:rPr>
          <w:sz w:val="20"/>
          <w:lang w:eastAsia="en-GB"/>
        </w:rPr>
        <w:t xml:space="preserve"> notice’ and </w:t>
      </w:r>
      <w:r w:rsidRPr="00AF763D">
        <w:rPr>
          <w:sz w:val="20"/>
          <w:szCs w:val="18"/>
        </w:rPr>
        <w:t xml:space="preserve">heading </w:t>
      </w:r>
      <w:r w:rsidRPr="00AF763D">
        <w:rPr>
          <w:rStyle w:val="Lienhypertexte"/>
          <w:sz w:val="20"/>
          <w:szCs w:val="18"/>
        </w:rPr>
        <w:t>‘</w:t>
      </w:r>
      <w:hyperlink r:id="rId23" w:history="1">
        <w:r w:rsidRPr="00AF763D">
          <w:rPr>
            <w:rStyle w:val="Lienhypertexte"/>
            <w:sz w:val="20"/>
            <w:szCs w:val="18"/>
          </w:rPr>
          <w:t>Data protection</w:t>
        </w:r>
      </w:hyperlink>
      <w:r w:rsidRPr="00AF763D">
        <w:rPr>
          <w:rStyle w:val="Lienhypertexte"/>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Titre1"/>
        <w:rPr>
          <w:sz w:val="24"/>
          <w:szCs w:val="24"/>
        </w:rPr>
      </w:pPr>
      <w:bookmarkStart w:id="7" w:name="_Hlk124776172"/>
      <w:r w:rsidRPr="00AF763D">
        <w:rPr>
          <w:sz w:val="24"/>
          <w:szCs w:val="24"/>
        </w:rPr>
        <w:lastRenderedPageBreak/>
        <w:t>General information about respondent</w:t>
      </w:r>
    </w:p>
    <w:tbl>
      <w:tblPr>
        <w:tblStyle w:val="Grilledutableau"/>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Textedelespacerserv"/>
              <w:sz w:val="20"/>
              <w:szCs w:val="18"/>
            </w:rPr>
            <w:id w:val="-179280767"/>
            <w:text/>
          </w:sdtPr>
          <w:sdtContent>
            <w:tc>
              <w:tcPr>
                <w:tcW w:w="6997" w:type="dxa"/>
                <w:gridSpan w:val="4"/>
              </w:tcPr>
              <w:p w14:paraId="0D7893C6" w14:textId="413B8719" w:rsidR="0030108F" w:rsidRDefault="00170566" w:rsidP="00170566">
                <w:pPr>
                  <w:spacing w:after="120"/>
                  <w:rPr>
                    <w:sz w:val="20"/>
                    <w:szCs w:val="18"/>
                  </w:rPr>
                </w:pPr>
                <w:r>
                  <w:rPr>
                    <w:rStyle w:val="Textedelespacerserv"/>
                    <w:sz w:val="20"/>
                    <w:szCs w:val="18"/>
                  </w:rPr>
                  <w:t>Air Liquide</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281E4058" w:rsidR="00DE432B" w:rsidRDefault="00170566" w:rsidP="008A50BE">
                <w:pPr>
                  <w:spacing w:after="120"/>
                  <w:rPr>
                    <w:sz w:val="20"/>
                    <w:szCs w:val="18"/>
                  </w:rPr>
                </w:pPr>
                <w:r>
                  <w:rPr>
                    <w:sz w:val="20"/>
                    <w:szCs w:val="18"/>
                  </w:rPr>
                  <w:t>France</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1"/>
              <w14:checkedState w14:val="2612" w14:font="MS Gothic"/>
              <w14:uncheckedState w14:val="2610" w14:font="MS Gothic"/>
            </w14:checkbox>
          </w:sdtPr>
          <w:sdtContent>
            <w:tc>
              <w:tcPr>
                <w:tcW w:w="425" w:type="dxa"/>
                <w:vMerge w:val="restart"/>
                <w:shd w:val="clear" w:color="auto" w:fill="F0F0F0" w:themeFill="background1"/>
              </w:tcPr>
              <w:p w14:paraId="677D0C31" w14:textId="608BB1D2" w:rsidR="008203B2" w:rsidRDefault="00170566"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1"/>
              <w14:checkedState w14:val="2612" w14:font="MS Gothic"/>
              <w14:uncheckedState w14:val="2610" w14:font="MS Gothic"/>
            </w14:checkbox>
          </w:sdtPr>
          <w:sdtContent>
            <w:tc>
              <w:tcPr>
                <w:tcW w:w="416" w:type="dxa"/>
                <w:shd w:val="clear" w:color="auto" w:fill="F0F0F0" w:themeFill="background1"/>
              </w:tcPr>
              <w:p w14:paraId="7D651F90" w14:textId="681D43C6" w:rsidR="008203B2" w:rsidRDefault="00170566"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Public interest entity (entities governed by the law of an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Textedelespacerserv"/>
                <w:sz w:val="20"/>
                <w:szCs w:val="18"/>
              </w:rPr>
              <w:id w:val="733121204"/>
              <w:showingPlcHdr/>
              <w:text/>
            </w:sdtPr>
            <w:sdtContent>
              <w:p w14:paraId="18F8042D" w14:textId="438BFE55" w:rsidR="00A10F6D" w:rsidRDefault="008A50BE" w:rsidP="008A50BE">
                <w:pPr>
                  <w:spacing w:after="120"/>
                  <w:rPr>
                    <w:sz w:val="20"/>
                    <w:szCs w:val="18"/>
                  </w:rPr>
                </w:pPr>
                <w:r w:rsidRPr="00AF763D">
                  <w:rPr>
                    <w:rStyle w:val="Textedelespacerserv"/>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Textedelespacerserv"/>
                <w:sz w:val="20"/>
                <w:szCs w:val="18"/>
              </w:rPr>
              <w:id w:val="321700705"/>
              <w:showingPlcHdr/>
              <w:text/>
            </w:sdtPr>
            <w:sdtContent>
              <w:p w14:paraId="5F0E3DF4" w14:textId="424A26F7" w:rsidR="00A10F6D" w:rsidRDefault="0092723C" w:rsidP="0092723C">
                <w:pPr>
                  <w:spacing w:after="120"/>
                  <w:rPr>
                    <w:sz w:val="20"/>
                    <w:szCs w:val="18"/>
                  </w:rPr>
                </w:pPr>
                <w:r w:rsidRPr="00AF763D">
                  <w:rPr>
                    <w:rStyle w:val="Textedelespacerserv"/>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Textedelespacerserv"/>
              <w:sz w:val="20"/>
              <w:szCs w:val="18"/>
            </w:rPr>
            <w:id w:val="1865097083"/>
            <w:showingPlcHdr/>
            <w:text/>
          </w:sdt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Textedelespacerserv"/>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Titre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manner in which the various elements and factors are to </w:t>
      </w:r>
      <w:proofErr w:type="gramStart"/>
      <w:r w:rsidRPr="00E54596">
        <w:rPr>
          <w:rFonts w:eastAsia="Times New Roman"/>
          <w:color w:val="auto"/>
          <w:szCs w:val="22"/>
          <w:lang w:eastAsia="en-GB"/>
        </w:rPr>
        <w:t>be considered</w:t>
      </w:r>
      <w:proofErr w:type="gramEnd"/>
      <w:r w:rsidRPr="00E54596">
        <w:rPr>
          <w:rFonts w:eastAsia="Times New Roman"/>
          <w:color w:val="auto"/>
          <w:szCs w:val="22"/>
          <w:lang w:eastAsia="en-GB"/>
        </w:rPr>
        <w:t xml:space="preserve"> in developing the marking up rules and the phased approach? If not, please explain your reasons and suggest any elements or factors that should be added or removed, or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04D1185E"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We disagree with the assessment framework.</w:t>
      </w:r>
    </w:p>
    <w:p w14:paraId="64A075A2" w14:textId="77777777"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7ACDBD7C"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proofErr w:type="gramStart"/>
      <w:r w:rsidRPr="00170566">
        <w:rPr>
          <w:rFonts w:ascii="Roboto" w:eastAsia="Times New Roman" w:hAnsi="Roboto" w:cs="Times New Roman"/>
          <w:color w:val="0000FF"/>
          <w:szCs w:val="22"/>
          <w:lang w:val="en-US" w:eastAsia="fr-FR"/>
        </w:rPr>
        <w:t>First and foremost</w:t>
      </w:r>
      <w:proofErr w:type="gramEnd"/>
      <w:r w:rsidRPr="00170566">
        <w:rPr>
          <w:rFonts w:ascii="Roboto" w:eastAsia="Times New Roman" w:hAnsi="Roboto" w:cs="Times New Roman"/>
          <w:color w:val="0000FF"/>
          <w:szCs w:val="22"/>
          <w:lang w:val="en-US" w:eastAsia="fr-FR"/>
        </w:rPr>
        <w:t xml:space="preserve">, it is essential to identify the source of such a request for a detailed marking up. </w:t>
      </w:r>
      <w:proofErr w:type="gramStart"/>
      <w:r w:rsidRPr="00170566">
        <w:rPr>
          <w:rFonts w:ascii="Roboto" w:eastAsia="Times New Roman" w:hAnsi="Roboto" w:cs="Times New Roman"/>
          <w:color w:val="0000FF"/>
          <w:szCs w:val="22"/>
          <w:lang w:val="en-US" w:eastAsia="fr-FR"/>
        </w:rPr>
        <w:t xml:space="preserve">Has a </w:t>
      </w:r>
      <w:r w:rsidRPr="00170566">
        <w:rPr>
          <w:rFonts w:ascii="Roboto" w:eastAsia="Times New Roman" w:hAnsi="Roboto" w:cs="Times New Roman"/>
          <w:b/>
          <w:bCs/>
          <w:color w:val="0000FF"/>
          <w:szCs w:val="22"/>
          <w:lang w:val="en-US" w:eastAsia="fr-FR"/>
        </w:rPr>
        <w:t>study</w:t>
      </w:r>
      <w:r w:rsidRPr="00170566">
        <w:rPr>
          <w:rFonts w:ascii="Roboto" w:eastAsia="Times New Roman" w:hAnsi="Roboto" w:cs="Times New Roman"/>
          <w:color w:val="0000FF"/>
          <w:szCs w:val="22"/>
          <w:lang w:val="en-US" w:eastAsia="fr-FR"/>
        </w:rPr>
        <w:t xml:space="preserve"> been conducted</w:t>
      </w:r>
      <w:proofErr w:type="gramEnd"/>
      <w:r w:rsidRPr="00170566">
        <w:rPr>
          <w:rFonts w:ascii="Roboto" w:eastAsia="Times New Roman" w:hAnsi="Roboto" w:cs="Times New Roman"/>
          <w:color w:val="0000FF"/>
          <w:szCs w:val="22"/>
          <w:lang w:val="en-US" w:eastAsia="fr-FR"/>
        </w:rPr>
        <w:t xml:space="preserve"> to assess </w:t>
      </w:r>
      <w:r w:rsidRPr="00170566">
        <w:rPr>
          <w:rFonts w:ascii="Roboto" w:eastAsia="Times New Roman" w:hAnsi="Roboto" w:cs="Times New Roman"/>
          <w:b/>
          <w:bCs/>
          <w:color w:val="0000FF"/>
          <w:szCs w:val="22"/>
          <w:lang w:val="en-US" w:eastAsia="fr-FR"/>
        </w:rPr>
        <w:t>how many users</w:t>
      </w:r>
      <w:r w:rsidRPr="00170566">
        <w:rPr>
          <w:rFonts w:ascii="Roboto" w:eastAsia="Times New Roman" w:hAnsi="Roboto" w:cs="Times New Roman"/>
          <w:color w:val="0000FF"/>
          <w:szCs w:val="22"/>
          <w:lang w:val="en-US" w:eastAsia="fr-FR"/>
        </w:rPr>
        <w:t xml:space="preserve"> would effectively use the digital tagging, what the </w:t>
      </w:r>
      <w:r w:rsidRPr="00170566">
        <w:rPr>
          <w:rFonts w:ascii="Roboto" w:eastAsia="Times New Roman" w:hAnsi="Roboto" w:cs="Times New Roman"/>
          <w:b/>
          <w:bCs/>
          <w:color w:val="0000FF"/>
          <w:szCs w:val="22"/>
          <w:lang w:val="en-US" w:eastAsia="fr-FR"/>
        </w:rPr>
        <w:t>use cases</w:t>
      </w:r>
      <w:r w:rsidRPr="00170566">
        <w:rPr>
          <w:rFonts w:ascii="Roboto" w:eastAsia="Times New Roman" w:hAnsi="Roboto" w:cs="Times New Roman"/>
          <w:color w:val="0000FF"/>
          <w:szCs w:val="22"/>
          <w:lang w:val="en-US" w:eastAsia="fr-FR"/>
        </w:rPr>
        <w:t xml:space="preserve"> and the </w:t>
      </w:r>
      <w:r w:rsidRPr="00170566">
        <w:rPr>
          <w:rFonts w:ascii="Roboto" w:eastAsia="Times New Roman" w:hAnsi="Roboto" w:cs="Times New Roman"/>
          <w:b/>
          <w:bCs/>
          <w:color w:val="0000FF"/>
          <w:szCs w:val="22"/>
          <w:lang w:val="en-US" w:eastAsia="fr-FR"/>
        </w:rPr>
        <w:t>effective benefits</w:t>
      </w:r>
      <w:r w:rsidRPr="00170566">
        <w:rPr>
          <w:rFonts w:ascii="Roboto" w:eastAsia="Times New Roman" w:hAnsi="Roboto" w:cs="Times New Roman"/>
          <w:color w:val="0000FF"/>
          <w:szCs w:val="22"/>
          <w:lang w:val="en-US" w:eastAsia="fr-FR"/>
        </w:rPr>
        <w:t xml:space="preserve"> of the digital tagging are? Air Liquide has no knowledge of such a study and neither of our usual contacts (extra-financial rating agencies, NGOs, institutional investors, individual shareholders…) has never requested the digital tagging of its Sustainability Statements.</w:t>
      </w:r>
    </w:p>
    <w:p w14:paraId="41EB44FE" w14:textId="77777777"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79C2A35B"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xml:space="preserve">The feedback on the digital tagging of the Notes have been predominantly negative from both the preparers and users, indicating that its application is complex and burdensome. In particular, it </w:t>
      </w:r>
      <w:proofErr w:type="gramStart"/>
      <w:r w:rsidRPr="00170566">
        <w:rPr>
          <w:rFonts w:ascii="Roboto" w:eastAsia="Times New Roman" w:hAnsi="Roboto" w:cs="Times New Roman"/>
          <w:color w:val="0000FF"/>
          <w:szCs w:val="22"/>
          <w:lang w:val="en-US" w:eastAsia="fr-FR"/>
        </w:rPr>
        <w:t>is highlighted</w:t>
      </w:r>
      <w:proofErr w:type="gramEnd"/>
      <w:r w:rsidRPr="00170566">
        <w:rPr>
          <w:rFonts w:ascii="Roboto" w:eastAsia="Times New Roman" w:hAnsi="Roboto" w:cs="Times New Roman"/>
          <w:color w:val="0000FF"/>
          <w:szCs w:val="22"/>
          <w:lang w:val="en-US" w:eastAsia="fr-FR"/>
        </w:rPr>
        <w:t xml:space="preserve"> in section 6.1.2 that text block markups are “less suited to automated analysis” and that “despite issuers’ efforts to improve text block markup, users have been unable to fully </w:t>
      </w:r>
      <w:proofErr w:type="spellStart"/>
      <w:r w:rsidRPr="00170566">
        <w:rPr>
          <w:rFonts w:ascii="Roboto" w:eastAsia="Times New Roman" w:hAnsi="Roboto" w:cs="Times New Roman"/>
          <w:color w:val="0000FF"/>
          <w:szCs w:val="22"/>
          <w:lang w:val="en-US" w:eastAsia="fr-FR"/>
        </w:rPr>
        <w:t>utilise</w:t>
      </w:r>
      <w:proofErr w:type="spellEnd"/>
      <w:r w:rsidRPr="00170566">
        <w:rPr>
          <w:rFonts w:ascii="Roboto" w:eastAsia="Times New Roman" w:hAnsi="Roboto" w:cs="Times New Roman"/>
          <w:color w:val="0000FF"/>
          <w:szCs w:val="22"/>
          <w:lang w:val="en-US" w:eastAsia="fr-FR"/>
        </w:rPr>
        <w:t xml:space="preserve"> the information contained in text block markups”. </w:t>
      </w:r>
      <w:r w:rsidRPr="00170566">
        <w:rPr>
          <w:rFonts w:ascii="Roboto" w:eastAsia="Times New Roman" w:hAnsi="Roboto" w:cs="Times New Roman"/>
          <w:b/>
          <w:bCs/>
          <w:color w:val="0000FF"/>
          <w:szCs w:val="22"/>
          <w:lang w:val="en-US" w:eastAsia="fr-FR"/>
        </w:rPr>
        <w:t>Considering that the sustainability reporting is in its vast majority made of narratives content (vs. quantitative content), which are unstructured and numerous, and therefore complex to mark up and not comparable from one issuer to another, it is likely that it will be burdensome for the preparers without addressing the needs of the users.</w:t>
      </w:r>
    </w:p>
    <w:p w14:paraId="3B01C728" w14:textId="77777777"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4E420EFD"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xml:space="preserve">Additionally, the proposal </w:t>
      </w:r>
      <w:proofErr w:type="gramStart"/>
      <w:r w:rsidRPr="00170566">
        <w:rPr>
          <w:rFonts w:ascii="Roboto" w:eastAsia="Times New Roman" w:hAnsi="Roboto" w:cs="Times New Roman"/>
          <w:color w:val="0000FF"/>
          <w:szCs w:val="22"/>
          <w:lang w:val="en-US" w:eastAsia="fr-FR"/>
        </w:rPr>
        <w:t>is grounded</w:t>
      </w:r>
      <w:proofErr w:type="gramEnd"/>
      <w:r w:rsidRPr="00170566">
        <w:rPr>
          <w:rFonts w:ascii="Roboto" w:eastAsia="Times New Roman" w:hAnsi="Roboto" w:cs="Times New Roman"/>
          <w:color w:val="0000FF"/>
          <w:szCs w:val="22"/>
          <w:lang w:val="en-US" w:eastAsia="fr-FR"/>
        </w:rPr>
        <w:t xml:space="preserve"> on </w:t>
      </w:r>
      <w:r w:rsidRPr="00170566">
        <w:rPr>
          <w:rFonts w:ascii="Roboto" w:eastAsia="Times New Roman" w:hAnsi="Roboto" w:cs="Times New Roman"/>
          <w:b/>
          <w:bCs/>
          <w:color w:val="0000FF"/>
          <w:szCs w:val="22"/>
          <w:lang w:val="en-US" w:eastAsia="fr-FR"/>
        </w:rPr>
        <w:t>biased assumptions</w:t>
      </w:r>
      <w:r w:rsidRPr="00170566">
        <w:rPr>
          <w:rFonts w:ascii="Roboto" w:eastAsia="Times New Roman" w:hAnsi="Roboto" w:cs="Times New Roman"/>
          <w:color w:val="0000FF"/>
          <w:szCs w:val="22"/>
          <w:lang w:val="en-US" w:eastAsia="fr-FR"/>
        </w:rPr>
        <w:t>:</w:t>
      </w:r>
    </w:p>
    <w:p w14:paraId="5745E85C" w14:textId="77777777" w:rsidR="00170566" w:rsidRPr="00170566" w:rsidRDefault="00170566" w:rsidP="00170566">
      <w:pPr>
        <w:numPr>
          <w:ilvl w:val="0"/>
          <w:numId w:val="37"/>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In section 3.3.1, it is </w:t>
      </w:r>
      <w:proofErr w:type="gramStart"/>
      <w:r w:rsidRPr="00170566">
        <w:rPr>
          <w:rFonts w:ascii="Roboto" w:eastAsia="Times New Roman" w:hAnsi="Roboto" w:cs="Times New Roman"/>
          <w:color w:val="0000FF"/>
          <w:szCs w:val="22"/>
          <w:lang w:val="en-US" w:eastAsia="fr-FR"/>
        </w:rPr>
        <w:t>mentioned that</w:t>
      </w:r>
      <w:proofErr w:type="gramEnd"/>
      <w:r w:rsidRPr="00170566">
        <w:rPr>
          <w:rFonts w:ascii="Roboto" w:eastAsia="Times New Roman" w:hAnsi="Roboto" w:cs="Times New Roman"/>
          <w:color w:val="0000FF"/>
          <w:szCs w:val="22"/>
          <w:lang w:val="en-US" w:eastAsia="fr-FR"/>
        </w:rPr>
        <w:t xml:space="preserve"> “it should not be viewed as an overly burdensome task, particularly if the way the structure of the disclosure closely adheres to the structure of the standards”. Considering that only some preparers have issued their first sustainability statement in 2025 relating to 2024, has a study been conducted to assess to which extent the issuers indeed adhere to the structure of the standards and up to which level of the disclosures ? Additionally, such adherence would de facto remove the option for preparers to tailor the structure of the content to their own specificities and needs within each </w:t>
      </w:r>
      <w:proofErr w:type="gramStart"/>
      <w:r w:rsidRPr="00170566">
        <w:rPr>
          <w:rFonts w:ascii="Roboto" w:eastAsia="Times New Roman" w:hAnsi="Roboto" w:cs="Times New Roman"/>
          <w:color w:val="0000FF"/>
          <w:szCs w:val="22"/>
          <w:lang w:val="en-US" w:eastAsia="fr-FR"/>
        </w:rPr>
        <w:t>ESRS, that</w:t>
      </w:r>
      <w:proofErr w:type="gramEnd"/>
      <w:r w:rsidRPr="00170566">
        <w:rPr>
          <w:rFonts w:ascii="Roboto" w:eastAsia="Times New Roman" w:hAnsi="Roboto" w:cs="Times New Roman"/>
          <w:color w:val="0000FF"/>
          <w:szCs w:val="22"/>
          <w:lang w:val="en-US" w:eastAsia="fr-FR"/>
        </w:rPr>
        <w:t xml:space="preserve"> supports a better understandability and readability of the sustainability report.</w:t>
      </w:r>
    </w:p>
    <w:p w14:paraId="2FEFF334" w14:textId="77777777" w:rsidR="00170566" w:rsidRPr="00170566" w:rsidRDefault="00170566" w:rsidP="00170566">
      <w:pPr>
        <w:numPr>
          <w:ilvl w:val="0"/>
          <w:numId w:val="37"/>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In section 6.1.3, it is </w:t>
      </w:r>
      <w:proofErr w:type="gramStart"/>
      <w:r w:rsidRPr="00170566">
        <w:rPr>
          <w:rFonts w:ascii="Roboto" w:eastAsia="Times New Roman" w:hAnsi="Roboto" w:cs="Times New Roman"/>
          <w:color w:val="0000FF"/>
          <w:szCs w:val="22"/>
          <w:lang w:val="en-US" w:eastAsia="fr-FR"/>
        </w:rPr>
        <w:t>mentioned that</w:t>
      </w:r>
      <w:proofErr w:type="gramEnd"/>
      <w:r w:rsidRPr="00170566">
        <w:rPr>
          <w:rFonts w:ascii="Roboto" w:eastAsia="Times New Roman" w:hAnsi="Roboto" w:cs="Times New Roman"/>
          <w:color w:val="0000FF"/>
          <w:szCs w:val="22"/>
          <w:lang w:val="en-US" w:eastAsia="fr-FR"/>
        </w:rPr>
        <w:t xml:space="preserve"> “[it] supports tasks like side-by-side comparisons of the same disclosure across companies within a peer group, </w:t>
      </w:r>
      <w:r w:rsidRPr="00170566">
        <w:rPr>
          <w:rFonts w:ascii="Roboto" w:eastAsia="Times New Roman" w:hAnsi="Roboto" w:cs="Times New Roman"/>
          <w:color w:val="0000FF"/>
          <w:szCs w:val="22"/>
          <w:u w:val="single"/>
          <w:lang w:val="en-US" w:eastAsia="fr-FR"/>
        </w:rPr>
        <w:t>assuming similar content sizes</w:t>
      </w:r>
      <w:r w:rsidRPr="00170566">
        <w:rPr>
          <w:rFonts w:ascii="Roboto" w:eastAsia="Times New Roman" w:hAnsi="Roboto" w:cs="Times New Roman"/>
          <w:color w:val="0000FF"/>
          <w:szCs w:val="22"/>
          <w:lang w:val="en-US" w:eastAsia="fr-FR"/>
        </w:rPr>
        <w:t xml:space="preserve">.” Has a study been conducted to assess whether the content sizes of sustainability reports are indeed </w:t>
      </w:r>
      <w:proofErr w:type="gramStart"/>
      <w:r w:rsidRPr="00170566">
        <w:rPr>
          <w:rFonts w:ascii="Roboto" w:eastAsia="Times New Roman" w:hAnsi="Roboto" w:cs="Times New Roman"/>
          <w:color w:val="0000FF"/>
          <w:szCs w:val="22"/>
          <w:lang w:val="en-US" w:eastAsia="fr-FR"/>
        </w:rPr>
        <w:t>similar ?</w:t>
      </w:r>
      <w:proofErr w:type="gramEnd"/>
    </w:p>
    <w:p w14:paraId="2351ED4E" w14:textId="77777777"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190993E4"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Furthermore, we are of the opinion that the digital tagging shall not be a priority due to the following reasons:</w:t>
      </w:r>
    </w:p>
    <w:p w14:paraId="1F7B6167" w14:textId="77777777" w:rsidR="00170566" w:rsidRPr="00170566" w:rsidRDefault="00170566" w:rsidP="00170566">
      <w:pPr>
        <w:numPr>
          <w:ilvl w:val="0"/>
          <w:numId w:val="38"/>
        </w:numPr>
        <w:spacing w:after="0" w:line="240" w:lineRule="auto"/>
        <w:textAlignment w:val="baseline"/>
        <w:rPr>
          <w:rFonts w:ascii="Roboto" w:eastAsia="Times New Roman" w:hAnsi="Roboto" w:cs="Times New Roman"/>
          <w:color w:val="0000FF"/>
          <w:szCs w:val="22"/>
          <w:lang w:val="en-US" w:eastAsia="fr-FR"/>
        </w:rPr>
      </w:pPr>
      <w:proofErr w:type="gramStart"/>
      <w:r w:rsidRPr="00170566">
        <w:rPr>
          <w:rFonts w:ascii="Roboto" w:eastAsia="Times New Roman" w:hAnsi="Roboto" w:cs="Times New Roman"/>
          <w:b/>
          <w:bCs/>
          <w:color w:val="0000FF"/>
          <w:szCs w:val="22"/>
          <w:lang w:val="en-US" w:eastAsia="fr-FR"/>
        </w:rPr>
        <w:t>the</w:t>
      </w:r>
      <w:proofErr w:type="gramEnd"/>
      <w:r w:rsidRPr="00170566">
        <w:rPr>
          <w:rFonts w:ascii="Roboto" w:eastAsia="Times New Roman" w:hAnsi="Roboto" w:cs="Times New Roman"/>
          <w:b/>
          <w:bCs/>
          <w:color w:val="0000FF"/>
          <w:szCs w:val="22"/>
          <w:lang w:val="en-US" w:eastAsia="fr-FR"/>
        </w:rPr>
        <w:t xml:space="preserve"> sustainability reporting should mature first</w:t>
      </w:r>
      <w:r w:rsidRPr="00170566">
        <w:rPr>
          <w:rFonts w:ascii="Roboto" w:eastAsia="Times New Roman" w:hAnsi="Roboto" w:cs="Times New Roman"/>
          <w:color w:val="0000FF"/>
          <w:szCs w:val="22"/>
          <w:lang w:val="en-US" w:eastAsia="fr-FR"/>
        </w:rPr>
        <w:t xml:space="preserve"> </w:t>
      </w:r>
      <w:r w:rsidRPr="00170566">
        <w:rPr>
          <w:rFonts w:ascii="Roboto" w:eastAsia="Times New Roman" w:hAnsi="Roboto" w:cs="Times New Roman"/>
          <w:b/>
          <w:bCs/>
          <w:color w:val="0000FF"/>
          <w:szCs w:val="22"/>
          <w:lang w:val="en-US" w:eastAsia="fr-FR"/>
        </w:rPr>
        <w:t>and be more stabilized</w:t>
      </w:r>
      <w:r w:rsidRPr="00170566">
        <w:rPr>
          <w:rFonts w:ascii="Roboto" w:eastAsia="Times New Roman" w:hAnsi="Roboto" w:cs="Times New Roman"/>
          <w:color w:val="0000FF"/>
          <w:szCs w:val="22"/>
          <w:lang w:val="en-US" w:eastAsia="fr-FR"/>
        </w:rPr>
        <w:t xml:space="preserve"> before considering any digital tagging. The proposal highlights that the “burden is shaped by factors such as their prior experience with marking up information, the volume of information to be marked up and the complexity of the taxonomy to be applied”. </w:t>
      </w:r>
      <w:proofErr w:type="gramStart"/>
      <w:r w:rsidRPr="00170566">
        <w:rPr>
          <w:rFonts w:ascii="Roboto" w:eastAsia="Times New Roman" w:hAnsi="Roboto" w:cs="Times New Roman"/>
          <w:color w:val="0000FF"/>
          <w:szCs w:val="22"/>
          <w:lang w:val="en-US" w:eastAsia="fr-FR"/>
        </w:rPr>
        <w:t>Applied to the sustainability statement, it is likely that the burden will be high since (</w:t>
      </w:r>
      <w:proofErr w:type="spellStart"/>
      <w:r w:rsidRPr="00170566">
        <w:rPr>
          <w:rFonts w:ascii="Roboto" w:eastAsia="Times New Roman" w:hAnsi="Roboto" w:cs="Times New Roman"/>
          <w:color w:val="0000FF"/>
          <w:szCs w:val="22"/>
          <w:lang w:val="en-US" w:eastAsia="fr-FR"/>
        </w:rPr>
        <w:t>i</w:t>
      </w:r>
      <w:proofErr w:type="spellEnd"/>
      <w:r w:rsidRPr="00170566">
        <w:rPr>
          <w:rFonts w:ascii="Roboto" w:eastAsia="Times New Roman" w:hAnsi="Roboto" w:cs="Times New Roman"/>
          <w:color w:val="0000FF"/>
          <w:szCs w:val="22"/>
          <w:lang w:val="en-US" w:eastAsia="fr-FR"/>
        </w:rPr>
        <w:t>) there is no experience in producing a sustainability statement (only companies of Wave 1 are publishing their first sustainability statement in 2025 relating to 2024) and even less experience in tagging such statement, (ii) the volume of information is very high (+1,200 data points depending on how one counts).</w:t>
      </w:r>
      <w:proofErr w:type="gramEnd"/>
    </w:p>
    <w:p w14:paraId="5B548282" w14:textId="77777777" w:rsidR="00170566" w:rsidRPr="00170566" w:rsidRDefault="00170566" w:rsidP="00170566">
      <w:pPr>
        <w:numPr>
          <w:ilvl w:val="0"/>
          <w:numId w:val="38"/>
        </w:numPr>
        <w:spacing w:after="0" w:line="240" w:lineRule="auto"/>
        <w:textAlignment w:val="baseline"/>
        <w:rPr>
          <w:rFonts w:ascii="Roboto" w:eastAsia="Times New Roman" w:hAnsi="Roboto" w:cs="Times New Roman"/>
          <w:color w:val="0000FF"/>
          <w:szCs w:val="22"/>
          <w:lang w:val="en-US" w:eastAsia="fr-FR"/>
        </w:rPr>
      </w:pPr>
      <w:proofErr w:type="gramStart"/>
      <w:r w:rsidRPr="00170566">
        <w:rPr>
          <w:rFonts w:ascii="Roboto" w:eastAsia="Times New Roman" w:hAnsi="Roboto" w:cs="Times New Roman"/>
          <w:color w:val="0000FF"/>
          <w:szCs w:val="22"/>
          <w:lang w:val="en-US" w:eastAsia="fr-FR"/>
        </w:rPr>
        <w:lastRenderedPageBreak/>
        <w:t>the</w:t>
      </w:r>
      <w:proofErr w:type="gramEnd"/>
      <w:r w:rsidRPr="00170566">
        <w:rPr>
          <w:rFonts w:ascii="Roboto" w:eastAsia="Times New Roman" w:hAnsi="Roboto" w:cs="Times New Roman"/>
          <w:color w:val="0000FF"/>
          <w:szCs w:val="22"/>
          <w:lang w:val="en-US" w:eastAsia="fr-FR"/>
        </w:rPr>
        <w:t xml:space="preserve"> European Commission has made proposals in the frame of the Omnibus package to simplify the reporting and is considering revising the ESRS. </w:t>
      </w:r>
      <w:proofErr w:type="gramStart"/>
      <w:r w:rsidRPr="00170566">
        <w:rPr>
          <w:rFonts w:ascii="Roboto" w:eastAsia="Times New Roman" w:hAnsi="Roboto" w:cs="Times New Roman"/>
          <w:color w:val="0000FF"/>
          <w:szCs w:val="22"/>
          <w:lang w:val="en-US" w:eastAsia="fr-FR"/>
        </w:rPr>
        <w:t xml:space="preserve">There is </w:t>
      </w:r>
      <w:r w:rsidRPr="00170566">
        <w:rPr>
          <w:rFonts w:ascii="Roboto" w:eastAsia="Times New Roman" w:hAnsi="Roboto" w:cs="Times New Roman"/>
          <w:b/>
          <w:bCs/>
          <w:color w:val="0000FF"/>
          <w:szCs w:val="22"/>
          <w:lang w:val="en-US" w:eastAsia="fr-FR"/>
        </w:rPr>
        <w:t>no urgency to work on a taxonomy on contents that may evolve in the coming months/years</w:t>
      </w:r>
      <w:r w:rsidRPr="00170566">
        <w:rPr>
          <w:rFonts w:ascii="Roboto" w:eastAsia="Times New Roman" w:hAnsi="Roboto" w:cs="Times New Roman"/>
          <w:color w:val="0000FF"/>
          <w:szCs w:val="22"/>
          <w:lang w:val="en-US" w:eastAsia="fr-FR"/>
        </w:rPr>
        <w:t>.</w:t>
      </w:r>
      <w:proofErr w:type="gramEnd"/>
    </w:p>
    <w:p w14:paraId="541FAA1D" w14:textId="77777777" w:rsidR="00170566" w:rsidRPr="00170566" w:rsidRDefault="00170566" w:rsidP="00170566">
      <w:pPr>
        <w:numPr>
          <w:ilvl w:val="0"/>
          <w:numId w:val="38"/>
        </w:numPr>
        <w:spacing w:after="0" w:line="240" w:lineRule="auto"/>
        <w:textAlignment w:val="baseline"/>
        <w:rPr>
          <w:rFonts w:ascii="Roboto" w:eastAsia="Times New Roman" w:hAnsi="Roboto" w:cs="Times New Roman"/>
          <w:color w:val="0000FF"/>
          <w:szCs w:val="22"/>
          <w:lang w:val="en-US" w:eastAsia="fr-FR"/>
        </w:rPr>
      </w:pPr>
      <w:proofErr w:type="gramStart"/>
      <w:r w:rsidRPr="00170566">
        <w:rPr>
          <w:rFonts w:ascii="Roboto" w:eastAsia="Times New Roman" w:hAnsi="Roboto" w:cs="Times New Roman"/>
          <w:color w:val="0000FF"/>
          <w:szCs w:val="22"/>
          <w:lang w:val="en-US" w:eastAsia="fr-FR"/>
        </w:rPr>
        <w:t>the</w:t>
      </w:r>
      <w:proofErr w:type="gramEnd"/>
      <w:r w:rsidRPr="00170566">
        <w:rPr>
          <w:rFonts w:ascii="Roboto" w:eastAsia="Times New Roman" w:hAnsi="Roboto" w:cs="Times New Roman"/>
          <w:color w:val="0000FF"/>
          <w:szCs w:val="22"/>
          <w:lang w:val="en-US" w:eastAsia="fr-FR"/>
        </w:rPr>
        <w:t xml:space="preserve"> proposal “aims to </w:t>
      </w:r>
      <w:proofErr w:type="spellStart"/>
      <w:r w:rsidRPr="00170566">
        <w:rPr>
          <w:rFonts w:ascii="Roboto" w:eastAsia="Times New Roman" w:hAnsi="Roboto" w:cs="Times New Roman"/>
          <w:color w:val="0000FF"/>
          <w:szCs w:val="22"/>
          <w:lang w:val="en-US" w:eastAsia="fr-FR"/>
        </w:rPr>
        <w:t>maximise</w:t>
      </w:r>
      <w:proofErr w:type="spellEnd"/>
      <w:r w:rsidRPr="00170566">
        <w:rPr>
          <w:rFonts w:ascii="Roboto" w:eastAsia="Times New Roman" w:hAnsi="Roboto" w:cs="Times New Roman"/>
          <w:color w:val="0000FF"/>
          <w:szCs w:val="22"/>
          <w:lang w:val="en-US" w:eastAsia="fr-FR"/>
        </w:rPr>
        <w:t xml:space="preserve"> opportunities for European and international users to effectively leverage the disclosed data”. </w:t>
      </w:r>
      <w:r w:rsidRPr="00170566">
        <w:rPr>
          <w:rFonts w:ascii="Roboto" w:eastAsia="Times New Roman" w:hAnsi="Roboto" w:cs="Times New Roman"/>
          <w:b/>
          <w:bCs/>
          <w:color w:val="0000FF"/>
          <w:szCs w:val="22"/>
          <w:lang w:val="en-US" w:eastAsia="fr-FR"/>
        </w:rPr>
        <w:t>Yet, in practice, most extra-financial rating agencies send their own questionnaires - blank - to the preparers, they</w:t>
      </w:r>
      <w:proofErr w:type="gramStart"/>
      <w:r w:rsidRPr="00170566">
        <w:rPr>
          <w:rFonts w:ascii="Roboto" w:eastAsia="Times New Roman" w:hAnsi="Roboto" w:cs="Times New Roman"/>
          <w:b/>
          <w:bCs/>
          <w:color w:val="0000FF"/>
          <w:szCs w:val="22"/>
          <w:lang w:val="en-US" w:eastAsia="fr-FR"/>
        </w:rPr>
        <w:t>  do</w:t>
      </w:r>
      <w:proofErr w:type="gramEnd"/>
      <w:r w:rsidRPr="00170566">
        <w:rPr>
          <w:rFonts w:ascii="Roboto" w:eastAsia="Times New Roman" w:hAnsi="Roboto" w:cs="Times New Roman"/>
          <w:b/>
          <w:bCs/>
          <w:color w:val="0000FF"/>
          <w:szCs w:val="22"/>
          <w:lang w:val="en-US" w:eastAsia="fr-FR"/>
        </w:rPr>
        <w:t xml:space="preserve"> not pre-fill them with our own data, and questionnaires’ content is not always aligned with CSRD definitions</w:t>
      </w:r>
      <w:r w:rsidRPr="00170566">
        <w:rPr>
          <w:rFonts w:ascii="Roboto" w:eastAsia="Times New Roman" w:hAnsi="Roboto" w:cs="Times New Roman"/>
          <w:color w:val="0000FF"/>
          <w:szCs w:val="22"/>
          <w:lang w:val="en-US" w:eastAsia="fr-FR"/>
        </w:rPr>
        <w:t>.</w:t>
      </w:r>
    </w:p>
    <w:p w14:paraId="5DCE0229" w14:textId="77777777" w:rsidR="00170566" w:rsidRPr="00170566" w:rsidRDefault="00170566" w:rsidP="00170566">
      <w:pPr>
        <w:numPr>
          <w:ilvl w:val="0"/>
          <w:numId w:val="38"/>
        </w:numPr>
        <w:spacing w:after="0" w:line="240" w:lineRule="auto"/>
        <w:textAlignment w:val="baseline"/>
        <w:rPr>
          <w:rFonts w:ascii="Roboto" w:eastAsia="Times New Roman" w:hAnsi="Roboto" w:cs="Times New Roman"/>
          <w:color w:val="0000FF"/>
          <w:szCs w:val="22"/>
          <w:lang w:val="en-US" w:eastAsia="fr-FR"/>
        </w:rPr>
      </w:pPr>
      <w:proofErr w:type="gramStart"/>
      <w:r w:rsidRPr="00170566">
        <w:rPr>
          <w:rFonts w:ascii="Roboto" w:eastAsia="Times New Roman" w:hAnsi="Roboto" w:cs="Times New Roman"/>
          <w:color w:val="0000FF"/>
          <w:szCs w:val="22"/>
          <w:lang w:val="en-US" w:eastAsia="fr-FR"/>
        </w:rPr>
        <w:t>numerous</w:t>
      </w:r>
      <w:proofErr w:type="gramEnd"/>
      <w:r w:rsidRPr="00170566">
        <w:rPr>
          <w:rFonts w:ascii="Roboto" w:eastAsia="Times New Roman" w:hAnsi="Roboto" w:cs="Times New Roman"/>
          <w:color w:val="0000FF"/>
          <w:szCs w:val="22"/>
          <w:lang w:val="en-US" w:eastAsia="fr-FR"/>
        </w:rPr>
        <w:t xml:space="preserve"> users are developing IA to process the annual reporting.</w:t>
      </w:r>
      <w:r w:rsidRPr="00170566">
        <w:rPr>
          <w:rFonts w:ascii="Roboto" w:eastAsia="Times New Roman" w:hAnsi="Roboto" w:cs="Times New Roman"/>
          <w:b/>
          <w:bCs/>
          <w:color w:val="0000FF"/>
          <w:szCs w:val="22"/>
          <w:lang w:val="en-US" w:eastAsia="fr-FR"/>
        </w:rPr>
        <w:t xml:space="preserve"> We do not see the added value of implementing such a digital tagging - already assessed as being complex, burdensome and costly in regards to the Notes - while an IA may provide a similar service level</w:t>
      </w:r>
      <w:r w:rsidRPr="00170566">
        <w:rPr>
          <w:rFonts w:ascii="Roboto" w:eastAsia="Times New Roman" w:hAnsi="Roboto" w:cs="Times New Roman"/>
          <w:color w:val="0000FF"/>
          <w:szCs w:val="22"/>
          <w:lang w:val="en-US" w:eastAsia="fr-FR"/>
        </w:rPr>
        <w:t xml:space="preserve"> (or even more since an IA would also be able to interpret the narratives content). Additionally, digital tagging may be obsolete in the near future due to the progress of the technology. It </w:t>
      </w:r>
      <w:proofErr w:type="gramStart"/>
      <w:r w:rsidRPr="00170566">
        <w:rPr>
          <w:rFonts w:ascii="Roboto" w:eastAsia="Times New Roman" w:hAnsi="Roboto" w:cs="Times New Roman"/>
          <w:color w:val="0000FF"/>
          <w:szCs w:val="22"/>
          <w:lang w:val="en-US" w:eastAsia="fr-FR"/>
        </w:rPr>
        <w:t>shall also be noted</w:t>
      </w:r>
      <w:proofErr w:type="gramEnd"/>
      <w:r w:rsidRPr="00170566">
        <w:rPr>
          <w:rFonts w:ascii="Roboto" w:eastAsia="Times New Roman" w:hAnsi="Roboto" w:cs="Times New Roman"/>
          <w:color w:val="0000FF"/>
          <w:szCs w:val="22"/>
          <w:lang w:val="en-US" w:eastAsia="fr-FR"/>
        </w:rPr>
        <w:t xml:space="preserve"> that most ESG rating agencies do not process by themselves the annual reports but rather send their blank questionnaire to the issuers; they then use IA to process the answers. Has a study been conducted to assess how many users indeed use the digital </w:t>
      </w:r>
      <w:proofErr w:type="gramStart"/>
      <w:r w:rsidRPr="00170566">
        <w:rPr>
          <w:rFonts w:ascii="Roboto" w:eastAsia="Times New Roman" w:hAnsi="Roboto" w:cs="Times New Roman"/>
          <w:color w:val="0000FF"/>
          <w:szCs w:val="22"/>
          <w:lang w:val="en-US" w:eastAsia="fr-FR"/>
        </w:rPr>
        <w:t>tagging ?</w:t>
      </w:r>
      <w:proofErr w:type="gramEnd"/>
    </w:p>
    <w:p w14:paraId="4335C0C0" w14:textId="77777777"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00306823"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When looking into the detailed aspects of the proposed digitalization:</w:t>
      </w:r>
    </w:p>
    <w:p w14:paraId="5C17A6C8" w14:textId="77777777" w:rsidR="00170566" w:rsidRPr="00170566" w:rsidRDefault="00170566" w:rsidP="00170566">
      <w:pPr>
        <w:numPr>
          <w:ilvl w:val="0"/>
          <w:numId w:val="39"/>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The </w:t>
      </w:r>
      <w:proofErr w:type="spellStart"/>
      <w:proofErr w:type="gramStart"/>
      <w:r w:rsidRPr="00170566">
        <w:rPr>
          <w:rFonts w:ascii="Roboto" w:eastAsia="Times New Roman" w:hAnsi="Roboto" w:cs="Times New Roman"/>
          <w:color w:val="0000FF"/>
          <w:szCs w:val="22"/>
          <w:lang w:val="en-US" w:eastAsia="fr-FR"/>
        </w:rPr>
        <w:t>boolean</w:t>
      </w:r>
      <w:proofErr w:type="spellEnd"/>
      <w:proofErr w:type="gramEnd"/>
      <w:r w:rsidRPr="00170566">
        <w:rPr>
          <w:rFonts w:ascii="Roboto" w:eastAsia="Times New Roman" w:hAnsi="Roboto" w:cs="Times New Roman"/>
          <w:color w:val="0000FF"/>
          <w:szCs w:val="22"/>
          <w:lang w:val="en-US" w:eastAsia="fr-FR"/>
        </w:rPr>
        <w:t xml:space="preserve"> and enumeration types represent a binary vision which is not suitable for sustainability reporting, where the disclosures are usually more nuanced. The undertaking’s statements are rarely of yes/no type. As highlighted in the document, the narrative disclosures are unstructured. Their implementation is likely to be complex in practice, also considering the lack of experience in these item types since they do not exist in the digital tagging of the Notes to the financial statements.</w:t>
      </w:r>
    </w:p>
    <w:p w14:paraId="12663CF9" w14:textId="77777777" w:rsidR="00170566" w:rsidRPr="00170566" w:rsidRDefault="00170566" w:rsidP="00170566">
      <w:pPr>
        <w:numPr>
          <w:ilvl w:val="0"/>
          <w:numId w:val="39"/>
        </w:numPr>
        <w:spacing w:after="0" w:line="240" w:lineRule="auto"/>
        <w:textAlignment w:val="baseline"/>
        <w:rPr>
          <w:rFonts w:ascii="Roboto" w:eastAsia="Times New Roman" w:hAnsi="Roboto" w:cs="Times New Roman"/>
          <w:color w:val="0000FF"/>
          <w:szCs w:val="22"/>
          <w:lang w:val="en-US" w:eastAsia="fr-FR"/>
        </w:rPr>
      </w:pPr>
      <w:proofErr w:type="gramStart"/>
      <w:r w:rsidRPr="00170566">
        <w:rPr>
          <w:rFonts w:ascii="Roboto" w:eastAsia="Times New Roman" w:hAnsi="Roboto" w:cs="Times New Roman"/>
          <w:color w:val="0000FF"/>
          <w:szCs w:val="22"/>
          <w:lang w:val="en-US" w:eastAsia="fr-FR"/>
        </w:rPr>
        <w:t>it</w:t>
      </w:r>
      <w:proofErr w:type="gramEnd"/>
      <w:r w:rsidRPr="00170566">
        <w:rPr>
          <w:rFonts w:ascii="Roboto" w:eastAsia="Times New Roman" w:hAnsi="Roboto" w:cs="Times New Roman"/>
          <w:color w:val="0000FF"/>
          <w:szCs w:val="22"/>
          <w:lang w:val="en-US" w:eastAsia="fr-FR"/>
        </w:rPr>
        <w:t xml:space="preserve"> is already a well-known fact that a tagging at level 2 ESRS disclosures may not be completely accurate (§44).</w:t>
      </w:r>
    </w:p>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1916A942"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proofErr w:type="gramStart"/>
      <w:r w:rsidRPr="00170566">
        <w:rPr>
          <w:rFonts w:ascii="Roboto" w:eastAsia="Times New Roman" w:hAnsi="Roboto" w:cs="Times New Roman"/>
          <w:color w:val="0000FF"/>
          <w:szCs w:val="22"/>
          <w:lang w:val="en-US" w:eastAsia="fr-FR"/>
        </w:rPr>
        <w:t>First and foremost</w:t>
      </w:r>
      <w:proofErr w:type="gramEnd"/>
      <w:r w:rsidRPr="00170566">
        <w:rPr>
          <w:rFonts w:ascii="Roboto" w:eastAsia="Times New Roman" w:hAnsi="Roboto" w:cs="Times New Roman"/>
          <w:color w:val="0000FF"/>
          <w:szCs w:val="22"/>
          <w:lang w:val="en-US" w:eastAsia="fr-FR"/>
        </w:rPr>
        <w:t xml:space="preserve">, </w:t>
      </w:r>
      <w:r w:rsidRPr="00170566">
        <w:rPr>
          <w:rFonts w:ascii="Roboto" w:eastAsia="Times New Roman" w:hAnsi="Roboto" w:cs="Times New Roman"/>
          <w:b/>
          <w:bCs/>
          <w:color w:val="0000FF"/>
          <w:szCs w:val="22"/>
          <w:lang w:val="en-US" w:eastAsia="fr-FR"/>
        </w:rPr>
        <w:t xml:space="preserve">it is not understandable to consider that ultimately the human-readable version shall be tailored to the machine-readable version needs. </w:t>
      </w:r>
      <w:r w:rsidRPr="00170566">
        <w:rPr>
          <w:rFonts w:ascii="Roboto" w:eastAsia="Times New Roman" w:hAnsi="Roboto" w:cs="Times New Roman"/>
          <w:color w:val="0000FF"/>
          <w:szCs w:val="22"/>
          <w:lang w:val="en-US" w:eastAsia="fr-FR"/>
        </w:rPr>
        <w:t xml:space="preserve">The principle shall be the other way </w:t>
      </w:r>
      <w:proofErr w:type="gramStart"/>
      <w:r w:rsidRPr="00170566">
        <w:rPr>
          <w:rFonts w:ascii="Roboto" w:eastAsia="Times New Roman" w:hAnsi="Roboto" w:cs="Times New Roman"/>
          <w:color w:val="0000FF"/>
          <w:szCs w:val="22"/>
          <w:lang w:val="en-US" w:eastAsia="fr-FR"/>
        </w:rPr>
        <w:t>around:</w:t>
      </w:r>
      <w:proofErr w:type="gramEnd"/>
      <w:r w:rsidRPr="00170566">
        <w:rPr>
          <w:rFonts w:ascii="Roboto" w:eastAsia="Times New Roman" w:hAnsi="Roboto" w:cs="Times New Roman"/>
          <w:color w:val="0000FF"/>
          <w:szCs w:val="22"/>
          <w:lang w:val="en-US" w:eastAsia="fr-FR"/>
        </w:rPr>
        <w:t xml:space="preserve"> the machine shall be tailored to the human’s needs.</w:t>
      </w:r>
    </w:p>
    <w:p w14:paraId="156801DA" w14:textId="77777777"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521BB680"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xml:space="preserve">Then, about the proposed timeline, we are of the opinion that </w:t>
      </w:r>
      <w:r w:rsidRPr="00170566">
        <w:rPr>
          <w:rFonts w:ascii="Roboto" w:eastAsia="Times New Roman" w:hAnsi="Roboto" w:cs="Times New Roman"/>
          <w:b/>
          <w:bCs/>
          <w:color w:val="0000FF"/>
          <w:szCs w:val="22"/>
          <w:lang w:val="en-US" w:eastAsia="fr-FR"/>
        </w:rPr>
        <w:t xml:space="preserve">the digital tagging shall not be a priority for the reasons mentioned in Question </w:t>
      </w:r>
      <w:proofErr w:type="gramStart"/>
      <w:r w:rsidRPr="00170566">
        <w:rPr>
          <w:rFonts w:ascii="Roboto" w:eastAsia="Times New Roman" w:hAnsi="Roboto" w:cs="Times New Roman"/>
          <w:b/>
          <w:bCs/>
          <w:color w:val="0000FF"/>
          <w:szCs w:val="22"/>
          <w:lang w:val="en-US" w:eastAsia="fr-FR"/>
        </w:rPr>
        <w:t>1</w:t>
      </w:r>
      <w:proofErr w:type="gramEnd"/>
      <w:r w:rsidRPr="00170566">
        <w:rPr>
          <w:rFonts w:ascii="Roboto" w:eastAsia="Times New Roman" w:hAnsi="Roboto" w:cs="Times New Roman"/>
          <w:b/>
          <w:bCs/>
          <w:color w:val="0000FF"/>
          <w:szCs w:val="22"/>
          <w:lang w:val="en-US" w:eastAsia="fr-FR"/>
        </w:rPr>
        <w:t>.</w:t>
      </w:r>
    </w:p>
    <w:p w14:paraId="0C353015"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proofErr w:type="gramStart"/>
      <w:r w:rsidRPr="00170566">
        <w:rPr>
          <w:rFonts w:ascii="Roboto" w:eastAsia="Times New Roman" w:hAnsi="Roboto" w:cs="Times New Roman"/>
          <w:color w:val="0000FF"/>
          <w:szCs w:val="22"/>
          <w:lang w:val="en-US" w:eastAsia="fr-FR"/>
        </w:rPr>
        <w:t>Shall it be implemented</w:t>
      </w:r>
      <w:proofErr w:type="gramEnd"/>
      <w:r w:rsidRPr="00170566">
        <w:rPr>
          <w:rFonts w:ascii="Roboto" w:eastAsia="Times New Roman" w:hAnsi="Roboto" w:cs="Times New Roman"/>
          <w:color w:val="0000FF"/>
          <w:szCs w:val="22"/>
          <w:lang w:val="en-US" w:eastAsia="fr-FR"/>
        </w:rPr>
        <w:t xml:space="preserve">, the proposal of having an application to the same year of the publication year if it takes place before 30 June is too short. The preparers shall benefit for a longer period than 6 months to implement the digital tagging. </w:t>
      </w:r>
      <w:r w:rsidRPr="00170566">
        <w:rPr>
          <w:rFonts w:ascii="Roboto" w:eastAsia="Times New Roman" w:hAnsi="Roboto" w:cs="Times New Roman"/>
          <w:b/>
          <w:bCs/>
          <w:color w:val="0000FF"/>
          <w:szCs w:val="22"/>
          <w:lang w:val="en-US" w:eastAsia="fr-FR"/>
        </w:rPr>
        <w:t>In all cases, the application shall take place the subsequent financial year.</w:t>
      </w:r>
    </w:p>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38265809" w14:textId="77777777" w:rsidR="00170566" w:rsidRDefault="00170566" w:rsidP="007D4F05">
      <w:pPr>
        <w:spacing w:after="0"/>
        <w:rPr>
          <w:rFonts w:ascii="Roboto" w:hAnsi="Roboto"/>
          <w:color w:val="0000FF"/>
          <w:szCs w:val="22"/>
        </w:rPr>
      </w:pPr>
      <w:r>
        <w:rPr>
          <w:rFonts w:ascii="Roboto" w:hAnsi="Roboto"/>
          <w:color w:val="0000FF"/>
          <w:szCs w:val="22"/>
        </w:rPr>
        <w:t>No opinion since our Group is a large PIE.</w:t>
      </w:r>
    </w:p>
    <w:p w14:paraId="693F7E20" w14:textId="64DE1DB3" w:rsidR="007D4F05" w:rsidRPr="00AF763D" w:rsidRDefault="007D4F05" w:rsidP="007D4F05">
      <w:pPr>
        <w:spacing w:after="0"/>
        <w:rPr>
          <w:sz w:val="20"/>
          <w:szCs w:val="18"/>
        </w:rPr>
      </w:pPr>
      <w:r w:rsidRPr="00AF763D">
        <w:rPr>
          <w:sz w:val="20"/>
          <w:szCs w:val="18"/>
        </w:rPr>
        <w:lastRenderedPageBreak/>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61F35D53"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We disagree on the following items:</w:t>
      </w:r>
    </w:p>
    <w:p w14:paraId="5050269F" w14:textId="77777777" w:rsidR="00170566" w:rsidRPr="00170566" w:rsidRDefault="00170566" w:rsidP="00170566">
      <w:pPr>
        <w:numPr>
          <w:ilvl w:val="0"/>
          <w:numId w:val="40"/>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Phase </w:t>
      </w:r>
      <w:proofErr w:type="gramStart"/>
      <w:r w:rsidRPr="00170566">
        <w:rPr>
          <w:rFonts w:ascii="Roboto" w:eastAsia="Times New Roman" w:hAnsi="Roboto" w:cs="Times New Roman"/>
          <w:color w:val="0000FF"/>
          <w:szCs w:val="22"/>
          <w:lang w:val="en-US" w:eastAsia="fr-FR"/>
        </w:rPr>
        <w:t>1</w:t>
      </w:r>
      <w:proofErr w:type="gramEnd"/>
      <w:r w:rsidRPr="00170566">
        <w:rPr>
          <w:rFonts w:ascii="Roboto" w:eastAsia="Times New Roman" w:hAnsi="Roboto" w:cs="Times New Roman"/>
          <w:color w:val="0000FF"/>
          <w:szCs w:val="22"/>
          <w:lang w:val="en-US" w:eastAsia="fr-FR"/>
        </w:rPr>
        <w:t xml:space="preserve"> - The </w:t>
      </w:r>
      <w:r w:rsidRPr="00170566">
        <w:rPr>
          <w:rFonts w:ascii="Roboto" w:eastAsia="Times New Roman" w:hAnsi="Roboto" w:cs="Times New Roman"/>
          <w:b/>
          <w:bCs/>
          <w:color w:val="0000FF"/>
          <w:szCs w:val="22"/>
          <w:lang w:val="en-US" w:eastAsia="fr-FR"/>
        </w:rPr>
        <w:t>Minimum Disclosure Requirements</w:t>
      </w:r>
      <w:r w:rsidRPr="00170566">
        <w:rPr>
          <w:rFonts w:ascii="Roboto" w:eastAsia="Times New Roman" w:hAnsi="Roboto" w:cs="Times New Roman"/>
          <w:color w:val="0000FF"/>
          <w:szCs w:val="22"/>
          <w:lang w:val="en-US" w:eastAsia="fr-FR"/>
        </w:rPr>
        <w:t xml:space="preserve"> have to be provided for each policy, action, target and metric. In practice, the MDR disclosure may frequently be disclosed alongside with the policy, action, </w:t>
      </w:r>
      <w:proofErr w:type="gramStart"/>
      <w:r w:rsidRPr="00170566">
        <w:rPr>
          <w:rFonts w:ascii="Roboto" w:eastAsia="Times New Roman" w:hAnsi="Roboto" w:cs="Times New Roman"/>
          <w:color w:val="0000FF"/>
          <w:szCs w:val="22"/>
          <w:lang w:val="en-US" w:eastAsia="fr-FR"/>
        </w:rPr>
        <w:t>target</w:t>
      </w:r>
      <w:proofErr w:type="gramEnd"/>
      <w:r w:rsidRPr="00170566">
        <w:rPr>
          <w:rFonts w:ascii="Roboto" w:eastAsia="Times New Roman" w:hAnsi="Roboto" w:cs="Times New Roman"/>
          <w:color w:val="0000FF"/>
          <w:szCs w:val="22"/>
          <w:lang w:val="en-US" w:eastAsia="fr-FR"/>
        </w:rPr>
        <w:t xml:space="preserve"> and metric it is related to and does not constitute one single data point. In conclusion, the tagging of MDR </w:t>
      </w:r>
      <w:proofErr w:type="gramStart"/>
      <w:r w:rsidRPr="00170566">
        <w:rPr>
          <w:rFonts w:ascii="Roboto" w:eastAsia="Times New Roman" w:hAnsi="Roboto" w:cs="Times New Roman"/>
          <w:color w:val="0000FF"/>
          <w:szCs w:val="22"/>
          <w:lang w:val="en-US" w:eastAsia="fr-FR"/>
        </w:rPr>
        <w:t>shall not be tied</w:t>
      </w:r>
      <w:proofErr w:type="gramEnd"/>
      <w:r w:rsidRPr="00170566">
        <w:rPr>
          <w:rFonts w:ascii="Roboto" w:eastAsia="Times New Roman" w:hAnsi="Roboto" w:cs="Times New Roman"/>
          <w:color w:val="0000FF"/>
          <w:szCs w:val="22"/>
          <w:lang w:val="en-US" w:eastAsia="fr-FR"/>
        </w:rPr>
        <w:t xml:space="preserve"> to the tagging of ESRS 2 but rather to the topical ESRS where the corresponding policies, actions, targets and metrics are located.</w:t>
      </w:r>
    </w:p>
    <w:p w14:paraId="2DE68A10" w14:textId="77777777" w:rsidR="00170566" w:rsidRPr="00170566" w:rsidRDefault="00170566" w:rsidP="00170566">
      <w:pPr>
        <w:numPr>
          <w:ilvl w:val="0"/>
          <w:numId w:val="40"/>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Phases 2 and 3 - The </w:t>
      </w:r>
      <w:r w:rsidRPr="00170566">
        <w:rPr>
          <w:rFonts w:ascii="Roboto" w:eastAsia="Times New Roman" w:hAnsi="Roboto" w:cs="Times New Roman"/>
          <w:b/>
          <w:bCs/>
          <w:color w:val="0000FF"/>
          <w:szCs w:val="22"/>
          <w:lang w:val="en-US" w:eastAsia="fr-FR"/>
        </w:rPr>
        <w:t>tagging shall be limited to Level 1</w:t>
      </w:r>
      <w:r w:rsidRPr="00170566">
        <w:rPr>
          <w:rFonts w:ascii="Roboto" w:eastAsia="Times New Roman" w:hAnsi="Roboto" w:cs="Times New Roman"/>
          <w:color w:val="0000FF"/>
          <w:szCs w:val="22"/>
          <w:lang w:val="en-US" w:eastAsia="fr-FR"/>
        </w:rPr>
        <w:t>, i.e. at the level of the “rule-based DR” which properly reflects the objective that a preparer shall reach for each disclosure requirement. It is a well-known fact that “</w:t>
      </w:r>
      <w:r w:rsidRPr="00170566">
        <w:rPr>
          <w:rFonts w:ascii="Roboto" w:eastAsia="Times New Roman" w:hAnsi="Roboto" w:cs="Times New Roman"/>
          <w:i/>
          <w:iCs/>
          <w:color w:val="0000FF"/>
          <w:szCs w:val="22"/>
          <w:lang w:val="en-US" w:eastAsia="fr-FR"/>
        </w:rPr>
        <w:t>the ESRS taxonomy might not have a perfect match with Level 2 ESRS disclosure requirements</w:t>
      </w:r>
      <w:r w:rsidRPr="00170566">
        <w:rPr>
          <w:rFonts w:ascii="Roboto" w:eastAsia="Times New Roman" w:hAnsi="Roboto" w:cs="Times New Roman"/>
          <w:color w:val="0000FF"/>
          <w:szCs w:val="22"/>
          <w:lang w:val="en-US" w:eastAsia="fr-FR"/>
        </w:rPr>
        <w:t xml:space="preserve">” (§79.b). Having a tagging at a more granular level than level 1 may therefore lead to inaccurate interpretation by the users and endless discussion with the auditors since it would require us to exercise our judgment. </w:t>
      </w:r>
      <w:proofErr w:type="gramStart"/>
      <w:r w:rsidRPr="00170566">
        <w:rPr>
          <w:rFonts w:ascii="Roboto" w:eastAsia="Times New Roman" w:hAnsi="Roboto" w:cs="Times New Roman"/>
          <w:color w:val="0000FF"/>
          <w:szCs w:val="22"/>
          <w:lang w:val="en-US" w:eastAsia="fr-FR"/>
        </w:rPr>
        <w:t xml:space="preserve">Additionally, the </w:t>
      </w:r>
      <w:proofErr w:type="spellStart"/>
      <w:r w:rsidRPr="00170566">
        <w:rPr>
          <w:rFonts w:ascii="Roboto" w:eastAsia="Times New Roman" w:hAnsi="Roboto" w:cs="Times New Roman"/>
          <w:color w:val="0000FF"/>
          <w:szCs w:val="22"/>
          <w:lang w:val="en-US" w:eastAsia="fr-FR"/>
        </w:rPr>
        <w:t>datapoints</w:t>
      </w:r>
      <w:proofErr w:type="spellEnd"/>
      <w:r w:rsidRPr="00170566">
        <w:rPr>
          <w:rFonts w:ascii="Roboto" w:eastAsia="Times New Roman" w:hAnsi="Roboto" w:cs="Times New Roman"/>
          <w:color w:val="0000FF"/>
          <w:szCs w:val="22"/>
          <w:lang w:val="en-US" w:eastAsia="fr-FR"/>
        </w:rPr>
        <w:t xml:space="preserve"> at more granular level (levels 2 and 3) are often combined to enhance the readability and understandability for the users; level 3 application requirements are sometimes illustrative examples which are not meant to encompass all situations, tagging at level 3 would possibly leave important information untagged;  tagging at levels 2 or 3 may not provide a faithful representation of the statement by the undertakings.</w:t>
      </w:r>
      <w:proofErr w:type="gramEnd"/>
    </w:p>
    <w:p w14:paraId="004B5BA9" w14:textId="77777777" w:rsidR="00170566" w:rsidRPr="00170566" w:rsidRDefault="00170566" w:rsidP="00170566">
      <w:pPr>
        <w:numPr>
          <w:ilvl w:val="0"/>
          <w:numId w:val="40"/>
        </w:numPr>
        <w:spacing w:after="0" w:line="240" w:lineRule="auto"/>
        <w:textAlignment w:val="baseline"/>
        <w:rPr>
          <w:rFonts w:ascii="Roboto" w:eastAsia="Times New Roman" w:hAnsi="Roboto" w:cs="Times New Roman"/>
          <w:color w:val="0000FF"/>
          <w:szCs w:val="22"/>
          <w:lang w:val="fr-FR" w:eastAsia="fr-FR"/>
        </w:rPr>
      </w:pPr>
      <w:r w:rsidRPr="00170566">
        <w:rPr>
          <w:rFonts w:ascii="Roboto" w:eastAsia="Times New Roman" w:hAnsi="Roboto" w:cs="Times New Roman"/>
          <w:color w:val="0000FF"/>
          <w:szCs w:val="22"/>
          <w:lang w:val="en-US" w:eastAsia="fr-FR"/>
        </w:rPr>
        <w:t xml:space="preserve">Phase </w:t>
      </w:r>
      <w:proofErr w:type="gramStart"/>
      <w:r w:rsidRPr="00170566">
        <w:rPr>
          <w:rFonts w:ascii="Roboto" w:eastAsia="Times New Roman" w:hAnsi="Roboto" w:cs="Times New Roman"/>
          <w:color w:val="0000FF"/>
          <w:szCs w:val="22"/>
          <w:lang w:val="en-US" w:eastAsia="fr-FR"/>
        </w:rPr>
        <w:t>3</w:t>
      </w:r>
      <w:proofErr w:type="gramEnd"/>
      <w:r w:rsidRPr="00170566">
        <w:rPr>
          <w:rFonts w:ascii="Roboto" w:eastAsia="Times New Roman" w:hAnsi="Roboto" w:cs="Times New Roman"/>
          <w:color w:val="0000FF"/>
          <w:szCs w:val="22"/>
          <w:lang w:val="en-US" w:eastAsia="fr-FR"/>
        </w:rPr>
        <w:t xml:space="preserve"> - The </w:t>
      </w:r>
      <w:r w:rsidRPr="00170566">
        <w:rPr>
          <w:rFonts w:ascii="Roboto" w:eastAsia="Times New Roman" w:hAnsi="Roboto" w:cs="Times New Roman"/>
          <w:b/>
          <w:bCs/>
          <w:color w:val="0000FF"/>
          <w:szCs w:val="22"/>
          <w:lang w:val="en-US" w:eastAsia="fr-FR"/>
        </w:rPr>
        <w:t>non-material metrics cannot be marked up</w:t>
      </w:r>
      <w:r w:rsidRPr="00170566">
        <w:rPr>
          <w:rFonts w:ascii="Roboto" w:eastAsia="Times New Roman" w:hAnsi="Roboto" w:cs="Times New Roman"/>
          <w:color w:val="0000FF"/>
          <w:szCs w:val="22"/>
          <w:lang w:val="en-US" w:eastAsia="fr-FR"/>
        </w:rPr>
        <w:t xml:space="preserve">. If they are not material, they are not disclosed (ESRS 1, §34). </w:t>
      </w:r>
      <w:proofErr w:type="spellStart"/>
      <w:r w:rsidRPr="00170566">
        <w:rPr>
          <w:rFonts w:ascii="Roboto" w:eastAsia="Times New Roman" w:hAnsi="Roboto" w:cs="Times New Roman"/>
          <w:color w:val="0000FF"/>
          <w:szCs w:val="22"/>
          <w:lang w:val="fr-FR" w:eastAsia="fr-FR"/>
        </w:rPr>
        <w:t>We</w:t>
      </w:r>
      <w:proofErr w:type="spellEnd"/>
      <w:r w:rsidRPr="00170566">
        <w:rPr>
          <w:rFonts w:ascii="Roboto" w:eastAsia="Times New Roman" w:hAnsi="Roboto" w:cs="Times New Roman"/>
          <w:color w:val="0000FF"/>
          <w:szCs w:val="22"/>
          <w:lang w:val="fr-FR" w:eastAsia="fr-FR"/>
        </w:rPr>
        <w:t xml:space="preserve"> </w:t>
      </w:r>
      <w:proofErr w:type="spellStart"/>
      <w:r w:rsidRPr="00170566">
        <w:rPr>
          <w:rFonts w:ascii="Roboto" w:eastAsia="Times New Roman" w:hAnsi="Roboto" w:cs="Times New Roman"/>
          <w:color w:val="0000FF"/>
          <w:szCs w:val="22"/>
          <w:lang w:val="fr-FR" w:eastAsia="fr-FR"/>
        </w:rPr>
        <w:t>therefore</w:t>
      </w:r>
      <w:proofErr w:type="spellEnd"/>
      <w:r w:rsidRPr="00170566">
        <w:rPr>
          <w:rFonts w:ascii="Roboto" w:eastAsia="Times New Roman" w:hAnsi="Roboto" w:cs="Times New Roman"/>
          <w:color w:val="0000FF"/>
          <w:szCs w:val="22"/>
          <w:lang w:val="fr-FR" w:eastAsia="fr-FR"/>
        </w:rPr>
        <w:t xml:space="preserve"> </w:t>
      </w:r>
      <w:proofErr w:type="spellStart"/>
      <w:r w:rsidRPr="00170566">
        <w:rPr>
          <w:rFonts w:ascii="Roboto" w:eastAsia="Times New Roman" w:hAnsi="Roboto" w:cs="Times New Roman"/>
          <w:color w:val="0000FF"/>
          <w:szCs w:val="22"/>
          <w:lang w:val="fr-FR" w:eastAsia="fr-FR"/>
        </w:rPr>
        <w:t>disagree</w:t>
      </w:r>
      <w:proofErr w:type="spellEnd"/>
      <w:r w:rsidRPr="00170566">
        <w:rPr>
          <w:rFonts w:ascii="Roboto" w:eastAsia="Times New Roman" w:hAnsi="Roboto" w:cs="Times New Roman"/>
          <w:color w:val="0000FF"/>
          <w:szCs w:val="22"/>
          <w:lang w:val="fr-FR" w:eastAsia="fr-FR"/>
        </w:rPr>
        <w:t xml:space="preserve"> </w:t>
      </w:r>
      <w:proofErr w:type="spellStart"/>
      <w:r w:rsidRPr="00170566">
        <w:rPr>
          <w:rFonts w:ascii="Roboto" w:eastAsia="Times New Roman" w:hAnsi="Roboto" w:cs="Times New Roman"/>
          <w:color w:val="0000FF"/>
          <w:szCs w:val="22"/>
          <w:lang w:val="fr-FR" w:eastAsia="fr-FR"/>
        </w:rPr>
        <w:t>with</w:t>
      </w:r>
      <w:proofErr w:type="spellEnd"/>
      <w:r w:rsidRPr="00170566">
        <w:rPr>
          <w:rFonts w:ascii="Roboto" w:eastAsia="Times New Roman" w:hAnsi="Roboto" w:cs="Times New Roman"/>
          <w:color w:val="0000FF"/>
          <w:szCs w:val="22"/>
          <w:lang w:val="fr-FR" w:eastAsia="fr-FR"/>
        </w:rPr>
        <w:t xml:space="preserve"> §82 of the consultation.</w:t>
      </w:r>
    </w:p>
    <w:p w14:paraId="66081FAF" w14:textId="77777777" w:rsidR="00170566" w:rsidRPr="00170566" w:rsidRDefault="00170566" w:rsidP="00170566">
      <w:pPr>
        <w:spacing w:after="0" w:line="240" w:lineRule="auto"/>
        <w:jc w:val="left"/>
        <w:rPr>
          <w:rFonts w:ascii="Times New Roman" w:eastAsia="Times New Roman" w:hAnsi="Times New Roman" w:cs="Times New Roman"/>
          <w:color w:val="auto"/>
          <w:sz w:val="24"/>
          <w:szCs w:val="24"/>
          <w:lang w:val="fr-FR" w:eastAsia="fr-FR"/>
        </w:rPr>
      </w:pPr>
    </w:p>
    <w:p w14:paraId="60B46CBE"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b/>
          <w:bCs/>
          <w:color w:val="0000FF"/>
          <w:szCs w:val="22"/>
          <w:lang w:val="en-US" w:eastAsia="fr-FR"/>
        </w:rPr>
        <w:t>We do not understand the following items</w:t>
      </w:r>
      <w:r w:rsidRPr="00170566">
        <w:rPr>
          <w:rFonts w:ascii="Roboto" w:eastAsia="Times New Roman" w:hAnsi="Roboto" w:cs="Times New Roman"/>
          <w:color w:val="0000FF"/>
          <w:szCs w:val="22"/>
          <w:lang w:val="en-US" w:eastAsia="fr-FR"/>
        </w:rPr>
        <w:t>:</w:t>
      </w:r>
    </w:p>
    <w:p w14:paraId="04BC9A08" w14:textId="77777777" w:rsidR="00170566" w:rsidRPr="00170566" w:rsidRDefault="00170566" w:rsidP="00170566">
      <w:pPr>
        <w:numPr>
          <w:ilvl w:val="0"/>
          <w:numId w:val="41"/>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Phase </w:t>
      </w:r>
      <w:proofErr w:type="gramStart"/>
      <w:r w:rsidRPr="00170566">
        <w:rPr>
          <w:rFonts w:ascii="Roboto" w:eastAsia="Times New Roman" w:hAnsi="Roboto" w:cs="Times New Roman"/>
          <w:color w:val="0000FF"/>
          <w:szCs w:val="22"/>
          <w:lang w:val="en-US" w:eastAsia="fr-FR"/>
        </w:rPr>
        <w:t>1</w:t>
      </w:r>
      <w:proofErr w:type="gramEnd"/>
      <w:r w:rsidRPr="00170566">
        <w:rPr>
          <w:rFonts w:ascii="Roboto" w:eastAsia="Times New Roman" w:hAnsi="Roboto" w:cs="Times New Roman"/>
          <w:color w:val="0000FF"/>
          <w:szCs w:val="22"/>
          <w:lang w:val="en-US" w:eastAsia="fr-FR"/>
        </w:rPr>
        <w:t xml:space="preserve"> - “</w:t>
      </w:r>
      <w:r w:rsidRPr="00170566">
        <w:rPr>
          <w:rFonts w:ascii="Roboto" w:eastAsia="Times New Roman" w:hAnsi="Roboto" w:cs="Times New Roman"/>
          <w:i/>
          <w:iCs/>
          <w:color w:val="0000FF"/>
          <w:szCs w:val="22"/>
          <w:lang w:val="en-US" w:eastAsia="fr-FR"/>
        </w:rPr>
        <w:t>ESMA recommends establishing digital relationships between IROs, Policies, Actions, Targets and Metrics to be marked up in the corresponding sectoral disclosures using the corresponding fact-to-fact relationship defined in the ESRS XBRL core taxonomy.</w:t>
      </w:r>
      <w:r w:rsidRPr="00170566">
        <w:rPr>
          <w:rFonts w:ascii="Roboto" w:eastAsia="Times New Roman" w:hAnsi="Roboto" w:cs="Times New Roman"/>
          <w:color w:val="0000FF"/>
          <w:szCs w:val="22"/>
          <w:lang w:val="en-US" w:eastAsia="fr-FR"/>
        </w:rPr>
        <w:t xml:space="preserve">” If in phase 1 the policies, actions, targets and metrics are not to be tagged, how can we mark their relationship with the </w:t>
      </w:r>
      <w:proofErr w:type="gramStart"/>
      <w:r w:rsidRPr="00170566">
        <w:rPr>
          <w:rFonts w:ascii="Roboto" w:eastAsia="Times New Roman" w:hAnsi="Roboto" w:cs="Times New Roman"/>
          <w:color w:val="0000FF"/>
          <w:szCs w:val="22"/>
          <w:lang w:val="en-US" w:eastAsia="fr-FR"/>
        </w:rPr>
        <w:t>IROs ?</w:t>
      </w:r>
      <w:proofErr w:type="gramEnd"/>
    </w:p>
    <w:p w14:paraId="526DD2B0" w14:textId="77777777" w:rsidR="00170566" w:rsidRPr="00170566" w:rsidRDefault="00170566" w:rsidP="00170566">
      <w:pPr>
        <w:numPr>
          <w:ilvl w:val="0"/>
          <w:numId w:val="41"/>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Phase 1 - Which level shall be applied to the disclosures of </w:t>
      </w:r>
      <w:proofErr w:type="gramStart"/>
      <w:r w:rsidRPr="00170566">
        <w:rPr>
          <w:rFonts w:ascii="Roboto" w:eastAsia="Times New Roman" w:hAnsi="Roboto" w:cs="Times New Roman"/>
          <w:color w:val="0000FF"/>
          <w:szCs w:val="22"/>
          <w:lang w:val="en-US" w:eastAsia="fr-FR"/>
        </w:rPr>
        <w:t>E1 ?</w:t>
      </w:r>
      <w:proofErr w:type="gramEnd"/>
    </w:p>
    <w:p w14:paraId="5A38831A" w14:textId="77777777" w:rsidR="00170566" w:rsidRPr="00170566" w:rsidRDefault="00170566" w:rsidP="00170566">
      <w:pPr>
        <w:numPr>
          <w:ilvl w:val="0"/>
          <w:numId w:val="41"/>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Phase 1 - What shall be applied to the semi-narrative disclosures during Phase </w:t>
      </w:r>
      <w:proofErr w:type="gramStart"/>
      <w:r w:rsidRPr="00170566">
        <w:rPr>
          <w:rFonts w:ascii="Roboto" w:eastAsia="Times New Roman" w:hAnsi="Roboto" w:cs="Times New Roman"/>
          <w:color w:val="0000FF"/>
          <w:szCs w:val="22"/>
          <w:lang w:val="en-US" w:eastAsia="fr-FR"/>
        </w:rPr>
        <w:t>1 ?</w:t>
      </w:r>
      <w:proofErr w:type="gramEnd"/>
    </w:p>
    <w:p w14:paraId="450A5C21" w14:textId="77777777" w:rsidR="00170566" w:rsidRPr="00170566" w:rsidRDefault="00170566" w:rsidP="00170566">
      <w:pPr>
        <w:numPr>
          <w:ilvl w:val="0"/>
          <w:numId w:val="41"/>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Phase 2 - Which level shall be applied to the semi-narrative disclosures during Phase </w:t>
      </w:r>
      <w:proofErr w:type="gramStart"/>
      <w:r w:rsidRPr="00170566">
        <w:rPr>
          <w:rFonts w:ascii="Roboto" w:eastAsia="Times New Roman" w:hAnsi="Roboto" w:cs="Times New Roman"/>
          <w:color w:val="0000FF"/>
          <w:szCs w:val="22"/>
          <w:lang w:val="en-US" w:eastAsia="fr-FR"/>
        </w:rPr>
        <w:t>2 ?</w:t>
      </w:r>
      <w:proofErr w:type="gramEnd"/>
    </w:p>
    <w:p w14:paraId="397D361B" w14:textId="77777777" w:rsidR="00170566" w:rsidRPr="00170566" w:rsidRDefault="00170566" w:rsidP="00170566">
      <w:pPr>
        <w:numPr>
          <w:ilvl w:val="0"/>
          <w:numId w:val="41"/>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Phase 2 - Narrative disclosures of E2 to G1 would have been marked up during Phase 1. We do not understand why they are again included in §79.a)</w:t>
      </w:r>
    </w:p>
    <w:p w14:paraId="139174AA" w14:textId="77777777" w:rsidR="00170566" w:rsidRPr="00170566" w:rsidRDefault="00170566" w:rsidP="00170566">
      <w:pPr>
        <w:numPr>
          <w:ilvl w:val="0"/>
          <w:numId w:val="41"/>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Phase 2 - the difference between 79.b) and 79.c)</w:t>
      </w:r>
    </w:p>
    <w:p w14:paraId="0A8100D7" w14:textId="77777777" w:rsidR="00170566" w:rsidRDefault="00170566" w:rsidP="00170566">
      <w:pPr>
        <w:spacing w:after="0"/>
        <w:rPr>
          <w:rFonts w:ascii="Roboto" w:eastAsia="Times New Roman" w:hAnsi="Roboto" w:cs="Times New Roman"/>
          <w:color w:val="0000FF"/>
          <w:szCs w:val="22"/>
          <w:lang w:val="en-US" w:eastAsia="fr-FR"/>
        </w:rPr>
      </w:pPr>
      <w:r w:rsidRPr="00170566">
        <w:rPr>
          <w:rFonts w:ascii="Times New Roman" w:eastAsia="Times New Roman" w:hAnsi="Times New Roman" w:cs="Times New Roman"/>
          <w:color w:val="auto"/>
          <w:sz w:val="24"/>
          <w:szCs w:val="24"/>
          <w:lang w:val="en-US" w:eastAsia="fr-FR"/>
        </w:rPr>
        <w:br/>
      </w:r>
      <w:r w:rsidRPr="00170566">
        <w:rPr>
          <w:rFonts w:ascii="Roboto" w:eastAsia="Times New Roman" w:hAnsi="Roboto" w:cs="Times New Roman"/>
          <w:color w:val="0000FF"/>
          <w:szCs w:val="22"/>
          <w:lang w:val="en-US" w:eastAsia="fr-FR"/>
        </w:rPr>
        <w:t xml:space="preserve">In regards to the various applications of ESRS XBRL taxonomy validation rules, </w:t>
      </w:r>
      <w:r w:rsidRPr="00170566">
        <w:rPr>
          <w:rFonts w:ascii="Roboto" w:eastAsia="Times New Roman" w:hAnsi="Roboto" w:cs="Times New Roman"/>
          <w:b/>
          <w:bCs/>
          <w:color w:val="0000FF"/>
          <w:szCs w:val="22"/>
          <w:lang w:val="en-US" w:eastAsia="fr-FR"/>
        </w:rPr>
        <w:t>the feedback of the software editors shall be collected</w:t>
      </w:r>
      <w:r w:rsidRPr="00170566">
        <w:rPr>
          <w:rFonts w:ascii="Roboto" w:eastAsia="Times New Roman" w:hAnsi="Roboto" w:cs="Times New Roman"/>
          <w:color w:val="0000FF"/>
          <w:szCs w:val="22"/>
          <w:lang w:val="en-US" w:eastAsia="fr-FR"/>
        </w:rPr>
        <w:t xml:space="preserve"> since it covers technical aspects where the undertakings are not sufficiently knowledgeable.</w:t>
      </w:r>
    </w:p>
    <w:p w14:paraId="7E026CF2" w14:textId="24C090D5" w:rsidR="007D4F05" w:rsidRPr="00AF763D" w:rsidRDefault="007D4F05" w:rsidP="00170566">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77777777" w:rsidR="007D4F05" w:rsidRPr="00AF763D" w:rsidRDefault="007D4F05" w:rsidP="007D4F05">
      <w:pPr>
        <w:spacing w:after="0"/>
        <w:rPr>
          <w:sz w:val="20"/>
          <w:szCs w:val="18"/>
        </w:rPr>
      </w:pPr>
      <w:permStart w:id="1008013103" w:edGrp="everyone"/>
      <w:r w:rsidRPr="00AF763D">
        <w:rPr>
          <w:sz w:val="20"/>
          <w:szCs w:val="18"/>
        </w:rPr>
        <w:t>TYPE YOUR TEXT HERE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lastRenderedPageBreak/>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77777777" w:rsidR="007D4F05" w:rsidRPr="00AF763D" w:rsidRDefault="007D4F05" w:rsidP="007D4F05">
      <w:pPr>
        <w:spacing w:after="0"/>
        <w:rPr>
          <w:sz w:val="20"/>
          <w:szCs w:val="18"/>
        </w:rPr>
      </w:pPr>
      <w:permStart w:id="772892299" w:edGrp="everyone"/>
      <w:r w:rsidRPr="00AF763D">
        <w:rPr>
          <w:sz w:val="20"/>
          <w:szCs w:val="18"/>
        </w:rPr>
        <w:t>TYPE YOUR TEXT HERE</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w:t>
      </w:r>
      <w:proofErr w:type="gramStart"/>
      <w:r w:rsidRPr="007D4F05">
        <w:rPr>
          <w:rFonts w:eastAsia="Times New Roman"/>
          <w:color w:val="auto"/>
          <w:szCs w:val="22"/>
          <w:lang w:eastAsia="en-GB"/>
        </w:rPr>
        <w:t>stock-taking</w:t>
      </w:r>
      <w:proofErr w:type="gramEnd"/>
      <w:r w:rsidRPr="007D4F05">
        <w:rPr>
          <w:rFonts w:eastAsia="Times New Roman"/>
          <w:color w:val="auto"/>
          <w:szCs w:val="22"/>
          <w:lang w:eastAsia="en-GB"/>
        </w:rPr>
        <w:t xml:space="preserve">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E7905E9"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xml:space="preserve">As explained in question </w:t>
      </w:r>
      <w:proofErr w:type="gramStart"/>
      <w:r w:rsidRPr="00170566">
        <w:rPr>
          <w:rFonts w:ascii="Roboto" w:eastAsia="Times New Roman" w:hAnsi="Roboto" w:cs="Times New Roman"/>
          <w:color w:val="0000FF"/>
          <w:szCs w:val="22"/>
          <w:lang w:val="en-US" w:eastAsia="fr-FR"/>
        </w:rPr>
        <w:t>1</w:t>
      </w:r>
      <w:proofErr w:type="gramEnd"/>
      <w:r w:rsidRPr="00170566">
        <w:rPr>
          <w:rFonts w:ascii="Roboto" w:eastAsia="Times New Roman" w:hAnsi="Roboto" w:cs="Times New Roman"/>
          <w:color w:val="0000FF"/>
          <w:szCs w:val="22"/>
          <w:lang w:val="en-US" w:eastAsia="fr-FR"/>
        </w:rPr>
        <w:t>, the digital tagging shall not be implemented in the current state in order to let the sustainability statement mature.</w:t>
      </w:r>
    </w:p>
    <w:p w14:paraId="118F0A49" w14:textId="77777777" w:rsidR="00170566" w:rsidRDefault="00170566" w:rsidP="00170566">
      <w:pPr>
        <w:spacing w:after="0"/>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It is mentioned in §87 that a “</w:t>
      </w:r>
      <w:r w:rsidRPr="00170566">
        <w:rPr>
          <w:rFonts w:ascii="Roboto" w:eastAsia="Times New Roman" w:hAnsi="Roboto" w:cs="Times New Roman"/>
          <w:i/>
          <w:iCs/>
          <w:color w:val="0000FF"/>
          <w:szCs w:val="22"/>
          <w:lang w:val="en-US" w:eastAsia="fr-FR"/>
        </w:rPr>
        <w:t>field test could not be conducted in advance due to the unavailability of the first ESRS sustainability statements</w:t>
      </w:r>
      <w:r w:rsidRPr="00170566">
        <w:rPr>
          <w:rFonts w:ascii="Roboto" w:eastAsia="Times New Roman" w:hAnsi="Roboto" w:cs="Times New Roman"/>
          <w:color w:val="0000FF"/>
          <w:szCs w:val="22"/>
          <w:lang w:val="en-US" w:eastAsia="fr-FR"/>
        </w:rPr>
        <w:t xml:space="preserve">”. </w:t>
      </w:r>
      <w:r w:rsidRPr="00170566">
        <w:rPr>
          <w:rFonts w:ascii="Roboto" w:eastAsia="Times New Roman" w:hAnsi="Roboto" w:cs="Times New Roman"/>
          <w:b/>
          <w:bCs/>
          <w:color w:val="0000FF"/>
          <w:szCs w:val="22"/>
          <w:lang w:val="en-US" w:eastAsia="fr-FR"/>
        </w:rPr>
        <w:t>Postponing the implementation of the digital tagging would leave room to run such a field test</w:t>
      </w:r>
      <w:r w:rsidRPr="00170566">
        <w:rPr>
          <w:rFonts w:ascii="Roboto" w:eastAsia="Times New Roman" w:hAnsi="Roboto" w:cs="Times New Roman"/>
          <w:color w:val="0000FF"/>
          <w:szCs w:val="22"/>
          <w:lang w:val="en-US" w:eastAsia="fr-FR"/>
        </w:rPr>
        <w:t>, which is critical to ensure efficient tagging for preparers as well for users.</w:t>
      </w:r>
    </w:p>
    <w:p w14:paraId="3888423A" w14:textId="1133F6C8" w:rsidR="007D4F05" w:rsidRPr="00AF763D" w:rsidRDefault="007D4F05" w:rsidP="00170566">
      <w:pPr>
        <w:spacing w:after="0"/>
        <w:rPr>
          <w:sz w:val="20"/>
          <w:szCs w:val="18"/>
        </w:rPr>
      </w:pPr>
      <w:r w:rsidRPr="00AF763D">
        <w:rPr>
          <w:sz w:val="20"/>
          <w:szCs w:val="18"/>
        </w:rPr>
        <w:t>&lt;ESMA_QUESTION_ESEFEEAP_07&gt;</w:t>
      </w:r>
    </w:p>
    <w:p w14:paraId="3191A398" w14:textId="4712E468" w:rsidR="007D4F05" w:rsidRPr="00AF763D" w:rsidRDefault="009943F9"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77C039E9" w14:textId="77777777" w:rsidR="00170566" w:rsidRDefault="00170566" w:rsidP="006A64ED">
      <w:pPr>
        <w:spacing w:after="0"/>
        <w:rPr>
          <w:rFonts w:ascii="Roboto" w:hAnsi="Roboto"/>
          <w:color w:val="0000FF"/>
          <w:szCs w:val="22"/>
        </w:rPr>
      </w:pPr>
      <w:r>
        <w:rPr>
          <w:rFonts w:ascii="Roboto" w:hAnsi="Roboto"/>
          <w:b/>
          <w:bCs/>
          <w:color w:val="0000FF"/>
          <w:szCs w:val="22"/>
        </w:rPr>
        <w:t>We agree</w:t>
      </w:r>
      <w:r>
        <w:rPr>
          <w:rFonts w:ascii="Roboto" w:hAnsi="Roboto"/>
          <w:color w:val="0000FF"/>
          <w:szCs w:val="22"/>
        </w:rPr>
        <w:t xml:space="preserve"> with a close taxonomy in the meaning of “no-entity-specific disclosures” </w:t>
      </w:r>
      <w:proofErr w:type="gramStart"/>
      <w:r>
        <w:rPr>
          <w:rFonts w:ascii="Roboto" w:hAnsi="Roboto"/>
          <w:color w:val="0000FF"/>
          <w:szCs w:val="22"/>
        </w:rPr>
        <w:t>provided that</w:t>
      </w:r>
      <w:proofErr w:type="gramEnd"/>
      <w:r>
        <w:rPr>
          <w:rFonts w:ascii="Roboto" w:hAnsi="Roboto"/>
          <w:color w:val="0000FF"/>
          <w:szCs w:val="22"/>
        </w:rPr>
        <w:t xml:space="preserve"> the issues raised in question 9 are addressed and that a distinction is made between non-financial undertakings and financial undertakings.</w:t>
      </w:r>
    </w:p>
    <w:p w14:paraId="0F047D54" w14:textId="67991B7B"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w:t>
      </w:r>
      <w:proofErr w:type="gramStart"/>
      <w:r w:rsidRPr="007D4F05">
        <w:rPr>
          <w:rFonts w:eastAsia="Times New Roman"/>
          <w:color w:val="auto"/>
          <w:szCs w:val="22"/>
          <w:lang w:eastAsia="en-GB"/>
        </w:rPr>
        <w:t>to fully mark</w:t>
      </w:r>
      <w:proofErr w:type="gramEnd"/>
      <w:r w:rsidRPr="007D4F05">
        <w:rPr>
          <w:rFonts w:eastAsia="Times New Roman"/>
          <w:color w:val="auto"/>
          <w:szCs w:val="22"/>
          <w:lang w:eastAsia="en-GB"/>
        </w:rPr>
        <w:t xml:space="preserve">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478594B1" w14:textId="77777777" w:rsidR="00170566" w:rsidRPr="00170566" w:rsidRDefault="00170566" w:rsidP="00170566">
      <w:pPr>
        <w:pStyle w:val="NormalWeb"/>
        <w:spacing w:before="0" w:beforeAutospacing="0" w:after="0" w:afterAutospacing="0"/>
        <w:rPr>
          <w:rFonts w:eastAsia="Times New Roman" w:cs="Times New Roman"/>
          <w:color w:val="auto"/>
          <w:lang w:val="en-US"/>
        </w:rPr>
      </w:pPr>
      <w:r w:rsidRPr="00170566">
        <w:rPr>
          <w:rFonts w:ascii="Roboto" w:hAnsi="Roboto"/>
          <w:b/>
          <w:bCs/>
          <w:color w:val="0000FF"/>
          <w:sz w:val="22"/>
          <w:szCs w:val="22"/>
          <w:lang w:val="en-US"/>
        </w:rPr>
        <w:t>We disagree</w:t>
      </w:r>
      <w:r w:rsidRPr="00170566">
        <w:rPr>
          <w:rFonts w:ascii="Roboto" w:hAnsi="Roboto"/>
          <w:color w:val="0000FF"/>
          <w:sz w:val="22"/>
          <w:szCs w:val="22"/>
          <w:lang w:val="en-US"/>
        </w:rPr>
        <w:t xml:space="preserve"> with the proposal: only some indicators shall be marked-up digitally: the undertaking’s global eligible ratio and aligned ratio for turnover and for </w:t>
      </w:r>
      <w:proofErr w:type="spellStart"/>
      <w:r w:rsidRPr="00170566">
        <w:rPr>
          <w:rFonts w:ascii="Roboto" w:hAnsi="Roboto"/>
          <w:color w:val="0000FF"/>
          <w:sz w:val="22"/>
          <w:szCs w:val="22"/>
          <w:lang w:val="en-US"/>
        </w:rPr>
        <w:t>CapEx</w:t>
      </w:r>
      <w:proofErr w:type="spellEnd"/>
      <w:r w:rsidRPr="00170566">
        <w:rPr>
          <w:rFonts w:ascii="Roboto" w:hAnsi="Roboto"/>
          <w:color w:val="0000FF"/>
          <w:sz w:val="22"/>
          <w:szCs w:val="22"/>
          <w:lang w:val="en-US"/>
        </w:rPr>
        <w:t xml:space="preserve"> for two reasons.</w:t>
      </w:r>
    </w:p>
    <w:p w14:paraId="25820A38" w14:textId="77777777" w:rsidR="009943F9" w:rsidRDefault="009943F9" w:rsidP="00170566">
      <w:pPr>
        <w:pStyle w:val="NormalWeb"/>
        <w:spacing w:before="0" w:beforeAutospacing="0" w:after="0" w:afterAutospacing="0"/>
        <w:rPr>
          <w:rFonts w:ascii="Roboto" w:hAnsi="Roboto"/>
          <w:color w:val="0000FF"/>
          <w:sz w:val="22"/>
          <w:szCs w:val="22"/>
          <w:lang w:val="en-US"/>
        </w:rPr>
      </w:pPr>
    </w:p>
    <w:p w14:paraId="050FB05F" w14:textId="27E2090D" w:rsidR="00170566" w:rsidRPr="00170566" w:rsidRDefault="00170566" w:rsidP="00170566">
      <w:pPr>
        <w:pStyle w:val="NormalWeb"/>
        <w:spacing w:before="0" w:beforeAutospacing="0" w:after="0" w:afterAutospacing="0"/>
        <w:rPr>
          <w:lang w:val="en-US"/>
        </w:rPr>
      </w:pPr>
      <w:r w:rsidRPr="00170566">
        <w:rPr>
          <w:rFonts w:ascii="Roboto" w:hAnsi="Roboto"/>
          <w:color w:val="0000FF"/>
          <w:sz w:val="22"/>
          <w:szCs w:val="22"/>
          <w:lang w:val="en-US"/>
        </w:rPr>
        <w:t>The first reason is that there is no (or only a few) user(s) for the ratios detailed by activity.</w:t>
      </w:r>
    </w:p>
    <w:p w14:paraId="11801C4D" w14:textId="77777777" w:rsidR="009943F9" w:rsidRDefault="009943F9" w:rsidP="00170566">
      <w:pPr>
        <w:pStyle w:val="NormalWeb"/>
        <w:spacing w:before="0" w:beforeAutospacing="0" w:after="0" w:afterAutospacing="0"/>
        <w:rPr>
          <w:rFonts w:ascii="Roboto" w:hAnsi="Roboto"/>
          <w:color w:val="0000FF"/>
          <w:sz w:val="22"/>
          <w:szCs w:val="22"/>
          <w:lang w:val="en-US"/>
        </w:rPr>
      </w:pPr>
    </w:p>
    <w:p w14:paraId="492DEB5D" w14:textId="2BC934CA" w:rsidR="00170566" w:rsidRPr="00170566" w:rsidRDefault="00170566" w:rsidP="00170566">
      <w:pPr>
        <w:pStyle w:val="NormalWeb"/>
        <w:spacing w:before="0" w:beforeAutospacing="0" w:after="0" w:afterAutospacing="0"/>
        <w:rPr>
          <w:lang w:val="en-US"/>
        </w:rPr>
      </w:pPr>
      <w:r w:rsidRPr="00170566">
        <w:rPr>
          <w:rFonts w:ascii="Roboto" w:hAnsi="Roboto"/>
          <w:color w:val="0000FF"/>
          <w:sz w:val="22"/>
          <w:szCs w:val="22"/>
          <w:lang w:val="en-US"/>
        </w:rPr>
        <w:t>The second reason lies in the continuously changing regulatory landscape and the implied effort for updating frequently the tagging.</w:t>
      </w:r>
      <w:r w:rsidR="009943F9">
        <w:rPr>
          <w:rFonts w:ascii="Roboto" w:hAnsi="Roboto"/>
          <w:color w:val="0000FF"/>
          <w:sz w:val="22"/>
          <w:szCs w:val="22"/>
          <w:lang w:val="en-US"/>
        </w:rPr>
        <w:t xml:space="preserve"> </w:t>
      </w:r>
      <w:r w:rsidRPr="00170566">
        <w:rPr>
          <w:rFonts w:ascii="Roboto" w:hAnsi="Roboto"/>
          <w:color w:val="0000FF"/>
          <w:sz w:val="22"/>
          <w:szCs w:val="22"/>
          <w:lang w:val="en-US"/>
        </w:rPr>
        <w:t xml:space="preserve">The disclosure templates of the EU Taxonomy are continuously changing. They were amended for the reporting on 2023 reporting year and it is likely that they will be again amended for the reporting on 2025 reporting year (see the consultation open by the EU Commission on the EU Taxonomy </w:t>
      </w:r>
      <w:hyperlink r:id="rId27" w:history="1">
        <w:r w:rsidRPr="00170566">
          <w:rPr>
            <w:rStyle w:val="Lienhypertexte"/>
            <w:rFonts w:ascii="Roboto" w:hAnsi="Roboto"/>
            <w:color w:val="1155CC"/>
            <w:sz w:val="22"/>
            <w:szCs w:val="22"/>
            <w:lang w:val="en-US"/>
          </w:rPr>
          <w:t>https://ec.europa.eu/info/law/better-regulation/have-</w:t>
        </w:r>
        <w:r w:rsidRPr="00170566">
          <w:rPr>
            <w:rStyle w:val="Lienhypertexte"/>
            <w:rFonts w:ascii="Roboto" w:hAnsi="Roboto"/>
            <w:color w:val="1155CC"/>
            <w:sz w:val="22"/>
            <w:szCs w:val="22"/>
            <w:lang w:val="en-US"/>
          </w:rPr>
          <w:lastRenderedPageBreak/>
          <w:t>your-say/initiatives/14546-Taxonomy-Delegated-Acts-amendments-to-make-reporting-simpler-and-more-cost-effective-for-companies_en</w:t>
        </w:r>
      </w:hyperlink>
      <w:r w:rsidRPr="00170566">
        <w:rPr>
          <w:rFonts w:ascii="Roboto" w:hAnsi="Roboto"/>
          <w:color w:val="0000FF"/>
          <w:sz w:val="22"/>
          <w:szCs w:val="22"/>
          <w:lang w:val="en-US"/>
        </w:rPr>
        <w:t xml:space="preserve"> )</w:t>
      </w:r>
    </w:p>
    <w:p w14:paraId="01AB2B40" w14:textId="77777777" w:rsidR="00170566" w:rsidRPr="00170566" w:rsidRDefault="00170566" w:rsidP="00170566">
      <w:pPr>
        <w:pStyle w:val="NormalWeb"/>
        <w:spacing w:before="0" w:beforeAutospacing="0" w:after="0" w:afterAutospacing="0"/>
        <w:rPr>
          <w:lang w:val="en-US"/>
        </w:rPr>
      </w:pPr>
      <w:r w:rsidRPr="00170566">
        <w:rPr>
          <w:rFonts w:ascii="Roboto" w:hAnsi="Roboto"/>
          <w:color w:val="0000FF"/>
          <w:sz w:val="22"/>
          <w:szCs w:val="22"/>
          <w:lang w:val="en-US"/>
        </w:rPr>
        <w:t xml:space="preserve">It is </w:t>
      </w:r>
      <w:r w:rsidRPr="00170566">
        <w:rPr>
          <w:rFonts w:ascii="Roboto" w:hAnsi="Roboto"/>
          <w:b/>
          <w:bCs/>
          <w:color w:val="0000FF"/>
          <w:sz w:val="22"/>
          <w:szCs w:val="22"/>
          <w:lang w:val="en-US"/>
        </w:rPr>
        <w:t>impossible for preparers to implement the revised disclosure templates at the same time they update the revised marking-up</w:t>
      </w:r>
      <w:r w:rsidRPr="00170566">
        <w:rPr>
          <w:rFonts w:ascii="Roboto" w:hAnsi="Roboto"/>
          <w:color w:val="0000FF"/>
          <w:sz w:val="22"/>
          <w:szCs w:val="22"/>
          <w:lang w:val="en-US"/>
        </w:rPr>
        <w:t xml:space="preserve">. The cost of adjusting the digital tagging will be high since it would have to </w:t>
      </w:r>
      <w:proofErr w:type="gramStart"/>
      <w:r w:rsidRPr="00170566">
        <w:rPr>
          <w:rFonts w:ascii="Roboto" w:hAnsi="Roboto"/>
          <w:color w:val="0000FF"/>
          <w:sz w:val="22"/>
          <w:szCs w:val="22"/>
          <w:lang w:val="en-US"/>
        </w:rPr>
        <w:t>be revised</w:t>
      </w:r>
      <w:proofErr w:type="gramEnd"/>
      <w:r w:rsidRPr="00170566">
        <w:rPr>
          <w:rFonts w:ascii="Roboto" w:hAnsi="Roboto"/>
          <w:color w:val="0000FF"/>
          <w:sz w:val="22"/>
          <w:szCs w:val="22"/>
          <w:lang w:val="en-US"/>
        </w:rPr>
        <w:t xml:space="preserve"> each year or each two years.</w:t>
      </w:r>
    </w:p>
    <w:p w14:paraId="70AA234F" w14:textId="77777777" w:rsidR="009943F9" w:rsidRDefault="009943F9" w:rsidP="00170566">
      <w:pPr>
        <w:pStyle w:val="NormalWeb"/>
        <w:spacing w:before="0" w:beforeAutospacing="0" w:after="0" w:afterAutospacing="0"/>
        <w:rPr>
          <w:rFonts w:ascii="Roboto" w:hAnsi="Roboto"/>
          <w:b/>
          <w:bCs/>
          <w:color w:val="0000FF"/>
          <w:sz w:val="22"/>
          <w:szCs w:val="22"/>
          <w:lang w:val="en-US"/>
        </w:rPr>
      </w:pPr>
    </w:p>
    <w:p w14:paraId="059114D4" w14:textId="22EEA3F9" w:rsidR="00170566" w:rsidRDefault="00170566" w:rsidP="009943F9">
      <w:pPr>
        <w:pStyle w:val="NormalWeb"/>
        <w:spacing w:before="0" w:beforeAutospacing="0" w:after="0" w:afterAutospacing="0"/>
        <w:rPr>
          <w:rFonts w:ascii="Roboto" w:hAnsi="Roboto"/>
          <w:color w:val="0000FF"/>
          <w:sz w:val="22"/>
          <w:szCs w:val="22"/>
          <w:lang w:val="en-US"/>
        </w:rPr>
      </w:pPr>
      <w:r w:rsidRPr="00170566">
        <w:rPr>
          <w:rFonts w:ascii="Roboto" w:hAnsi="Roboto"/>
          <w:b/>
          <w:bCs/>
          <w:color w:val="0000FF"/>
          <w:sz w:val="22"/>
          <w:szCs w:val="22"/>
          <w:lang w:val="en-US"/>
        </w:rPr>
        <w:t xml:space="preserve">Having to mark-up only the key KPIs (eligible and aligned Turnover and </w:t>
      </w:r>
      <w:proofErr w:type="spellStart"/>
      <w:r w:rsidRPr="00170566">
        <w:rPr>
          <w:rFonts w:ascii="Roboto" w:hAnsi="Roboto"/>
          <w:b/>
          <w:bCs/>
          <w:color w:val="0000FF"/>
          <w:sz w:val="22"/>
          <w:szCs w:val="22"/>
          <w:lang w:val="en-US"/>
        </w:rPr>
        <w:t>CapEx</w:t>
      </w:r>
      <w:proofErr w:type="spellEnd"/>
      <w:r w:rsidRPr="00170566">
        <w:rPr>
          <w:rFonts w:ascii="Roboto" w:hAnsi="Roboto"/>
          <w:b/>
          <w:bCs/>
          <w:color w:val="0000FF"/>
          <w:sz w:val="22"/>
          <w:szCs w:val="22"/>
          <w:lang w:val="en-US"/>
        </w:rPr>
        <w:t xml:space="preserve">) at the global level (i.e. not for each activity) </w:t>
      </w:r>
      <w:r w:rsidRPr="00170566">
        <w:rPr>
          <w:rFonts w:ascii="Roboto" w:hAnsi="Roboto"/>
          <w:color w:val="0000FF"/>
          <w:sz w:val="22"/>
          <w:szCs w:val="22"/>
          <w:lang w:val="en-US"/>
        </w:rPr>
        <w:t>may address the issue relating to the frequently amended disclosure templates as well as the need of the users who are more interested in the global KPI than the one per activity.</w:t>
      </w:r>
    </w:p>
    <w:p w14:paraId="38153B9C" w14:textId="77777777" w:rsidR="009943F9" w:rsidRDefault="009943F9" w:rsidP="009943F9">
      <w:pPr>
        <w:pStyle w:val="NormalWeb"/>
        <w:spacing w:before="0" w:beforeAutospacing="0" w:after="0" w:afterAutospacing="0"/>
      </w:pPr>
    </w:p>
    <w:p w14:paraId="29D8C389" w14:textId="77777777" w:rsidR="00170566" w:rsidRPr="00170566" w:rsidRDefault="00170566" w:rsidP="00170566">
      <w:pPr>
        <w:pStyle w:val="NormalWeb"/>
        <w:spacing w:before="0" w:beforeAutospacing="0" w:after="0" w:afterAutospacing="0"/>
        <w:rPr>
          <w:lang w:val="en-US"/>
        </w:rPr>
      </w:pPr>
      <w:r w:rsidRPr="00170566">
        <w:rPr>
          <w:rFonts w:ascii="Roboto" w:hAnsi="Roboto"/>
          <w:color w:val="0000FF"/>
          <w:sz w:val="22"/>
          <w:szCs w:val="22"/>
          <w:lang w:val="en-US"/>
        </w:rPr>
        <w:t xml:space="preserve">Additionally, the undertakings shall be free </w:t>
      </w:r>
      <w:r w:rsidRPr="00170566">
        <w:rPr>
          <w:rFonts w:ascii="Roboto" w:hAnsi="Roboto"/>
          <w:b/>
          <w:bCs/>
          <w:color w:val="0000FF"/>
          <w:sz w:val="22"/>
          <w:szCs w:val="22"/>
          <w:lang w:val="en-US"/>
        </w:rPr>
        <w:t>not to disclose the eligible activities that are not relevant for them</w:t>
      </w:r>
      <w:r w:rsidRPr="00170566">
        <w:rPr>
          <w:rFonts w:ascii="Roboto" w:hAnsi="Roboto"/>
          <w:color w:val="0000FF"/>
          <w:sz w:val="22"/>
          <w:szCs w:val="22"/>
          <w:lang w:val="en-US"/>
        </w:rPr>
        <w:t>, as it is today in human-readable format (which would imply that the undertakings shall not have to mark up each activity listed in the Delegated Acts).</w:t>
      </w:r>
    </w:p>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F6C9ED2"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proofErr w:type="gramStart"/>
      <w:r w:rsidRPr="00170566">
        <w:rPr>
          <w:rFonts w:ascii="Roboto" w:eastAsia="Times New Roman" w:hAnsi="Roboto" w:cs="Times New Roman"/>
          <w:color w:val="0000FF"/>
          <w:szCs w:val="22"/>
          <w:lang w:val="en-US" w:eastAsia="fr-FR"/>
        </w:rPr>
        <w:t>Shall it be implemented</w:t>
      </w:r>
      <w:proofErr w:type="gramEnd"/>
      <w:r w:rsidRPr="00170566">
        <w:rPr>
          <w:rFonts w:ascii="Roboto" w:eastAsia="Times New Roman" w:hAnsi="Roboto" w:cs="Times New Roman"/>
          <w:color w:val="0000FF"/>
          <w:szCs w:val="22"/>
          <w:lang w:val="en-US" w:eastAsia="fr-FR"/>
        </w:rPr>
        <w:t xml:space="preserve">, the proposal of having an application to the same year of the publication year if it takes place before 30 June is too short. The preparers shall benefit for a longer period than 6 months to implement the digital tagging. </w:t>
      </w:r>
      <w:r w:rsidRPr="00170566">
        <w:rPr>
          <w:rFonts w:ascii="Roboto" w:eastAsia="Times New Roman" w:hAnsi="Roboto" w:cs="Times New Roman"/>
          <w:b/>
          <w:bCs/>
          <w:color w:val="0000FF"/>
          <w:szCs w:val="22"/>
          <w:lang w:val="en-US" w:eastAsia="fr-FR"/>
        </w:rPr>
        <w:t>In all cases, the application shall take place the subsequent financial year.</w:t>
      </w:r>
    </w:p>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w:t>
      </w:r>
      <w:proofErr w:type="gramStart"/>
      <w:r w:rsidRPr="007D4F05">
        <w:rPr>
          <w:rFonts w:eastAsia="Times New Roman"/>
          <w:color w:val="auto"/>
          <w:szCs w:val="22"/>
          <w:lang w:eastAsia="en-GB"/>
        </w:rPr>
        <w:t>stock-taking</w:t>
      </w:r>
      <w:proofErr w:type="gramEnd"/>
      <w:r w:rsidRPr="007D4F05">
        <w:rPr>
          <w:rFonts w:eastAsia="Times New Roman"/>
          <w:color w:val="auto"/>
          <w:szCs w:val="22"/>
          <w:lang w:eastAsia="en-GB"/>
        </w:rPr>
        <w:t xml:space="preserve">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9943F9"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t>
      </w:r>
      <w:proofErr w:type="gramStart"/>
      <w:r w:rsidRPr="006A64ED">
        <w:rPr>
          <w:rFonts w:eastAsia="Times New Roman"/>
          <w:color w:val="auto"/>
          <w:szCs w:val="22"/>
          <w:lang w:eastAsia="en-GB"/>
        </w:rPr>
        <w:t>with regards to</w:t>
      </w:r>
      <w:proofErr w:type="gramEnd"/>
      <w:r w:rsidRPr="006A64ED">
        <w:rPr>
          <w:rFonts w:eastAsia="Times New Roman"/>
          <w:color w:val="auto"/>
          <w:szCs w:val="22"/>
          <w:lang w:eastAsia="en-GB"/>
        </w:rPr>
        <w:t xml:space="preserve">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similar to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lastRenderedPageBreak/>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w:t>
      </w:r>
      <w:proofErr w:type="gramStart"/>
      <w:r w:rsidRPr="006A64ED">
        <w:rPr>
          <w:rFonts w:eastAsia="Times New Roman"/>
          <w:color w:val="auto"/>
          <w:szCs w:val="22"/>
          <w:lang w:eastAsia="en-GB"/>
        </w:rPr>
        <w:t>the future ESEF taxonomy framework and how ESMA can further reduce the burden for the reporting entities</w:t>
      </w:r>
      <w:proofErr w:type="gramEnd"/>
      <w:r w:rsidRPr="006A64ED">
        <w:rPr>
          <w:rFonts w:eastAsia="Times New Roman"/>
          <w:color w:val="auto"/>
          <w:szCs w:val="22"/>
          <w:lang w:eastAsia="en-GB"/>
        </w:rPr>
        <w:t xml:space="preserve">?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9943F9"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2329C682"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b/>
          <w:bCs/>
          <w:color w:val="0000FF"/>
          <w:szCs w:val="22"/>
          <w:lang w:val="en-US" w:eastAsia="fr-FR"/>
        </w:rPr>
        <w:t>We agree</w:t>
      </w:r>
      <w:r w:rsidRPr="00170566">
        <w:rPr>
          <w:rFonts w:ascii="Roboto" w:eastAsia="Times New Roman" w:hAnsi="Roboto" w:cs="Times New Roman"/>
          <w:color w:val="0000FF"/>
          <w:szCs w:val="22"/>
          <w:lang w:val="en-US" w:eastAsia="fr-FR"/>
        </w:rPr>
        <w:t xml:space="preserve"> that it is necessary to revise the marking up rules for the Notes to the IFRS consolidated financial statements with regard to the </w:t>
      </w:r>
      <w:r w:rsidRPr="00170566">
        <w:rPr>
          <w:rFonts w:ascii="Roboto" w:eastAsia="Times New Roman" w:hAnsi="Roboto" w:cs="Times New Roman"/>
          <w:b/>
          <w:bCs/>
          <w:color w:val="0000FF"/>
          <w:szCs w:val="22"/>
          <w:lang w:val="en-US" w:eastAsia="fr-FR"/>
        </w:rPr>
        <w:t>need to eliminate multi- and embedded-marking up</w:t>
      </w:r>
      <w:r w:rsidRPr="00170566">
        <w:rPr>
          <w:rFonts w:ascii="Roboto" w:eastAsia="Times New Roman" w:hAnsi="Roboto" w:cs="Times New Roman"/>
          <w:color w:val="0000FF"/>
          <w:szCs w:val="22"/>
          <w:lang w:val="en-US" w:eastAsia="fr-FR"/>
        </w:rPr>
        <w:t xml:space="preserve">. </w:t>
      </w:r>
      <w:proofErr w:type="gramStart"/>
      <w:r w:rsidRPr="00170566">
        <w:rPr>
          <w:rFonts w:ascii="Roboto" w:eastAsia="Times New Roman" w:hAnsi="Roboto" w:cs="Times New Roman"/>
          <w:color w:val="0000FF"/>
          <w:szCs w:val="22"/>
          <w:lang w:val="en-US" w:eastAsia="fr-FR"/>
        </w:rPr>
        <w:t>We support the conclusion expressed in § 145 of the section 6.1.2 of the Consultation which states that the complexity arises from “the absence of clear hierarchy among mandatory elements, and the overlapping or embedded nature of certain elements due to their similar accounting meanings” and from the fact that “some mandatory elements cover broad accounting concepts that span multiple pages or, in some cases, the entirety of the Notes”.</w:t>
      </w:r>
      <w:proofErr w:type="gramEnd"/>
      <w:r w:rsidRPr="00170566">
        <w:rPr>
          <w:rFonts w:ascii="Roboto" w:eastAsia="Times New Roman" w:hAnsi="Roboto" w:cs="Times New Roman"/>
          <w:color w:val="0000FF"/>
          <w:szCs w:val="22"/>
          <w:lang w:val="en-US" w:eastAsia="fr-FR"/>
        </w:rPr>
        <w:t xml:space="preserve"> We totally agree with the principal to mark-up each accounting policy and other explanatory note that is individually and separately identifiable in the Notes with </w:t>
      </w:r>
      <w:r w:rsidRPr="00170566">
        <w:rPr>
          <w:rFonts w:ascii="Roboto" w:eastAsia="Times New Roman" w:hAnsi="Roboto" w:cs="Times New Roman"/>
          <w:b/>
          <w:bCs/>
          <w:color w:val="0000FF"/>
          <w:szCs w:val="22"/>
          <w:lang w:val="en-US" w:eastAsia="fr-FR"/>
        </w:rPr>
        <w:t>one taxonomy element</w:t>
      </w:r>
      <w:r w:rsidRPr="00170566">
        <w:rPr>
          <w:rFonts w:ascii="Roboto" w:eastAsia="Times New Roman" w:hAnsi="Roboto" w:cs="Times New Roman"/>
          <w:color w:val="0000FF"/>
          <w:szCs w:val="22"/>
          <w:lang w:val="en-US" w:eastAsia="fr-FR"/>
        </w:rPr>
        <w:t xml:space="preserve"> that best represents the </w:t>
      </w:r>
      <w:r w:rsidRPr="00170566">
        <w:rPr>
          <w:rFonts w:ascii="Roboto" w:eastAsia="Times New Roman" w:hAnsi="Roboto" w:cs="Times New Roman"/>
          <w:b/>
          <w:bCs/>
          <w:color w:val="0000FF"/>
          <w:szCs w:val="22"/>
          <w:lang w:val="en-US" w:eastAsia="fr-FR"/>
        </w:rPr>
        <w:t>closest/narrowest accounting meaning and/or scope</w:t>
      </w:r>
      <w:r w:rsidRPr="00170566">
        <w:rPr>
          <w:rFonts w:ascii="Roboto" w:eastAsia="Times New Roman" w:hAnsi="Roboto" w:cs="Times New Roman"/>
          <w:color w:val="0000FF"/>
          <w:szCs w:val="22"/>
          <w:lang w:val="en-US" w:eastAsia="fr-FR"/>
        </w:rPr>
        <w:t xml:space="preserve">. This </w:t>
      </w:r>
      <w:proofErr w:type="gramStart"/>
      <w:r w:rsidRPr="00170566">
        <w:rPr>
          <w:rFonts w:ascii="Roboto" w:eastAsia="Times New Roman" w:hAnsi="Roboto" w:cs="Times New Roman"/>
          <w:color w:val="0000FF"/>
          <w:szCs w:val="22"/>
          <w:lang w:val="en-US" w:eastAsia="fr-FR"/>
        </w:rPr>
        <w:t>is aligned</w:t>
      </w:r>
      <w:proofErr w:type="gramEnd"/>
      <w:r w:rsidRPr="00170566">
        <w:rPr>
          <w:rFonts w:ascii="Roboto" w:eastAsia="Times New Roman" w:hAnsi="Roboto" w:cs="Times New Roman"/>
          <w:color w:val="0000FF"/>
          <w:szCs w:val="22"/>
          <w:lang w:val="en-US" w:eastAsia="fr-FR"/>
        </w:rPr>
        <w:t xml:space="preserve"> with the principle already applied for marking up of the Primary Financial Statements. </w:t>
      </w:r>
    </w:p>
    <w:p w14:paraId="14B12CAA"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w:t>
      </w:r>
    </w:p>
    <w:p w14:paraId="6C0B3B84"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proofErr w:type="gramStart"/>
      <w:r w:rsidRPr="00170566">
        <w:rPr>
          <w:rFonts w:ascii="Roboto" w:eastAsia="Times New Roman" w:hAnsi="Roboto" w:cs="Times New Roman"/>
          <w:color w:val="0000FF"/>
          <w:szCs w:val="22"/>
          <w:lang w:val="en-US" w:eastAsia="fr-FR"/>
        </w:rPr>
        <w:t xml:space="preserve">However, </w:t>
      </w:r>
      <w:r w:rsidRPr="00170566">
        <w:rPr>
          <w:rFonts w:ascii="Roboto" w:eastAsia="Times New Roman" w:hAnsi="Roboto" w:cs="Times New Roman"/>
          <w:b/>
          <w:bCs/>
          <w:color w:val="0000FF"/>
          <w:szCs w:val="22"/>
          <w:lang w:val="en-US" w:eastAsia="fr-FR"/>
        </w:rPr>
        <w:t>we</w:t>
      </w:r>
      <w:r w:rsidRPr="00170566">
        <w:rPr>
          <w:rFonts w:ascii="Roboto" w:eastAsia="Times New Roman" w:hAnsi="Roboto" w:cs="Times New Roman"/>
          <w:color w:val="0000FF"/>
          <w:szCs w:val="22"/>
          <w:lang w:val="en-US" w:eastAsia="fr-FR"/>
        </w:rPr>
        <w:t xml:space="preserve"> </w:t>
      </w:r>
      <w:r w:rsidRPr="00170566">
        <w:rPr>
          <w:rFonts w:ascii="Roboto" w:eastAsia="Times New Roman" w:hAnsi="Roboto" w:cs="Times New Roman"/>
          <w:b/>
          <w:bCs/>
          <w:color w:val="0000FF"/>
          <w:szCs w:val="22"/>
          <w:lang w:val="en-US" w:eastAsia="fr-FR"/>
        </w:rPr>
        <w:t>strongly disagree</w:t>
      </w:r>
      <w:r w:rsidRPr="00170566">
        <w:rPr>
          <w:rFonts w:ascii="Roboto" w:eastAsia="Times New Roman" w:hAnsi="Roboto" w:cs="Times New Roman"/>
          <w:color w:val="0000FF"/>
          <w:szCs w:val="22"/>
          <w:lang w:val="en-US" w:eastAsia="fr-FR"/>
        </w:rPr>
        <w:t xml:space="preserve"> with the necessity to revise the marking up rules for the Notes to the IFRS consolidated financial statements with regard to the </w:t>
      </w:r>
      <w:r w:rsidRPr="00170566">
        <w:rPr>
          <w:rFonts w:ascii="Roboto" w:eastAsia="Times New Roman" w:hAnsi="Roboto" w:cs="Times New Roman"/>
          <w:b/>
          <w:bCs/>
          <w:color w:val="0000FF"/>
          <w:szCs w:val="22"/>
          <w:lang w:val="en-US" w:eastAsia="fr-FR"/>
        </w:rPr>
        <w:t>need for introduction of detailed marking up for the Notes</w:t>
      </w:r>
      <w:r w:rsidRPr="00170566">
        <w:rPr>
          <w:rFonts w:ascii="Roboto" w:eastAsia="Times New Roman" w:hAnsi="Roboto" w:cs="Times New Roman"/>
          <w:color w:val="0000FF"/>
          <w:szCs w:val="22"/>
          <w:lang w:val="en-US" w:eastAsia="fr-FR"/>
        </w:rPr>
        <w:t xml:space="preserve"> (where issuers should mark up all numerical elements including but not limited to monetary values, decimals, dates, integers and percentages as well as elements with </w:t>
      </w:r>
      <w:proofErr w:type="spellStart"/>
      <w:r w:rsidRPr="00170566">
        <w:rPr>
          <w:rFonts w:ascii="Roboto" w:eastAsia="Times New Roman" w:hAnsi="Roboto" w:cs="Times New Roman"/>
          <w:color w:val="0000FF"/>
          <w:szCs w:val="22"/>
          <w:lang w:val="en-US" w:eastAsia="fr-FR"/>
        </w:rPr>
        <w:t>booleans</w:t>
      </w:r>
      <w:proofErr w:type="spellEnd"/>
      <w:r w:rsidRPr="00170566">
        <w:rPr>
          <w:rFonts w:ascii="Roboto" w:eastAsia="Times New Roman" w:hAnsi="Roboto" w:cs="Times New Roman"/>
          <w:color w:val="0000FF"/>
          <w:szCs w:val="22"/>
          <w:lang w:val="en-US" w:eastAsia="fr-FR"/>
        </w:rPr>
        <w:t xml:space="preserve"> and enumerations item types as well as figures expressed in a declared currency in the tables) for the </w:t>
      </w:r>
      <w:r w:rsidRPr="00170566">
        <w:rPr>
          <w:rFonts w:ascii="Roboto" w:eastAsia="Times New Roman" w:hAnsi="Roboto" w:cs="Times New Roman"/>
          <w:b/>
          <w:bCs/>
          <w:color w:val="0000FF"/>
          <w:szCs w:val="22"/>
          <w:lang w:val="en-US" w:eastAsia="fr-FR"/>
        </w:rPr>
        <w:t>following reasons</w:t>
      </w:r>
      <w:r w:rsidRPr="00170566">
        <w:rPr>
          <w:rFonts w:ascii="Roboto" w:eastAsia="Times New Roman" w:hAnsi="Roboto" w:cs="Times New Roman"/>
          <w:color w:val="0000FF"/>
          <w:szCs w:val="22"/>
          <w:lang w:val="en-US" w:eastAsia="fr-FR"/>
        </w:rPr>
        <w:t>: </w:t>
      </w:r>
      <w:proofErr w:type="gramEnd"/>
    </w:p>
    <w:p w14:paraId="05F714EB" w14:textId="2955626D"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72EA2674" w14:textId="77777777" w:rsidR="00170566" w:rsidRPr="00170566" w:rsidRDefault="00170566" w:rsidP="00170566">
      <w:pPr>
        <w:numPr>
          <w:ilvl w:val="0"/>
          <w:numId w:val="42"/>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First, we do not understand the source of such a request for a detailed marking up of the Notes. It is mentioned in §§ 145 and 147 of the section 6.1.2 of the Consultation that “the feedback on the application of mandatory elements and text block markup in the Notes has been predominantly negative from both issuers and users” and that “users have been unable to fully </w:t>
      </w:r>
      <w:proofErr w:type="spellStart"/>
      <w:r w:rsidRPr="00170566">
        <w:rPr>
          <w:rFonts w:ascii="Roboto" w:eastAsia="Times New Roman" w:hAnsi="Roboto" w:cs="Times New Roman"/>
          <w:color w:val="0000FF"/>
          <w:szCs w:val="22"/>
          <w:lang w:val="en-US" w:eastAsia="fr-FR"/>
        </w:rPr>
        <w:t>utilise</w:t>
      </w:r>
      <w:proofErr w:type="spellEnd"/>
      <w:r w:rsidRPr="00170566">
        <w:rPr>
          <w:rFonts w:ascii="Roboto" w:eastAsia="Times New Roman" w:hAnsi="Roboto" w:cs="Times New Roman"/>
          <w:color w:val="0000FF"/>
          <w:szCs w:val="22"/>
          <w:lang w:val="en-US" w:eastAsia="fr-FR"/>
        </w:rPr>
        <w:t xml:space="preserve"> the information contained in text block markups”. </w:t>
      </w:r>
      <w:proofErr w:type="gramStart"/>
      <w:r w:rsidRPr="00170566">
        <w:rPr>
          <w:rFonts w:ascii="Roboto" w:eastAsia="Times New Roman" w:hAnsi="Roboto" w:cs="Times New Roman"/>
          <w:color w:val="0000FF"/>
          <w:szCs w:val="22"/>
          <w:lang w:val="en-US" w:eastAsia="fr-FR"/>
        </w:rPr>
        <w:t xml:space="preserve">Has a </w:t>
      </w:r>
      <w:r w:rsidRPr="00170566">
        <w:rPr>
          <w:rFonts w:ascii="Roboto" w:eastAsia="Times New Roman" w:hAnsi="Roboto" w:cs="Times New Roman"/>
          <w:b/>
          <w:bCs/>
          <w:color w:val="0000FF"/>
          <w:szCs w:val="22"/>
          <w:lang w:val="en-US" w:eastAsia="fr-FR"/>
        </w:rPr>
        <w:t>study</w:t>
      </w:r>
      <w:r w:rsidRPr="00170566">
        <w:rPr>
          <w:rFonts w:ascii="Roboto" w:eastAsia="Times New Roman" w:hAnsi="Roboto" w:cs="Times New Roman"/>
          <w:color w:val="0000FF"/>
          <w:szCs w:val="22"/>
          <w:lang w:val="en-US" w:eastAsia="fr-FR"/>
        </w:rPr>
        <w:t xml:space="preserve"> been conducted</w:t>
      </w:r>
      <w:proofErr w:type="gramEnd"/>
      <w:r w:rsidRPr="00170566">
        <w:rPr>
          <w:rFonts w:ascii="Roboto" w:eastAsia="Times New Roman" w:hAnsi="Roboto" w:cs="Times New Roman"/>
          <w:color w:val="0000FF"/>
          <w:szCs w:val="22"/>
          <w:lang w:val="en-US" w:eastAsia="fr-FR"/>
        </w:rPr>
        <w:t xml:space="preserve"> to assess </w:t>
      </w:r>
      <w:r w:rsidRPr="00170566">
        <w:rPr>
          <w:rFonts w:ascii="Roboto" w:eastAsia="Times New Roman" w:hAnsi="Roboto" w:cs="Times New Roman"/>
          <w:b/>
          <w:bCs/>
          <w:color w:val="0000FF"/>
          <w:szCs w:val="22"/>
          <w:lang w:val="en-US" w:eastAsia="fr-FR"/>
        </w:rPr>
        <w:t>how many users</w:t>
      </w:r>
      <w:r w:rsidRPr="00170566">
        <w:rPr>
          <w:rFonts w:ascii="Roboto" w:eastAsia="Times New Roman" w:hAnsi="Roboto" w:cs="Times New Roman"/>
          <w:color w:val="0000FF"/>
          <w:szCs w:val="22"/>
          <w:lang w:val="en-US" w:eastAsia="fr-FR"/>
        </w:rPr>
        <w:t xml:space="preserve"> effectively use the ESEF format, what the </w:t>
      </w:r>
      <w:r w:rsidRPr="00170566">
        <w:rPr>
          <w:rFonts w:ascii="Roboto" w:eastAsia="Times New Roman" w:hAnsi="Roboto" w:cs="Times New Roman"/>
          <w:b/>
          <w:bCs/>
          <w:color w:val="0000FF"/>
          <w:szCs w:val="22"/>
          <w:lang w:val="en-US" w:eastAsia="fr-FR"/>
        </w:rPr>
        <w:t>use cases</w:t>
      </w:r>
      <w:r w:rsidRPr="00170566">
        <w:rPr>
          <w:rFonts w:ascii="Roboto" w:eastAsia="Times New Roman" w:hAnsi="Roboto" w:cs="Times New Roman"/>
          <w:color w:val="0000FF"/>
          <w:szCs w:val="22"/>
          <w:lang w:val="en-US" w:eastAsia="fr-FR"/>
        </w:rPr>
        <w:t xml:space="preserve"> and the </w:t>
      </w:r>
      <w:r w:rsidRPr="00170566">
        <w:rPr>
          <w:rFonts w:ascii="Roboto" w:eastAsia="Times New Roman" w:hAnsi="Roboto" w:cs="Times New Roman"/>
          <w:b/>
          <w:bCs/>
          <w:color w:val="0000FF"/>
          <w:szCs w:val="22"/>
          <w:lang w:val="en-US" w:eastAsia="fr-FR"/>
        </w:rPr>
        <w:t>effective benefits</w:t>
      </w:r>
      <w:r w:rsidRPr="00170566">
        <w:rPr>
          <w:rFonts w:ascii="Roboto" w:eastAsia="Times New Roman" w:hAnsi="Roboto" w:cs="Times New Roman"/>
          <w:color w:val="0000FF"/>
          <w:szCs w:val="22"/>
          <w:lang w:val="en-US" w:eastAsia="fr-FR"/>
        </w:rPr>
        <w:t xml:space="preserve"> of the digital tagging are? Air Liquide has no knowledge of such a study and neither of our usual contacts (analysts, institutional investors…) has never questioned the Company about the digital tagging of its Primary Financial Statements or Notes. In addition, it is also mentioned in § </w:t>
      </w:r>
      <w:proofErr w:type="gramStart"/>
      <w:r w:rsidRPr="00170566">
        <w:rPr>
          <w:rFonts w:ascii="Roboto" w:eastAsia="Times New Roman" w:hAnsi="Roboto" w:cs="Times New Roman"/>
          <w:color w:val="0000FF"/>
          <w:szCs w:val="22"/>
          <w:lang w:val="en-US" w:eastAsia="fr-FR"/>
        </w:rPr>
        <w:t>5</w:t>
      </w:r>
      <w:proofErr w:type="gramEnd"/>
      <w:r w:rsidRPr="00170566">
        <w:rPr>
          <w:rFonts w:ascii="Roboto" w:eastAsia="Times New Roman" w:hAnsi="Roboto" w:cs="Times New Roman"/>
          <w:color w:val="0000FF"/>
          <w:szCs w:val="22"/>
          <w:lang w:val="en-US" w:eastAsia="fr-FR"/>
        </w:rPr>
        <w:t xml:space="preserve"> of the section 2 Introduction of the consultation that “XHTML is freely accessible and can be viewed in a human-readable format without the need for special tools” and that “XBRL is machine-readable and facilitates the automated processing of large volumes of data”. It is to be noted that these statements do not take into account the cases of issuers having a large part of individual shareholders who do not use any automated process of analyzing the documents but still largely rely on </w:t>
      </w:r>
      <w:r w:rsidRPr="00170566">
        <w:rPr>
          <w:rFonts w:ascii="Roboto" w:eastAsia="Times New Roman" w:hAnsi="Roboto" w:cs="Times New Roman"/>
          <w:color w:val="0000FF"/>
          <w:szCs w:val="22"/>
          <w:lang w:val="en-US" w:eastAsia="fr-FR"/>
        </w:rPr>
        <w:lastRenderedPageBreak/>
        <w:t>pdf or hard copies for those who are not at ease with digital tools and/or when a legal requirement exists to provide such hard copies (which obliges the issuers to double work: prepare digital documents from the one hand, and pdf and hard copies, from the other hand); </w:t>
      </w:r>
    </w:p>
    <w:p w14:paraId="1BD21AFE" w14:textId="660D7069"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666236A5" w14:textId="77777777" w:rsidR="00170566" w:rsidRPr="00170566" w:rsidRDefault="00170566" w:rsidP="00170566">
      <w:pPr>
        <w:numPr>
          <w:ilvl w:val="0"/>
          <w:numId w:val="43"/>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Further, it is stated in § 148 of the section 6.1.2 of the Consultation that “text block markups are </w:t>
      </w:r>
      <w:r w:rsidRPr="00170566">
        <w:rPr>
          <w:rFonts w:ascii="Roboto" w:eastAsia="Times New Roman" w:hAnsi="Roboto" w:cs="Times New Roman"/>
          <w:b/>
          <w:bCs/>
          <w:color w:val="0000FF"/>
          <w:szCs w:val="22"/>
          <w:lang w:val="en-US" w:eastAsia="fr-FR"/>
        </w:rPr>
        <w:t>inherently less suited to automated analysis</w:t>
      </w:r>
      <w:r w:rsidRPr="00170566">
        <w:rPr>
          <w:rFonts w:ascii="Roboto" w:eastAsia="Times New Roman" w:hAnsi="Roboto" w:cs="Times New Roman"/>
          <w:color w:val="0000FF"/>
          <w:szCs w:val="22"/>
          <w:lang w:val="en-US" w:eastAsia="fr-FR"/>
        </w:rPr>
        <w:t xml:space="preserve"> compared to individually tagged numerical values”. In our view, it is important to highlight that the financial statements are </w:t>
      </w:r>
      <w:proofErr w:type="gramStart"/>
      <w:r w:rsidRPr="00170566">
        <w:rPr>
          <w:rFonts w:ascii="Roboto" w:eastAsia="Times New Roman" w:hAnsi="Roboto" w:cs="Times New Roman"/>
          <w:color w:val="0000FF"/>
          <w:szCs w:val="22"/>
          <w:lang w:val="en-US" w:eastAsia="fr-FR"/>
        </w:rPr>
        <w:t>not</w:t>
      </w:r>
      <w:proofErr w:type="gramEnd"/>
      <w:r w:rsidRPr="00170566">
        <w:rPr>
          <w:rFonts w:ascii="Roboto" w:eastAsia="Times New Roman" w:hAnsi="Roboto" w:cs="Times New Roman"/>
          <w:color w:val="0000FF"/>
          <w:szCs w:val="22"/>
          <w:lang w:val="en-US" w:eastAsia="fr-FR"/>
        </w:rPr>
        <w:t xml:space="preserve"> limited to the set of figures but should precisely be </w:t>
      </w:r>
      <w:r w:rsidRPr="00170566">
        <w:rPr>
          <w:rFonts w:ascii="Roboto" w:eastAsia="Times New Roman" w:hAnsi="Roboto" w:cs="Times New Roman"/>
          <w:b/>
          <w:bCs/>
          <w:color w:val="0000FF"/>
          <w:szCs w:val="22"/>
          <w:lang w:val="en-US" w:eastAsia="fr-FR"/>
        </w:rPr>
        <w:t>read together with accompanying comments</w:t>
      </w:r>
      <w:r w:rsidRPr="00170566">
        <w:rPr>
          <w:rFonts w:ascii="Roboto" w:eastAsia="Times New Roman" w:hAnsi="Roboto" w:cs="Times New Roman"/>
          <w:color w:val="0000FF"/>
          <w:szCs w:val="22"/>
          <w:lang w:val="en-US" w:eastAsia="fr-FR"/>
        </w:rPr>
        <w:t xml:space="preserve"> provided in the Notes to enable understanding of the Primary Financial Statements in the context of entity-specific circumstances, transactions and accounting treatment choices. That is why we think it is </w:t>
      </w:r>
      <w:r w:rsidRPr="00170566">
        <w:rPr>
          <w:rFonts w:ascii="Roboto" w:eastAsia="Times New Roman" w:hAnsi="Roboto" w:cs="Times New Roman"/>
          <w:b/>
          <w:bCs/>
          <w:color w:val="0000FF"/>
          <w:szCs w:val="22"/>
          <w:lang w:val="en-US" w:eastAsia="fr-FR"/>
        </w:rPr>
        <w:t>not desirable</w:t>
      </w:r>
      <w:r w:rsidRPr="00170566">
        <w:rPr>
          <w:rFonts w:ascii="Roboto" w:eastAsia="Times New Roman" w:hAnsi="Roboto" w:cs="Times New Roman"/>
          <w:color w:val="0000FF"/>
          <w:szCs w:val="22"/>
          <w:lang w:val="en-US" w:eastAsia="fr-FR"/>
        </w:rPr>
        <w:t xml:space="preserve"> and might even be dangerous to </w:t>
      </w:r>
      <w:r w:rsidRPr="00170566">
        <w:rPr>
          <w:rFonts w:ascii="Roboto" w:eastAsia="Times New Roman" w:hAnsi="Roboto" w:cs="Times New Roman"/>
          <w:b/>
          <w:bCs/>
          <w:color w:val="0000FF"/>
          <w:szCs w:val="22"/>
          <w:lang w:val="en-US" w:eastAsia="fr-FR"/>
        </w:rPr>
        <w:t>limit the analysis</w:t>
      </w:r>
      <w:r w:rsidRPr="00170566">
        <w:rPr>
          <w:rFonts w:ascii="Roboto" w:eastAsia="Times New Roman" w:hAnsi="Roboto" w:cs="Times New Roman"/>
          <w:color w:val="0000FF"/>
          <w:szCs w:val="22"/>
          <w:lang w:val="en-US" w:eastAsia="fr-FR"/>
        </w:rPr>
        <w:t xml:space="preserve"> of the financial statements to </w:t>
      </w:r>
      <w:r w:rsidRPr="00170566">
        <w:rPr>
          <w:rFonts w:ascii="Roboto" w:eastAsia="Times New Roman" w:hAnsi="Roboto" w:cs="Times New Roman"/>
          <w:b/>
          <w:bCs/>
          <w:color w:val="0000FF"/>
          <w:szCs w:val="22"/>
          <w:lang w:val="en-US" w:eastAsia="fr-FR"/>
        </w:rPr>
        <w:t>automated extraction and comparison of numeric values</w:t>
      </w:r>
      <w:r w:rsidRPr="00170566">
        <w:rPr>
          <w:rFonts w:ascii="Roboto" w:eastAsia="Times New Roman" w:hAnsi="Roboto" w:cs="Times New Roman"/>
          <w:color w:val="0000FF"/>
          <w:szCs w:val="22"/>
          <w:lang w:val="en-US" w:eastAsia="fr-FR"/>
        </w:rPr>
        <w:t xml:space="preserve">. We are convinced that textual information provided in the Notes can and shall be part of such an analysis and is </w:t>
      </w:r>
      <w:proofErr w:type="gramStart"/>
      <w:r w:rsidRPr="00170566">
        <w:rPr>
          <w:rFonts w:ascii="Roboto" w:eastAsia="Times New Roman" w:hAnsi="Roboto" w:cs="Times New Roman"/>
          <w:color w:val="0000FF"/>
          <w:szCs w:val="22"/>
          <w:lang w:val="en-US" w:eastAsia="fr-FR"/>
        </w:rPr>
        <w:t>totally</w:t>
      </w:r>
      <w:proofErr w:type="gramEnd"/>
      <w:r w:rsidRPr="00170566">
        <w:rPr>
          <w:rFonts w:ascii="Roboto" w:eastAsia="Times New Roman" w:hAnsi="Roboto" w:cs="Times New Roman"/>
          <w:color w:val="0000FF"/>
          <w:szCs w:val="22"/>
          <w:lang w:val="en-US" w:eastAsia="fr-FR"/>
        </w:rPr>
        <w:t xml:space="preserve"> </w:t>
      </w:r>
      <w:r w:rsidRPr="00170566">
        <w:rPr>
          <w:rFonts w:ascii="Roboto" w:eastAsia="Times New Roman" w:hAnsi="Roboto" w:cs="Times New Roman"/>
          <w:b/>
          <w:bCs/>
          <w:color w:val="0000FF"/>
          <w:szCs w:val="22"/>
          <w:lang w:val="en-US" w:eastAsia="fr-FR"/>
        </w:rPr>
        <w:t>feasible from a technical standpoint</w:t>
      </w:r>
      <w:r w:rsidRPr="00170566">
        <w:rPr>
          <w:rFonts w:ascii="Roboto" w:eastAsia="Times New Roman" w:hAnsi="Roboto" w:cs="Times New Roman"/>
          <w:color w:val="0000FF"/>
          <w:szCs w:val="22"/>
          <w:lang w:val="en-US" w:eastAsia="fr-FR"/>
        </w:rPr>
        <w:t xml:space="preserve">. Indeed, we think that the argument in the § 148 of the section 6.1.2 of the Consultation stating that “text block markups are unrestricted in structure and formatting, allowing them to contain paragraphs, tables, diagrams, images, or any other HTML content, without limits on content size. A text block markup might include a single sentence, a paragraph, an entire page, or even hundreds of pages of disclosures” </w:t>
      </w:r>
      <w:proofErr w:type="gramStart"/>
      <w:r w:rsidRPr="00170566">
        <w:rPr>
          <w:rFonts w:ascii="Roboto" w:eastAsia="Times New Roman" w:hAnsi="Roboto" w:cs="Times New Roman"/>
          <w:color w:val="0000FF"/>
          <w:szCs w:val="22"/>
          <w:lang w:val="en-US" w:eastAsia="fr-FR"/>
        </w:rPr>
        <w:t>is exaggerated</w:t>
      </w:r>
      <w:proofErr w:type="gramEnd"/>
      <w:r w:rsidRPr="00170566">
        <w:rPr>
          <w:rFonts w:ascii="Roboto" w:eastAsia="Times New Roman" w:hAnsi="Roboto" w:cs="Times New Roman"/>
          <w:color w:val="0000FF"/>
          <w:szCs w:val="22"/>
          <w:lang w:val="en-US" w:eastAsia="fr-FR"/>
        </w:rPr>
        <w:t xml:space="preserve"> when speaking about the Notes to the financial statements. In fact, the latter are ruled by materiality principle and </w:t>
      </w:r>
      <w:r w:rsidRPr="00170566">
        <w:rPr>
          <w:rFonts w:ascii="Roboto" w:eastAsia="Times New Roman" w:hAnsi="Roboto" w:cs="Times New Roman"/>
          <w:b/>
          <w:bCs/>
          <w:color w:val="0000FF"/>
          <w:szCs w:val="22"/>
          <w:lang w:val="en-US" w:eastAsia="fr-FR"/>
        </w:rPr>
        <w:t>one text block rarely includes more than one page</w:t>
      </w:r>
      <w:r w:rsidRPr="00170566">
        <w:rPr>
          <w:rFonts w:ascii="Roboto" w:eastAsia="Times New Roman" w:hAnsi="Roboto" w:cs="Times New Roman"/>
          <w:color w:val="0000FF"/>
          <w:szCs w:val="22"/>
          <w:lang w:val="en-US" w:eastAsia="fr-FR"/>
        </w:rPr>
        <w:t xml:space="preserve"> of information in average (more often even less), except for cases of “generic” mandatory elements which were supposed to be used for the entire set of the Notes. However, </w:t>
      </w:r>
      <w:r w:rsidRPr="00170566">
        <w:rPr>
          <w:rFonts w:ascii="Roboto" w:eastAsia="Times New Roman" w:hAnsi="Roboto" w:cs="Times New Roman"/>
          <w:b/>
          <w:bCs/>
          <w:color w:val="0000FF"/>
          <w:szCs w:val="22"/>
          <w:lang w:val="en-US" w:eastAsia="fr-FR"/>
        </w:rPr>
        <w:t xml:space="preserve">such tags as well as other multiple and/or embedded markups will be deleted in Phase </w:t>
      </w:r>
      <w:proofErr w:type="gramStart"/>
      <w:r w:rsidRPr="00170566">
        <w:rPr>
          <w:rFonts w:ascii="Roboto" w:eastAsia="Times New Roman" w:hAnsi="Roboto" w:cs="Times New Roman"/>
          <w:b/>
          <w:bCs/>
          <w:color w:val="0000FF"/>
          <w:szCs w:val="22"/>
          <w:lang w:val="en-US" w:eastAsia="fr-FR"/>
        </w:rPr>
        <w:t>one</w:t>
      </w:r>
      <w:proofErr w:type="gramEnd"/>
      <w:r w:rsidRPr="00170566">
        <w:rPr>
          <w:rFonts w:ascii="Roboto" w:eastAsia="Times New Roman" w:hAnsi="Roboto" w:cs="Times New Roman"/>
          <w:color w:val="0000FF"/>
          <w:szCs w:val="22"/>
          <w:lang w:val="en-US" w:eastAsia="fr-FR"/>
        </w:rPr>
        <w:t xml:space="preserve">. Also, Notes to financial statements </w:t>
      </w:r>
      <w:r w:rsidRPr="00170566">
        <w:rPr>
          <w:rFonts w:ascii="Roboto" w:eastAsia="Times New Roman" w:hAnsi="Roboto" w:cs="Times New Roman"/>
          <w:b/>
          <w:bCs/>
          <w:color w:val="0000FF"/>
          <w:szCs w:val="22"/>
          <w:lang w:val="en-US" w:eastAsia="fr-FR"/>
        </w:rPr>
        <w:t>rarely include anything else than tables and text</w:t>
      </w:r>
      <w:r w:rsidRPr="00170566">
        <w:rPr>
          <w:rFonts w:ascii="Roboto" w:eastAsia="Times New Roman" w:hAnsi="Roboto" w:cs="Times New Roman"/>
          <w:color w:val="0000FF"/>
          <w:szCs w:val="22"/>
          <w:lang w:val="en-US" w:eastAsia="fr-FR"/>
        </w:rPr>
        <w:t xml:space="preserve"> and almost never diagrams or images;</w:t>
      </w:r>
    </w:p>
    <w:p w14:paraId="60D756DE" w14:textId="1481374B"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402C7750" w14:textId="77777777" w:rsidR="00170566" w:rsidRPr="00170566" w:rsidRDefault="00170566" w:rsidP="00170566">
      <w:pPr>
        <w:numPr>
          <w:ilvl w:val="0"/>
          <w:numId w:val="44"/>
        </w:numPr>
        <w:spacing w:after="0" w:line="240" w:lineRule="auto"/>
        <w:textAlignment w:val="baseline"/>
        <w:rPr>
          <w:rFonts w:ascii="Roboto" w:eastAsia="Times New Roman" w:hAnsi="Roboto" w:cs="Times New Roman"/>
          <w:color w:val="0000FF"/>
          <w:szCs w:val="22"/>
          <w:lang w:val="en-US" w:eastAsia="fr-FR"/>
        </w:rPr>
      </w:pPr>
      <w:proofErr w:type="gramStart"/>
      <w:r w:rsidRPr="00170566">
        <w:rPr>
          <w:rFonts w:ascii="Roboto" w:eastAsia="Times New Roman" w:hAnsi="Roboto" w:cs="Times New Roman"/>
          <w:color w:val="0000FF"/>
          <w:szCs w:val="22"/>
          <w:lang w:val="en-US" w:eastAsia="fr-FR"/>
        </w:rPr>
        <w:t xml:space="preserve">It is also mentioned in § 147 of the section 6.1.2 of the Consultation that “one primary issue is that many ESEF reports were generated by </w:t>
      </w:r>
      <w:r w:rsidRPr="00170566">
        <w:rPr>
          <w:rFonts w:ascii="Roboto" w:eastAsia="Times New Roman" w:hAnsi="Roboto" w:cs="Times New Roman"/>
          <w:b/>
          <w:bCs/>
          <w:color w:val="0000FF"/>
          <w:szCs w:val="22"/>
          <w:lang w:val="en-US" w:eastAsia="fr-FR"/>
        </w:rPr>
        <w:t>converting PDF reports to XHTML and then adding Inline XBRL markups</w:t>
      </w:r>
      <w:r w:rsidRPr="00170566">
        <w:rPr>
          <w:rFonts w:ascii="Roboto" w:eastAsia="Times New Roman" w:hAnsi="Roboto" w:cs="Times New Roman"/>
          <w:color w:val="0000FF"/>
          <w:szCs w:val="22"/>
          <w:lang w:val="en-US" w:eastAsia="fr-FR"/>
        </w:rPr>
        <w:t xml:space="preserve">” and that “this approach often results in large XHTML documents filled with additional tags used to precisely position individual lines, words, or even letters, which </w:t>
      </w:r>
      <w:r w:rsidRPr="00170566">
        <w:rPr>
          <w:rFonts w:ascii="Roboto" w:eastAsia="Times New Roman" w:hAnsi="Roboto" w:cs="Times New Roman"/>
          <w:b/>
          <w:bCs/>
          <w:color w:val="0000FF"/>
          <w:szCs w:val="22"/>
          <w:lang w:val="en-US" w:eastAsia="fr-FR"/>
        </w:rPr>
        <w:t>diminishes the readability of the markup when viewed in isolation</w:t>
      </w:r>
      <w:r w:rsidRPr="00170566">
        <w:rPr>
          <w:rFonts w:ascii="Roboto" w:eastAsia="Times New Roman" w:hAnsi="Roboto" w:cs="Times New Roman"/>
          <w:color w:val="0000FF"/>
          <w:szCs w:val="22"/>
          <w:lang w:val="en-US" w:eastAsia="fr-FR"/>
        </w:rPr>
        <w:t>”.</w:t>
      </w:r>
      <w:proofErr w:type="gramEnd"/>
      <w:r w:rsidRPr="00170566">
        <w:rPr>
          <w:rFonts w:ascii="Roboto" w:eastAsia="Times New Roman" w:hAnsi="Roboto" w:cs="Times New Roman"/>
          <w:color w:val="0000FF"/>
          <w:szCs w:val="22"/>
          <w:lang w:val="en-US" w:eastAsia="fr-FR"/>
        </w:rPr>
        <w:t xml:space="preserve"> We wonder again if there has been any </w:t>
      </w:r>
      <w:r w:rsidRPr="00170566">
        <w:rPr>
          <w:rFonts w:ascii="Roboto" w:eastAsia="Times New Roman" w:hAnsi="Roboto" w:cs="Times New Roman"/>
          <w:b/>
          <w:bCs/>
          <w:color w:val="0000FF"/>
          <w:szCs w:val="22"/>
          <w:lang w:val="en-US" w:eastAsia="fr-FR"/>
        </w:rPr>
        <w:t xml:space="preserve">study </w:t>
      </w:r>
      <w:r w:rsidRPr="00170566">
        <w:rPr>
          <w:rFonts w:ascii="Roboto" w:eastAsia="Times New Roman" w:hAnsi="Roboto" w:cs="Times New Roman"/>
          <w:color w:val="0000FF"/>
          <w:szCs w:val="22"/>
          <w:lang w:val="en-US" w:eastAsia="fr-FR"/>
        </w:rPr>
        <w:t xml:space="preserve">conducted to evaluate </w:t>
      </w:r>
      <w:r w:rsidRPr="00170566">
        <w:rPr>
          <w:rFonts w:ascii="Roboto" w:eastAsia="Times New Roman" w:hAnsi="Roboto" w:cs="Times New Roman"/>
          <w:b/>
          <w:bCs/>
          <w:color w:val="0000FF"/>
          <w:szCs w:val="22"/>
          <w:lang w:val="en-US" w:eastAsia="fr-FR"/>
        </w:rPr>
        <w:t xml:space="preserve">how many reports in practice are prepared in this </w:t>
      </w:r>
      <w:proofErr w:type="gramStart"/>
      <w:r w:rsidRPr="00170566">
        <w:rPr>
          <w:rFonts w:ascii="Roboto" w:eastAsia="Times New Roman" w:hAnsi="Roboto" w:cs="Times New Roman"/>
          <w:b/>
          <w:bCs/>
          <w:color w:val="0000FF"/>
          <w:szCs w:val="22"/>
          <w:lang w:val="en-US" w:eastAsia="fr-FR"/>
        </w:rPr>
        <w:t>way</w:t>
      </w:r>
      <w:r w:rsidRPr="00170566">
        <w:rPr>
          <w:rFonts w:ascii="Roboto" w:eastAsia="Times New Roman" w:hAnsi="Roboto" w:cs="Times New Roman"/>
          <w:color w:val="0000FF"/>
          <w:szCs w:val="22"/>
          <w:lang w:val="en-US" w:eastAsia="fr-FR"/>
        </w:rPr>
        <w:t>?</w:t>
      </w:r>
      <w:proofErr w:type="gramEnd"/>
      <w:r w:rsidRPr="00170566">
        <w:rPr>
          <w:rFonts w:ascii="Roboto" w:eastAsia="Times New Roman" w:hAnsi="Roboto" w:cs="Times New Roman"/>
          <w:color w:val="0000FF"/>
          <w:szCs w:val="22"/>
          <w:lang w:val="en-US" w:eastAsia="fr-FR"/>
        </w:rPr>
        <w:t xml:space="preserve"> As an example, Air Liquide Group does not prepare its ESEF filing </w:t>
      </w:r>
      <w:proofErr w:type="gramStart"/>
      <w:r w:rsidRPr="00170566">
        <w:rPr>
          <w:rFonts w:ascii="Roboto" w:eastAsia="Times New Roman" w:hAnsi="Roboto" w:cs="Times New Roman"/>
          <w:color w:val="0000FF"/>
          <w:szCs w:val="22"/>
          <w:lang w:val="en-US" w:eastAsia="fr-FR"/>
        </w:rPr>
        <w:t>on the basis of</w:t>
      </w:r>
      <w:proofErr w:type="gramEnd"/>
      <w:r w:rsidRPr="00170566">
        <w:rPr>
          <w:rFonts w:ascii="Roboto" w:eastAsia="Times New Roman" w:hAnsi="Roboto" w:cs="Times New Roman"/>
          <w:color w:val="0000FF"/>
          <w:szCs w:val="22"/>
          <w:lang w:val="en-US" w:eastAsia="fr-FR"/>
        </w:rPr>
        <w:t xml:space="preserve"> a PDF report, its filing documents are issued directly from the Disclosure Management tool used, and </w:t>
      </w:r>
      <w:r w:rsidRPr="00170566">
        <w:rPr>
          <w:rFonts w:ascii="Roboto" w:eastAsia="Times New Roman" w:hAnsi="Roboto" w:cs="Times New Roman"/>
          <w:b/>
          <w:bCs/>
          <w:color w:val="0000FF"/>
          <w:szCs w:val="22"/>
          <w:lang w:val="en-US" w:eastAsia="fr-FR"/>
        </w:rPr>
        <w:t>no such readability problems have been reported</w:t>
      </w:r>
      <w:r w:rsidRPr="00170566">
        <w:rPr>
          <w:rFonts w:ascii="Roboto" w:eastAsia="Times New Roman" w:hAnsi="Roboto" w:cs="Times New Roman"/>
          <w:color w:val="0000FF"/>
          <w:szCs w:val="22"/>
          <w:lang w:val="en-US" w:eastAsia="fr-FR"/>
        </w:rPr>
        <w:t xml:space="preserve"> by the auditors, French Market Authority (AMF) or users. Consequently, we consider that this example is </w:t>
      </w:r>
      <w:r w:rsidRPr="00170566">
        <w:rPr>
          <w:rFonts w:ascii="Roboto" w:eastAsia="Times New Roman" w:hAnsi="Roboto" w:cs="Times New Roman"/>
          <w:b/>
          <w:bCs/>
          <w:color w:val="0000FF"/>
          <w:szCs w:val="22"/>
          <w:lang w:val="en-US" w:eastAsia="fr-FR"/>
        </w:rPr>
        <w:t>rather an illustration of technical limitations of certain tools used for tagging than a relevant argument against block text mark-up approach</w:t>
      </w:r>
      <w:r w:rsidRPr="00170566">
        <w:rPr>
          <w:rFonts w:ascii="Roboto" w:eastAsia="Times New Roman" w:hAnsi="Roboto" w:cs="Times New Roman"/>
          <w:color w:val="0000FF"/>
          <w:szCs w:val="22"/>
          <w:lang w:val="en-US" w:eastAsia="fr-FR"/>
        </w:rPr>
        <w:t>; </w:t>
      </w:r>
    </w:p>
    <w:p w14:paraId="04EA0ACA" w14:textId="5C3ED73B"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21AC88E1" w14:textId="77777777" w:rsidR="00170566" w:rsidRPr="00170566" w:rsidRDefault="00170566" w:rsidP="00170566">
      <w:pPr>
        <w:numPr>
          <w:ilvl w:val="0"/>
          <w:numId w:val="45"/>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In addition, § 146 of the section 6.1.2 of the Consultation </w:t>
      </w:r>
      <w:proofErr w:type="gramStart"/>
      <w:r w:rsidRPr="00170566">
        <w:rPr>
          <w:rFonts w:ascii="Roboto" w:eastAsia="Times New Roman" w:hAnsi="Roboto" w:cs="Times New Roman"/>
          <w:color w:val="0000FF"/>
          <w:szCs w:val="22"/>
          <w:lang w:val="en-US" w:eastAsia="fr-FR"/>
        </w:rPr>
        <w:t>argues that</w:t>
      </w:r>
      <w:proofErr w:type="gramEnd"/>
      <w:r w:rsidRPr="00170566">
        <w:rPr>
          <w:rFonts w:ascii="Roboto" w:eastAsia="Times New Roman" w:hAnsi="Roboto" w:cs="Times New Roman"/>
          <w:color w:val="0000FF"/>
          <w:szCs w:val="22"/>
          <w:lang w:val="en-US" w:eastAsia="fr-FR"/>
        </w:rPr>
        <w:t xml:space="preserve"> “</w:t>
      </w:r>
      <w:r w:rsidRPr="00170566">
        <w:rPr>
          <w:rFonts w:ascii="Roboto" w:eastAsia="Times New Roman" w:hAnsi="Roboto" w:cs="Times New Roman"/>
          <w:b/>
          <w:bCs/>
          <w:color w:val="0000FF"/>
          <w:szCs w:val="22"/>
          <w:lang w:val="en-US" w:eastAsia="fr-FR"/>
        </w:rPr>
        <w:t>unlike numerical data, which software can easily validate</w:t>
      </w:r>
      <w:r w:rsidRPr="00170566">
        <w:rPr>
          <w:rFonts w:ascii="Roboto" w:eastAsia="Times New Roman" w:hAnsi="Roboto" w:cs="Times New Roman"/>
          <w:color w:val="0000FF"/>
          <w:szCs w:val="22"/>
          <w:lang w:val="en-US" w:eastAsia="fr-FR"/>
        </w:rPr>
        <w:t xml:space="preserve">, assessing the </w:t>
      </w:r>
      <w:r w:rsidRPr="00170566">
        <w:rPr>
          <w:rFonts w:ascii="Roboto" w:eastAsia="Times New Roman" w:hAnsi="Roboto" w:cs="Times New Roman"/>
          <w:b/>
          <w:bCs/>
          <w:color w:val="0000FF"/>
          <w:szCs w:val="22"/>
          <w:lang w:val="en-US" w:eastAsia="fr-FR"/>
        </w:rPr>
        <w:t>accuracy of text block content</w:t>
      </w:r>
      <w:r w:rsidRPr="00170566">
        <w:rPr>
          <w:rFonts w:ascii="Roboto" w:eastAsia="Times New Roman" w:hAnsi="Roboto" w:cs="Times New Roman"/>
          <w:color w:val="0000FF"/>
          <w:szCs w:val="22"/>
          <w:lang w:val="en-US" w:eastAsia="fr-FR"/>
        </w:rPr>
        <w:t xml:space="preserve"> relies significantly on </w:t>
      </w:r>
      <w:r w:rsidRPr="00170566">
        <w:rPr>
          <w:rFonts w:ascii="Roboto" w:eastAsia="Times New Roman" w:hAnsi="Roboto" w:cs="Times New Roman"/>
          <w:b/>
          <w:bCs/>
          <w:color w:val="0000FF"/>
          <w:szCs w:val="22"/>
          <w:lang w:val="en-US" w:eastAsia="fr-FR"/>
        </w:rPr>
        <w:t>human expertise</w:t>
      </w:r>
      <w:r w:rsidRPr="00170566">
        <w:rPr>
          <w:rFonts w:ascii="Roboto" w:eastAsia="Times New Roman" w:hAnsi="Roboto" w:cs="Times New Roman"/>
          <w:color w:val="0000FF"/>
          <w:szCs w:val="22"/>
          <w:lang w:val="en-US" w:eastAsia="fr-FR"/>
        </w:rPr>
        <w:t xml:space="preserve">”. We would like to highlight that while validation rules do exist (including for calculations or to check if a numeric tag has all necessary attributes), there is </w:t>
      </w:r>
      <w:r w:rsidRPr="00170566">
        <w:rPr>
          <w:rFonts w:ascii="Roboto" w:eastAsia="Times New Roman" w:hAnsi="Roboto" w:cs="Times New Roman"/>
          <w:b/>
          <w:bCs/>
          <w:color w:val="0000FF"/>
          <w:szCs w:val="22"/>
          <w:lang w:val="en-US" w:eastAsia="fr-FR"/>
        </w:rPr>
        <w:t>no possible automatic validation to check</w:t>
      </w:r>
      <w:r w:rsidRPr="00170566">
        <w:rPr>
          <w:rFonts w:ascii="Roboto" w:eastAsia="Times New Roman" w:hAnsi="Roboto" w:cs="Times New Roman"/>
          <w:color w:val="0000FF"/>
          <w:szCs w:val="22"/>
          <w:lang w:val="en-US" w:eastAsia="fr-FR"/>
        </w:rPr>
        <w:t xml:space="preserve">, for example, that </w:t>
      </w:r>
      <w:r w:rsidRPr="00170566">
        <w:rPr>
          <w:rFonts w:ascii="Roboto" w:eastAsia="Times New Roman" w:hAnsi="Roboto" w:cs="Times New Roman"/>
          <w:b/>
          <w:bCs/>
          <w:color w:val="0000FF"/>
          <w:szCs w:val="22"/>
          <w:lang w:val="en-US" w:eastAsia="fr-FR"/>
        </w:rPr>
        <w:t>scale or rounding or balance</w:t>
      </w:r>
      <w:r w:rsidRPr="00170566">
        <w:rPr>
          <w:rFonts w:ascii="Roboto" w:eastAsia="Times New Roman" w:hAnsi="Roboto" w:cs="Times New Roman"/>
          <w:color w:val="0000FF"/>
          <w:szCs w:val="22"/>
          <w:lang w:val="en-US" w:eastAsia="fr-FR"/>
        </w:rPr>
        <w:t xml:space="preserve"> (debit/credit) attributes of a numeric tag are correct, and </w:t>
      </w:r>
      <w:r w:rsidRPr="00170566">
        <w:rPr>
          <w:rFonts w:ascii="Roboto" w:eastAsia="Times New Roman" w:hAnsi="Roboto" w:cs="Times New Roman"/>
          <w:b/>
          <w:bCs/>
          <w:color w:val="0000FF"/>
          <w:szCs w:val="22"/>
          <w:lang w:val="en-US" w:eastAsia="fr-FR"/>
        </w:rPr>
        <w:t>such verifications are human</w:t>
      </w:r>
      <w:r w:rsidRPr="00170566">
        <w:rPr>
          <w:rFonts w:ascii="Roboto" w:eastAsia="Times New Roman" w:hAnsi="Roboto" w:cs="Times New Roman"/>
          <w:color w:val="0000FF"/>
          <w:szCs w:val="22"/>
          <w:lang w:val="en-US" w:eastAsia="fr-FR"/>
        </w:rPr>
        <w:t xml:space="preserve">. Errors </w:t>
      </w:r>
      <w:proofErr w:type="gramStart"/>
      <w:r w:rsidRPr="00170566">
        <w:rPr>
          <w:rFonts w:ascii="Roboto" w:eastAsia="Times New Roman" w:hAnsi="Roboto" w:cs="Times New Roman"/>
          <w:color w:val="0000FF"/>
          <w:szCs w:val="22"/>
          <w:lang w:val="en-US" w:eastAsia="fr-FR"/>
        </w:rPr>
        <w:t>have already been detected</w:t>
      </w:r>
      <w:proofErr w:type="gramEnd"/>
      <w:r w:rsidRPr="00170566">
        <w:rPr>
          <w:rFonts w:ascii="Roboto" w:eastAsia="Times New Roman" w:hAnsi="Roboto" w:cs="Times New Roman"/>
          <w:color w:val="0000FF"/>
          <w:szCs w:val="22"/>
          <w:lang w:val="en-US" w:eastAsia="fr-FR"/>
        </w:rPr>
        <w:t xml:space="preserve"> in this sense in ESEF reports filed since 2020/2021 and they were often the object of ESMA enforcement priorities for annual financial reports and French Market Authority (AMF) recommendations since first ESEF filings. If detailed tagging for the Notes is introduced, the </w:t>
      </w:r>
      <w:r w:rsidRPr="00170566">
        <w:rPr>
          <w:rFonts w:ascii="Roboto" w:eastAsia="Times New Roman" w:hAnsi="Roboto" w:cs="Times New Roman"/>
          <w:b/>
          <w:bCs/>
          <w:color w:val="0000FF"/>
          <w:szCs w:val="22"/>
          <w:lang w:val="en-US" w:eastAsia="fr-FR"/>
        </w:rPr>
        <w:t>time spent</w:t>
      </w:r>
      <w:r w:rsidRPr="00170566">
        <w:rPr>
          <w:rFonts w:ascii="Roboto" w:eastAsia="Times New Roman" w:hAnsi="Roboto" w:cs="Times New Roman"/>
          <w:color w:val="0000FF"/>
          <w:szCs w:val="22"/>
          <w:lang w:val="en-US" w:eastAsia="fr-FR"/>
        </w:rPr>
        <w:t xml:space="preserve"> by issuers and auditors on these verifications and the </w:t>
      </w:r>
      <w:r w:rsidRPr="00170566">
        <w:rPr>
          <w:rFonts w:ascii="Roboto" w:eastAsia="Times New Roman" w:hAnsi="Roboto" w:cs="Times New Roman"/>
          <w:b/>
          <w:bCs/>
          <w:color w:val="0000FF"/>
          <w:szCs w:val="22"/>
          <w:lang w:val="en-US" w:eastAsia="fr-FR"/>
        </w:rPr>
        <w:t>risk of errors</w:t>
      </w:r>
      <w:r w:rsidRPr="00170566">
        <w:rPr>
          <w:rFonts w:ascii="Roboto" w:eastAsia="Times New Roman" w:hAnsi="Roboto" w:cs="Times New Roman"/>
          <w:color w:val="0000FF"/>
          <w:szCs w:val="22"/>
          <w:lang w:val="en-US" w:eastAsia="fr-FR"/>
        </w:rPr>
        <w:t xml:space="preserve"> will be </w:t>
      </w:r>
      <w:r w:rsidRPr="00170566">
        <w:rPr>
          <w:rFonts w:ascii="Roboto" w:eastAsia="Times New Roman" w:hAnsi="Roboto" w:cs="Times New Roman"/>
          <w:b/>
          <w:bCs/>
          <w:color w:val="0000FF"/>
          <w:szCs w:val="22"/>
          <w:lang w:val="en-US" w:eastAsia="fr-FR"/>
        </w:rPr>
        <w:t>increased</w:t>
      </w:r>
      <w:r w:rsidRPr="00170566">
        <w:rPr>
          <w:rFonts w:ascii="Roboto" w:eastAsia="Times New Roman" w:hAnsi="Roboto" w:cs="Times New Roman"/>
          <w:color w:val="0000FF"/>
          <w:szCs w:val="22"/>
          <w:lang w:val="en-US" w:eastAsia="fr-FR"/>
        </w:rPr>
        <w:t xml:space="preserve"> even further. Furthermore, </w:t>
      </w:r>
      <w:r w:rsidRPr="00170566">
        <w:rPr>
          <w:rFonts w:ascii="Roboto" w:eastAsia="Times New Roman" w:hAnsi="Roboto" w:cs="Times New Roman"/>
          <w:b/>
          <w:bCs/>
          <w:color w:val="0000FF"/>
          <w:szCs w:val="22"/>
          <w:lang w:val="en-US" w:eastAsia="fr-FR"/>
        </w:rPr>
        <w:t>human expertise</w:t>
      </w:r>
      <w:r w:rsidRPr="00170566">
        <w:rPr>
          <w:rFonts w:ascii="Roboto" w:eastAsia="Times New Roman" w:hAnsi="Roboto" w:cs="Times New Roman"/>
          <w:color w:val="0000FF"/>
          <w:szCs w:val="22"/>
          <w:lang w:val="en-US" w:eastAsia="fr-FR"/>
        </w:rPr>
        <w:t xml:space="preserve"> will be needed for </w:t>
      </w:r>
      <w:r w:rsidRPr="00170566">
        <w:rPr>
          <w:rFonts w:ascii="Roboto" w:eastAsia="Times New Roman" w:hAnsi="Roboto" w:cs="Times New Roman"/>
          <w:b/>
          <w:bCs/>
          <w:color w:val="0000FF"/>
          <w:szCs w:val="22"/>
          <w:lang w:val="en-US" w:eastAsia="fr-FR"/>
        </w:rPr>
        <w:t>mapping</w:t>
      </w:r>
      <w:r w:rsidRPr="00170566">
        <w:rPr>
          <w:rFonts w:ascii="Roboto" w:eastAsia="Times New Roman" w:hAnsi="Roboto" w:cs="Times New Roman"/>
          <w:color w:val="0000FF"/>
          <w:szCs w:val="22"/>
          <w:lang w:val="en-US" w:eastAsia="fr-FR"/>
        </w:rPr>
        <w:t xml:space="preserve"> of different numeric items to taxonomy concepts which has already been proven extremely </w:t>
      </w:r>
      <w:r w:rsidRPr="00170566">
        <w:rPr>
          <w:rFonts w:ascii="Roboto" w:eastAsia="Times New Roman" w:hAnsi="Roboto" w:cs="Times New Roman"/>
          <w:b/>
          <w:bCs/>
          <w:color w:val="0000FF"/>
          <w:szCs w:val="22"/>
          <w:lang w:val="en-US" w:eastAsia="fr-FR"/>
        </w:rPr>
        <w:t>time-consuming</w:t>
      </w:r>
      <w:r w:rsidRPr="00170566">
        <w:rPr>
          <w:rFonts w:ascii="Roboto" w:eastAsia="Times New Roman" w:hAnsi="Roboto" w:cs="Times New Roman"/>
          <w:color w:val="0000FF"/>
          <w:szCs w:val="22"/>
          <w:lang w:val="en-US" w:eastAsia="fr-FR"/>
        </w:rPr>
        <w:t xml:space="preserve"> and </w:t>
      </w:r>
      <w:r w:rsidRPr="00170566">
        <w:rPr>
          <w:rFonts w:ascii="Roboto" w:eastAsia="Times New Roman" w:hAnsi="Roboto" w:cs="Times New Roman"/>
          <w:b/>
          <w:bCs/>
          <w:color w:val="0000FF"/>
          <w:szCs w:val="22"/>
          <w:lang w:val="en-US" w:eastAsia="fr-FR"/>
        </w:rPr>
        <w:t xml:space="preserve">complex </w:t>
      </w:r>
      <w:r w:rsidRPr="00170566">
        <w:rPr>
          <w:rFonts w:ascii="Roboto" w:eastAsia="Times New Roman" w:hAnsi="Roboto" w:cs="Times New Roman"/>
          <w:color w:val="0000FF"/>
          <w:szCs w:val="22"/>
          <w:lang w:val="en-US" w:eastAsia="fr-FR"/>
        </w:rPr>
        <w:t xml:space="preserve">for issuers, involving </w:t>
      </w:r>
      <w:r w:rsidRPr="00170566">
        <w:rPr>
          <w:rFonts w:ascii="Roboto" w:eastAsia="Times New Roman" w:hAnsi="Roboto" w:cs="Times New Roman"/>
          <w:b/>
          <w:bCs/>
          <w:color w:val="0000FF"/>
          <w:szCs w:val="22"/>
          <w:lang w:val="en-US" w:eastAsia="fr-FR"/>
        </w:rPr>
        <w:t>multiple discussions</w:t>
      </w:r>
      <w:r w:rsidRPr="00170566">
        <w:rPr>
          <w:rFonts w:ascii="Roboto" w:eastAsia="Times New Roman" w:hAnsi="Roboto" w:cs="Times New Roman"/>
          <w:color w:val="0000FF"/>
          <w:szCs w:val="22"/>
          <w:lang w:val="en-US" w:eastAsia="fr-FR"/>
        </w:rPr>
        <w:t xml:space="preserve"> with their auditors; </w:t>
      </w:r>
    </w:p>
    <w:p w14:paraId="730BDAA1" w14:textId="77777777"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r w:rsidRPr="00170566">
        <w:rPr>
          <w:rFonts w:ascii="Times New Roman" w:eastAsia="Times New Roman" w:hAnsi="Times New Roman" w:cs="Times New Roman"/>
          <w:color w:val="auto"/>
          <w:sz w:val="24"/>
          <w:szCs w:val="24"/>
          <w:lang w:val="en-US" w:eastAsia="fr-FR"/>
        </w:rPr>
        <w:lastRenderedPageBreak/>
        <w:br/>
      </w:r>
    </w:p>
    <w:p w14:paraId="28CF49DA" w14:textId="77777777" w:rsidR="00170566" w:rsidRPr="00170566" w:rsidRDefault="00170566" w:rsidP="00170566">
      <w:pPr>
        <w:numPr>
          <w:ilvl w:val="0"/>
          <w:numId w:val="46"/>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Finally, we do not agree with the argument mentioned in § </w:t>
      </w:r>
      <w:proofErr w:type="gramStart"/>
      <w:r w:rsidRPr="00170566">
        <w:rPr>
          <w:rFonts w:ascii="Roboto" w:eastAsia="Times New Roman" w:hAnsi="Roboto" w:cs="Times New Roman"/>
          <w:color w:val="0000FF"/>
          <w:szCs w:val="22"/>
          <w:lang w:val="en-US" w:eastAsia="fr-FR"/>
        </w:rPr>
        <w:t>5</w:t>
      </w:r>
      <w:proofErr w:type="gramEnd"/>
      <w:r w:rsidRPr="00170566">
        <w:rPr>
          <w:rFonts w:ascii="Roboto" w:eastAsia="Times New Roman" w:hAnsi="Roboto" w:cs="Times New Roman"/>
          <w:color w:val="0000FF"/>
          <w:szCs w:val="22"/>
          <w:lang w:val="en-US" w:eastAsia="fr-FR"/>
        </w:rPr>
        <w:t xml:space="preserve"> of the section 2 Introduction of the Consultation which states that “the use of a taxonomy </w:t>
      </w:r>
      <w:r w:rsidRPr="00170566">
        <w:rPr>
          <w:rFonts w:ascii="Roboto" w:eastAsia="Times New Roman" w:hAnsi="Roboto" w:cs="Times New Roman"/>
          <w:b/>
          <w:bCs/>
          <w:color w:val="0000FF"/>
          <w:szCs w:val="22"/>
          <w:lang w:val="en-US" w:eastAsia="fr-FR"/>
        </w:rPr>
        <w:t>improves the usability and comparability</w:t>
      </w:r>
      <w:r w:rsidRPr="00170566">
        <w:rPr>
          <w:rFonts w:ascii="Roboto" w:eastAsia="Times New Roman" w:hAnsi="Roboto" w:cs="Times New Roman"/>
          <w:color w:val="0000FF"/>
          <w:szCs w:val="22"/>
          <w:lang w:val="en-US" w:eastAsia="fr-FR"/>
        </w:rPr>
        <w:t xml:space="preserve"> of the marked up information”. The electronic format should only be the </w:t>
      </w:r>
      <w:r w:rsidRPr="00170566">
        <w:rPr>
          <w:rFonts w:ascii="Roboto" w:eastAsia="Times New Roman" w:hAnsi="Roboto" w:cs="Times New Roman"/>
          <w:b/>
          <w:bCs/>
          <w:color w:val="0000FF"/>
          <w:szCs w:val="22"/>
          <w:lang w:val="en-US" w:eastAsia="fr-FR"/>
        </w:rPr>
        <w:t>translation</w:t>
      </w:r>
      <w:r w:rsidRPr="00170566">
        <w:rPr>
          <w:rFonts w:ascii="Roboto" w:eastAsia="Times New Roman" w:hAnsi="Roboto" w:cs="Times New Roman"/>
          <w:color w:val="0000FF"/>
          <w:szCs w:val="22"/>
          <w:lang w:val="en-US" w:eastAsia="fr-FR"/>
        </w:rPr>
        <w:t xml:space="preserve"> of what is presented in “human readable” format of the financial </w:t>
      </w:r>
      <w:proofErr w:type="gramStart"/>
      <w:r w:rsidRPr="00170566">
        <w:rPr>
          <w:rFonts w:ascii="Roboto" w:eastAsia="Times New Roman" w:hAnsi="Roboto" w:cs="Times New Roman"/>
          <w:color w:val="0000FF"/>
          <w:szCs w:val="22"/>
          <w:lang w:val="en-US" w:eastAsia="fr-FR"/>
        </w:rPr>
        <w:t>statements,</w:t>
      </w:r>
      <w:proofErr w:type="gramEnd"/>
      <w:r w:rsidRPr="00170566">
        <w:rPr>
          <w:rFonts w:ascii="Roboto" w:eastAsia="Times New Roman" w:hAnsi="Roboto" w:cs="Times New Roman"/>
          <w:color w:val="0000FF"/>
          <w:szCs w:val="22"/>
          <w:lang w:val="en-US" w:eastAsia="fr-FR"/>
        </w:rPr>
        <w:t xml:space="preserve"> consequently, it </w:t>
      </w:r>
      <w:r w:rsidRPr="00170566">
        <w:rPr>
          <w:rFonts w:ascii="Roboto" w:eastAsia="Times New Roman" w:hAnsi="Roboto" w:cs="Times New Roman"/>
          <w:b/>
          <w:bCs/>
          <w:color w:val="0000FF"/>
          <w:szCs w:val="22"/>
          <w:lang w:val="en-US" w:eastAsia="fr-FR"/>
        </w:rPr>
        <w:t>cannot by itself make information more comparable</w:t>
      </w:r>
      <w:r w:rsidRPr="00170566">
        <w:rPr>
          <w:rFonts w:ascii="Roboto" w:eastAsia="Times New Roman" w:hAnsi="Roboto" w:cs="Times New Roman"/>
          <w:color w:val="0000FF"/>
          <w:szCs w:val="22"/>
          <w:lang w:val="en-US" w:eastAsia="fr-FR"/>
        </w:rPr>
        <w:t xml:space="preserve"> if it is not because of entity-specific elements. The use of taxonomy </w:t>
      </w:r>
      <w:r w:rsidRPr="00170566">
        <w:rPr>
          <w:rFonts w:ascii="Roboto" w:eastAsia="Times New Roman" w:hAnsi="Roboto" w:cs="Times New Roman"/>
          <w:b/>
          <w:bCs/>
          <w:color w:val="0000FF"/>
          <w:szCs w:val="22"/>
          <w:lang w:val="en-US" w:eastAsia="fr-FR"/>
        </w:rPr>
        <w:t>should not substitute the IFRS rules</w:t>
      </w:r>
      <w:r w:rsidRPr="00170566">
        <w:rPr>
          <w:rFonts w:ascii="Roboto" w:eastAsia="Times New Roman" w:hAnsi="Roboto" w:cs="Times New Roman"/>
          <w:color w:val="0000FF"/>
          <w:szCs w:val="22"/>
          <w:lang w:val="en-US" w:eastAsia="fr-FR"/>
        </w:rPr>
        <w:t xml:space="preserve"> and should not have any impact on how the financial statements are structured/presented.</w:t>
      </w:r>
    </w:p>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w:t>
      </w:r>
      <w:proofErr w:type="gramStart"/>
      <w:r w:rsidRPr="006A64ED">
        <w:rPr>
          <w:rFonts w:eastAsia="Times New Roman"/>
          <w:color w:val="auto"/>
          <w:szCs w:val="22"/>
          <w:lang w:eastAsia="en-GB"/>
        </w:rPr>
        <w:t>is published</w:t>
      </w:r>
      <w:proofErr w:type="gramEnd"/>
      <w:r w:rsidRPr="006A64ED">
        <w:rPr>
          <w:rFonts w:eastAsia="Times New Roman"/>
          <w:color w:val="auto"/>
          <w:szCs w:val="22"/>
          <w:lang w:eastAsia="en-GB"/>
        </w:rPr>
        <w:t xml:space="preserve">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F79BAAA"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b/>
          <w:bCs/>
          <w:color w:val="0000FF"/>
          <w:szCs w:val="22"/>
          <w:lang w:val="en-US" w:eastAsia="fr-FR"/>
        </w:rPr>
        <w:t>We disagree</w:t>
      </w:r>
      <w:r w:rsidRPr="00170566">
        <w:rPr>
          <w:rFonts w:ascii="Roboto" w:eastAsia="Times New Roman" w:hAnsi="Roboto" w:cs="Times New Roman"/>
          <w:color w:val="0000FF"/>
          <w:szCs w:val="22"/>
          <w:lang w:val="en-US" w:eastAsia="fr-FR"/>
        </w:rPr>
        <w:t xml:space="preserve"> with the proposed timeline. It is unrealistic to think that the implementation of new rules is possible only a few months after the publication of the final RTS, especially taking into account that no field tests </w:t>
      </w:r>
      <w:proofErr w:type="gramStart"/>
      <w:r w:rsidRPr="00170566">
        <w:rPr>
          <w:rFonts w:ascii="Roboto" w:eastAsia="Times New Roman" w:hAnsi="Roboto" w:cs="Times New Roman"/>
          <w:color w:val="0000FF"/>
          <w:szCs w:val="22"/>
          <w:lang w:val="en-US" w:eastAsia="fr-FR"/>
        </w:rPr>
        <w:t>have been conducted</w:t>
      </w:r>
      <w:proofErr w:type="gramEnd"/>
      <w:r w:rsidRPr="00170566">
        <w:rPr>
          <w:rFonts w:ascii="Roboto" w:eastAsia="Times New Roman" w:hAnsi="Roboto" w:cs="Times New Roman"/>
          <w:color w:val="0000FF"/>
          <w:szCs w:val="22"/>
          <w:lang w:val="en-US" w:eastAsia="fr-FR"/>
        </w:rPr>
        <w:t xml:space="preserve">. Issuers and editors should have sufficient time to properly implement and test changes. Consequently, we are convinced that the </w:t>
      </w:r>
      <w:r w:rsidRPr="00170566">
        <w:rPr>
          <w:rFonts w:ascii="Roboto" w:eastAsia="Times New Roman" w:hAnsi="Roboto" w:cs="Times New Roman"/>
          <w:b/>
          <w:bCs/>
          <w:color w:val="0000FF"/>
          <w:szCs w:val="22"/>
          <w:lang w:val="en-US" w:eastAsia="fr-FR"/>
        </w:rPr>
        <w:t>only acceptable immediate modification</w:t>
      </w:r>
      <w:r w:rsidRPr="00170566">
        <w:rPr>
          <w:rFonts w:ascii="Roboto" w:eastAsia="Times New Roman" w:hAnsi="Roboto" w:cs="Times New Roman"/>
          <w:color w:val="0000FF"/>
          <w:szCs w:val="22"/>
          <w:lang w:val="en-US" w:eastAsia="fr-FR"/>
        </w:rPr>
        <w:t xml:space="preserve"> is the </w:t>
      </w:r>
      <w:r w:rsidRPr="00170566">
        <w:rPr>
          <w:rFonts w:ascii="Roboto" w:eastAsia="Times New Roman" w:hAnsi="Roboto" w:cs="Times New Roman"/>
          <w:b/>
          <w:bCs/>
          <w:color w:val="0000FF"/>
          <w:szCs w:val="22"/>
          <w:lang w:val="en-US" w:eastAsia="fr-FR"/>
        </w:rPr>
        <w:t>removal of multi- and embedded-marking up</w:t>
      </w:r>
      <w:r w:rsidRPr="00170566">
        <w:rPr>
          <w:rFonts w:ascii="Roboto" w:eastAsia="Times New Roman" w:hAnsi="Roboto" w:cs="Times New Roman"/>
          <w:color w:val="0000FF"/>
          <w:szCs w:val="22"/>
          <w:lang w:val="en-US" w:eastAsia="fr-FR"/>
        </w:rPr>
        <w:t>. </w:t>
      </w:r>
    </w:p>
    <w:p w14:paraId="1BFAC66E"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w:t>
      </w:r>
    </w:p>
    <w:p w14:paraId="7E9B260D"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xml:space="preserve">As for the second phase, which is supposed to start in 2028 for 2027 financial statements, it is paramount to take into account that this will coincide with the </w:t>
      </w:r>
      <w:r w:rsidRPr="00170566">
        <w:rPr>
          <w:rFonts w:ascii="Roboto" w:eastAsia="Times New Roman" w:hAnsi="Roboto" w:cs="Times New Roman"/>
          <w:b/>
          <w:bCs/>
          <w:color w:val="0000FF"/>
          <w:szCs w:val="22"/>
          <w:lang w:val="en-US" w:eastAsia="fr-FR"/>
        </w:rPr>
        <w:t>first application date of IFRS 18</w:t>
      </w:r>
      <w:r w:rsidRPr="00170566">
        <w:rPr>
          <w:rFonts w:ascii="Roboto" w:eastAsia="Times New Roman" w:hAnsi="Roboto" w:cs="Times New Roman"/>
          <w:color w:val="0000FF"/>
          <w:szCs w:val="22"/>
          <w:lang w:val="en-US" w:eastAsia="fr-FR"/>
        </w:rPr>
        <w:t>. This new standard will have an important impact on the structure of the Primary Financial Statements and Notes, consequently:</w:t>
      </w:r>
    </w:p>
    <w:p w14:paraId="210FB47D" w14:textId="641F3A71"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728BEB4F" w14:textId="77777777" w:rsidR="00170566" w:rsidRPr="00170566" w:rsidRDefault="00170566" w:rsidP="00170566">
      <w:pPr>
        <w:numPr>
          <w:ilvl w:val="0"/>
          <w:numId w:val="47"/>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experience should be acquired and stabilization of publications on the basis of new requirements should be achieved before working on digital tagging;</w:t>
      </w:r>
    </w:p>
    <w:p w14:paraId="7CCF35F9" w14:textId="77777777" w:rsidR="00170566" w:rsidRPr="00170566" w:rsidRDefault="00170566" w:rsidP="00170566">
      <w:pPr>
        <w:numPr>
          <w:ilvl w:val="0"/>
          <w:numId w:val="47"/>
        </w:numPr>
        <w:spacing w:after="0" w:line="240" w:lineRule="auto"/>
        <w:textAlignment w:val="baseline"/>
        <w:rPr>
          <w:rFonts w:ascii="Roboto" w:eastAsia="Times New Roman" w:hAnsi="Roboto" w:cs="Times New Roman"/>
          <w:color w:val="0000FF"/>
          <w:szCs w:val="22"/>
          <w:lang w:val="en-US" w:eastAsia="fr-FR"/>
        </w:rPr>
      </w:pPr>
      <w:proofErr w:type="gramStart"/>
      <w:r w:rsidRPr="00170566">
        <w:rPr>
          <w:rFonts w:ascii="Roboto" w:eastAsia="Times New Roman" w:hAnsi="Roboto" w:cs="Times New Roman"/>
          <w:color w:val="0000FF"/>
          <w:szCs w:val="22"/>
          <w:lang w:val="en-US" w:eastAsia="fr-FR"/>
        </w:rPr>
        <w:t>it</w:t>
      </w:r>
      <w:proofErr w:type="gramEnd"/>
      <w:r w:rsidRPr="00170566">
        <w:rPr>
          <w:rFonts w:ascii="Roboto" w:eastAsia="Times New Roman" w:hAnsi="Roboto" w:cs="Times New Roman"/>
          <w:color w:val="0000FF"/>
          <w:szCs w:val="22"/>
          <w:lang w:val="en-US" w:eastAsia="fr-FR"/>
        </w:rPr>
        <w:t xml:space="preserve"> is not possible to ask issuers to accumulate substantive work on IFRS 18 implementation and digital tagging.</w:t>
      </w:r>
    </w:p>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776AA57F"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proofErr w:type="gramStart"/>
      <w:r w:rsidRPr="00170566">
        <w:rPr>
          <w:rFonts w:ascii="Roboto" w:eastAsia="Times New Roman" w:hAnsi="Roboto" w:cs="Times New Roman"/>
          <w:b/>
          <w:bCs/>
          <w:color w:val="0000FF"/>
          <w:szCs w:val="22"/>
          <w:lang w:val="en-US" w:eastAsia="fr-FR"/>
        </w:rPr>
        <w:t>We fully agree</w:t>
      </w:r>
      <w:r w:rsidRPr="00170566">
        <w:rPr>
          <w:rFonts w:ascii="Roboto" w:eastAsia="Times New Roman" w:hAnsi="Roboto" w:cs="Times New Roman"/>
          <w:color w:val="0000FF"/>
          <w:szCs w:val="22"/>
          <w:lang w:val="en-US" w:eastAsia="fr-FR"/>
        </w:rPr>
        <w:t xml:space="preserve"> with the principle of “completeness of marking up” for text block marking up of the Notes and that each accounting policy and other explanatory note that is individually and separately identifiable in the Notes (e.g. by setting up sections, sub-sections or sub-sub-sections in a note) should be marked up with </w:t>
      </w:r>
      <w:r w:rsidRPr="00170566">
        <w:rPr>
          <w:rFonts w:ascii="Roboto" w:eastAsia="Times New Roman" w:hAnsi="Roboto" w:cs="Times New Roman"/>
          <w:b/>
          <w:bCs/>
          <w:color w:val="0000FF"/>
          <w:szCs w:val="22"/>
          <w:lang w:val="en-US" w:eastAsia="fr-FR"/>
        </w:rPr>
        <w:t>one core taxonomy element</w:t>
      </w:r>
      <w:r w:rsidRPr="00170566">
        <w:rPr>
          <w:rFonts w:ascii="Roboto" w:eastAsia="Times New Roman" w:hAnsi="Roboto" w:cs="Times New Roman"/>
          <w:color w:val="0000FF"/>
          <w:szCs w:val="22"/>
          <w:lang w:val="en-US" w:eastAsia="fr-FR"/>
        </w:rPr>
        <w:t xml:space="preserve"> that best represents the </w:t>
      </w:r>
      <w:r w:rsidRPr="00170566">
        <w:rPr>
          <w:rFonts w:ascii="Roboto" w:eastAsia="Times New Roman" w:hAnsi="Roboto" w:cs="Times New Roman"/>
          <w:b/>
          <w:bCs/>
          <w:color w:val="0000FF"/>
          <w:szCs w:val="22"/>
          <w:lang w:val="en-US" w:eastAsia="fr-FR"/>
        </w:rPr>
        <w:t>closest/narrowest accounting meaning and/or scope</w:t>
      </w:r>
      <w:r w:rsidRPr="00170566">
        <w:rPr>
          <w:rFonts w:ascii="Roboto" w:eastAsia="Times New Roman" w:hAnsi="Roboto" w:cs="Times New Roman"/>
          <w:color w:val="0000FF"/>
          <w:szCs w:val="22"/>
          <w:lang w:val="en-US" w:eastAsia="fr-FR"/>
        </w:rPr>
        <w:t xml:space="preserve">, avoiding over-marking up and </w:t>
      </w:r>
      <w:proofErr w:type="spellStart"/>
      <w:r w:rsidRPr="00170566">
        <w:rPr>
          <w:rFonts w:ascii="Roboto" w:eastAsia="Times New Roman" w:hAnsi="Roboto" w:cs="Times New Roman"/>
          <w:color w:val="0000FF"/>
          <w:szCs w:val="22"/>
          <w:lang w:val="en-US" w:eastAsia="fr-FR"/>
        </w:rPr>
        <w:t>minimising</w:t>
      </w:r>
      <w:proofErr w:type="spellEnd"/>
      <w:r w:rsidRPr="00170566">
        <w:rPr>
          <w:rFonts w:ascii="Roboto" w:eastAsia="Times New Roman" w:hAnsi="Roboto" w:cs="Times New Roman"/>
          <w:color w:val="0000FF"/>
          <w:szCs w:val="22"/>
          <w:lang w:val="en-US" w:eastAsia="fr-FR"/>
        </w:rPr>
        <w:t xml:space="preserve"> nested- or multi-marking up.</w:t>
      </w:r>
      <w:proofErr w:type="gramEnd"/>
    </w:p>
    <w:p w14:paraId="515BE4E2" w14:textId="77777777"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4D6893BC"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xml:space="preserve">However, </w:t>
      </w:r>
      <w:r w:rsidRPr="00170566">
        <w:rPr>
          <w:rFonts w:ascii="Roboto" w:eastAsia="Times New Roman" w:hAnsi="Roboto" w:cs="Times New Roman"/>
          <w:b/>
          <w:bCs/>
          <w:color w:val="0000FF"/>
          <w:szCs w:val="22"/>
          <w:lang w:val="en-US" w:eastAsia="fr-FR"/>
        </w:rPr>
        <w:t>we disagree</w:t>
      </w:r>
      <w:r w:rsidRPr="00170566">
        <w:rPr>
          <w:rFonts w:ascii="Roboto" w:eastAsia="Times New Roman" w:hAnsi="Roboto" w:cs="Times New Roman"/>
          <w:color w:val="0000FF"/>
          <w:szCs w:val="22"/>
          <w:lang w:val="en-US" w:eastAsia="fr-FR"/>
        </w:rPr>
        <w:t xml:space="preserve"> with </w:t>
      </w:r>
      <w:r w:rsidRPr="00170566">
        <w:rPr>
          <w:rFonts w:ascii="Roboto" w:eastAsia="Times New Roman" w:hAnsi="Roboto" w:cs="Times New Roman"/>
          <w:b/>
          <w:bCs/>
          <w:color w:val="0000FF"/>
          <w:szCs w:val="22"/>
          <w:lang w:val="en-US" w:eastAsia="fr-FR"/>
        </w:rPr>
        <w:t>separate and individual marking-up of each table</w:t>
      </w:r>
      <w:r w:rsidRPr="00170566">
        <w:rPr>
          <w:rFonts w:ascii="Roboto" w:eastAsia="Times New Roman" w:hAnsi="Roboto" w:cs="Times New Roman"/>
          <w:color w:val="0000FF"/>
          <w:szCs w:val="22"/>
          <w:lang w:val="en-US" w:eastAsia="fr-FR"/>
        </w:rPr>
        <w:t xml:space="preserve"> disclosed in the Notes. We do not understand the </w:t>
      </w:r>
      <w:proofErr w:type="gramStart"/>
      <w:r w:rsidRPr="00170566">
        <w:rPr>
          <w:rFonts w:ascii="Roboto" w:eastAsia="Times New Roman" w:hAnsi="Roboto" w:cs="Times New Roman"/>
          <w:color w:val="0000FF"/>
          <w:szCs w:val="22"/>
          <w:lang w:val="en-US" w:eastAsia="fr-FR"/>
        </w:rPr>
        <w:t>added value</w:t>
      </w:r>
      <w:proofErr w:type="gramEnd"/>
      <w:r w:rsidRPr="00170566">
        <w:rPr>
          <w:rFonts w:ascii="Roboto" w:eastAsia="Times New Roman" w:hAnsi="Roboto" w:cs="Times New Roman"/>
          <w:color w:val="0000FF"/>
          <w:szCs w:val="22"/>
          <w:lang w:val="en-US" w:eastAsia="fr-FR"/>
        </w:rPr>
        <w:t xml:space="preserve"> of this additional mark-up: as explained in the answer to question 15, Notes to financial statements rarely include anything else than tables and text and both should be read together. From a technical standpoint, it is already required that the structure of the table be reproduced and readable in the XBRL tag. </w:t>
      </w:r>
      <w:proofErr w:type="gramStart"/>
      <w:r w:rsidRPr="00170566">
        <w:rPr>
          <w:rFonts w:ascii="Roboto" w:eastAsia="Times New Roman" w:hAnsi="Roboto" w:cs="Times New Roman"/>
          <w:color w:val="0000FF"/>
          <w:szCs w:val="22"/>
          <w:lang w:val="en-US" w:eastAsia="fr-FR"/>
        </w:rPr>
        <w:t>This requirement is already taken into account by software editors</w:t>
      </w:r>
      <w:proofErr w:type="gramEnd"/>
      <w:r w:rsidRPr="00170566">
        <w:rPr>
          <w:rFonts w:ascii="Roboto" w:eastAsia="Times New Roman" w:hAnsi="Roboto" w:cs="Times New Roman"/>
          <w:color w:val="0000FF"/>
          <w:szCs w:val="22"/>
          <w:lang w:val="en-US" w:eastAsia="fr-FR"/>
        </w:rPr>
        <w:t xml:space="preserve"> and if it is not, it should be considered rather as a limitation </w:t>
      </w:r>
      <w:r w:rsidRPr="00170566">
        <w:rPr>
          <w:rFonts w:ascii="Roboto" w:eastAsia="Times New Roman" w:hAnsi="Roboto" w:cs="Times New Roman"/>
          <w:color w:val="0000FF"/>
          <w:szCs w:val="22"/>
          <w:lang w:val="en-US" w:eastAsia="fr-FR"/>
        </w:rPr>
        <w:lastRenderedPageBreak/>
        <w:t xml:space="preserve">of certain tools than an argument in </w:t>
      </w:r>
      <w:proofErr w:type="spellStart"/>
      <w:r w:rsidRPr="00170566">
        <w:rPr>
          <w:rFonts w:ascii="Roboto" w:eastAsia="Times New Roman" w:hAnsi="Roboto" w:cs="Times New Roman"/>
          <w:color w:val="0000FF"/>
          <w:szCs w:val="22"/>
          <w:lang w:val="en-US" w:eastAsia="fr-FR"/>
        </w:rPr>
        <w:t>favour</w:t>
      </w:r>
      <w:proofErr w:type="spellEnd"/>
      <w:r w:rsidRPr="00170566">
        <w:rPr>
          <w:rFonts w:ascii="Roboto" w:eastAsia="Times New Roman" w:hAnsi="Roboto" w:cs="Times New Roman"/>
          <w:color w:val="0000FF"/>
          <w:szCs w:val="22"/>
          <w:lang w:val="en-US" w:eastAsia="fr-FR"/>
        </w:rPr>
        <w:t xml:space="preserve"> of an additional separate marking-up. In addition, it is not clear with what kind of tag the tables should be marked-up. </w:t>
      </w:r>
      <w:proofErr w:type="gramStart"/>
      <w:r w:rsidRPr="00170566">
        <w:rPr>
          <w:rFonts w:ascii="Roboto" w:eastAsia="Times New Roman" w:hAnsi="Roboto" w:cs="Times New Roman"/>
          <w:color w:val="0000FF"/>
          <w:szCs w:val="22"/>
          <w:lang w:val="en-US" w:eastAsia="fr-FR"/>
        </w:rPr>
        <w:t>It is also noted in § 158 (b) of the section 6.2.2 of the Consultation that relationships should be created “between the marked up tables and the corresponding XBRL elements in the primary  financial statements”: such a requirement, as well as other technical requirements (type of tag, style attributes etc.), should be technically tested via appropriate field tests, which, as far as we understand, have not been conducted with respect to these modifications.</w:t>
      </w:r>
      <w:proofErr w:type="gramEnd"/>
    </w:p>
    <w:p w14:paraId="67777331" w14:textId="77777777" w:rsidR="00170566" w:rsidRDefault="00170566" w:rsidP="00170566">
      <w:pPr>
        <w:spacing w:after="0"/>
        <w:rPr>
          <w:rFonts w:ascii="Roboto" w:eastAsia="Times New Roman" w:hAnsi="Roboto" w:cs="Times New Roman"/>
          <w:color w:val="0000FF"/>
          <w:szCs w:val="22"/>
          <w:lang w:val="en-US" w:eastAsia="fr-FR"/>
        </w:rPr>
      </w:pPr>
      <w:r w:rsidRPr="00170566">
        <w:rPr>
          <w:rFonts w:ascii="Times New Roman" w:eastAsia="Times New Roman" w:hAnsi="Times New Roman" w:cs="Times New Roman"/>
          <w:color w:val="auto"/>
          <w:sz w:val="24"/>
          <w:szCs w:val="24"/>
          <w:lang w:val="en-US" w:eastAsia="fr-FR"/>
        </w:rPr>
        <w:br/>
      </w:r>
      <w:r w:rsidRPr="00170566">
        <w:rPr>
          <w:rFonts w:ascii="Roboto" w:eastAsia="Times New Roman" w:hAnsi="Roboto" w:cs="Times New Roman"/>
          <w:color w:val="0000FF"/>
          <w:szCs w:val="22"/>
          <w:lang w:val="en-US" w:eastAsia="fr-FR"/>
        </w:rPr>
        <w:t xml:space="preserve">Furthermore, it is also noted in the same section of the </w:t>
      </w:r>
      <w:proofErr w:type="gramStart"/>
      <w:r w:rsidRPr="00170566">
        <w:rPr>
          <w:rFonts w:ascii="Roboto" w:eastAsia="Times New Roman" w:hAnsi="Roboto" w:cs="Times New Roman"/>
          <w:color w:val="0000FF"/>
          <w:szCs w:val="22"/>
          <w:lang w:val="en-US" w:eastAsia="fr-FR"/>
        </w:rPr>
        <w:t>Consultation that</w:t>
      </w:r>
      <w:proofErr w:type="gramEnd"/>
      <w:r w:rsidRPr="00170566">
        <w:rPr>
          <w:rFonts w:ascii="Roboto" w:eastAsia="Times New Roman" w:hAnsi="Roboto" w:cs="Times New Roman"/>
          <w:color w:val="0000FF"/>
          <w:szCs w:val="22"/>
          <w:lang w:val="en-US" w:eastAsia="fr-FR"/>
        </w:rPr>
        <w:t xml:space="preserve"> “issuers will need to carefully structure their Notes to the IFRS consolidated financial statements to provide relevant and meaningful sub-headings that encapsulate the underlying disclosures. This will facilitate both the process of marking up … and the overall usability of the text blocks by end-users…</w:t>
      </w:r>
      <w:proofErr w:type="gramStart"/>
      <w:r w:rsidRPr="00170566">
        <w:rPr>
          <w:rFonts w:ascii="Roboto" w:eastAsia="Times New Roman" w:hAnsi="Roboto" w:cs="Times New Roman"/>
          <w:color w:val="0000FF"/>
          <w:szCs w:val="22"/>
          <w:lang w:val="en-US" w:eastAsia="fr-FR"/>
        </w:rPr>
        <w:t>”.</w:t>
      </w:r>
      <w:proofErr w:type="gramEnd"/>
      <w:r w:rsidRPr="00170566">
        <w:rPr>
          <w:rFonts w:ascii="Roboto" w:eastAsia="Times New Roman" w:hAnsi="Roboto" w:cs="Times New Roman"/>
          <w:color w:val="0000FF"/>
          <w:szCs w:val="22"/>
          <w:lang w:val="en-US" w:eastAsia="fr-FR"/>
        </w:rPr>
        <w:t xml:space="preserve"> We insist again that digital tagging in itself </w:t>
      </w:r>
      <w:r w:rsidRPr="00170566">
        <w:rPr>
          <w:rFonts w:ascii="Roboto" w:eastAsia="Times New Roman" w:hAnsi="Roboto" w:cs="Times New Roman"/>
          <w:b/>
          <w:bCs/>
          <w:color w:val="0000FF"/>
          <w:szCs w:val="22"/>
          <w:lang w:val="en-US" w:eastAsia="fr-FR"/>
        </w:rPr>
        <w:t>should not be a dissimulated way to create obligations of structuring the financial statements and/or Notes in a particular way</w:t>
      </w:r>
      <w:r w:rsidRPr="00170566">
        <w:rPr>
          <w:rFonts w:ascii="Roboto" w:eastAsia="Times New Roman" w:hAnsi="Roboto" w:cs="Times New Roman"/>
          <w:color w:val="0000FF"/>
          <w:szCs w:val="22"/>
          <w:lang w:val="en-US" w:eastAsia="fr-FR"/>
        </w:rPr>
        <w:t xml:space="preserve">. This is rather the objective of IFRS 18, which, as mentioned above, will have an important impact on the structure of the Primary Financial Statements and Notes. Stabilization in the application of these new requirements </w:t>
      </w:r>
      <w:proofErr w:type="gramStart"/>
      <w:r w:rsidRPr="00170566">
        <w:rPr>
          <w:rFonts w:ascii="Roboto" w:eastAsia="Times New Roman" w:hAnsi="Roboto" w:cs="Times New Roman"/>
          <w:color w:val="0000FF"/>
          <w:szCs w:val="22"/>
          <w:lang w:val="en-US" w:eastAsia="fr-FR"/>
        </w:rPr>
        <w:t>should be achieved</w:t>
      </w:r>
      <w:proofErr w:type="gramEnd"/>
      <w:r w:rsidRPr="00170566">
        <w:rPr>
          <w:rFonts w:ascii="Roboto" w:eastAsia="Times New Roman" w:hAnsi="Roboto" w:cs="Times New Roman"/>
          <w:color w:val="0000FF"/>
          <w:szCs w:val="22"/>
          <w:lang w:val="en-US" w:eastAsia="fr-FR"/>
        </w:rPr>
        <w:t xml:space="preserve"> before asking for any further modifications of tagging requirements and rules, and two projects cannot be reasonably expected to be conducted at the same time. </w:t>
      </w:r>
    </w:p>
    <w:p w14:paraId="7BCCC53D" w14:textId="6E3AF936" w:rsidR="006A64ED" w:rsidRPr="00AF763D" w:rsidRDefault="006A64ED" w:rsidP="00170566">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w:t>
      </w:r>
      <w:proofErr w:type="gramStart"/>
      <w:r w:rsidRPr="006A64ED">
        <w:rPr>
          <w:rFonts w:eastAsia="Times New Roman"/>
          <w:color w:val="auto"/>
          <w:szCs w:val="22"/>
          <w:lang w:eastAsia="en-GB"/>
        </w:rPr>
        <w:t>added value</w:t>
      </w:r>
      <w:proofErr w:type="gramEnd"/>
      <w:r w:rsidRPr="006A64ED">
        <w:rPr>
          <w:rFonts w:eastAsia="Times New Roman"/>
          <w:color w:val="auto"/>
          <w:szCs w:val="22"/>
          <w:lang w:eastAsia="en-GB"/>
        </w:rPr>
        <w:t xml:space="preserv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w:t>
      </w:r>
      <w:proofErr w:type="gramStart"/>
      <w:r w:rsidRPr="006A64ED">
        <w:rPr>
          <w:rFonts w:eastAsia="Times New Roman"/>
          <w:color w:val="auto"/>
          <w:szCs w:val="22"/>
          <w:lang w:eastAsia="en-GB"/>
        </w:rPr>
        <w:t>added value</w:t>
      </w:r>
      <w:proofErr w:type="gramEnd"/>
      <w:r w:rsidRPr="006A64ED">
        <w:rPr>
          <w:rFonts w:eastAsia="Times New Roman"/>
          <w:color w:val="auto"/>
          <w:szCs w:val="22"/>
          <w:lang w:eastAsia="en-GB"/>
        </w:rPr>
        <w:t xml:space="preserv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60BA8D89"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b/>
          <w:bCs/>
          <w:color w:val="0000FF"/>
          <w:szCs w:val="22"/>
          <w:lang w:val="en-US" w:eastAsia="fr-FR"/>
        </w:rPr>
        <w:t>We strongly disagree</w:t>
      </w:r>
      <w:r w:rsidRPr="00170566">
        <w:rPr>
          <w:rFonts w:ascii="Roboto" w:eastAsia="Times New Roman" w:hAnsi="Roboto" w:cs="Times New Roman"/>
          <w:color w:val="0000FF"/>
          <w:szCs w:val="22"/>
          <w:lang w:val="en-US" w:eastAsia="fr-FR"/>
        </w:rPr>
        <w:t xml:space="preserve"> with the content outlined in phase two for the reasons mentioned in the answers to questions 15 and 16. </w:t>
      </w:r>
      <w:proofErr w:type="gramStart"/>
      <w:r w:rsidRPr="00170566">
        <w:rPr>
          <w:rFonts w:ascii="Roboto" w:eastAsia="Times New Roman" w:hAnsi="Roboto" w:cs="Times New Roman"/>
          <w:color w:val="0000FF"/>
          <w:szCs w:val="22"/>
          <w:lang w:val="en-US" w:eastAsia="fr-FR"/>
        </w:rPr>
        <w:t xml:space="preserve">To summarize the arguments highlighted above, detailed marking up of all numeric items in the Notes to the IFRS consolidated financial statements, including all figures in a declared currency within the tables will require a </w:t>
      </w:r>
      <w:r w:rsidRPr="00170566">
        <w:rPr>
          <w:rFonts w:ascii="Roboto" w:eastAsia="Times New Roman" w:hAnsi="Roboto" w:cs="Times New Roman"/>
          <w:b/>
          <w:bCs/>
          <w:color w:val="0000FF"/>
          <w:szCs w:val="22"/>
          <w:lang w:val="en-US" w:eastAsia="fr-FR"/>
        </w:rPr>
        <w:t>very complex and time consuming work for all issuers</w:t>
      </w:r>
      <w:r w:rsidRPr="00170566">
        <w:rPr>
          <w:rFonts w:ascii="Roboto" w:eastAsia="Times New Roman" w:hAnsi="Roboto" w:cs="Times New Roman"/>
          <w:color w:val="0000FF"/>
          <w:szCs w:val="22"/>
          <w:lang w:val="en-US" w:eastAsia="fr-FR"/>
        </w:rPr>
        <w:t xml:space="preserve">, with an additional complexity of tagging </w:t>
      </w:r>
      <w:proofErr w:type="spellStart"/>
      <w:r w:rsidRPr="00170566">
        <w:rPr>
          <w:rFonts w:ascii="Roboto" w:eastAsia="Times New Roman" w:hAnsi="Roboto" w:cs="Times New Roman"/>
          <w:color w:val="0000FF"/>
          <w:szCs w:val="22"/>
          <w:lang w:val="en-US" w:eastAsia="fr-FR"/>
        </w:rPr>
        <w:t>multidimensions</w:t>
      </w:r>
      <w:proofErr w:type="spellEnd"/>
      <w:r w:rsidRPr="00170566">
        <w:rPr>
          <w:rFonts w:ascii="Roboto" w:eastAsia="Times New Roman" w:hAnsi="Roboto" w:cs="Times New Roman"/>
          <w:color w:val="0000FF"/>
          <w:szCs w:val="22"/>
          <w:lang w:val="en-US" w:eastAsia="fr-FR"/>
        </w:rPr>
        <w:t xml:space="preserve"> items like tables (with line items and axis/members dimensions), with, as expressed above, </w:t>
      </w:r>
      <w:r w:rsidRPr="00170566">
        <w:rPr>
          <w:rFonts w:ascii="Roboto" w:eastAsia="Times New Roman" w:hAnsi="Roboto" w:cs="Times New Roman"/>
          <w:b/>
          <w:bCs/>
          <w:color w:val="0000FF"/>
          <w:szCs w:val="22"/>
          <w:lang w:val="en-US" w:eastAsia="fr-FR"/>
        </w:rPr>
        <w:t>no proven added value</w:t>
      </w:r>
      <w:r w:rsidRPr="00170566">
        <w:rPr>
          <w:rFonts w:ascii="Roboto" w:eastAsia="Times New Roman" w:hAnsi="Roboto" w:cs="Times New Roman"/>
          <w:color w:val="0000FF"/>
          <w:szCs w:val="22"/>
          <w:lang w:val="en-US" w:eastAsia="fr-FR"/>
        </w:rPr>
        <w:t>. </w:t>
      </w:r>
      <w:proofErr w:type="gramEnd"/>
    </w:p>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1FD9FFB3"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xml:space="preserve">It is not clear in which phase (phase one or two) this mandatory list </w:t>
      </w:r>
      <w:proofErr w:type="gramStart"/>
      <w:r w:rsidRPr="00170566">
        <w:rPr>
          <w:rFonts w:ascii="Roboto" w:eastAsia="Times New Roman" w:hAnsi="Roboto" w:cs="Times New Roman"/>
          <w:color w:val="0000FF"/>
          <w:szCs w:val="22"/>
          <w:lang w:val="en-US" w:eastAsia="fr-FR"/>
        </w:rPr>
        <w:t>is proposed to be deleted</w:t>
      </w:r>
      <w:proofErr w:type="gramEnd"/>
      <w:r w:rsidRPr="00170566">
        <w:rPr>
          <w:rFonts w:ascii="Roboto" w:eastAsia="Times New Roman" w:hAnsi="Roboto" w:cs="Times New Roman"/>
          <w:color w:val="0000FF"/>
          <w:szCs w:val="22"/>
          <w:lang w:val="en-US" w:eastAsia="fr-FR"/>
        </w:rPr>
        <w:t xml:space="preserve">. Although the use of full IFRS taxonomy might be more consistent with the principle of the closest accounting meaning than a list of items selected in a </w:t>
      </w:r>
      <w:proofErr w:type="gramStart"/>
      <w:r w:rsidRPr="00170566">
        <w:rPr>
          <w:rFonts w:ascii="Roboto" w:eastAsia="Times New Roman" w:hAnsi="Roboto" w:cs="Times New Roman"/>
          <w:color w:val="0000FF"/>
          <w:szCs w:val="22"/>
          <w:lang w:val="en-US" w:eastAsia="fr-FR"/>
        </w:rPr>
        <w:t>manner which</w:t>
      </w:r>
      <w:proofErr w:type="gramEnd"/>
      <w:r w:rsidRPr="00170566">
        <w:rPr>
          <w:rFonts w:ascii="Roboto" w:eastAsia="Times New Roman" w:hAnsi="Roboto" w:cs="Times New Roman"/>
          <w:color w:val="0000FF"/>
          <w:szCs w:val="22"/>
          <w:lang w:val="en-US" w:eastAsia="fr-FR"/>
        </w:rPr>
        <w:t xml:space="preserve"> might be arbitrary, the </w:t>
      </w:r>
      <w:r w:rsidRPr="00170566">
        <w:rPr>
          <w:rFonts w:ascii="Roboto" w:eastAsia="Times New Roman" w:hAnsi="Roboto" w:cs="Times New Roman"/>
          <w:b/>
          <w:bCs/>
          <w:color w:val="0000FF"/>
          <w:szCs w:val="22"/>
          <w:lang w:val="en-US" w:eastAsia="fr-FR"/>
        </w:rPr>
        <w:t>timing of such a change should be carefully considered</w:t>
      </w:r>
      <w:r w:rsidRPr="00170566">
        <w:rPr>
          <w:rFonts w:ascii="Roboto" w:eastAsia="Times New Roman" w:hAnsi="Roboto" w:cs="Times New Roman"/>
          <w:color w:val="0000FF"/>
          <w:szCs w:val="22"/>
          <w:lang w:val="en-US" w:eastAsia="fr-FR"/>
        </w:rPr>
        <w:t xml:space="preserve"> and implementing of such a modification within the phase one might not be desirable. Indeed, </w:t>
      </w:r>
      <w:r w:rsidRPr="00170566">
        <w:rPr>
          <w:rFonts w:ascii="Roboto" w:eastAsia="Times New Roman" w:hAnsi="Roboto" w:cs="Times New Roman"/>
          <w:b/>
          <w:bCs/>
          <w:color w:val="0000FF"/>
          <w:szCs w:val="22"/>
          <w:lang w:val="en-US" w:eastAsia="fr-FR"/>
        </w:rPr>
        <w:t>it may trigger a new and complete review of the mapping of Notes to the full IFRS taxonomy</w:t>
      </w:r>
      <w:r w:rsidRPr="00170566">
        <w:rPr>
          <w:rFonts w:ascii="Roboto" w:eastAsia="Times New Roman" w:hAnsi="Roboto" w:cs="Times New Roman"/>
          <w:color w:val="0000FF"/>
          <w:szCs w:val="22"/>
          <w:lang w:val="en-US" w:eastAsia="fr-FR"/>
        </w:rPr>
        <w:t>, where the auditors may put into question the concepts previously retained. We consider that a more reasonable  immediate solution (for phase one) can be the right to use a more appropriate tag from full IFRS taxonomy based on the issuer’s judgement but not an obligation to perform a full review of consistency of the tagging to the IFRS full taxonomy. </w:t>
      </w:r>
    </w:p>
    <w:p w14:paraId="0933398B" w14:textId="77777777"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0D332FDD"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xml:space="preserve">With respect to the </w:t>
      </w:r>
      <w:r w:rsidRPr="00170566">
        <w:rPr>
          <w:rFonts w:ascii="Roboto" w:eastAsia="Times New Roman" w:hAnsi="Roboto" w:cs="Times New Roman"/>
          <w:b/>
          <w:bCs/>
          <w:color w:val="0000FF"/>
          <w:szCs w:val="22"/>
          <w:lang w:val="en-US" w:eastAsia="fr-FR"/>
        </w:rPr>
        <w:t>targeted proposed list of mandatory elements</w:t>
      </w:r>
      <w:r w:rsidRPr="00170566">
        <w:rPr>
          <w:rFonts w:ascii="Roboto" w:eastAsia="Times New Roman" w:hAnsi="Roboto" w:cs="Times New Roman"/>
          <w:color w:val="0000FF"/>
          <w:szCs w:val="22"/>
          <w:lang w:val="en-US" w:eastAsia="fr-FR"/>
        </w:rPr>
        <w:t xml:space="preserve">, </w:t>
      </w:r>
      <w:r w:rsidRPr="00170566">
        <w:rPr>
          <w:rFonts w:ascii="Roboto" w:eastAsia="Times New Roman" w:hAnsi="Roboto" w:cs="Times New Roman"/>
          <w:b/>
          <w:bCs/>
          <w:color w:val="0000FF"/>
          <w:szCs w:val="22"/>
          <w:lang w:val="en-US" w:eastAsia="fr-FR"/>
        </w:rPr>
        <w:t>we agree</w:t>
      </w:r>
      <w:r w:rsidRPr="00170566">
        <w:rPr>
          <w:rFonts w:ascii="Roboto" w:eastAsia="Times New Roman" w:hAnsi="Roboto" w:cs="Times New Roman"/>
          <w:color w:val="0000FF"/>
          <w:szCs w:val="22"/>
          <w:lang w:val="en-US" w:eastAsia="fr-FR"/>
        </w:rPr>
        <w:t xml:space="preserve"> with the </w:t>
      </w:r>
      <w:r w:rsidRPr="00170566">
        <w:rPr>
          <w:rFonts w:ascii="Roboto" w:eastAsia="Times New Roman" w:hAnsi="Roboto" w:cs="Times New Roman"/>
          <w:b/>
          <w:bCs/>
          <w:color w:val="0000FF"/>
          <w:szCs w:val="22"/>
          <w:lang w:val="en-US" w:eastAsia="fr-FR"/>
        </w:rPr>
        <w:t>identification</w:t>
      </w:r>
      <w:r w:rsidRPr="00170566">
        <w:rPr>
          <w:rFonts w:ascii="Roboto" w:eastAsia="Times New Roman" w:hAnsi="Roboto" w:cs="Times New Roman"/>
          <w:color w:val="0000FF"/>
          <w:szCs w:val="22"/>
          <w:lang w:val="en-US" w:eastAsia="fr-FR"/>
        </w:rPr>
        <w:t xml:space="preserve"> elements listed in § 162 of the section 6.2.3 of the Consultation (name of reporting entity, etc.). However, </w:t>
      </w:r>
      <w:r w:rsidRPr="00170566">
        <w:rPr>
          <w:rFonts w:ascii="Roboto" w:eastAsia="Times New Roman" w:hAnsi="Roboto" w:cs="Times New Roman"/>
          <w:b/>
          <w:bCs/>
          <w:color w:val="0000FF"/>
          <w:szCs w:val="22"/>
          <w:lang w:val="en-US" w:eastAsia="fr-FR"/>
        </w:rPr>
        <w:t>we disagree</w:t>
      </w:r>
      <w:r w:rsidRPr="00170566">
        <w:rPr>
          <w:rFonts w:ascii="Roboto" w:eastAsia="Times New Roman" w:hAnsi="Roboto" w:cs="Times New Roman"/>
          <w:color w:val="0000FF"/>
          <w:szCs w:val="22"/>
          <w:lang w:val="en-US" w:eastAsia="fr-FR"/>
        </w:rPr>
        <w:t xml:space="preserve"> with the proposal stated in § 163 of the section 6.2.3 of the Consultation recommending to include “</w:t>
      </w:r>
      <w:r w:rsidRPr="00170566">
        <w:rPr>
          <w:rFonts w:ascii="Roboto" w:eastAsia="Times New Roman" w:hAnsi="Roboto" w:cs="Times New Roman"/>
          <w:b/>
          <w:bCs/>
          <w:color w:val="0000FF"/>
          <w:szCs w:val="22"/>
          <w:lang w:val="en-US" w:eastAsia="fr-FR"/>
        </w:rPr>
        <w:t>elements that are currently not required by IFRS</w:t>
      </w:r>
      <w:r w:rsidRPr="00170566">
        <w:rPr>
          <w:rFonts w:ascii="Roboto" w:eastAsia="Times New Roman" w:hAnsi="Roboto" w:cs="Times New Roman"/>
          <w:color w:val="0000FF"/>
          <w:szCs w:val="22"/>
          <w:lang w:val="en-US" w:eastAsia="fr-FR"/>
        </w:rPr>
        <w:t xml:space="preserve">”. </w:t>
      </w:r>
      <w:proofErr w:type="gramStart"/>
      <w:r w:rsidRPr="00170566">
        <w:rPr>
          <w:rFonts w:ascii="Roboto" w:eastAsia="Times New Roman" w:hAnsi="Roboto" w:cs="Times New Roman"/>
          <w:color w:val="0000FF"/>
          <w:szCs w:val="22"/>
          <w:lang w:val="en-US" w:eastAsia="fr-FR"/>
        </w:rPr>
        <w:t xml:space="preserve">We believe that </w:t>
      </w:r>
      <w:r w:rsidRPr="00170566">
        <w:rPr>
          <w:rFonts w:ascii="Roboto" w:eastAsia="Times New Roman" w:hAnsi="Roboto" w:cs="Times New Roman"/>
          <w:b/>
          <w:bCs/>
          <w:color w:val="0000FF"/>
          <w:szCs w:val="22"/>
          <w:lang w:val="en-US" w:eastAsia="fr-FR"/>
        </w:rPr>
        <w:t>taxonomy should not be used as a substitute to  normative corpus</w:t>
      </w:r>
      <w:r w:rsidRPr="00170566">
        <w:rPr>
          <w:rFonts w:ascii="Roboto" w:eastAsia="Times New Roman" w:hAnsi="Roboto" w:cs="Times New Roman"/>
          <w:color w:val="0000FF"/>
          <w:szCs w:val="22"/>
          <w:lang w:val="en-US" w:eastAsia="fr-FR"/>
        </w:rPr>
        <w:t xml:space="preserve"> and </w:t>
      </w:r>
      <w:r w:rsidRPr="00170566">
        <w:rPr>
          <w:rFonts w:ascii="Roboto" w:eastAsia="Times New Roman" w:hAnsi="Roboto" w:cs="Times New Roman"/>
          <w:b/>
          <w:bCs/>
          <w:color w:val="0000FF"/>
          <w:szCs w:val="22"/>
          <w:lang w:val="en-US" w:eastAsia="fr-FR"/>
        </w:rPr>
        <w:t>should not create additional obligations</w:t>
      </w:r>
      <w:r w:rsidRPr="00170566">
        <w:rPr>
          <w:rFonts w:ascii="Roboto" w:eastAsia="Times New Roman" w:hAnsi="Roboto" w:cs="Times New Roman"/>
          <w:color w:val="0000FF"/>
          <w:szCs w:val="22"/>
          <w:lang w:val="en-US" w:eastAsia="fr-FR"/>
        </w:rPr>
        <w:t xml:space="preserve"> which do not exist in current IFRS and/or do not belong to the Notes to the financial statements, even if some of them may constitute public information, such as the name of audit firm or type of the audit opinion.</w:t>
      </w:r>
      <w:proofErr w:type="gramEnd"/>
      <w:r w:rsidRPr="00170566">
        <w:rPr>
          <w:rFonts w:ascii="Roboto" w:eastAsia="Times New Roman" w:hAnsi="Roboto" w:cs="Times New Roman"/>
          <w:color w:val="0000FF"/>
          <w:szCs w:val="22"/>
          <w:lang w:val="en-US" w:eastAsia="fr-FR"/>
        </w:rPr>
        <w:t xml:space="preserve"> Finally, </w:t>
      </w:r>
      <w:r w:rsidRPr="00170566">
        <w:rPr>
          <w:rFonts w:ascii="Roboto" w:eastAsia="Times New Roman" w:hAnsi="Roboto" w:cs="Times New Roman"/>
          <w:b/>
          <w:bCs/>
          <w:color w:val="0000FF"/>
          <w:szCs w:val="22"/>
          <w:lang w:val="en-US" w:eastAsia="fr-FR"/>
        </w:rPr>
        <w:t>we strongly disagree</w:t>
      </w:r>
      <w:r w:rsidRPr="00170566">
        <w:rPr>
          <w:rFonts w:ascii="Roboto" w:eastAsia="Times New Roman" w:hAnsi="Roboto" w:cs="Times New Roman"/>
          <w:color w:val="0000FF"/>
          <w:szCs w:val="22"/>
          <w:lang w:val="en-US" w:eastAsia="fr-FR"/>
        </w:rPr>
        <w:t xml:space="preserve"> with the proposal of marking up the </w:t>
      </w:r>
      <w:proofErr w:type="gramStart"/>
      <w:r w:rsidRPr="00170566">
        <w:rPr>
          <w:rFonts w:ascii="Roboto" w:eastAsia="Times New Roman" w:hAnsi="Roboto" w:cs="Times New Roman"/>
          <w:color w:val="0000FF"/>
          <w:szCs w:val="22"/>
          <w:lang w:val="en-US" w:eastAsia="fr-FR"/>
        </w:rPr>
        <w:t>information which</w:t>
      </w:r>
      <w:proofErr w:type="gramEnd"/>
      <w:r w:rsidRPr="00170566">
        <w:rPr>
          <w:rFonts w:ascii="Roboto" w:eastAsia="Times New Roman" w:hAnsi="Roboto" w:cs="Times New Roman"/>
          <w:color w:val="0000FF"/>
          <w:szCs w:val="22"/>
          <w:lang w:val="en-US" w:eastAsia="fr-FR"/>
        </w:rPr>
        <w:t xml:space="preserve"> is </w:t>
      </w:r>
      <w:r w:rsidRPr="00170566">
        <w:rPr>
          <w:rFonts w:ascii="Roboto" w:eastAsia="Times New Roman" w:hAnsi="Roboto" w:cs="Times New Roman"/>
          <w:b/>
          <w:bCs/>
          <w:color w:val="0000FF"/>
          <w:szCs w:val="22"/>
          <w:lang w:val="en-US" w:eastAsia="fr-FR"/>
        </w:rPr>
        <w:t>not required to be made public</w:t>
      </w:r>
      <w:r w:rsidRPr="00170566">
        <w:rPr>
          <w:rFonts w:ascii="Roboto" w:eastAsia="Times New Roman" w:hAnsi="Roboto" w:cs="Times New Roman"/>
          <w:color w:val="0000FF"/>
          <w:szCs w:val="22"/>
          <w:lang w:val="en-US" w:eastAsia="fr-FR"/>
        </w:rPr>
        <w:t xml:space="preserve"> by any legal requirement such as the name of software used to produce the report.</w:t>
      </w:r>
    </w:p>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w:t>
      </w:r>
      <w:proofErr w:type="gramStart"/>
      <w:r w:rsidRPr="006A64ED">
        <w:rPr>
          <w:rFonts w:eastAsia="Times New Roman"/>
          <w:color w:val="auto"/>
          <w:szCs w:val="22"/>
          <w:lang w:eastAsia="en-GB"/>
        </w:rPr>
        <w:t>should be removed or added</w:t>
      </w:r>
      <w:proofErr w:type="gramEnd"/>
      <w:r w:rsidRPr="006A64ED">
        <w:rPr>
          <w:rFonts w:eastAsia="Times New Roman"/>
          <w:color w:val="auto"/>
          <w:szCs w:val="22"/>
          <w:lang w:eastAsia="en-GB"/>
        </w:rPr>
        <w:t xml:space="preserve">.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08F93690" w14:textId="77777777" w:rsidR="00170566" w:rsidRDefault="00170566" w:rsidP="006A64ED">
      <w:pPr>
        <w:spacing w:after="0"/>
        <w:rPr>
          <w:rFonts w:ascii="Roboto" w:hAnsi="Roboto"/>
          <w:color w:val="0000FF"/>
          <w:szCs w:val="22"/>
        </w:rPr>
      </w:pPr>
      <w:r>
        <w:rPr>
          <w:rFonts w:ascii="Roboto" w:hAnsi="Roboto"/>
          <w:color w:val="0000FF"/>
          <w:szCs w:val="22"/>
        </w:rPr>
        <w:t>See answer to question 19 above.</w:t>
      </w:r>
    </w:p>
    <w:p w14:paraId="0CE7923A" w14:textId="5257AF9F"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4635E741"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xml:space="preserve">We believe that </w:t>
      </w:r>
      <w:r w:rsidRPr="00170566">
        <w:rPr>
          <w:rFonts w:ascii="Roboto" w:eastAsia="Times New Roman" w:hAnsi="Roboto" w:cs="Times New Roman"/>
          <w:b/>
          <w:bCs/>
          <w:color w:val="0000FF"/>
          <w:szCs w:val="22"/>
          <w:lang w:val="en-US" w:eastAsia="fr-FR"/>
        </w:rPr>
        <w:t>rules for creation of extensions</w:t>
      </w:r>
      <w:r w:rsidRPr="00170566">
        <w:rPr>
          <w:rFonts w:ascii="Roboto" w:eastAsia="Times New Roman" w:hAnsi="Roboto" w:cs="Times New Roman"/>
          <w:color w:val="0000FF"/>
          <w:szCs w:val="22"/>
          <w:lang w:val="en-US" w:eastAsia="fr-FR"/>
        </w:rPr>
        <w:t xml:space="preserve"> should be the </w:t>
      </w:r>
      <w:r w:rsidRPr="00170566">
        <w:rPr>
          <w:rFonts w:ascii="Roboto" w:eastAsia="Times New Roman" w:hAnsi="Roboto" w:cs="Times New Roman"/>
          <w:b/>
          <w:bCs/>
          <w:color w:val="0000FF"/>
          <w:szCs w:val="22"/>
          <w:lang w:val="en-US" w:eastAsia="fr-FR"/>
        </w:rPr>
        <w:t>same as those for Primary Financial Statements</w:t>
      </w:r>
      <w:r w:rsidRPr="00170566">
        <w:rPr>
          <w:rFonts w:ascii="Roboto" w:eastAsia="Times New Roman" w:hAnsi="Roboto" w:cs="Times New Roman"/>
          <w:color w:val="0000FF"/>
          <w:szCs w:val="22"/>
          <w:lang w:val="en-US" w:eastAsia="fr-FR"/>
        </w:rPr>
        <w:t xml:space="preserve">. We consider that there is </w:t>
      </w:r>
      <w:r w:rsidRPr="00170566">
        <w:rPr>
          <w:rFonts w:ascii="Roboto" w:eastAsia="Times New Roman" w:hAnsi="Roboto" w:cs="Times New Roman"/>
          <w:b/>
          <w:bCs/>
          <w:color w:val="0000FF"/>
          <w:szCs w:val="22"/>
          <w:lang w:val="en-US" w:eastAsia="fr-FR"/>
        </w:rPr>
        <w:t>no reason</w:t>
      </w:r>
      <w:r w:rsidRPr="00170566">
        <w:rPr>
          <w:rFonts w:ascii="Roboto" w:eastAsia="Times New Roman" w:hAnsi="Roboto" w:cs="Times New Roman"/>
          <w:color w:val="0000FF"/>
          <w:szCs w:val="22"/>
          <w:lang w:val="en-US" w:eastAsia="fr-FR"/>
        </w:rPr>
        <w:t xml:space="preserve"> for such rules for the Notes to be </w:t>
      </w:r>
      <w:r w:rsidRPr="00170566">
        <w:rPr>
          <w:rFonts w:ascii="Roboto" w:eastAsia="Times New Roman" w:hAnsi="Roboto" w:cs="Times New Roman"/>
          <w:b/>
          <w:bCs/>
          <w:color w:val="0000FF"/>
          <w:szCs w:val="22"/>
          <w:lang w:val="en-US" w:eastAsia="fr-FR"/>
        </w:rPr>
        <w:t>more restrictive</w:t>
      </w:r>
      <w:r w:rsidRPr="00170566">
        <w:rPr>
          <w:rFonts w:ascii="Roboto" w:eastAsia="Times New Roman" w:hAnsi="Roboto" w:cs="Times New Roman"/>
          <w:color w:val="0000FF"/>
          <w:szCs w:val="22"/>
          <w:lang w:val="en-US" w:eastAsia="fr-FR"/>
        </w:rPr>
        <w:t xml:space="preserve"> compared to the rules with respect to Primary Financial Statements. The issuers should be able to create extensions for Notes if they consider the creation of such extensions relevant. Imposing additional restrictions for creation of extensions </w:t>
      </w:r>
      <w:r w:rsidRPr="00170566">
        <w:rPr>
          <w:rFonts w:ascii="Roboto" w:eastAsia="Times New Roman" w:hAnsi="Roboto" w:cs="Times New Roman"/>
          <w:b/>
          <w:bCs/>
          <w:color w:val="0000FF"/>
          <w:szCs w:val="22"/>
          <w:lang w:val="en-US" w:eastAsia="fr-FR"/>
        </w:rPr>
        <w:t>should not be a dissimulated way to create obligations of structuring the financial statements and/or Notes in a particular way</w:t>
      </w:r>
      <w:r w:rsidRPr="00170566">
        <w:rPr>
          <w:rFonts w:ascii="Roboto" w:eastAsia="Times New Roman" w:hAnsi="Roboto" w:cs="Times New Roman"/>
          <w:color w:val="0000FF"/>
          <w:szCs w:val="22"/>
          <w:lang w:val="en-US" w:eastAsia="fr-FR"/>
        </w:rPr>
        <w:t>. </w:t>
      </w:r>
    </w:p>
    <w:p w14:paraId="4B4018F0" w14:textId="77777777" w:rsidR="00170566" w:rsidRDefault="00170566" w:rsidP="00170566">
      <w:pPr>
        <w:spacing w:after="0"/>
        <w:rPr>
          <w:rFonts w:ascii="Roboto" w:eastAsia="Times New Roman" w:hAnsi="Roboto" w:cs="Times New Roman"/>
          <w:color w:val="0000FF"/>
          <w:szCs w:val="22"/>
          <w:lang w:val="en-US" w:eastAsia="fr-FR"/>
        </w:rPr>
      </w:pPr>
      <w:r w:rsidRPr="00170566">
        <w:rPr>
          <w:rFonts w:ascii="Times New Roman" w:eastAsia="Times New Roman" w:hAnsi="Times New Roman" w:cs="Times New Roman"/>
          <w:color w:val="auto"/>
          <w:sz w:val="24"/>
          <w:szCs w:val="24"/>
          <w:lang w:val="en-US" w:eastAsia="fr-FR"/>
        </w:rPr>
        <w:br/>
      </w:r>
      <w:r w:rsidRPr="00170566">
        <w:rPr>
          <w:rFonts w:ascii="Roboto" w:eastAsia="Times New Roman" w:hAnsi="Roboto" w:cs="Times New Roman"/>
          <w:b/>
          <w:bCs/>
          <w:color w:val="0000FF"/>
          <w:szCs w:val="22"/>
          <w:lang w:val="en-US" w:eastAsia="fr-FR"/>
        </w:rPr>
        <w:t>We agree</w:t>
      </w:r>
      <w:r w:rsidRPr="00170566">
        <w:rPr>
          <w:rFonts w:ascii="Roboto" w:eastAsia="Times New Roman" w:hAnsi="Roboto" w:cs="Times New Roman"/>
          <w:color w:val="0000FF"/>
          <w:szCs w:val="22"/>
          <w:lang w:val="en-US" w:eastAsia="fr-FR"/>
        </w:rPr>
        <w:t xml:space="preserve"> with the proposal to </w:t>
      </w:r>
      <w:r w:rsidRPr="00170566">
        <w:rPr>
          <w:rFonts w:ascii="Roboto" w:eastAsia="Times New Roman" w:hAnsi="Roboto" w:cs="Times New Roman"/>
          <w:b/>
          <w:bCs/>
          <w:color w:val="0000FF"/>
          <w:szCs w:val="22"/>
          <w:lang w:val="en-US" w:eastAsia="fr-FR"/>
        </w:rPr>
        <w:t>anchor</w:t>
      </w:r>
      <w:r w:rsidRPr="00170566">
        <w:rPr>
          <w:rFonts w:ascii="Roboto" w:eastAsia="Times New Roman" w:hAnsi="Roboto" w:cs="Times New Roman"/>
          <w:color w:val="0000FF"/>
          <w:szCs w:val="22"/>
          <w:lang w:val="en-US" w:eastAsia="fr-FR"/>
        </w:rPr>
        <w:t xml:space="preserve"> the extensions, </w:t>
      </w:r>
      <w:proofErr w:type="gramStart"/>
      <w:r w:rsidRPr="00170566">
        <w:rPr>
          <w:rFonts w:ascii="Roboto" w:eastAsia="Times New Roman" w:hAnsi="Roboto" w:cs="Times New Roman"/>
          <w:color w:val="0000FF"/>
          <w:szCs w:val="22"/>
          <w:lang w:val="en-US" w:eastAsia="fr-FR"/>
        </w:rPr>
        <w:t>like</w:t>
      </w:r>
      <w:proofErr w:type="gramEnd"/>
      <w:r w:rsidRPr="00170566">
        <w:rPr>
          <w:rFonts w:ascii="Roboto" w:eastAsia="Times New Roman" w:hAnsi="Roboto" w:cs="Times New Roman"/>
          <w:color w:val="0000FF"/>
          <w:szCs w:val="22"/>
          <w:lang w:val="en-US" w:eastAsia="fr-FR"/>
        </w:rPr>
        <w:t xml:space="preserve"> it is already required in Primary Financial Statements.</w:t>
      </w:r>
    </w:p>
    <w:p w14:paraId="718094A9" w14:textId="689C323C" w:rsidR="006A64ED" w:rsidRPr="00AF763D" w:rsidRDefault="006A64ED" w:rsidP="00170566">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333DB66A"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xml:space="preserve">It is not very clear what exactly the role of ESMA would be and what will be the legal framework under which it </w:t>
      </w:r>
      <w:proofErr w:type="gramStart"/>
      <w:r w:rsidRPr="00170566">
        <w:rPr>
          <w:rFonts w:ascii="Roboto" w:eastAsia="Times New Roman" w:hAnsi="Roboto" w:cs="Times New Roman"/>
          <w:color w:val="0000FF"/>
          <w:szCs w:val="22"/>
          <w:lang w:val="en-US" w:eastAsia="fr-FR"/>
        </w:rPr>
        <w:t>will be realized</w:t>
      </w:r>
      <w:proofErr w:type="gramEnd"/>
      <w:r w:rsidRPr="00170566">
        <w:rPr>
          <w:rFonts w:ascii="Roboto" w:eastAsia="Times New Roman" w:hAnsi="Roboto" w:cs="Times New Roman"/>
          <w:color w:val="0000FF"/>
          <w:szCs w:val="22"/>
          <w:lang w:val="en-US" w:eastAsia="fr-FR"/>
        </w:rPr>
        <w:t xml:space="preserve">. It </w:t>
      </w:r>
      <w:proofErr w:type="gramStart"/>
      <w:r w:rsidRPr="00170566">
        <w:rPr>
          <w:rFonts w:ascii="Roboto" w:eastAsia="Times New Roman" w:hAnsi="Roboto" w:cs="Times New Roman"/>
          <w:color w:val="0000FF"/>
          <w:szCs w:val="22"/>
          <w:lang w:val="en-US" w:eastAsia="fr-FR"/>
        </w:rPr>
        <w:t>is specifically recognized</w:t>
      </w:r>
      <w:proofErr w:type="gramEnd"/>
      <w:r w:rsidRPr="00170566">
        <w:rPr>
          <w:rFonts w:ascii="Roboto" w:eastAsia="Times New Roman" w:hAnsi="Roboto" w:cs="Times New Roman"/>
          <w:color w:val="0000FF"/>
          <w:szCs w:val="22"/>
          <w:lang w:val="en-US" w:eastAsia="fr-FR"/>
        </w:rPr>
        <w:t xml:space="preserve"> in the section 6.2.5 of the Consultation that the inclusion of this review clause is explained by the fact that </w:t>
      </w:r>
      <w:r w:rsidRPr="00170566">
        <w:rPr>
          <w:rFonts w:ascii="Roboto" w:eastAsia="Times New Roman" w:hAnsi="Roboto" w:cs="Times New Roman"/>
          <w:b/>
          <w:bCs/>
          <w:color w:val="0000FF"/>
          <w:szCs w:val="22"/>
          <w:lang w:val="en-US" w:eastAsia="fr-FR"/>
        </w:rPr>
        <w:t>prior field tests have not been conducted</w:t>
      </w:r>
      <w:r w:rsidRPr="00170566">
        <w:rPr>
          <w:rFonts w:ascii="Roboto" w:eastAsia="Times New Roman" w:hAnsi="Roboto" w:cs="Times New Roman"/>
          <w:color w:val="0000FF"/>
          <w:szCs w:val="22"/>
          <w:lang w:val="en-US" w:eastAsia="fr-FR"/>
        </w:rPr>
        <w:t xml:space="preserve">. However, it seems essential that such field tests </w:t>
      </w:r>
      <w:proofErr w:type="gramStart"/>
      <w:r w:rsidRPr="00170566">
        <w:rPr>
          <w:rFonts w:ascii="Roboto" w:eastAsia="Times New Roman" w:hAnsi="Roboto" w:cs="Times New Roman"/>
          <w:color w:val="0000FF"/>
          <w:szCs w:val="22"/>
          <w:lang w:val="en-US" w:eastAsia="fr-FR"/>
        </w:rPr>
        <w:t>be performed</w:t>
      </w:r>
      <w:proofErr w:type="gramEnd"/>
      <w:r w:rsidRPr="00170566">
        <w:rPr>
          <w:rFonts w:ascii="Roboto" w:eastAsia="Times New Roman" w:hAnsi="Roboto" w:cs="Times New Roman"/>
          <w:color w:val="0000FF"/>
          <w:szCs w:val="22"/>
          <w:lang w:val="en-US" w:eastAsia="fr-FR"/>
        </w:rPr>
        <w:t xml:space="preserve"> as it was for ESEF format implementation in order to assess whether the proposed specifications are practicable and to what extent they have to be improved. In addition, the consultation includes a number of </w:t>
      </w:r>
      <w:r w:rsidRPr="00170566">
        <w:rPr>
          <w:rFonts w:ascii="Roboto" w:eastAsia="Times New Roman" w:hAnsi="Roboto" w:cs="Times New Roman"/>
          <w:b/>
          <w:bCs/>
          <w:color w:val="0000FF"/>
          <w:szCs w:val="22"/>
          <w:lang w:val="en-US" w:eastAsia="fr-FR"/>
        </w:rPr>
        <w:t>technical aspects/questions</w:t>
      </w:r>
      <w:r w:rsidRPr="00170566">
        <w:rPr>
          <w:rFonts w:ascii="Roboto" w:eastAsia="Times New Roman" w:hAnsi="Roboto" w:cs="Times New Roman"/>
          <w:color w:val="0000FF"/>
          <w:szCs w:val="22"/>
          <w:lang w:val="en-US" w:eastAsia="fr-FR"/>
        </w:rPr>
        <w:t xml:space="preserve">, which </w:t>
      </w:r>
      <w:proofErr w:type="gramStart"/>
      <w:r w:rsidRPr="00170566">
        <w:rPr>
          <w:rFonts w:ascii="Roboto" w:eastAsia="Times New Roman" w:hAnsi="Roboto" w:cs="Times New Roman"/>
          <w:color w:val="0000FF"/>
          <w:szCs w:val="22"/>
          <w:lang w:val="en-US" w:eastAsia="fr-FR"/>
        </w:rPr>
        <w:t>should be addressed</w:t>
      </w:r>
      <w:proofErr w:type="gramEnd"/>
      <w:r w:rsidRPr="00170566">
        <w:rPr>
          <w:rFonts w:ascii="Roboto" w:eastAsia="Times New Roman" w:hAnsi="Roboto" w:cs="Times New Roman"/>
          <w:color w:val="0000FF"/>
          <w:szCs w:val="22"/>
          <w:lang w:val="en-US" w:eastAsia="fr-FR"/>
        </w:rPr>
        <w:t xml:space="preserve"> more to the </w:t>
      </w:r>
      <w:r w:rsidRPr="00170566">
        <w:rPr>
          <w:rFonts w:ascii="Roboto" w:eastAsia="Times New Roman" w:hAnsi="Roboto" w:cs="Times New Roman"/>
          <w:b/>
          <w:bCs/>
          <w:color w:val="0000FF"/>
          <w:szCs w:val="22"/>
          <w:lang w:val="en-US" w:eastAsia="fr-FR"/>
        </w:rPr>
        <w:t>software editors</w:t>
      </w:r>
      <w:r w:rsidRPr="00170566">
        <w:rPr>
          <w:rFonts w:ascii="Roboto" w:eastAsia="Times New Roman" w:hAnsi="Roboto" w:cs="Times New Roman"/>
          <w:color w:val="0000FF"/>
          <w:szCs w:val="22"/>
          <w:lang w:val="en-US" w:eastAsia="fr-FR"/>
        </w:rPr>
        <w:t xml:space="preserve"> than to issuers, who do not have sufficient expertise to go into such technical details. </w:t>
      </w:r>
    </w:p>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9943F9"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2A21D0E7"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 xml:space="preserve">As mentioned in the answer to the question 22 above, many proposals are rather </w:t>
      </w:r>
      <w:proofErr w:type="gramStart"/>
      <w:r w:rsidRPr="00170566">
        <w:rPr>
          <w:rFonts w:ascii="Roboto" w:eastAsia="Times New Roman" w:hAnsi="Roboto" w:cs="Times New Roman"/>
          <w:color w:val="0000FF"/>
          <w:szCs w:val="22"/>
          <w:lang w:val="en-US" w:eastAsia="fr-FR"/>
        </w:rPr>
        <w:t>technical,</w:t>
      </w:r>
      <w:proofErr w:type="gramEnd"/>
      <w:r w:rsidRPr="00170566">
        <w:rPr>
          <w:rFonts w:ascii="Roboto" w:eastAsia="Times New Roman" w:hAnsi="Roboto" w:cs="Times New Roman"/>
          <w:color w:val="0000FF"/>
          <w:szCs w:val="22"/>
          <w:lang w:val="en-US" w:eastAsia="fr-FR"/>
        </w:rPr>
        <w:t xml:space="preserve"> we do not think issuers can comment on them without proper field testing/input of software editors.</w:t>
      </w:r>
    </w:p>
    <w:p w14:paraId="2946C428" w14:textId="77777777" w:rsidR="00170566" w:rsidRDefault="00170566" w:rsidP="00170566">
      <w:pPr>
        <w:spacing w:after="0"/>
        <w:rPr>
          <w:rFonts w:ascii="Roboto" w:eastAsia="Times New Roman" w:hAnsi="Roboto" w:cs="Times New Roman"/>
          <w:color w:val="0000FF"/>
          <w:szCs w:val="22"/>
          <w:lang w:val="en-US" w:eastAsia="fr-FR"/>
        </w:rPr>
      </w:pPr>
      <w:r w:rsidRPr="00170566">
        <w:rPr>
          <w:rFonts w:ascii="Times New Roman" w:eastAsia="Times New Roman" w:hAnsi="Times New Roman" w:cs="Times New Roman"/>
          <w:color w:val="auto"/>
          <w:sz w:val="24"/>
          <w:szCs w:val="24"/>
          <w:lang w:val="en-US" w:eastAsia="fr-FR"/>
        </w:rPr>
        <w:br/>
      </w:r>
      <w:r w:rsidRPr="00170566">
        <w:rPr>
          <w:rFonts w:ascii="Roboto" w:eastAsia="Times New Roman" w:hAnsi="Roboto" w:cs="Times New Roman"/>
          <w:color w:val="0000FF"/>
          <w:szCs w:val="22"/>
          <w:lang w:val="en-US" w:eastAsia="fr-FR"/>
        </w:rPr>
        <w:t xml:space="preserve">However, we are surprised by proposal </w:t>
      </w:r>
      <w:proofErr w:type="gramStart"/>
      <w:r w:rsidRPr="00170566">
        <w:rPr>
          <w:rFonts w:ascii="Roboto" w:eastAsia="Times New Roman" w:hAnsi="Roboto" w:cs="Times New Roman"/>
          <w:color w:val="0000FF"/>
          <w:szCs w:val="22"/>
          <w:lang w:val="en-US" w:eastAsia="fr-FR"/>
        </w:rPr>
        <w:t>11 which</w:t>
      </w:r>
      <w:proofErr w:type="gramEnd"/>
      <w:r w:rsidRPr="00170566">
        <w:rPr>
          <w:rFonts w:ascii="Roboto" w:eastAsia="Times New Roman" w:hAnsi="Roboto" w:cs="Times New Roman"/>
          <w:color w:val="0000FF"/>
          <w:szCs w:val="22"/>
          <w:lang w:val="en-US" w:eastAsia="fr-FR"/>
        </w:rPr>
        <w:t xml:space="preserve"> “aims at increasing specificity around what are the most up to date specifications applicable to ESEF filings without needing to include them directly in the RTS on ESEF. This enhances the speed of including the most relevant information for market stakeholders </w:t>
      </w:r>
      <w:r w:rsidRPr="00170566">
        <w:rPr>
          <w:rFonts w:ascii="Roboto" w:eastAsia="Times New Roman" w:hAnsi="Roboto" w:cs="Times New Roman"/>
          <w:b/>
          <w:bCs/>
          <w:color w:val="0000FF"/>
          <w:szCs w:val="22"/>
          <w:lang w:val="en-US" w:eastAsia="fr-FR"/>
        </w:rPr>
        <w:t>without needing to always update the RTS on ESEF directly</w:t>
      </w:r>
      <w:r w:rsidRPr="00170566">
        <w:rPr>
          <w:rFonts w:ascii="Roboto" w:eastAsia="Times New Roman" w:hAnsi="Roboto" w:cs="Times New Roman"/>
          <w:color w:val="0000FF"/>
          <w:szCs w:val="22"/>
          <w:lang w:val="en-US" w:eastAsia="fr-FR"/>
        </w:rPr>
        <w:t xml:space="preserve">”. As far as we understand, this proposal suggests introduction of a cross reference to ESMA webpage which would host the most up to date specifications applicable to ESEF and shall replace Annex III, §1 and 2 of RTS. </w:t>
      </w:r>
      <w:proofErr w:type="gramStart"/>
      <w:r w:rsidRPr="00170566">
        <w:rPr>
          <w:rFonts w:ascii="Roboto" w:eastAsia="Times New Roman" w:hAnsi="Roboto" w:cs="Times New Roman"/>
          <w:color w:val="0000FF"/>
          <w:szCs w:val="22"/>
          <w:lang w:val="en-US" w:eastAsia="fr-FR"/>
        </w:rPr>
        <w:t xml:space="preserve">It seems </w:t>
      </w:r>
      <w:r w:rsidRPr="00170566">
        <w:rPr>
          <w:rFonts w:ascii="Roboto" w:eastAsia="Times New Roman" w:hAnsi="Roboto" w:cs="Times New Roman"/>
          <w:b/>
          <w:bCs/>
          <w:color w:val="0000FF"/>
          <w:szCs w:val="22"/>
          <w:lang w:val="en-US" w:eastAsia="fr-FR"/>
        </w:rPr>
        <w:t>questionable</w:t>
      </w:r>
      <w:r w:rsidRPr="00170566">
        <w:rPr>
          <w:rFonts w:ascii="Roboto" w:eastAsia="Times New Roman" w:hAnsi="Roboto" w:cs="Times New Roman"/>
          <w:color w:val="0000FF"/>
          <w:szCs w:val="22"/>
          <w:lang w:val="en-US" w:eastAsia="fr-FR"/>
        </w:rPr>
        <w:t xml:space="preserve"> to </w:t>
      </w:r>
      <w:r w:rsidRPr="00170566">
        <w:rPr>
          <w:rFonts w:ascii="Roboto" w:eastAsia="Times New Roman" w:hAnsi="Roboto" w:cs="Times New Roman"/>
          <w:b/>
          <w:bCs/>
          <w:color w:val="0000FF"/>
          <w:szCs w:val="22"/>
          <w:lang w:val="en-US" w:eastAsia="fr-FR"/>
        </w:rPr>
        <w:t>replace the process of adopting the RTS</w:t>
      </w:r>
      <w:r w:rsidRPr="00170566">
        <w:rPr>
          <w:rFonts w:ascii="Roboto" w:eastAsia="Times New Roman" w:hAnsi="Roboto" w:cs="Times New Roman"/>
          <w:color w:val="0000FF"/>
          <w:szCs w:val="22"/>
          <w:lang w:val="en-US" w:eastAsia="fr-FR"/>
        </w:rPr>
        <w:t xml:space="preserve"> which is subject to adoption by the European Commission by a </w:t>
      </w:r>
      <w:r w:rsidRPr="00170566">
        <w:rPr>
          <w:rFonts w:ascii="Roboto" w:eastAsia="Times New Roman" w:hAnsi="Roboto" w:cs="Times New Roman"/>
          <w:b/>
          <w:bCs/>
          <w:color w:val="0000FF"/>
          <w:szCs w:val="22"/>
          <w:lang w:val="en-US" w:eastAsia="fr-FR"/>
        </w:rPr>
        <w:t>simple publishing of updates on ESMA’s website</w:t>
      </w:r>
      <w:r w:rsidRPr="00170566">
        <w:rPr>
          <w:rFonts w:ascii="Roboto" w:eastAsia="Times New Roman" w:hAnsi="Roboto" w:cs="Times New Roman"/>
          <w:color w:val="0000FF"/>
          <w:szCs w:val="22"/>
          <w:lang w:val="en-US" w:eastAsia="fr-FR"/>
        </w:rPr>
        <w:t xml:space="preserve"> and to incorporate in such updates the latest recommended specifications as published on its website by </w:t>
      </w:r>
      <w:r w:rsidRPr="00170566">
        <w:rPr>
          <w:rFonts w:ascii="Roboto" w:eastAsia="Times New Roman" w:hAnsi="Roboto" w:cs="Times New Roman"/>
          <w:b/>
          <w:bCs/>
          <w:color w:val="0000FF"/>
          <w:szCs w:val="22"/>
          <w:lang w:val="en-US" w:eastAsia="fr-FR"/>
        </w:rPr>
        <w:t>XBRL International</w:t>
      </w:r>
      <w:r w:rsidRPr="00170566">
        <w:rPr>
          <w:rFonts w:ascii="Roboto" w:eastAsia="Times New Roman" w:hAnsi="Roboto" w:cs="Times New Roman"/>
          <w:color w:val="0000FF"/>
          <w:szCs w:val="22"/>
          <w:lang w:val="en-US" w:eastAsia="fr-FR"/>
        </w:rPr>
        <w:t xml:space="preserve">, a not for profit organization which </w:t>
      </w:r>
      <w:r w:rsidRPr="00170566">
        <w:rPr>
          <w:rFonts w:ascii="Roboto" w:eastAsia="Times New Roman" w:hAnsi="Roboto" w:cs="Times New Roman"/>
          <w:b/>
          <w:bCs/>
          <w:color w:val="0000FF"/>
          <w:szCs w:val="22"/>
          <w:lang w:val="en-US" w:eastAsia="fr-FR"/>
        </w:rPr>
        <w:t>has no role of issuing of mandatory rules of direct application</w:t>
      </w:r>
      <w:r w:rsidRPr="00170566">
        <w:rPr>
          <w:rFonts w:ascii="Roboto" w:eastAsia="Times New Roman" w:hAnsi="Roboto" w:cs="Times New Roman"/>
          <w:color w:val="0000FF"/>
          <w:szCs w:val="22"/>
          <w:lang w:val="en-US" w:eastAsia="fr-FR"/>
        </w:rPr>
        <w:t>.</w:t>
      </w:r>
      <w:proofErr w:type="gramEnd"/>
      <w:r w:rsidRPr="00170566">
        <w:rPr>
          <w:rFonts w:ascii="Roboto" w:eastAsia="Times New Roman" w:hAnsi="Roboto" w:cs="Times New Roman"/>
          <w:color w:val="0000FF"/>
          <w:szCs w:val="22"/>
          <w:lang w:val="en-US" w:eastAsia="fr-FR"/>
        </w:rPr>
        <w:t xml:space="preserve"> </w:t>
      </w:r>
    </w:p>
    <w:p w14:paraId="11115366" w14:textId="29AB3CC3" w:rsidR="00AF763D" w:rsidRPr="00AF763D" w:rsidRDefault="00AF763D" w:rsidP="00170566">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w:t>
      </w:r>
      <w:proofErr w:type="gramStart"/>
      <w:r w:rsidRPr="00AF763D">
        <w:rPr>
          <w:rFonts w:eastAsia="Times New Roman"/>
          <w:color w:val="auto"/>
          <w:szCs w:val="22"/>
          <w:lang w:eastAsia="en-GB"/>
        </w:rPr>
        <w:t>ESEF which</w:t>
      </w:r>
      <w:proofErr w:type="gramEnd"/>
      <w:r w:rsidRPr="00AF763D">
        <w:rPr>
          <w:rFonts w:eastAsia="Times New Roman"/>
          <w:color w:val="auto"/>
          <w:szCs w:val="22"/>
          <w:lang w:eastAsia="en-GB"/>
        </w:rPr>
        <w:t xml:space="preserve">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3878503B" w14:textId="77777777" w:rsidR="00170566" w:rsidRDefault="00170566" w:rsidP="00AF763D">
      <w:pPr>
        <w:spacing w:after="0"/>
        <w:rPr>
          <w:rFonts w:ascii="Roboto" w:hAnsi="Roboto"/>
          <w:color w:val="0000FF"/>
          <w:szCs w:val="22"/>
        </w:rPr>
      </w:pPr>
      <w:r>
        <w:rPr>
          <w:rFonts w:ascii="Roboto" w:hAnsi="Roboto"/>
          <w:color w:val="0000FF"/>
          <w:szCs w:val="22"/>
        </w:rPr>
        <w:t>See answer to question 23 above.</w:t>
      </w:r>
    </w:p>
    <w:p w14:paraId="04763CC3" w14:textId="3B1890D0"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9943F9">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t>
      </w:r>
      <w:proofErr w:type="gramStart"/>
      <w:r w:rsidRPr="00AF763D">
        <w:rPr>
          <w:rFonts w:eastAsia="Times New Roman"/>
          <w:color w:val="auto"/>
          <w:szCs w:val="22"/>
          <w:lang w:eastAsia="en-GB"/>
        </w:rPr>
        <w:t>way</w:t>
      </w:r>
      <w:proofErr w:type="gramEnd"/>
      <w:r w:rsidRPr="00AF763D">
        <w:rPr>
          <w:rFonts w:eastAsia="Times New Roman"/>
          <w:color w:val="auto"/>
          <w:szCs w:val="22"/>
          <w:lang w:eastAsia="en-GB"/>
        </w:rPr>
        <w:t xml:space="preserve">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9943F9"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w:t>
      </w:r>
      <w:proofErr w:type="spellStart"/>
      <w:r w:rsidRPr="00AF763D">
        <w:rPr>
          <w:rFonts w:eastAsia="Times New Roman"/>
          <w:color w:val="auto"/>
          <w:szCs w:val="22"/>
          <w:lang w:eastAsia="en-GB"/>
        </w:rPr>
        <w:t>markup</w:t>
      </w:r>
      <w:proofErr w:type="spellEnd"/>
      <w:r w:rsidRPr="00AF763D">
        <w:rPr>
          <w:rFonts w:eastAsia="Times New Roman"/>
          <w:color w:val="auto"/>
          <w:szCs w:val="22"/>
          <w:lang w:eastAsia="en-GB"/>
        </w:rPr>
        <w:t xml:space="preserve">,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02D8D2AA"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b/>
          <w:bCs/>
          <w:color w:val="0000FF"/>
          <w:szCs w:val="22"/>
          <w:lang w:val="en-US" w:eastAsia="fr-FR"/>
        </w:rPr>
        <w:t>We disagree</w:t>
      </w:r>
      <w:r w:rsidRPr="00170566">
        <w:rPr>
          <w:rFonts w:ascii="Roboto" w:eastAsia="Times New Roman" w:hAnsi="Roboto" w:cs="Times New Roman"/>
          <w:color w:val="0000FF"/>
          <w:szCs w:val="22"/>
          <w:lang w:val="en-US" w:eastAsia="fr-FR"/>
        </w:rPr>
        <w:t xml:space="preserve"> with ESMA’s understanding of costs associated with marking up disclosures in IFRS consolidated financial statements and the Notes for the </w:t>
      </w:r>
      <w:r w:rsidRPr="00170566">
        <w:rPr>
          <w:rFonts w:ascii="Roboto" w:eastAsia="Times New Roman" w:hAnsi="Roboto" w:cs="Times New Roman"/>
          <w:b/>
          <w:bCs/>
          <w:color w:val="0000FF"/>
          <w:szCs w:val="22"/>
          <w:lang w:val="en-US" w:eastAsia="fr-FR"/>
        </w:rPr>
        <w:t>following reasons</w:t>
      </w:r>
      <w:r w:rsidRPr="00170566">
        <w:rPr>
          <w:rFonts w:ascii="Roboto" w:eastAsia="Times New Roman" w:hAnsi="Roboto" w:cs="Times New Roman"/>
          <w:color w:val="0000FF"/>
          <w:szCs w:val="22"/>
          <w:lang w:val="en-US" w:eastAsia="fr-FR"/>
        </w:rPr>
        <w:t>:</w:t>
      </w:r>
    </w:p>
    <w:p w14:paraId="53167C67" w14:textId="0805484A"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20AF618D" w14:textId="77777777" w:rsidR="00170566" w:rsidRPr="00170566" w:rsidRDefault="00170566" w:rsidP="00170566">
      <w:pPr>
        <w:numPr>
          <w:ilvl w:val="0"/>
          <w:numId w:val="48"/>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First, it is indicated in § 2 of the section 9.2.1 of the Consultation that costs were derived from </w:t>
      </w:r>
      <w:r w:rsidRPr="00170566">
        <w:rPr>
          <w:rFonts w:ascii="Roboto" w:eastAsia="Times New Roman" w:hAnsi="Roboto" w:cs="Times New Roman"/>
          <w:b/>
          <w:bCs/>
          <w:color w:val="0000FF"/>
          <w:szCs w:val="22"/>
          <w:lang w:val="en-US" w:eastAsia="fr-FR"/>
        </w:rPr>
        <w:t>ESMA’s 2016 Cost/Benefit Analysis</w:t>
      </w:r>
      <w:r w:rsidRPr="00170566">
        <w:rPr>
          <w:rFonts w:ascii="Roboto" w:eastAsia="Times New Roman" w:hAnsi="Roboto" w:cs="Times New Roman"/>
          <w:color w:val="0000FF"/>
          <w:szCs w:val="22"/>
          <w:lang w:val="en-US" w:eastAsia="fr-FR"/>
        </w:rPr>
        <w:t xml:space="preserve">, which was </w:t>
      </w:r>
      <w:r w:rsidRPr="00170566">
        <w:rPr>
          <w:rFonts w:ascii="Roboto" w:eastAsia="Times New Roman" w:hAnsi="Roboto" w:cs="Times New Roman"/>
          <w:b/>
          <w:bCs/>
          <w:color w:val="0000FF"/>
          <w:szCs w:val="22"/>
          <w:lang w:val="en-US" w:eastAsia="fr-FR"/>
        </w:rPr>
        <w:t>an estimation before ESEF format was implemented</w:t>
      </w:r>
      <w:r w:rsidRPr="00170566">
        <w:rPr>
          <w:rFonts w:ascii="Roboto" w:eastAsia="Times New Roman" w:hAnsi="Roboto" w:cs="Times New Roman"/>
          <w:color w:val="0000FF"/>
          <w:szCs w:val="22"/>
          <w:lang w:val="en-US" w:eastAsia="fr-FR"/>
        </w:rPr>
        <w:t xml:space="preserve">, with only inflating to current market conditions (increase of 25% considered, considering a desktop and web-based research by ESMA). We wonder why </w:t>
      </w:r>
      <w:r w:rsidRPr="00170566">
        <w:rPr>
          <w:rFonts w:ascii="Roboto" w:eastAsia="Times New Roman" w:hAnsi="Roboto" w:cs="Times New Roman"/>
          <w:b/>
          <w:bCs/>
          <w:color w:val="0000FF"/>
          <w:szCs w:val="22"/>
          <w:lang w:val="en-US" w:eastAsia="fr-FR"/>
        </w:rPr>
        <w:t>real costs</w:t>
      </w:r>
      <w:r w:rsidRPr="00170566">
        <w:rPr>
          <w:rFonts w:ascii="Roboto" w:eastAsia="Times New Roman" w:hAnsi="Roboto" w:cs="Times New Roman"/>
          <w:color w:val="0000FF"/>
          <w:szCs w:val="22"/>
          <w:lang w:val="en-US" w:eastAsia="fr-FR"/>
        </w:rPr>
        <w:t xml:space="preserve"> of implementation/run of ESEF format since 2020/2021 were not </w:t>
      </w:r>
      <w:proofErr w:type="gramStart"/>
      <w:r w:rsidRPr="00170566">
        <w:rPr>
          <w:rFonts w:ascii="Roboto" w:eastAsia="Times New Roman" w:hAnsi="Roboto" w:cs="Times New Roman"/>
          <w:color w:val="0000FF"/>
          <w:szCs w:val="22"/>
          <w:lang w:val="en-US" w:eastAsia="fr-FR"/>
        </w:rPr>
        <w:t>considered?</w:t>
      </w:r>
      <w:proofErr w:type="gramEnd"/>
      <w:r w:rsidRPr="00170566">
        <w:rPr>
          <w:rFonts w:ascii="Roboto" w:eastAsia="Times New Roman" w:hAnsi="Roboto" w:cs="Times New Roman"/>
          <w:color w:val="0000FF"/>
          <w:szCs w:val="22"/>
          <w:lang w:val="en-US" w:eastAsia="fr-FR"/>
        </w:rPr>
        <w:t xml:space="preserve"> </w:t>
      </w:r>
      <w:proofErr w:type="gramStart"/>
      <w:r w:rsidRPr="00170566">
        <w:rPr>
          <w:rFonts w:ascii="Roboto" w:eastAsia="Times New Roman" w:hAnsi="Roboto" w:cs="Times New Roman"/>
          <w:color w:val="0000FF"/>
          <w:szCs w:val="22"/>
          <w:lang w:val="en-US" w:eastAsia="fr-FR"/>
        </w:rPr>
        <w:t xml:space="preserve">It is also noted in § 3 of the section 9.2.1 of the Consultation that the CBA “considered innovation factors derived from using machine-readable data… including a broader accessibility to </w:t>
      </w:r>
      <w:proofErr w:type="spellStart"/>
      <w:r w:rsidRPr="00170566">
        <w:rPr>
          <w:rFonts w:ascii="Roboto" w:eastAsia="Times New Roman" w:hAnsi="Roboto" w:cs="Times New Roman"/>
          <w:color w:val="0000FF"/>
          <w:szCs w:val="22"/>
          <w:lang w:val="en-US" w:eastAsia="fr-FR"/>
        </w:rPr>
        <w:t>digitalised</w:t>
      </w:r>
      <w:proofErr w:type="spellEnd"/>
      <w:r w:rsidRPr="00170566">
        <w:rPr>
          <w:rFonts w:ascii="Roboto" w:eastAsia="Times New Roman" w:hAnsi="Roboto" w:cs="Times New Roman"/>
          <w:color w:val="0000FF"/>
          <w:szCs w:val="22"/>
          <w:lang w:val="en-US" w:eastAsia="fr-FR"/>
        </w:rPr>
        <w:t xml:space="preserve"> </w:t>
      </w:r>
      <w:proofErr w:type="spellStart"/>
      <w:r w:rsidRPr="00170566">
        <w:rPr>
          <w:rFonts w:ascii="Roboto" w:eastAsia="Times New Roman" w:hAnsi="Roboto" w:cs="Times New Roman"/>
          <w:color w:val="0000FF"/>
          <w:szCs w:val="22"/>
          <w:lang w:val="en-US" w:eastAsia="fr-FR"/>
        </w:rPr>
        <w:t>datapoints</w:t>
      </w:r>
      <w:proofErr w:type="spellEnd"/>
      <w:r w:rsidRPr="00170566">
        <w:rPr>
          <w:rFonts w:ascii="Roboto" w:eastAsia="Times New Roman" w:hAnsi="Roboto" w:cs="Times New Roman"/>
          <w:color w:val="0000FF"/>
          <w:szCs w:val="22"/>
          <w:lang w:val="en-US" w:eastAsia="fr-FR"/>
        </w:rPr>
        <w:t xml:space="preserve">… and reduced information processing costs and information asymmetry, market inefficiencies and risks”, however, as mentioned in the answer to question 15 above, has a study been conducted to assess how many users effectively use the ESEF format, what the use cases and the </w:t>
      </w:r>
      <w:r w:rsidRPr="00170566">
        <w:rPr>
          <w:rFonts w:ascii="Roboto" w:eastAsia="Times New Roman" w:hAnsi="Roboto" w:cs="Times New Roman"/>
          <w:b/>
          <w:bCs/>
          <w:color w:val="0000FF"/>
          <w:szCs w:val="22"/>
          <w:lang w:val="en-US" w:eastAsia="fr-FR"/>
        </w:rPr>
        <w:t>effective benefits</w:t>
      </w:r>
      <w:r w:rsidRPr="00170566">
        <w:rPr>
          <w:rFonts w:ascii="Roboto" w:eastAsia="Times New Roman" w:hAnsi="Roboto" w:cs="Times New Roman"/>
          <w:color w:val="0000FF"/>
          <w:szCs w:val="22"/>
          <w:lang w:val="en-US" w:eastAsia="fr-FR"/>
        </w:rPr>
        <w:t xml:space="preserve"> of the digital tagging are?</w:t>
      </w:r>
      <w:proofErr w:type="gramEnd"/>
      <w:r w:rsidRPr="00170566">
        <w:rPr>
          <w:rFonts w:ascii="Roboto" w:eastAsia="Times New Roman" w:hAnsi="Roboto" w:cs="Times New Roman"/>
          <w:color w:val="0000FF"/>
          <w:szCs w:val="22"/>
          <w:lang w:val="en-US" w:eastAsia="fr-FR"/>
        </w:rPr>
        <w:t xml:space="preserve"> Finally, as mentioned in § 5 of the section 9.2.2.1 of the Consultation, </w:t>
      </w:r>
      <w:r w:rsidRPr="00170566">
        <w:rPr>
          <w:rFonts w:ascii="Roboto" w:eastAsia="Times New Roman" w:hAnsi="Roboto" w:cs="Times New Roman"/>
          <w:b/>
          <w:bCs/>
          <w:color w:val="0000FF"/>
          <w:szCs w:val="22"/>
          <w:lang w:val="en-US" w:eastAsia="fr-FR"/>
        </w:rPr>
        <w:t>no estimate related to detailed marking up was made</w:t>
      </w:r>
      <w:r w:rsidRPr="00170566">
        <w:rPr>
          <w:rFonts w:ascii="Roboto" w:eastAsia="Times New Roman" w:hAnsi="Roboto" w:cs="Times New Roman"/>
          <w:color w:val="0000FF"/>
          <w:szCs w:val="22"/>
          <w:lang w:val="en-US" w:eastAsia="fr-FR"/>
        </w:rPr>
        <w:t>, which represent a large part of proposed amendments;</w:t>
      </w:r>
    </w:p>
    <w:p w14:paraId="033E1872" w14:textId="3190D691"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003C8610" w14:textId="77777777" w:rsidR="00170566" w:rsidRPr="00170566" w:rsidRDefault="00170566" w:rsidP="00170566">
      <w:pPr>
        <w:numPr>
          <w:ilvl w:val="0"/>
          <w:numId w:val="49"/>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Further, it is noted in section 9.2.3.2.1 of the </w:t>
      </w:r>
      <w:proofErr w:type="gramStart"/>
      <w:r w:rsidRPr="00170566">
        <w:rPr>
          <w:rFonts w:ascii="Roboto" w:eastAsia="Times New Roman" w:hAnsi="Roboto" w:cs="Times New Roman"/>
          <w:color w:val="0000FF"/>
          <w:szCs w:val="22"/>
          <w:lang w:val="en-US" w:eastAsia="fr-FR"/>
        </w:rPr>
        <w:t>Consultation that</w:t>
      </w:r>
      <w:proofErr w:type="gramEnd"/>
      <w:r w:rsidRPr="00170566">
        <w:rPr>
          <w:rFonts w:ascii="Roboto" w:eastAsia="Times New Roman" w:hAnsi="Roboto" w:cs="Times New Roman"/>
          <w:color w:val="0000FF"/>
          <w:szCs w:val="22"/>
          <w:lang w:val="en-US" w:eastAsia="fr-FR"/>
        </w:rPr>
        <w:t xml:space="preserve"> “marking up of </w:t>
      </w:r>
      <w:r w:rsidRPr="00170566">
        <w:rPr>
          <w:rFonts w:ascii="Roboto" w:eastAsia="Times New Roman" w:hAnsi="Roboto" w:cs="Times New Roman"/>
          <w:b/>
          <w:bCs/>
          <w:color w:val="0000FF"/>
          <w:szCs w:val="22"/>
          <w:lang w:val="en-US" w:eastAsia="fr-FR"/>
        </w:rPr>
        <w:t>numerical items</w:t>
      </w:r>
      <w:r w:rsidRPr="00170566">
        <w:rPr>
          <w:rFonts w:ascii="Roboto" w:eastAsia="Times New Roman" w:hAnsi="Roboto" w:cs="Times New Roman"/>
          <w:color w:val="0000FF"/>
          <w:szCs w:val="22"/>
          <w:lang w:val="en-US" w:eastAsia="fr-FR"/>
        </w:rPr>
        <w:t xml:space="preserve"> and semi-narrative data types generally </w:t>
      </w:r>
      <w:r w:rsidRPr="00170566">
        <w:rPr>
          <w:rFonts w:ascii="Roboto" w:eastAsia="Times New Roman" w:hAnsi="Roboto" w:cs="Times New Roman"/>
          <w:b/>
          <w:bCs/>
          <w:color w:val="0000FF"/>
          <w:szCs w:val="22"/>
          <w:lang w:val="en-US" w:eastAsia="fr-FR"/>
        </w:rPr>
        <w:t>requires less effort</w:t>
      </w:r>
      <w:r w:rsidRPr="00170566">
        <w:rPr>
          <w:rFonts w:ascii="Roboto" w:eastAsia="Times New Roman" w:hAnsi="Roboto" w:cs="Times New Roman"/>
          <w:color w:val="0000FF"/>
          <w:szCs w:val="22"/>
          <w:lang w:val="en-US" w:eastAsia="fr-FR"/>
        </w:rPr>
        <w:t xml:space="preserve"> than block-marking up large narrative sections, especially when those disclosures are scattered throughout the report”. </w:t>
      </w:r>
      <w:r w:rsidRPr="00170566">
        <w:rPr>
          <w:rFonts w:ascii="Roboto" w:eastAsia="Times New Roman" w:hAnsi="Roboto" w:cs="Times New Roman"/>
          <w:b/>
          <w:bCs/>
          <w:color w:val="0000FF"/>
          <w:szCs w:val="22"/>
          <w:lang w:val="en-US" w:eastAsia="fr-FR"/>
        </w:rPr>
        <w:t>We disagree</w:t>
      </w:r>
      <w:r w:rsidRPr="00170566">
        <w:rPr>
          <w:rFonts w:ascii="Roboto" w:eastAsia="Times New Roman" w:hAnsi="Roboto" w:cs="Times New Roman"/>
          <w:color w:val="0000FF"/>
          <w:szCs w:val="22"/>
          <w:lang w:val="en-US" w:eastAsia="fr-FR"/>
        </w:rPr>
        <w:t xml:space="preserve"> with this statement: provided the multi- and embedded-marking up of the Notes </w:t>
      </w:r>
      <w:proofErr w:type="gramStart"/>
      <w:r w:rsidRPr="00170566">
        <w:rPr>
          <w:rFonts w:ascii="Roboto" w:eastAsia="Times New Roman" w:hAnsi="Roboto" w:cs="Times New Roman"/>
          <w:color w:val="0000FF"/>
          <w:szCs w:val="22"/>
          <w:lang w:val="en-US" w:eastAsia="fr-FR"/>
        </w:rPr>
        <w:t>is removed</w:t>
      </w:r>
      <w:proofErr w:type="gramEnd"/>
      <w:r w:rsidRPr="00170566">
        <w:rPr>
          <w:rFonts w:ascii="Roboto" w:eastAsia="Times New Roman" w:hAnsi="Roboto" w:cs="Times New Roman"/>
          <w:color w:val="0000FF"/>
          <w:szCs w:val="22"/>
          <w:lang w:val="en-US" w:eastAsia="fr-FR"/>
        </w:rPr>
        <w:t xml:space="preserve">, marking-up of Notes will not represent additional difficulties. On the contrary, if </w:t>
      </w:r>
      <w:r w:rsidRPr="00170566">
        <w:rPr>
          <w:rFonts w:ascii="Roboto" w:eastAsia="Times New Roman" w:hAnsi="Roboto" w:cs="Times New Roman"/>
          <w:b/>
          <w:bCs/>
          <w:color w:val="0000FF"/>
          <w:szCs w:val="22"/>
          <w:lang w:val="en-US" w:eastAsia="fr-FR"/>
        </w:rPr>
        <w:t>all numeric items in the Notes</w:t>
      </w:r>
      <w:r w:rsidRPr="00170566">
        <w:rPr>
          <w:rFonts w:ascii="Roboto" w:eastAsia="Times New Roman" w:hAnsi="Roboto" w:cs="Times New Roman"/>
          <w:color w:val="0000FF"/>
          <w:szCs w:val="22"/>
          <w:lang w:val="en-US" w:eastAsia="fr-FR"/>
        </w:rPr>
        <w:t xml:space="preserve"> are to be marked-up, this will require a </w:t>
      </w:r>
      <w:r w:rsidRPr="00170566">
        <w:rPr>
          <w:rFonts w:ascii="Roboto" w:eastAsia="Times New Roman" w:hAnsi="Roboto" w:cs="Times New Roman"/>
          <w:b/>
          <w:bCs/>
          <w:color w:val="0000FF"/>
          <w:szCs w:val="22"/>
          <w:lang w:val="en-US" w:eastAsia="fr-FR"/>
        </w:rPr>
        <w:t>lot of additional work</w:t>
      </w:r>
      <w:r w:rsidRPr="00170566">
        <w:rPr>
          <w:rFonts w:ascii="Roboto" w:eastAsia="Times New Roman" w:hAnsi="Roboto" w:cs="Times New Roman"/>
          <w:color w:val="0000FF"/>
          <w:szCs w:val="22"/>
          <w:lang w:val="en-US" w:eastAsia="fr-FR"/>
        </w:rPr>
        <w:t xml:space="preserve">: numerical items are </w:t>
      </w:r>
      <w:r w:rsidRPr="00170566">
        <w:rPr>
          <w:rFonts w:ascii="Roboto" w:eastAsia="Times New Roman" w:hAnsi="Roboto" w:cs="Times New Roman"/>
          <w:b/>
          <w:bCs/>
          <w:color w:val="0000FF"/>
          <w:szCs w:val="22"/>
          <w:lang w:val="en-US" w:eastAsia="fr-FR"/>
        </w:rPr>
        <w:t xml:space="preserve">scattered </w:t>
      </w:r>
      <w:r w:rsidRPr="00170566">
        <w:rPr>
          <w:rFonts w:ascii="Roboto" w:eastAsia="Times New Roman" w:hAnsi="Roboto" w:cs="Times New Roman"/>
          <w:color w:val="0000FF"/>
          <w:szCs w:val="22"/>
          <w:lang w:val="en-US" w:eastAsia="fr-FR"/>
        </w:rPr>
        <w:t xml:space="preserve">throughout the Notes and those in tables require tagging with </w:t>
      </w:r>
      <w:r w:rsidRPr="00170566">
        <w:rPr>
          <w:rFonts w:ascii="Roboto" w:eastAsia="Times New Roman" w:hAnsi="Roboto" w:cs="Times New Roman"/>
          <w:b/>
          <w:bCs/>
          <w:color w:val="0000FF"/>
          <w:szCs w:val="22"/>
          <w:lang w:val="en-US" w:eastAsia="fr-FR"/>
        </w:rPr>
        <w:t>multiple dimensions</w:t>
      </w:r>
      <w:r w:rsidRPr="00170566">
        <w:rPr>
          <w:rFonts w:ascii="Roboto" w:eastAsia="Times New Roman" w:hAnsi="Roboto" w:cs="Times New Roman"/>
          <w:color w:val="0000FF"/>
          <w:szCs w:val="22"/>
          <w:lang w:val="en-US" w:eastAsia="fr-FR"/>
        </w:rPr>
        <w:t xml:space="preserve"> (axis, members and line items). Issuers will need to </w:t>
      </w:r>
      <w:r w:rsidRPr="00170566">
        <w:rPr>
          <w:rFonts w:ascii="Roboto" w:eastAsia="Times New Roman" w:hAnsi="Roboto" w:cs="Times New Roman"/>
          <w:b/>
          <w:bCs/>
          <w:color w:val="0000FF"/>
          <w:szCs w:val="22"/>
          <w:lang w:val="en-US" w:eastAsia="fr-FR"/>
        </w:rPr>
        <w:t xml:space="preserve">map </w:t>
      </w:r>
      <w:r w:rsidRPr="00170566">
        <w:rPr>
          <w:rFonts w:ascii="Roboto" w:eastAsia="Times New Roman" w:hAnsi="Roboto" w:cs="Times New Roman"/>
          <w:color w:val="0000FF"/>
          <w:szCs w:val="22"/>
          <w:lang w:val="en-US" w:eastAsia="fr-FR"/>
        </w:rPr>
        <w:t xml:space="preserve">all those multiple items to the </w:t>
      </w:r>
      <w:r w:rsidRPr="00170566">
        <w:rPr>
          <w:rFonts w:ascii="Roboto" w:eastAsia="Times New Roman" w:hAnsi="Roboto" w:cs="Times New Roman"/>
          <w:b/>
          <w:bCs/>
          <w:color w:val="0000FF"/>
          <w:szCs w:val="22"/>
          <w:lang w:val="en-US" w:eastAsia="fr-FR"/>
        </w:rPr>
        <w:t>appropriate concepts</w:t>
      </w:r>
      <w:r w:rsidRPr="00170566">
        <w:rPr>
          <w:rFonts w:ascii="Roboto" w:eastAsia="Times New Roman" w:hAnsi="Roboto" w:cs="Times New Roman"/>
          <w:color w:val="0000FF"/>
          <w:szCs w:val="22"/>
          <w:lang w:val="en-US" w:eastAsia="fr-FR"/>
        </w:rPr>
        <w:t xml:space="preserve"> in the taxonomy and get the mapping </w:t>
      </w:r>
      <w:r w:rsidRPr="00170566">
        <w:rPr>
          <w:rFonts w:ascii="Roboto" w:eastAsia="Times New Roman" w:hAnsi="Roboto" w:cs="Times New Roman"/>
          <w:b/>
          <w:bCs/>
          <w:color w:val="0000FF"/>
          <w:szCs w:val="22"/>
          <w:lang w:val="en-US" w:eastAsia="fr-FR"/>
        </w:rPr>
        <w:t xml:space="preserve">validated </w:t>
      </w:r>
      <w:r w:rsidRPr="00170566">
        <w:rPr>
          <w:rFonts w:ascii="Roboto" w:eastAsia="Times New Roman" w:hAnsi="Roboto" w:cs="Times New Roman"/>
          <w:color w:val="0000FF"/>
          <w:szCs w:val="22"/>
          <w:lang w:val="en-US" w:eastAsia="fr-FR"/>
        </w:rPr>
        <w:t xml:space="preserve">by their </w:t>
      </w:r>
      <w:r w:rsidRPr="00170566">
        <w:rPr>
          <w:rFonts w:ascii="Roboto" w:eastAsia="Times New Roman" w:hAnsi="Roboto" w:cs="Times New Roman"/>
          <w:b/>
          <w:bCs/>
          <w:color w:val="0000FF"/>
          <w:szCs w:val="22"/>
          <w:lang w:val="en-US" w:eastAsia="fr-FR"/>
        </w:rPr>
        <w:t>auditors</w:t>
      </w:r>
      <w:r w:rsidRPr="00170566">
        <w:rPr>
          <w:rFonts w:ascii="Roboto" w:eastAsia="Times New Roman" w:hAnsi="Roboto" w:cs="Times New Roman"/>
          <w:color w:val="0000FF"/>
          <w:szCs w:val="22"/>
          <w:lang w:val="en-US" w:eastAsia="fr-FR"/>
        </w:rPr>
        <w:t>, which will take additional time of discussions. As the field tests were not conducted, it is also unclear to what extent the core taxonomy elements would be sufficient to mark-up such items or if creation of a lot of extensions will be needed;  </w:t>
      </w:r>
    </w:p>
    <w:p w14:paraId="2CEFD395" w14:textId="23B13E9E" w:rsidR="00170566" w:rsidRPr="00170566" w:rsidRDefault="00170566" w:rsidP="00170566">
      <w:pPr>
        <w:spacing w:after="0" w:line="240" w:lineRule="auto"/>
        <w:jc w:val="left"/>
        <w:rPr>
          <w:rFonts w:ascii="Times New Roman" w:eastAsia="Times New Roman" w:hAnsi="Times New Roman" w:cs="Times New Roman"/>
          <w:color w:val="auto"/>
          <w:sz w:val="24"/>
          <w:szCs w:val="24"/>
          <w:lang w:val="en-US" w:eastAsia="fr-FR"/>
        </w:rPr>
      </w:pPr>
    </w:p>
    <w:p w14:paraId="0794B559" w14:textId="77777777" w:rsidR="00170566" w:rsidRPr="00170566" w:rsidRDefault="00170566" w:rsidP="00170566">
      <w:pPr>
        <w:numPr>
          <w:ilvl w:val="0"/>
          <w:numId w:val="50"/>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In addition, </w:t>
      </w:r>
      <w:proofErr w:type="gramStart"/>
      <w:r w:rsidRPr="00170566">
        <w:rPr>
          <w:rFonts w:ascii="Roboto" w:eastAsia="Times New Roman" w:hAnsi="Roboto" w:cs="Times New Roman"/>
          <w:color w:val="0000FF"/>
          <w:szCs w:val="22"/>
          <w:lang w:val="en-US" w:eastAsia="fr-FR"/>
        </w:rPr>
        <w:t>on the basis of</w:t>
      </w:r>
      <w:proofErr w:type="gramEnd"/>
      <w:r w:rsidRPr="00170566">
        <w:rPr>
          <w:rFonts w:ascii="Roboto" w:eastAsia="Times New Roman" w:hAnsi="Roboto" w:cs="Times New Roman"/>
          <w:color w:val="0000FF"/>
          <w:szCs w:val="22"/>
          <w:lang w:val="en-US" w:eastAsia="fr-FR"/>
        </w:rPr>
        <w:t xml:space="preserve"> our experience, we believe that </w:t>
      </w:r>
      <w:r w:rsidRPr="00170566">
        <w:rPr>
          <w:rFonts w:ascii="Roboto" w:eastAsia="Times New Roman" w:hAnsi="Roboto" w:cs="Times New Roman"/>
          <w:b/>
          <w:bCs/>
          <w:color w:val="0000FF"/>
          <w:szCs w:val="22"/>
          <w:lang w:val="en-US" w:eastAsia="fr-FR"/>
        </w:rPr>
        <w:t>costs in “run” mode should not be underestimated</w:t>
      </w:r>
      <w:r w:rsidRPr="00170566">
        <w:rPr>
          <w:rFonts w:ascii="Roboto" w:eastAsia="Times New Roman" w:hAnsi="Roboto" w:cs="Times New Roman"/>
          <w:color w:val="0000FF"/>
          <w:szCs w:val="22"/>
          <w:lang w:val="en-US" w:eastAsia="fr-FR"/>
        </w:rPr>
        <w:t xml:space="preserve"> either. Although software can indeed allow for a </w:t>
      </w:r>
      <w:proofErr w:type="spellStart"/>
      <w:r w:rsidRPr="00170566">
        <w:rPr>
          <w:rFonts w:ascii="Roboto" w:eastAsia="Times New Roman" w:hAnsi="Roboto" w:cs="Times New Roman"/>
          <w:color w:val="0000FF"/>
          <w:szCs w:val="22"/>
          <w:lang w:val="en-US" w:eastAsia="fr-FR"/>
        </w:rPr>
        <w:t>rollforward</w:t>
      </w:r>
      <w:proofErr w:type="spellEnd"/>
      <w:r w:rsidRPr="00170566">
        <w:rPr>
          <w:rFonts w:ascii="Roboto" w:eastAsia="Times New Roman" w:hAnsi="Roboto" w:cs="Times New Roman"/>
          <w:color w:val="0000FF"/>
          <w:szCs w:val="22"/>
          <w:lang w:val="en-US" w:eastAsia="fr-FR"/>
        </w:rPr>
        <w:t xml:space="preserve"> of the XBRL tags, there are annual updates of taxonomy and reporting manual, updates of the auditor’s position/consensus and updates of the Notes to the financial statements </w:t>
      </w:r>
      <w:r w:rsidRPr="00170566">
        <w:rPr>
          <w:rFonts w:ascii="Roboto" w:eastAsia="Times New Roman" w:hAnsi="Roboto" w:cs="Times New Roman"/>
          <w:b/>
          <w:bCs/>
          <w:color w:val="0000FF"/>
          <w:szCs w:val="22"/>
          <w:lang w:val="en-US" w:eastAsia="fr-FR"/>
        </w:rPr>
        <w:t>to be considered every year</w:t>
      </w:r>
      <w:r w:rsidRPr="00170566">
        <w:rPr>
          <w:rFonts w:ascii="Roboto" w:eastAsia="Times New Roman" w:hAnsi="Roboto" w:cs="Times New Roman"/>
          <w:color w:val="0000FF"/>
          <w:szCs w:val="22"/>
          <w:lang w:val="en-US" w:eastAsia="fr-FR"/>
        </w:rPr>
        <w:t xml:space="preserve">. </w:t>
      </w:r>
      <w:proofErr w:type="spellStart"/>
      <w:r w:rsidRPr="00170566">
        <w:rPr>
          <w:rFonts w:ascii="Roboto" w:eastAsia="Times New Roman" w:hAnsi="Roboto" w:cs="Times New Roman"/>
          <w:color w:val="0000FF"/>
          <w:szCs w:val="22"/>
          <w:lang w:val="en-US" w:eastAsia="fr-FR"/>
        </w:rPr>
        <w:t>Rollforward</w:t>
      </w:r>
      <w:proofErr w:type="spellEnd"/>
      <w:r w:rsidRPr="00170566">
        <w:rPr>
          <w:rFonts w:ascii="Roboto" w:eastAsia="Times New Roman" w:hAnsi="Roboto" w:cs="Times New Roman"/>
          <w:color w:val="0000FF"/>
          <w:szCs w:val="22"/>
          <w:lang w:val="en-US" w:eastAsia="fr-FR"/>
        </w:rPr>
        <w:t xml:space="preserve"> results should still be reviewed/verified (for example, some concepts that may have both debit/credit balances should be verified and the balance attribute updated if different from that of the last year’s);</w:t>
      </w:r>
    </w:p>
    <w:p w14:paraId="06F03048" w14:textId="77777777" w:rsidR="00170566" w:rsidRDefault="00170566" w:rsidP="00170566">
      <w:pPr>
        <w:spacing w:after="0"/>
        <w:rPr>
          <w:rFonts w:ascii="Roboto" w:eastAsia="Times New Roman" w:hAnsi="Roboto" w:cs="Times New Roman"/>
          <w:color w:val="0000FF"/>
          <w:szCs w:val="22"/>
          <w:lang w:val="en-US" w:eastAsia="fr-FR"/>
        </w:rPr>
      </w:pPr>
      <w:r w:rsidRPr="00170566">
        <w:rPr>
          <w:rFonts w:ascii="Times New Roman" w:eastAsia="Times New Roman" w:hAnsi="Times New Roman" w:cs="Times New Roman"/>
          <w:color w:val="auto"/>
          <w:sz w:val="24"/>
          <w:szCs w:val="24"/>
          <w:lang w:val="en-US" w:eastAsia="fr-FR"/>
        </w:rPr>
        <w:br/>
      </w:r>
      <w:r w:rsidRPr="00170566">
        <w:rPr>
          <w:rFonts w:ascii="Roboto" w:eastAsia="Times New Roman" w:hAnsi="Roboto" w:cs="Times New Roman"/>
          <w:color w:val="0000FF"/>
          <w:szCs w:val="22"/>
          <w:lang w:val="en-US" w:eastAsia="fr-FR"/>
        </w:rPr>
        <w:t xml:space="preserve">Consequently, 6.29 man days/2.5 </w:t>
      </w:r>
      <w:proofErr w:type="gramStart"/>
      <w:r w:rsidRPr="00170566">
        <w:rPr>
          <w:rFonts w:ascii="Roboto" w:eastAsia="Times New Roman" w:hAnsi="Roboto" w:cs="Times New Roman"/>
          <w:color w:val="0000FF"/>
          <w:szCs w:val="22"/>
          <w:lang w:val="en-US" w:eastAsia="fr-FR"/>
        </w:rPr>
        <w:t>man days</w:t>
      </w:r>
      <w:proofErr w:type="gramEnd"/>
      <w:r w:rsidRPr="00170566">
        <w:rPr>
          <w:rFonts w:ascii="Roboto" w:eastAsia="Times New Roman" w:hAnsi="Roboto" w:cs="Times New Roman"/>
          <w:color w:val="0000FF"/>
          <w:szCs w:val="22"/>
          <w:lang w:val="en-US" w:eastAsia="fr-FR"/>
        </w:rPr>
        <w:t xml:space="preserve"> for the first XBRL report/subsequent filing mentioned in § 6 of the section 9.2.2.1 of the Consultation seem </w:t>
      </w:r>
      <w:r w:rsidRPr="00170566">
        <w:rPr>
          <w:rFonts w:ascii="Roboto" w:eastAsia="Times New Roman" w:hAnsi="Roboto" w:cs="Times New Roman"/>
          <w:b/>
          <w:bCs/>
          <w:color w:val="0000FF"/>
          <w:szCs w:val="22"/>
          <w:lang w:val="en-US" w:eastAsia="fr-FR"/>
        </w:rPr>
        <w:t>largely underestimated</w:t>
      </w:r>
      <w:r w:rsidRPr="00170566">
        <w:rPr>
          <w:rFonts w:ascii="Roboto" w:eastAsia="Times New Roman" w:hAnsi="Roboto" w:cs="Times New Roman"/>
          <w:color w:val="0000FF"/>
          <w:szCs w:val="22"/>
          <w:lang w:val="en-US" w:eastAsia="fr-FR"/>
        </w:rPr>
        <w:t xml:space="preserve">.  As an example, 35 ESEF report generations for the first filing in 2021 and 38 ESEF report generations for 2024 filing </w:t>
      </w:r>
      <w:proofErr w:type="gramStart"/>
      <w:r w:rsidRPr="00170566">
        <w:rPr>
          <w:rFonts w:ascii="Roboto" w:eastAsia="Times New Roman" w:hAnsi="Roboto" w:cs="Times New Roman"/>
          <w:color w:val="0000FF"/>
          <w:szCs w:val="22"/>
          <w:lang w:val="en-US" w:eastAsia="fr-FR"/>
        </w:rPr>
        <w:t>were needed</w:t>
      </w:r>
      <w:proofErr w:type="gramEnd"/>
      <w:r w:rsidRPr="00170566">
        <w:rPr>
          <w:rFonts w:ascii="Roboto" w:eastAsia="Times New Roman" w:hAnsi="Roboto" w:cs="Times New Roman"/>
          <w:color w:val="0000FF"/>
          <w:szCs w:val="22"/>
          <w:lang w:val="en-US" w:eastAsia="fr-FR"/>
        </w:rPr>
        <w:t xml:space="preserve"> before creation of final filing documents for Air Liquide. </w:t>
      </w:r>
      <w:r w:rsidRPr="00170566">
        <w:rPr>
          <w:rFonts w:ascii="Roboto" w:eastAsia="Times New Roman" w:hAnsi="Roboto" w:cs="Times New Roman"/>
          <w:b/>
          <w:bCs/>
          <w:color w:val="0000FF"/>
          <w:szCs w:val="22"/>
          <w:lang w:val="en-US" w:eastAsia="fr-FR"/>
        </w:rPr>
        <w:t>Multiple steps</w:t>
      </w:r>
      <w:r w:rsidRPr="00170566">
        <w:rPr>
          <w:rFonts w:ascii="Roboto" w:eastAsia="Times New Roman" w:hAnsi="Roboto" w:cs="Times New Roman"/>
          <w:color w:val="0000FF"/>
          <w:szCs w:val="22"/>
          <w:lang w:val="en-US" w:eastAsia="fr-FR"/>
        </w:rPr>
        <w:t xml:space="preserve"> should be taken into account </w:t>
      </w:r>
      <w:r w:rsidRPr="00170566">
        <w:rPr>
          <w:rFonts w:ascii="Roboto" w:eastAsia="Times New Roman" w:hAnsi="Roboto" w:cs="Times New Roman"/>
          <w:b/>
          <w:bCs/>
          <w:color w:val="0000FF"/>
          <w:szCs w:val="22"/>
          <w:lang w:val="en-US" w:eastAsia="fr-FR"/>
        </w:rPr>
        <w:t>before the final filing package is ready</w:t>
      </w:r>
      <w:r w:rsidRPr="00170566">
        <w:rPr>
          <w:rFonts w:ascii="Roboto" w:eastAsia="Times New Roman" w:hAnsi="Roboto" w:cs="Times New Roman"/>
          <w:color w:val="0000FF"/>
          <w:szCs w:val="22"/>
          <w:lang w:val="en-US" w:eastAsia="fr-FR"/>
        </w:rPr>
        <w:t xml:space="preserve">: mapping (selection of appropriate concepts which will be very time consuming should the detailed Notes marking-up be introduced, </w:t>
      </w:r>
      <w:r w:rsidRPr="00170566">
        <w:rPr>
          <w:rFonts w:ascii="Roboto" w:eastAsia="Times New Roman" w:hAnsi="Roboto" w:cs="Times New Roman"/>
          <w:color w:val="0000FF"/>
          <w:szCs w:val="22"/>
          <w:lang w:val="en-US" w:eastAsia="fr-FR"/>
        </w:rPr>
        <w:lastRenderedPageBreak/>
        <w:t xml:space="preserve">validation of the mapping by the auditors, practical implementation in the software, resolution of errors and technical validation by the auditors). It should also be noted that the entire process is often realized by staff (whether internal or external) with “expert” profiles in a context of pressure on availability of resources and/or costs. </w:t>
      </w:r>
    </w:p>
    <w:p w14:paraId="5D7389A7" w14:textId="40AEA4AC" w:rsidR="00AF763D" w:rsidRPr="00AF763D" w:rsidRDefault="00AF763D" w:rsidP="00170566">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w:t>
      </w:r>
      <w:proofErr w:type="spellStart"/>
      <w:r w:rsidRPr="00AF763D">
        <w:rPr>
          <w:rFonts w:eastAsia="Times New Roman"/>
          <w:color w:val="auto"/>
          <w:szCs w:val="22"/>
          <w:lang w:eastAsia="en-GB"/>
        </w:rPr>
        <w:t>markup</w:t>
      </w:r>
      <w:proofErr w:type="spellEnd"/>
      <w:r w:rsidRPr="00AF763D">
        <w:rPr>
          <w:rFonts w:eastAsia="Times New Roman"/>
          <w:color w:val="auto"/>
          <w:szCs w:val="22"/>
          <w:lang w:eastAsia="en-GB"/>
        </w:rPr>
        <w:t xml:space="preserve"> and other additional costs associated with marking up disclosures of sustainability reporting? If you have a different view on the approximate average monetary cost per </w:t>
      </w:r>
      <w:proofErr w:type="spellStart"/>
      <w:r w:rsidRPr="00AF763D">
        <w:rPr>
          <w:rFonts w:eastAsia="Times New Roman"/>
          <w:color w:val="auto"/>
          <w:szCs w:val="22"/>
          <w:lang w:eastAsia="en-GB"/>
        </w:rPr>
        <w:t>markup</w:t>
      </w:r>
      <w:proofErr w:type="spellEnd"/>
      <w:r w:rsidRPr="00AF763D">
        <w:rPr>
          <w:rFonts w:eastAsia="Times New Roman"/>
          <w:color w:val="auto"/>
          <w:szCs w:val="22"/>
          <w:lang w:eastAsia="en-GB"/>
        </w:rPr>
        <w:t xml:space="preserve">,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6B91DCB8"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b/>
          <w:bCs/>
          <w:color w:val="0000FF"/>
          <w:szCs w:val="22"/>
          <w:lang w:val="en-US" w:eastAsia="fr-FR"/>
        </w:rPr>
        <w:t>We disagree</w:t>
      </w:r>
      <w:r w:rsidRPr="00170566">
        <w:rPr>
          <w:rFonts w:ascii="Roboto" w:eastAsia="Times New Roman" w:hAnsi="Roboto" w:cs="Times New Roman"/>
          <w:color w:val="0000FF"/>
          <w:szCs w:val="22"/>
          <w:lang w:val="en-US" w:eastAsia="fr-FR"/>
        </w:rPr>
        <w:t xml:space="preserve"> with ESMA’s understanding of costs associated with marking up the sustainability reporting for the </w:t>
      </w:r>
      <w:r w:rsidRPr="00170566">
        <w:rPr>
          <w:rFonts w:ascii="Roboto" w:eastAsia="Times New Roman" w:hAnsi="Roboto" w:cs="Times New Roman"/>
          <w:b/>
          <w:bCs/>
          <w:color w:val="0000FF"/>
          <w:szCs w:val="22"/>
          <w:lang w:val="en-US" w:eastAsia="fr-FR"/>
        </w:rPr>
        <w:t>following reasons</w:t>
      </w:r>
      <w:r w:rsidRPr="00170566">
        <w:rPr>
          <w:rFonts w:ascii="Roboto" w:eastAsia="Times New Roman" w:hAnsi="Roboto" w:cs="Times New Roman"/>
          <w:color w:val="0000FF"/>
          <w:szCs w:val="22"/>
          <w:lang w:val="en-US" w:eastAsia="fr-FR"/>
        </w:rPr>
        <w:t>:</w:t>
      </w:r>
    </w:p>
    <w:p w14:paraId="55CD5DDA" w14:textId="77777777" w:rsidR="00170566" w:rsidRPr="00170566" w:rsidRDefault="00170566" w:rsidP="00170566">
      <w:pPr>
        <w:numPr>
          <w:ilvl w:val="0"/>
          <w:numId w:val="51"/>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The </w:t>
      </w:r>
      <w:r w:rsidRPr="00170566">
        <w:rPr>
          <w:rFonts w:ascii="Roboto" w:eastAsia="Times New Roman" w:hAnsi="Roboto" w:cs="Times New Roman"/>
          <w:b/>
          <w:bCs/>
          <w:color w:val="0000FF"/>
          <w:szCs w:val="22"/>
          <w:lang w:val="en-US" w:eastAsia="fr-FR"/>
        </w:rPr>
        <w:t>costs associated with the audit</w:t>
      </w:r>
      <w:r w:rsidRPr="00170566">
        <w:rPr>
          <w:rFonts w:ascii="Roboto" w:eastAsia="Times New Roman" w:hAnsi="Roboto" w:cs="Times New Roman"/>
          <w:color w:val="0000FF"/>
          <w:szCs w:val="22"/>
          <w:lang w:val="en-US" w:eastAsia="fr-FR"/>
        </w:rPr>
        <w:t xml:space="preserve"> of the sustainability report </w:t>
      </w:r>
      <w:r w:rsidRPr="00170566">
        <w:rPr>
          <w:rFonts w:ascii="Roboto" w:eastAsia="Times New Roman" w:hAnsi="Roboto" w:cs="Times New Roman"/>
          <w:b/>
          <w:bCs/>
          <w:color w:val="0000FF"/>
          <w:szCs w:val="22"/>
          <w:lang w:val="en-US" w:eastAsia="fr-FR"/>
        </w:rPr>
        <w:t>have already been underestimated.</w:t>
      </w:r>
    </w:p>
    <w:p w14:paraId="42965A53" w14:textId="77777777" w:rsidR="00170566" w:rsidRPr="00170566" w:rsidRDefault="00170566" w:rsidP="00170566">
      <w:pPr>
        <w:numPr>
          <w:ilvl w:val="0"/>
          <w:numId w:val="51"/>
        </w:numPr>
        <w:spacing w:after="0" w:line="240" w:lineRule="auto"/>
        <w:textAlignment w:val="baseline"/>
        <w:rPr>
          <w:rFonts w:ascii="Roboto" w:eastAsia="Times New Roman" w:hAnsi="Roboto" w:cs="Times New Roman"/>
          <w:color w:val="0000FF"/>
          <w:szCs w:val="22"/>
          <w:lang w:val="en-US" w:eastAsia="fr-FR"/>
        </w:rPr>
      </w:pPr>
      <w:r w:rsidRPr="00170566">
        <w:rPr>
          <w:rFonts w:ascii="Roboto" w:eastAsia="Times New Roman" w:hAnsi="Roboto" w:cs="Times New Roman"/>
          <w:color w:val="0000FF"/>
          <w:szCs w:val="22"/>
          <w:lang w:val="en-US" w:eastAsia="fr-FR"/>
        </w:rPr>
        <w:t xml:space="preserve">Only a few issuers have published their first sustainability report. There is </w:t>
      </w:r>
      <w:r w:rsidRPr="00170566">
        <w:rPr>
          <w:rFonts w:ascii="Roboto" w:eastAsia="Times New Roman" w:hAnsi="Roboto" w:cs="Times New Roman"/>
          <w:b/>
          <w:bCs/>
          <w:color w:val="0000FF"/>
          <w:szCs w:val="22"/>
          <w:lang w:val="en-US" w:eastAsia="fr-FR"/>
        </w:rPr>
        <w:t xml:space="preserve">no experience on the matter and no field test </w:t>
      </w:r>
      <w:proofErr w:type="gramStart"/>
      <w:r w:rsidRPr="00170566">
        <w:rPr>
          <w:rFonts w:ascii="Roboto" w:eastAsia="Times New Roman" w:hAnsi="Roboto" w:cs="Times New Roman"/>
          <w:b/>
          <w:bCs/>
          <w:color w:val="0000FF"/>
          <w:szCs w:val="22"/>
          <w:lang w:val="en-US" w:eastAsia="fr-FR"/>
        </w:rPr>
        <w:t>has</w:t>
      </w:r>
      <w:bookmarkStart w:id="9" w:name="_GoBack"/>
      <w:bookmarkEnd w:id="9"/>
      <w:r w:rsidRPr="00170566">
        <w:rPr>
          <w:rFonts w:ascii="Roboto" w:eastAsia="Times New Roman" w:hAnsi="Roboto" w:cs="Times New Roman"/>
          <w:b/>
          <w:bCs/>
          <w:color w:val="0000FF"/>
          <w:szCs w:val="22"/>
          <w:lang w:val="en-US" w:eastAsia="fr-FR"/>
        </w:rPr>
        <w:t xml:space="preserve"> been conducted</w:t>
      </w:r>
      <w:proofErr w:type="gramEnd"/>
      <w:r w:rsidRPr="00170566">
        <w:rPr>
          <w:rFonts w:ascii="Roboto" w:eastAsia="Times New Roman" w:hAnsi="Roboto" w:cs="Times New Roman"/>
          <w:color w:val="0000FF"/>
          <w:szCs w:val="22"/>
          <w:lang w:val="en-US" w:eastAsia="fr-FR"/>
        </w:rPr>
        <w:t>, supporting a reliable estimate of the costs to mark up.</w:t>
      </w:r>
    </w:p>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proofErr w:type="gramStart"/>
      <w:r w:rsidRPr="00AF763D">
        <w:rPr>
          <w:rFonts w:eastAsia="Times New Roman"/>
          <w:b/>
          <w:bCs/>
          <w:color w:val="auto"/>
          <w:szCs w:val="22"/>
          <w:lang w:eastAsia="en-GB"/>
        </w:rPr>
        <w:t>Question 32</w:t>
      </w:r>
      <w:r w:rsidRPr="00AF763D">
        <w:rPr>
          <w:rFonts w:eastAsia="Times New Roman"/>
          <w:color w:val="auto"/>
          <w:szCs w:val="22"/>
          <w:lang w:eastAsia="en-GB"/>
        </w:rPr>
        <w:t>: Do you agree with the above-mentioned possible costs and benefits developed by ESMA with respect to the review of the current marking up approach for the Notes to the IFRS consolidated financial statements?</w:t>
      </w:r>
      <w:proofErr w:type="gramEnd"/>
      <w:r w:rsidRPr="00AF763D">
        <w:rPr>
          <w:rFonts w:eastAsia="Times New Roman"/>
          <w:color w:val="auto"/>
          <w:szCs w:val="22"/>
          <w:lang w:eastAsia="en-GB"/>
        </w:rPr>
        <w:t xml:space="preserve">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2576A13E" w14:textId="77777777" w:rsidR="00170566" w:rsidRDefault="00170566" w:rsidP="00AF763D">
      <w:pPr>
        <w:spacing w:after="0" w:line="240" w:lineRule="auto"/>
        <w:jc w:val="left"/>
        <w:rPr>
          <w:rFonts w:ascii="Roboto" w:hAnsi="Roboto"/>
          <w:color w:val="0000FF"/>
          <w:szCs w:val="22"/>
        </w:rPr>
      </w:pPr>
      <w:r>
        <w:rPr>
          <w:rFonts w:ascii="Roboto" w:hAnsi="Roboto"/>
          <w:color w:val="0000FF"/>
          <w:szCs w:val="22"/>
        </w:rPr>
        <w:t>See answer to questions 15 and 27.</w:t>
      </w:r>
    </w:p>
    <w:p w14:paraId="160EBD61" w14:textId="27C40167"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6FB2C046" w14:textId="77777777" w:rsidR="00170566" w:rsidRPr="00170566" w:rsidRDefault="00170566" w:rsidP="00170566">
      <w:pPr>
        <w:spacing w:after="0" w:line="240" w:lineRule="auto"/>
        <w:rPr>
          <w:rFonts w:ascii="Times New Roman" w:eastAsia="Times New Roman" w:hAnsi="Times New Roman" w:cs="Times New Roman"/>
          <w:color w:val="auto"/>
          <w:sz w:val="24"/>
          <w:szCs w:val="24"/>
          <w:lang w:val="en-US" w:eastAsia="fr-FR"/>
        </w:rPr>
      </w:pPr>
      <w:r w:rsidRPr="00170566">
        <w:rPr>
          <w:rFonts w:ascii="Roboto" w:eastAsia="Times New Roman" w:hAnsi="Roboto" w:cs="Times New Roman"/>
          <w:color w:val="0000FF"/>
          <w:szCs w:val="22"/>
          <w:lang w:val="en-US" w:eastAsia="fr-FR"/>
        </w:rPr>
        <w:t>See answer to question 19.</w:t>
      </w:r>
    </w:p>
    <w:p w14:paraId="0B1361AC" w14:textId="2E52468A" w:rsidR="00AF763D" w:rsidRPr="00AF763D" w:rsidRDefault="00AF763D" w:rsidP="00AF763D">
      <w:pPr>
        <w:rPr>
          <w:sz w:val="20"/>
          <w:szCs w:val="18"/>
        </w:rPr>
      </w:pPr>
      <w:r w:rsidRPr="00AF763D">
        <w:rPr>
          <w:sz w:val="20"/>
          <w:szCs w:val="18"/>
        </w:rPr>
        <w:t>&lt;ESMA_QUESTION_ESEFEEAP_33&gt;</w:t>
      </w:r>
      <w:r w:rsidR="009943F9">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9943F9"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w:t>
      </w:r>
      <w:proofErr w:type="gramStart"/>
      <w:r w:rsidRPr="00AF763D">
        <w:rPr>
          <w:rFonts w:eastAsia="Times New Roman"/>
          <w:color w:val="auto"/>
          <w:szCs w:val="22"/>
          <w:lang w:eastAsia="en-GB"/>
        </w:rPr>
        <w:t>ESEF which</w:t>
      </w:r>
      <w:proofErr w:type="gramEnd"/>
      <w:r w:rsidRPr="00AF763D">
        <w:rPr>
          <w:rFonts w:eastAsia="Times New Roman"/>
          <w:color w:val="auto"/>
          <w:szCs w:val="22"/>
          <w:lang w:eastAsia="en-GB"/>
        </w:rPr>
        <w:t xml:space="preserve">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A79AF" w14:textId="77777777" w:rsidR="009943F9" w:rsidRDefault="009943F9" w:rsidP="00F716D4">
      <w:r>
        <w:separator/>
      </w:r>
    </w:p>
    <w:p w14:paraId="2DBB23FD" w14:textId="77777777" w:rsidR="009943F9" w:rsidRDefault="009943F9" w:rsidP="00F716D4"/>
  </w:endnote>
  <w:endnote w:type="continuationSeparator" w:id="0">
    <w:p w14:paraId="3132A1DE" w14:textId="77777777" w:rsidR="009943F9" w:rsidRDefault="009943F9" w:rsidP="00F716D4">
      <w:r>
        <w:continuationSeparator/>
      </w:r>
    </w:p>
    <w:p w14:paraId="7E78805C" w14:textId="77777777" w:rsidR="009943F9" w:rsidRDefault="009943F9" w:rsidP="00F716D4"/>
  </w:endnote>
  <w:endnote w:type="continuationNotice" w:id="1">
    <w:p w14:paraId="31032E99" w14:textId="77777777" w:rsidR="009943F9" w:rsidRDefault="009943F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16B6" w14:textId="77777777" w:rsidR="009943F9" w:rsidRDefault="009943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95E3D" w14:textId="77777777" w:rsidR="009943F9" w:rsidRDefault="009943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C15A" w14:textId="77777777" w:rsidR="009943F9" w:rsidRDefault="009943F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0197" w14:textId="4D06AFED" w:rsidR="009943F9" w:rsidRPr="00104E00" w:rsidRDefault="009943F9" w:rsidP="00104E00">
    <w:pPr>
      <w:pStyle w:val="Pieddepag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Lienhypertexte"/>
          <w:sz w:val="15"/>
          <w:szCs w:val="15"/>
          <w:lang w:val="fr-FR"/>
        </w:rPr>
        <w:t>www.esma.</w:t>
      </w:r>
      <w:proofErr w:type="spellStart"/>
      <w:r w:rsidRPr="00A8626B">
        <w:rPr>
          <w:rStyle w:val="Lienhypertexte"/>
          <w:sz w:val="15"/>
          <w:szCs w:val="15"/>
          <w:lang w:val="fr-BE"/>
        </w:rPr>
        <w:t>europa</w:t>
      </w:r>
      <w:proofErr w:type="spellEnd"/>
      <w:r w:rsidRPr="00A8626B">
        <w:rPr>
          <w:rStyle w:val="Lienhypertext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sidR="00081226">
          <w:rPr>
            <w:noProof/>
            <w:color w:val="001B4F"/>
            <w:sz w:val="15"/>
            <w:szCs w:val="15"/>
            <w:lang w:val="fr-FR"/>
          </w:rPr>
          <w:t>3</w:t>
        </w:r>
        <w:r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DFCB8" w14:textId="77777777" w:rsidR="009943F9" w:rsidRDefault="009943F9" w:rsidP="00F716D4">
      <w:r>
        <w:separator/>
      </w:r>
    </w:p>
    <w:p w14:paraId="4144F7C9" w14:textId="77777777" w:rsidR="009943F9" w:rsidRDefault="009943F9" w:rsidP="00F716D4"/>
  </w:footnote>
  <w:footnote w:type="continuationSeparator" w:id="0">
    <w:p w14:paraId="4AD90A96" w14:textId="77777777" w:rsidR="009943F9" w:rsidRDefault="009943F9" w:rsidP="00F716D4">
      <w:r>
        <w:continuationSeparator/>
      </w:r>
    </w:p>
    <w:p w14:paraId="03780C97" w14:textId="77777777" w:rsidR="009943F9" w:rsidRDefault="009943F9" w:rsidP="00F716D4"/>
  </w:footnote>
  <w:footnote w:type="continuationNotice" w:id="1">
    <w:p w14:paraId="01FD9025" w14:textId="77777777" w:rsidR="009943F9" w:rsidRDefault="009943F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96E0" w14:textId="77777777" w:rsidR="009943F9" w:rsidRDefault="009943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65DA" w14:textId="77777777" w:rsidR="009943F9" w:rsidRDefault="009943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BF1B" w14:textId="6E179081" w:rsidR="009943F9" w:rsidRPr="004E60D2" w:rsidRDefault="009943F9"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lang w:val="fr-FR" w:eastAsia="fr-FR"/>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color w:val="001B4F"/>
        <w:sz w:val="16"/>
        <w:szCs w:val="16"/>
        <w:shd w:val="clear" w:color="auto" w:fill="FFFFFF"/>
      </w:rPr>
      <w:t>13 December</w:t>
    </w:r>
    <w:r w:rsidRPr="004E60D2">
      <w:rPr>
        <w:rStyle w:val="normaltextrun"/>
        <w:color w:val="001B4F"/>
        <w:sz w:val="16"/>
        <w:szCs w:val="16"/>
        <w:shd w:val="clear" w:color="auto" w:fill="FFFFFF"/>
      </w:rPr>
      <w:t xml:space="preserve"> 2024</w:t>
    </w:r>
  </w:p>
  <w:p w14:paraId="4AF05B1F" w14:textId="5FDDDFB8" w:rsidR="009943F9" w:rsidRDefault="009943F9"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9E5B" w14:textId="77777777" w:rsidR="009943F9" w:rsidRDefault="009943F9" w:rsidP="00F716D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8E57" w14:textId="18200719" w:rsidR="009943F9" w:rsidRPr="00F87468" w:rsidRDefault="009943F9" w:rsidP="005C56D3">
    <w:pPr>
      <w:pStyle w:val="HeaderFoot"/>
    </w:pPr>
  </w:p>
  <w:p w14:paraId="3CAF3EB5" w14:textId="77777777" w:rsidR="009943F9" w:rsidRDefault="009943F9" w:rsidP="005C56D3">
    <w:pPr>
      <w:pStyle w:val="HeaderFoot"/>
      <w:rPr>
        <w:lang w:val="fr-FR"/>
      </w:rPr>
    </w:pPr>
  </w:p>
  <w:p w14:paraId="30197A99" w14:textId="77777777" w:rsidR="009943F9" w:rsidRDefault="009943F9" w:rsidP="005C56D3">
    <w:pPr>
      <w:pStyle w:val="HeaderFoot"/>
      <w:rPr>
        <w:lang w:val="fr-FR"/>
      </w:rPr>
    </w:pPr>
  </w:p>
  <w:p w14:paraId="5F3A9B98" w14:textId="77777777" w:rsidR="009943F9" w:rsidRDefault="009943F9" w:rsidP="005C56D3">
    <w:pPr>
      <w:pStyle w:val="HeaderFoot"/>
      <w:rPr>
        <w:lang w:val="fr-FR"/>
      </w:rPr>
    </w:pPr>
  </w:p>
  <w:p w14:paraId="6A690643" w14:textId="77777777" w:rsidR="009943F9" w:rsidRDefault="009943F9" w:rsidP="00AF763D">
    <w:pPr>
      <w:pStyle w:val="HeaderFoot"/>
      <w:jc w:val="both"/>
      <w:rPr>
        <w:lang w:val="fr-FR"/>
      </w:rPr>
    </w:pPr>
  </w:p>
  <w:p w14:paraId="3E5C66CB" w14:textId="41E17AD8" w:rsidR="009943F9" w:rsidRPr="00F87468" w:rsidRDefault="009943F9" w:rsidP="005C56D3">
    <w:pPr>
      <w:pStyle w:val="HeaderFoot"/>
      <w:rPr>
        <w:lang w:val="fr-FR"/>
      </w:rPr>
    </w:pPr>
    <w:r w:rsidRPr="00F87468">
      <w:rPr>
        <w:rStyle w:val="ESMARegularuse"/>
        <w:bCs w:val="0"/>
        <w:caps w:val="0"/>
        <w:noProof/>
        <w:color w:val="001B4F" w:themeColor="text1" w:themeShade="80"/>
        <w:sz w:val="16"/>
        <w:lang w:val="fr-FR" w:eastAsia="fr-FR"/>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A4D28"/>
    <w:multiLevelType w:val="multilevel"/>
    <w:tmpl w:val="6A24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7621E"/>
    <w:multiLevelType w:val="multilevel"/>
    <w:tmpl w:val="CA28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A0504"/>
    <w:multiLevelType w:val="multilevel"/>
    <w:tmpl w:val="0FB0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B3AED"/>
    <w:multiLevelType w:val="multilevel"/>
    <w:tmpl w:val="95D6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60C6B"/>
    <w:multiLevelType w:val="multilevel"/>
    <w:tmpl w:val="338C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1644E"/>
    <w:multiLevelType w:val="multilevel"/>
    <w:tmpl w:val="C5E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1822"/>
    <w:multiLevelType w:val="multilevel"/>
    <w:tmpl w:val="0A9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1"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91457B"/>
    <w:multiLevelType w:val="multilevel"/>
    <w:tmpl w:val="8218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E0F4E"/>
    <w:multiLevelType w:val="multilevel"/>
    <w:tmpl w:val="8C10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8DD52EB"/>
    <w:multiLevelType w:val="multilevel"/>
    <w:tmpl w:val="ABFC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2"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DBD577C"/>
    <w:multiLevelType w:val="multilevel"/>
    <w:tmpl w:val="E55C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1A566B"/>
    <w:multiLevelType w:val="multilevel"/>
    <w:tmpl w:val="1C82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244636"/>
    <w:multiLevelType w:val="multilevel"/>
    <w:tmpl w:val="71A6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4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847388"/>
    <w:multiLevelType w:val="multilevel"/>
    <w:tmpl w:val="FA9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5C4299C"/>
    <w:multiLevelType w:val="multilevel"/>
    <w:tmpl w:val="DE1E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1" w15:restartNumberingAfterBreak="0">
    <w:nsid w:val="7FEF56C0"/>
    <w:multiLevelType w:val="hybridMultilevel"/>
    <w:tmpl w:val="3CD65192"/>
    <w:lvl w:ilvl="0" w:tplc="E674947E">
      <w:start w:val="1"/>
      <w:numFmt w:val="decimal"/>
      <w:pStyle w:val="Titre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7"/>
  </w:num>
  <w:num w:numId="3">
    <w:abstractNumId w:val="19"/>
  </w:num>
  <w:num w:numId="4">
    <w:abstractNumId w:val="32"/>
  </w:num>
  <w:num w:numId="5">
    <w:abstractNumId w:val="0"/>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9"/>
  </w:num>
  <w:num w:numId="13">
    <w:abstractNumId w:val="31"/>
  </w:num>
  <w:num w:numId="14">
    <w:abstractNumId w:val="18"/>
  </w:num>
  <w:num w:numId="15">
    <w:abstractNumId w:val="1"/>
  </w:num>
  <w:num w:numId="16">
    <w:abstractNumId w:val="22"/>
  </w:num>
  <w:num w:numId="17">
    <w:abstractNumId w:val="23"/>
  </w:num>
  <w:num w:numId="18">
    <w:abstractNumId w:val="25"/>
  </w:num>
  <w:num w:numId="19">
    <w:abstractNumId w:val="34"/>
  </w:num>
  <w:num w:numId="20">
    <w:abstractNumId w:val="47"/>
  </w:num>
  <w:num w:numId="21">
    <w:abstractNumId w:val="33"/>
  </w:num>
  <w:num w:numId="22">
    <w:abstractNumId w:val="17"/>
  </w:num>
  <w:num w:numId="23">
    <w:abstractNumId w:val="38"/>
  </w:num>
  <w:num w:numId="24">
    <w:abstractNumId w:val="37"/>
  </w:num>
  <w:num w:numId="25">
    <w:abstractNumId w:val="28"/>
  </w:num>
  <w:num w:numId="26">
    <w:abstractNumId w:val="43"/>
  </w:num>
  <w:num w:numId="27">
    <w:abstractNumId w:val="50"/>
  </w:num>
  <w:num w:numId="28">
    <w:abstractNumId w:val="14"/>
  </w:num>
  <w:num w:numId="29">
    <w:abstractNumId w:val="8"/>
  </w:num>
  <w:num w:numId="30">
    <w:abstractNumId w:val="30"/>
  </w:num>
  <w:num w:numId="31">
    <w:abstractNumId w:val="29"/>
  </w:num>
  <w:num w:numId="32">
    <w:abstractNumId w:val="45"/>
  </w:num>
  <w:num w:numId="33">
    <w:abstractNumId w:val="44"/>
  </w:num>
  <w:num w:numId="34">
    <w:abstractNumId w:val="20"/>
  </w:num>
  <w:num w:numId="35">
    <w:abstractNumId w:val="26"/>
  </w:num>
  <w:num w:numId="36">
    <w:abstractNumId w:val="51"/>
  </w:num>
  <w:num w:numId="37">
    <w:abstractNumId w:val="6"/>
  </w:num>
  <w:num w:numId="38">
    <w:abstractNumId w:val="2"/>
  </w:num>
  <w:num w:numId="39">
    <w:abstractNumId w:val="40"/>
  </w:num>
  <w:num w:numId="40">
    <w:abstractNumId w:val="36"/>
  </w:num>
  <w:num w:numId="41">
    <w:abstractNumId w:val="5"/>
  </w:num>
  <w:num w:numId="42">
    <w:abstractNumId w:val="3"/>
  </w:num>
  <w:num w:numId="43">
    <w:abstractNumId w:val="9"/>
  </w:num>
  <w:num w:numId="44">
    <w:abstractNumId w:val="4"/>
  </w:num>
  <w:num w:numId="45">
    <w:abstractNumId w:val="13"/>
  </w:num>
  <w:num w:numId="46">
    <w:abstractNumId w:val="46"/>
  </w:num>
  <w:num w:numId="47">
    <w:abstractNumId w:val="12"/>
  </w:num>
  <w:num w:numId="48">
    <w:abstractNumId w:val="48"/>
  </w:num>
  <w:num w:numId="49">
    <w:abstractNumId w:val="7"/>
  </w:num>
  <w:num w:numId="50">
    <w:abstractNumId w:val="41"/>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22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566"/>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101"/>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3F9"/>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A9B"/>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260"/>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Titre1">
    <w:name w:val="heading 1"/>
    <w:basedOn w:val="Normal"/>
    <w:next w:val="Normal"/>
    <w:link w:val="Titre1Car"/>
    <w:qFormat/>
    <w:locked/>
    <w:rsid w:val="00BB1973"/>
    <w:pPr>
      <w:keepNext/>
      <w:numPr>
        <w:numId w:val="36"/>
      </w:numPr>
      <w:spacing w:before="240" w:after="60" w:line="360" w:lineRule="auto"/>
      <w:outlineLvl w:val="0"/>
    </w:pPr>
    <w:rPr>
      <w:b/>
      <w:bCs/>
      <w:color w:val="00379F"/>
      <w:kern w:val="32"/>
      <w:sz w:val="28"/>
      <w:szCs w:val="28"/>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2"/>
      </w:numPr>
      <w:spacing w:before="200"/>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qFormat/>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locked/>
    <w:rsid w:val="001725A5"/>
    <w:pPr>
      <w:spacing w:line="200" w:lineRule="exact"/>
    </w:pPr>
    <w:rPr>
      <w:sz w:val="16"/>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locked/>
    <w:rsid w:val="004B1E61"/>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Normal Nivel 1,List Paragraph Main,List first level,List Paragraph_Sections"/>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M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7"/>
      </w:numPr>
      <w:spacing w:after="240"/>
    </w:pPr>
    <w:rPr>
      <w:rFonts w:ascii="Times New Roman" w:hAnsi="Times New Roman"/>
      <w:sz w:val="24"/>
      <w:lang w:eastAsia="en-GB"/>
    </w:rPr>
  </w:style>
  <w:style w:type="character" w:customStyle="1" w:styleId="CorpsdetexteCar">
    <w:name w:val="Corps de texte Car"/>
    <w:link w:val="Corpsdetexte"/>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rFonts w:eastAsiaTheme="minorEastAsia" w:cs="Arial"/>
      <w:b/>
      <w:bCs/>
      <w:color w:val="181818" w:themeColor="background1" w:themeShade="1A"/>
      <w:sz w:val="22"/>
      <w:szCs w:val="22"/>
      <w:lang w:eastAsia="en-US"/>
    </w:rPr>
  </w:style>
  <w:style w:type="character" w:customStyle="1" w:styleId="Titre8Car">
    <w:name w:val="Titre 8 Car"/>
    <w:link w:val="Titre8"/>
    <w:rsid w:val="002D6E1A"/>
    <w:rPr>
      <w:rFonts w:eastAsiaTheme="minorEastAsia" w:cs="Arial"/>
      <w:i/>
      <w:iCs/>
      <w:color w:val="181818" w:themeColor="background1" w:themeShade="1A"/>
      <w:sz w:val="22"/>
      <w:lang w:eastAsia="en-US"/>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aragraphedelisteCar">
    <w:name w:val="Paragraphe de liste Car"/>
    <w:aliases w:val="Paragraphe EI Car,Paragraphe de liste1 Car,EC Car,Normal Nivel 1 Car,List Paragraph Main Car,List first level Car,List Paragraph_Sections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eastAsiaTheme="minorEastAsia" w:hAnsi="Arial" w:cs="Arial"/>
      <w:b/>
      <w:color w:val="181818" w:themeColor="background1" w:themeShade="1A"/>
      <w:sz w:val="22"/>
      <w:lang w:eastAsia="en-US"/>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enum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enum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enum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epuce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epuce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epuce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epuce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desillustration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Policepardfau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Emphase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re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Policepardfau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lev"/>
    <w:uiPriority w:val="1"/>
    <w:qFormat/>
    <w:rsid w:val="00F87468"/>
    <w:rPr>
      <w:b w:val="0"/>
      <w:bCs/>
      <w:caps/>
      <w:smallCaps w:val="0"/>
      <w:color w:val="FF0000" w:themeColor="accent6"/>
      <w:sz w:val="22"/>
    </w:rPr>
  </w:style>
  <w:style w:type="paragraph" w:styleId="Sous-titre">
    <w:name w:val="Subtitle"/>
    <w:basedOn w:val="Normal"/>
    <w:next w:val="Normal"/>
    <w:link w:val="Sous-titreCar"/>
    <w:uiPriority w:val="11"/>
    <w:qFormat/>
    <w:locked/>
    <w:rsid w:val="00E70E2E"/>
    <w:pPr>
      <w:numPr>
        <w:ilvl w:val="1"/>
      </w:numPr>
    </w:pPr>
    <w:rPr>
      <w:rFonts w:eastAsiaTheme="majorEastAsia"/>
      <w:b/>
      <w:bCs/>
      <w:sz w:val="28"/>
    </w:rPr>
  </w:style>
  <w:style w:type="character" w:customStyle="1" w:styleId="Sous-titreCar">
    <w:name w:val="Sous-titre Car"/>
    <w:basedOn w:val="Policepardfaut"/>
    <w:link w:val="Sous-titr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customStyle="1" w:styleId="UnresolvedMention">
    <w:name w:val="Unresolved Mention"/>
    <w:basedOn w:val="Policepardfaut"/>
    <w:uiPriority w:val="99"/>
    <w:semiHidden/>
    <w:unhideWhenUsed/>
    <w:rsid w:val="0034374F"/>
    <w:rPr>
      <w:color w:val="605E5C"/>
      <w:shd w:val="clear" w:color="auto" w:fill="E1DFDD"/>
    </w:rPr>
  </w:style>
  <w:style w:type="character" w:customStyle="1" w:styleId="HeaderFootChar">
    <w:name w:val="HeaderFoot Char"/>
    <w:basedOn w:val="Policepardfau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Policepardfau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Policepardfaut"/>
    <w:rsid w:val="004E60D2"/>
  </w:style>
  <w:style w:type="character" w:customStyle="1" w:styleId="mandatory">
    <w:name w:val="mandatory"/>
    <w:basedOn w:val="Policepardfaut"/>
    <w:rsid w:val="00E54596"/>
  </w:style>
  <w:style w:type="character" w:customStyle="1" w:styleId="screen-reader-only">
    <w:name w:val="screen-reader-only"/>
    <w:basedOn w:val="Policepardfaut"/>
    <w:rsid w:val="00E54596"/>
  </w:style>
  <w:style w:type="paragraph" w:styleId="Sansinterligne">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04929852">
      <w:bodyDiv w:val="1"/>
      <w:marLeft w:val="0"/>
      <w:marRight w:val="0"/>
      <w:marTop w:val="0"/>
      <w:marBottom w:val="0"/>
      <w:divBdr>
        <w:top w:val="none" w:sz="0" w:space="0" w:color="auto"/>
        <w:left w:val="none" w:sz="0" w:space="0" w:color="auto"/>
        <w:bottom w:val="none" w:sz="0" w:space="0" w:color="auto"/>
        <w:right w:val="none" w:sz="0" w:space="0" w:color="auto"/>
      </w:divBdr>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8181">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596519780">
      <w:bodyDiv w:val="1"/>
      <w:marLeft w:val="0"/>
      <w:marRight w:val="0"/>
      <w:marTop w:val="0"/>
      <w:marBottom w:val="0"/>
      <w:divBdr>
        <w:top w:val="none" w:sz="0" w:space="0" w:color="auto"/>
        <w:left w:val="none" w:sz="0" w:space="0" w:color="auto"/>
        <w:bottom w:val="none" w:sz="0" w:space="0" w:color="auto"/>
        <w:right w:val="none" w:sz="0" w:space="0" w:color="auto"/>
      </w:divBdr>
    </w:div>
    <w:div w:id="654408214">
      <w:bodyDiv w:val="1"/>
      <w:marLeft w:val="0"/>
      <w:marRight w:val="0"/>
      <w:marTop w:val="0"/>
      <w:marBottom w:val="0"/>
      <w:divBdr>
        <w:top w:val="none" w:sz="0" w:space="0" w:color="auto"/>
        <w:left w:val="none" w:sz="0" w:space="0" w:color="auto"/>
        <w:bottom w:val="none" w:sz="0" w:space="0" w:color="auto"/>
        <w:right w:val="none" w:sz="0" w:space="0" w:color="auto"/>
      </w:divBdr>
    </w:div>
    <w:div w:id="676731328">
      <w:bodyDiv w:val="1"/>
      <w:marLeft w:val="0"/>
      <w:marRight w:val="0"/>
      <w:marTop w:val="0"/>
      <w:marBottom w:val="0"/>
      <w:divBdr>
        <w:top w:val="none" w:sz="0" w:space="0" w:color="auto"/>
        <w:left w:val="none" w:sz="0" w:space="0" w:color="auto"/>
        <w:bottom w:val="none" w:sz="0" w:space="0" w:color="auto"/>
        <w:right w:val="none" w:sz="0" w:space="0" w:color="auto"/>
      </w:divBdr>
    </w:div>
    <w:div w:id="725491681">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84487151">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626683">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2955006">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82155179">
      <w:bodyDiv w:val="1"/>
      <w:marLeft w:val="0"/>
      <w:marRight w:val="0"/>
      <w:marTop w:val="0"/>
      <w:marBottom w:val="0"/>
      <w:divBdr>
        <w:top w:val="none" w:sz="0" w:space="0" w:color="auto"/>
        <w:left w:val="none" w:sz="0" w:space="0" w:color="auto"/>
        <w:bottom w:val="none" w:sz="0" w:space="0" w:color="auto"/>
        <w:right w:val="none" w:sz="0" w:space="0" w:color="auto"/>
      </w:divBdr>
    </w:div>
    <w:div w:id="131518258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34983154">
      <w:bodyDiv w:val="1"/>
      <w:marLeft w:val="0"/>
      <w:marRight w:val="0"/>
      <w:marTop w:val="0"/>
      <w:marBottom w:val="0"/>
      <w:divBdr>
        <w:top w:val="none" w:sz="0" w:space="0" w:color="auto"/>
        <w:left w:val="none" w:sz="0" w:space="0" w:color="auto"/>
        <w:bottom w:val="none" w:sz="0" w:space="0" w:color="auto"/>
        <w:right w:val="none" w:sz="0" w:space="0" w:color="auto"/>
      </w:divBdr>
    </w:div>
    <w:div w:id="1532377166">
      <w:bodyDiv w:val="1"/>
      <w:marLeft w:val="0"/>
      <w:marRight w:val="0"/>
      <w:marTop w:val="0"/>
      <w:marBottom w:val="0"/>
      <w:divBdr>
        <w:top w:val="none" w:sz="0" w:space="0" w:color="auto"/>
        <w:left w:val="none" w:sz="0" w:space="0" w:color="auto"/>
        <w:bottom w:val="none" w:sz="0" w:space="0" w:color="auto"/>
        <w:right w:val="none" w:sz="0" w:space="0" w:color="auto"/>
      </w:divBdr>
    </w:div>
    <w:div w:id="1548182494">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99910076">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56917850">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182433">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hyperlink" Target="https://ec.europa.eu/info/law/better-regulation/have-your-say/initiatives/14546-Taxonomy-Delegated-Acts-amendments-to-make-reporting-simpler-and-more-cost-effective-for-companies_e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2.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documentManagement/types"/>
    <ds:schemaRef ds:uri="http://schemas.microsoft.com/office/2006/metadata/properties"/>
    <ds:schemaRef ds:uri="http://purl.org/dc/elements/1.1/"/>
    <ds:schemaRef ds:uri="ea984c69-31c5-4466-9245-f1525cd690b9"/>
    <ds:schemaRef ds:uri="http://schemas.openxmlformats.org/package/2006/metadata/core-properties"/>
    <ds:schemaRef ds:uri="http://purl.org/dc/terms/"/>
    <ds:schemaRef ds:uri="http://purl.org/dc/dcmitype/"/>
    <ds:schemaRef ds:uri="http://schemas.microsoft.com/office/infopath/2007/PartnerControls"/>
    <ds:schemaRef ds:uri="d0fb0f98-34f9-4d57-9559-eb8efd17aa5e"/>
    <ds:schemaRef ds:uri="http://www.w3.org/XML/1998/namespace"/>
  </ds:schemaRefs>
</ds:datastoreItem>
</file>

<file path=customXml/itemProps2.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DA4EF1A1-8E1B-4E02-91C3-906583891150}">
  <ds:schemaRefs>
    <ds:schemaRef ds:uri="http://schemas.openxmlformats.org/officeDocument/2006/bibliography"/>
  </ds:schemaRefs>
</ds:datastoreItem>
</file>

<file path=customXml/itemProps6.xml><?xml version="1.0" encoding="utf-8"?>
<ds:datastoreItem xmlns:ds="http://schemas.openxmlformats.org/officeDocument/2006/customXml" ds:itemID="{215D60FE-81B3-4503-8CEC-2364BC44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7639</Words>
  <Characters>42252</Characters>
  <Application>Microsoft Office Word</Application>
  <DocSecurity>0</DocSecurity>
  <Lines>352</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Reply form for the MiFID II/MiFIR Consultation Paper</vt:lpstr>
      <vt:lpstr>Reply form for the MiFID II/MiFIR Consultation Paper</vt:lpstr>
    </vt:vector>
  </TitlesOfParts>
  <Company>ESMA</Company>
  <LinksUpToDate>false</LinksUpToDate>
  <CharactersWithSpaces>49792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MINDAA, Anastasiya</cp:lastModifiedBy>
  <cp:revision>5</cp:revision>
  <cp:lastPrinted>2015-02-18T20:01:00Z</cp:lastPrinted>
  <dcterms:created xsi:type="dcterms:W3CDTF">2025-03-28T08:50:00Z</dcterms:created>
  <dcterms:modified xsi:type="dcterms:W3CDTF">2025-03-28T10:12:00Z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