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01438AE1" w14:textId="2ED61AF3" w:rsidR="00563C1F" w:rsidRDefault="00EC6066" w:rsidP="00F72D28">
          <w:pPr>
            <w:pStyle w:val="Title"/>
          </w:pPr>
          <w:r>
            <w:t xml:space="preserve">Reply </w:t>
          </w:r>
          <w:r w:rsidR="00DD03DC">
            <w:t>F</w:t>
          </w:r>
          <w:r>
            <w:t>orm</w:t>
          </w:r>
        </w:p>
        <w:p w14:paraId="031F2108" w14:textId="0BCCFFED" w:rsidR="007E7997" w:rsidRPr="00C01571" w:rsidRDefault="00D77369" w:rsidP="00D77369">
          <w:pPr>
            <w:pStyle w:val="Subtitle"/>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1"/>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70CF0"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4F7198" w:rsidRPr="004F7198">
            <w:rPr>
              <w:rFonts w:cs="Arial"/>
              <w:b/>
              <w:sz w:val="36"/>
              <w:szCs w:val="36"/>
            </w:rPr>
            <w:t>Draft technical advice concerning MAR and MiFID II SME GM</w:t>
          </w:r>
        </w:p>
        <w:p w14:paraId="5C42D2D2" w14:textId="77777777" w:rsidR="00D77369" w:rsidRDefault="00D77369" w:rsidP="00D77369"/>
        <w:p w14:paraId="0A9EB4DC" w14:textId="77777777" w:rsidR="00D77369" w:rsidRPr="00D77369" w:rsidRDefault="00D77369" w:rsidP="00D77369">
          <w:pPr>
            <w:sectPr w:rsidR="00D77369" w:rsidRPr="00D77369" w:rsidSect="0043139E">
              <w:footerReference w:type="even" r:id="rId14"/>
              <w:footerReference w:type="default" r:id="rId15"/>
              <w:headerReference w:type="first" r:id="rId16"/>
              <w:footerReference w:type="first" r:id="rId17"/>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1C34C5A8" w:rsidR="002533FC" w:rsidRPr="005B6B12" w:rsidRDefault="002533FC" w:rsidP="002533FC">
          <w:r w:rsidRPr="005B6B12">
            <w:t xml:space="preserve">ESMA will consider all comments received by </w:t>
          </w:r>
          <w:r w:rsidR="009B1E21">
            <w:rPr>
              <w:b/>
              <w:bCs/>
              <w:color w:val="auto"/>
            </w:rPr>
            <w:t>13</w:t>
          </w:r>
          <w:r w:rsidR="4A420E9D" w:rsidRPr="1768F097">
            <w:rPr>
              <w:b/>
              <w:bCs/>
              <w:color w:val="auto"/>
            </w:rPr>
            <w:t xml:space="preserve"> </w:t>
          </w:r>
          <w:r w:rsidR="009B1E21">
            <w:rPr>
              <w:b/>
              <w:bCs/>
              <w:color w:val="auto"/>
            </w:rPr>
            <w:t>February</w:t>
          </w:r>
          <w:r w:rsidR="0029727F" w:rsidRPr="1768F097">
            <w:rPr>
              <w:b/>
              <w:color w:val="auto"/>
            </w:rPr>
            <w:t xml:space="preserve"> 202</w:t>
          </w:r>
          <w:r w:rsidR="004035C7" w:rsidRPr="1768F097">
            <w:rPr>
              <w:b/>
              <w:color w:val="auto"/>
            </w:rPr>
            <w:t>4</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603DCDF0"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9B1E21">
            <w:rPr>
              <w:bCs/>
            </w:rPr>
            <w:t>LATA</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65CBA027"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9B1E21">
            <w:rPr>
              <w:bCs/>
            </w:rPr>
            <w:t>LATA</w:t>
          </w:r>
          <w:r w:rsidRPr="00C5469A">
            <w:rPr>
              <w:bCs/>
            </w:rPr>
            <w:t xml:space="preserve">_nameofrespondent. </w:t>
          </w:r>
        </w:p>
        <w:p w14:paraId="210BE93A" w14:textId="32733E7C"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9B1E21">
            <w:rPr>
              <w:bCs/>
            </w:rPr>
            <w:t>LATA</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9" w:history="1">
            <w:r w:rsidRPr="005B6B12">
              <w:rPr>
                <w:rStyle w:val="Hyperlink"/>
              </w:rPr>
              <w:t>www.esma.europa.eu</w:t>
            </w:r>
          </w:hyperlink>
          <w:r w:rsidRPr="005B6B12">
            <w:t xml:space="preserve"> under the heading </w:t>
          </w:r>
          <w:r w:rsidRPr="00025A7F">
            <w:rPr>
              <w:rStyle w:val="Hyperlink"/>
            </w:rPr>
            <w:t>‘</w:t>
          </w:r>
          <w:hyperlink r:id="rId20" w:history="1">
            <w:r>
              <w:rPr>
                <w:rStyle w:val="Hyperlink"/>
              </w:rPr>
              <w:t>Data protection</w:t>
            </w:r>
          </w:hyperlink>
          <w:r>
            <w:rPr>
              <w:rStyle w:val="Hyperlink"/>
            </w:rPr>
            <w:t>’</w:t>
          </w:r>
          <w:r w:rsidRPr="005B6B12">
            <w:t>.</w:t>
          </w:r>
        </w:p>
        <w:p w14:paraId="57A67DA5" w14:textId="381708DC" w:rsidR="00EC6066" w:rsidRPr="005B6B12" w:rsidRDefault="00EC6066" w:rsidP="00EC6066">
          <w:pPr>
            <w:rPr>
              <w:b/>
            </w:rPr>
          </w:pPr>
          <w:r w:rsidRPr="005B6B12">
            <w:rPr>
              <w:b/>
            </w:rPr>
            <w:t>Who should read this paper?</w:t>
          </w:r>
        </w:p>
      </w:sdtContent>
    </w:sdt>
    <w:p w14:paraId="4690CAFC" w14:textId="3C48FB60" w:rsidR="00EC6066" w:rsidRDefault="00D72513" w:rsidP="00EC6066">
      <w:r w:rsidRPr="00D72513">
        <w:t>All interested stakeholders are invited to respond to this consultation paper. This consultation paper is of primary interest to issuers, including SMEs, and trading venues, but responses are also sought from any other market participant including trade associations and industry bodies, institutional and retail investors, consultants and academics</w:t>
      </w:r>
      <w:r w:rsidR="002C06A9">
        <w:t>.</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452CDF2F" w:rsidR="00635BCA" w:rsidRPr="00557BD2" w:rsidRDefault="006F28E7" w:rsidP="00D21C35">
                <w:r>
                  <w:t>Nasdaq Nordic</w:t>
                </w:r>
                <w:r w:rsidR="00643DC5">
                  <w:t xml:space="preserve"> (Nasdaq Copenhagen A/S, Nasdaq Helsinki Ltd and Nasdaq Stockholm AB)</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nvestment firm" w:value="Investment firm"/>
              <w:listItem w:displayText="Credit institution" w:value="Credit institution"/>
              <w:listItem w:displayText="Asset management company" w:value="Asset management company"/>
              <w:listItem w:displayText="Trading Venue" w:value="Trading Venue"/>
              <w:listItem w:displayText="Issuer (SME)" w:value="Issuer (SME)"/>
              <w:listItem w:displayText="Issuer (Other than SME)" w:value="Issuer (Other than SME)"/>
              <w:listItem w:displayText="Retail investor" w:value="Retail investor"/>
              <w:listItem w:displayText="Institutional investor" w:value="Institutional investor"/>
              <w:listItem w:displayText="Trade Association" w:value="Trade Association"/>
              <w:listItem w:displayText="Public authority" w:value="Public authority"/>
              <w:listItem w:displayText="Consultant" w:value="Consultant"/>
              <w:listItem w:displayText="Academic" w:value="Academic"/>
              <w:listItem w:displayText="Other" w:value="Other"/>
            </w:comboBox>
          </w:sdtPr>
          <w:sdtEndPr/>
          <w:sdtContent>
            <w:tc>
              <w:tcPr>
                <w:tcW w:w="4531" w:type="dxa"/>
              </w:tcPr>
              <w:p w14:paraId="1185A96B" w14:textId="59670637" w:rsidR="00B17279" w:rsidRDefault="003933E3" w:rsidP="00B17279">
                <w:r>
                  <w:t>Trading Venue</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0"/>
              <w14:checkedState w14:val="2612" w14:font="MS Gothic"/>
              <w14:uncheckedState w14:val="2610" w14:font="MS Gothic"/>
            </w14:checkbox>
          </w:sdtPr>
          <w:sdtEndPr/>
          <w:sdtContent>
            <w:permStart w:id="605104681" w:edGrp="everyone" w:displacedByCustomXml="prev"/>
            <w:tc>
              <w:tcPr>
                <w:tcW w:w="4531" w:type="dxa"/>
              </w:tcPr>
              <w:p w14:paraId="10359AFE" w14:textId="38C275CC" w:rsidR="00B17279" w:rsidRDefault="003933E3" w:rsidP="00B17279">
                <w:r>
                  <w:rPr>
                    <w:rFonts w:ascii="MS Gothic" w:eastAsia="MS Gothic" w:hAnsi="MS Gothic" w:hint="eastAsia"/>
                  </w:rPr>
                  <w:t>☐</w:t>
                </w:r>
              </w:p>
            </w:tc>
            <w:permEnd w:id="605104681"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541983CA" w:rsidR="00B17279" w:rsidRPr="00557BD2" w:rsidRDefault="003933E3" w:rsidP="00B17279">
                <w:r>
                  <w:t>Europe</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Heading1"/>
        <w:rPr>
          <w:lang w:val="fr-BE"/>
        </w:rPr>
      </w:pPr>
      <w:r w:rsidRPr="00557BD2">
        <w:rPr>
          <w:lang w:val="fr-BE"/>
        </w:rPr>
        <w:t>Questions</w:t>
      </w:r>
    </w:p>
    <w:p w14:paraId="6C4AF3A4"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 xml:space="preserve">Do you agree with the definition of protracted processes provided? </w:t>
      </w:r>
    </w:p>
    <w:p w14:paraId="1271C14F" w14:textId="77777777" w:rsidR="009B1E21" w:rsidRDefault="009B1E21" w:rsidP="009B1E21">
      <w:r>
        <w:t>&lt;ESMA_QUESTION_LATA_1&gt;</w:t>
      </w:r>
    </w:p>
    <w:p w14:paraId="3111A860" w14:textId="77777777" w:rsidR="009B1E21" w:rsidRDefault="009B1E21" w:rsidP="009B1E21">
      <w:permStart w:id="627510576" w:edGrp="everyone"/>
      <w:r>
        <w:t>TYPE YOUR TEXT HERE</w:t>
      </w:r>
    </w:p>
    <w:permEnd w:id="627510576"/>
    <w:p w14:paraId="0D7538F4" w14:textId="77777777" w:rsidR="009B1E21" w:rsidRDefault="009B1E21" w:rsidP="009B1E21">
      <w:r>
        <w:t>&lt;ESMA_QUESTION_LATA_1&gt;</w:t>
      </w:r>
    </w:p>
    <w:p w14:paraId="6516A674" w14:textId="77777777" w:rsidR="009B1E21" w:rsidRDefault="009B1E21" w:rsidP="009B1E21"/>
    <w:p w14:paraId="30FCAAB9"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identified categories of processes and general principles?</w:t>
      </w:r>
    </w:p>
    <w:p w14:paraId="682E5B57" w14:textId="77777777" w:rsidR="009B1E21" w:rsidRDefault="009B1E21" w:rsidP="009B1E21">
      <w:r>
        <w:t>&lt;ESMA_QUESTION_LATA_2&gt;</w:t>
      </w:r>
    </w:p>
    <w:p w14:paraId="5572F42B" w14:textId="77777777" w:rsidR="009B1E21" w:rsidRDefault="009B1E21" w:rsidP="009B1E21">
      <w:permStart w:id="55053902" w:edGrp="everyone"/>
      <w:r>
        <w:t>TYPE YOUR TEXT HERE</w:t>
      </w:r>
    </w:p>
    <w:permEnd w:id="55053902"/>
    <w:p w14:paraId="360DEE1D" w14:textId="77777777" w:rsidR="009B1E21" w:rsidRDefault="009B1E21" w:rsidP="009B1E21">
      <w:r>
        <w:t>&lt;ESMA_QUESTION_LATA_2&gt;</w:t>
      </w:r>
    </w:p>
    <w:p w14:paraId="4F7495DE" w14:textId="77777777" w:rsidR="009B1E21" w:rsidRDefault="009B1E21" w:rsidP="009B1E21"/>
    <w:p w14:paraId="46A63C7E"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for protracted processes that are entirely internal to the issuer the moment of disclosure should be the moment when the corporate body having the decision power has taken the decision to commit to the outcome of the process?</w:t>
      </w:r>
    </w:p>
    <w:p w14:paraId="726B7541" w14:textId="77777777" w:rsidR="009B1E21" w:rsidRDefault="009B1E21" w:rsidP="009B1E21">
      <w:r>
        <w:lastRenderedPageBreak/>
        <w:t>&lt;ESMA_QUESTION_LATA_3&gt;</w:t>
      </w:r>
    </w:p>
    <w:p w14:paraId="1F7E2365" w14:textId="77777777" w:rsidR="009B1E21" w:rsidRDefault="009B1E21" w:rsidP="009B1E21">
      <w:permStart w:id="783093244" w:edGrp="everyone"/>
      <w:r>
        <w:t>TYPE YOUR TEXT HERE</w:t>
      </w:r>
    </w:p>
    <w:permEnd w:id="783093244"/>
    <w:p w14:paraId="45209901" w14:textId="77777777" w:rsidR="009B1E21" w:rsidRDefault="009B1E21" w:rsidP="009B1E21">
      <w:r>
        <w:t>&lt;ESMA_QUESTION_LATA_3&gt;</w:t>
      </w:r>
    </w:p>
    <w:p w14:paraId="0E9AA7DD" w14:textId="77777777" w:rsidR="009B1E21" w:rsidRDefault="009B1E21" w:rsidP="009B1E21"/>
    <w:p w14:paraId="5E267D5C"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in presence of a governance structure that foresees the approval of another body further to the management body’s decision, the disclosure obligation should take place as soon as possible after the decision of the first body?</w:t>
      </w:r>
    </w:p>
    <w:p w14:paraId="05A4157B" w14:textId="77777777" w:rsidR="009B1E21" w:rsidRDefault="009B1E21" w:rsidP="009B1E21">
      <w:r>
        <w:t>&lt;ESMA_QUESTION_LATA_4&gt;</w:t>
      </w:r>
    </w:p>
    <w:p w14:paraId="02D8C81C" w14:textId="26BF7BCA" w:rsidR="009B1E21" w:rsidRDefault="009B1E21" w:rsidP="009B1E21">
      <w:permStart w:id="1801277174" w:edGrp="everyone"/>
      <w:r>
        <w:t>TYPE YOUR TEXT HERE</w:t>
      </w:r>
    </w:p>
    <w:permEnd w:id="1801277174"/>
    <w:p w14:paraId="51818508" w14:textId="77777777" w:rsidR="009B1E21" w:rsidRDefault="009B1E21" w:rsidP="009B1E21">
      <w:r>
        <w:t>&lt;ESMA_QUESTION_LATA_4&gt;</w:t>
      </w:r>
    </w:p>
    <w:p w14:paraId="70D959D9" w14:textId="77777777" w:rsidR="009B1E21" w:rsidRDefault="009B1E21" w:rsidP="009B1E21"/>
    <w:p w14:paraId="5D58D7C9"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for protracted processes involving the issuer and another party different from a public authority, the moment of disclosure should be when the competent bodies/persons of all parties involved, having the decision power under national law or bylaws, have taken the decision to sign off to the agreement?</w:t>
      </w:r>
    </w:p>
    <w:p w14:paraId="345B20E6" w14:textId="77777777" w:rsidR="009B1E21" w:rsidRDefault="009B1E21" w:rsidP="009B1E21">
      <w:r>
        <w:t>&lt;ESMA_QUESTION_LATA_5&gt;</w:t>
      </w:r>
    </w:p>
    <w:p w14:paraId="7D6D5304" w14:textId="77777777" w:rsidR="0028216C" w:rsidRDefault="0028216C" w:rsidP="00EB1EE8">
      <w:permStart w:id="613818377" w:edGrp="everyone"/>
      <w:r>
        <w:t xml:space="preserve">Nasdaq Nordic believes that the guiding principles should be simplification and clarity, as identified in the negotiations of the Level 1 of the Listing Act. Under current rules issuers in different Member States have been subject to different interpretations of when to disclose inside information in a protracted process. </w:t>
      </w:r>
    </w:p>
    <w:p w14:paraId="6616A8D4" w14:textId="77777777" w:rsidR="0028216C" w:rsidRDefault="0028216C" w:rsidP="00EB1EE8">
      <w:r>
        <w:t xml:space="preserve">Although the establishment of the “decision to sign off the agreement” as the moment when disclosure is expected is a positive step in forming a common understanding of MAR, Nasdaq Nordic suggests ESMA to consider the signing of an agreement as the key moment instead. The “decision to sign off” could be subject to different interpretations in different member states. </w:t>
      </w:r>
    </w:p>
    <w:p w14:paraId="0E57A7E8" w14:textId="77777777" w:rsidR="0028216C" w:rsidRDefault="0028216C" w:rsidP="00EB1EE8">
      <w:r>
        <w:t xml:space="preserve">The signing of a contract is a much more concrete event in a protracted process, where a legally binding agreement comes into existence for all parties, and thus not as open to different interpretations. </w:t>
      </w:r>
      <w:r w:rsidRPr="00612991">
        <w:t>Disclosure as soon as possible following the signing of a</w:t>
      </w:r>
      <w:r>
        <w:t>n</w:t>
      </w:r>
      <w:r w:rsidRPr="00612991">
        <w:t xml:space="preserve"> </w:t>
      </w:r>
      <w:r>
        <w:t>agreement</w:t>
      </w:r>
      <w:r w:rsidRPr="00612991">
        <w:t xml:space="preserve"> is also in line with current market practices</w:t>
      </w:r>
      <w:r>
        <w:t>.</w:t>
      </w:r>
    </w:p>
    <w:p w14:paraId="7CDE5F4D" w14:textId="77777777" w:rsidR="0028216C" w:rsidRDefault="0028216C" w:rsidP="009B1E21">
      <w:r>
        <w:lastRenderedPageBreak/>
        <w:t>At the same time, the signing may in some cases come rather late in a process and not all corporate processes may end with a signature. Nasdaq Nordic invites ESMA to consider this, and to propose further granularity of the different processes if needed.</w:t>
      </w:r>
    </w:p>
    <w:permEnd w:id="613818377"/>
    <w:p w14:paraId="40008995" w14:textId="46BDDD44" w:rsidR="009B1E21" w:rsidRDefault="009B1E21" w:rsidP="009B1E21">
      <w:r>
        <w:t>&lt;ESMA_QUESTION_LATA_5&gt;</w:t>
      </w:r>
    </w:p>
    <w:p w14:paraId="6FAB022D" w14:textId="77777777" w:rsidR="009B1E21" w:rsidRDefault="009B1E21" w:rsidP="009B1E21"/>
    <w:p w14:paraId="0E7F6B84"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for protracted processes that are driven by a public authority with the involvement of the issuer, the moment of disclosure should be when the issuer has received the final decision from the public authority, even where the issuer and the public authority previously exchanged preliminary information that may on its own amount to inside information?</w:t>
      </w:r>
    </w:p>
    <w:p w14:paraId="494C6179" w14:textId="77777777" w:rsidR="009B1E21" w:rsidRDefault="009B1E21" w:rsidP="009B1E21">
      <w:r>
        <w:t>&lt;ESMA_QUESTION_LATA_6&gt;</w:t>
      </w:r>
    </w:p>
    <w:p w14:paraId="1244337B" w14:textId="77777777" w:rsidR="009B1E21" w:rsidRDefault="009B1E21" w:rsidP="009B1E21">
      <w:permStart w:id="126633024" w:edGrp="everyone"/>
      <w:r>
        <w:t>TYPE YOUR TEXT HERE</w:t>
      </w:r>
    </w:p>
    <w:permEnd w:id="126633024"/>
    <w:p w14:paraId="5D77A4F6" w14:textId="77777777" w:rsidR="009B1E21" w:rsidRDefault="009B1E21" w:rsidP="009B1E21">
      <w:r>
        <w:t>&lt;ESMA_QUESTION_LATA_6&gt;</w:t>
      </w:r>
    </w:p>
    <w:p w14:paraId="520062CF" w14:textId="77777777" w:rsidR="009B1E21" w:rsidRDefault="009B1E21" w:rsidP="009B1E21"/>
    <w:p w14:paraId="73DB792F"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for protracted processes that are triggered by the issuer and whose final outcome is decided by a public authority, two separate processes should be identified, and the moment of disclosure should occur upon completion of each of them as above outlined?</w:t>
      </w:r>
    </w:p>
    <w:p w14:paraId="45C5060C" w14:textId="77777777" w:rsidR="009B1E21" w:rsidRDefault="009B1E21" w:rsidP="009B1E21">
      <w:r>
        <w:t>&lt;ESMA_QUESTION_LATA_7&gt;</w:t>
      </w:r>
    </w:p>
    <w:p w14:paraId="3285CB82" w14:textId="77777777" w:rsidR="009B1E21" w:rsidRDefault="009B1E21" w:rsidP="009B1E21">
      <w:permStart w:id="1778661475" w:edGrp="everyone"/>
      <w:r>
        <w:t>TYPE YOUR TEXT HERE</w:t>
      </w:r>
    </w:p>
    <w:permEnd w:id="1778661475"/>
    <w:p w14:paraId="51DD0933" w14:textId="77777777" w:rsidR="009B1E21" w:rsidRDefault="009B1E21" w:rsidP="009B1E21">
      <w:r>
        <w:t>&lt;ESMA_QUESTION_LATA_7&gt;</w:t>
      </w:r>
    </w:p>
    <w:p w14:paraId="27B6D49A" w14:textId="77777777" w:rsidR="009B1E21" w:rsidRDefault="009B1E21" w:rsidP="009B1E21"/>
    <w:p w14:paraId="2C06E114"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a hostile takeover can be considered a one-off event? Do you agree with the moment for disclosure identified for takeover processes?</w:t>
      </w:r>
      <w:r w:rsidRPr="009B2F87">
        <w:t xml:space="preserve"> </w:t>
      </w:r>
    </w:p>
    <w:p w14:paraId="1EF57A89" w14:textId="77777777" w:rsidR="009B1E21" w:rsidRDefault="009B1E21" w:rsidP="009B1E21">
      <w:r>
        <w:t>&lt;ESMA_QUESTION_LATA_8&gt;</w:t>
      </w:r>
    </w:p>
    <w:p w14:paraId="5F57DB3B" w14:textId="77777777" w:rsidR="001119B3" w:rsidRDefault="001119B3" w:rsidP="001119B3">
      <w:permStart w:id="265124465" w:edGrp="everyone"/>
      <w:r>
        <w:t xml:space="preserve">Nasdaq Nordic does not agree with separating "friendly" or "hostile" takeover offers. The relevant cases are where the issuer is made aware of an offeror's intention/interest in making a takeover offer to the issuer's shareholders before the offer is made public by the offeror. It is thus made aware of inside information related to a decisional process within the offeror to </w:t>
      </w:r>
      <w:r>
        <w:lastRenderedPageBreak/>
        <w:t>finalise the bid. The extent of the issuer's involvement in the process, e.g. allowing due diligence, and the views of the potential bid by management of the issuer, should not determine when the process is considered final under MAR.</w:t>
      </w:r>
    </w:p>
    <w:p w14:paraId="48824F8F" w14:textId="77777777" w:rsidR="001119B3" w:rsidRDefault="001119B3" w:rsidP="001119B3">
      <w:r>
        <w:t xml:space="preserve">As for the moment of disclosure where the issuer is the target of a bid, the final event should be "The offeror disclosing the takeover bid". This would entail that the issuer does not disclose the inside information, unless there is a leakage. Instead, the inside information is disclosed when the offeror discloses the bid and thus seizes to constitute inside information. This aligns with current market practices. </w:t>
      </w:r>
    </w:p>
    <w:p w14:paraId="4A6A8B12" w14:textId="4A32F4B8" w:rsidR="009B1E21" w:rsidRDefault="001119B3" w:rsidP="001119B3">
      <w:r>
        <w:t>A definition of final event or circumstances and expected moment of disclosure that lies earlier would mean that the issuer would almost always need to (and have the right to) delay disclosure until the offeror has disclosed the bid. This would risk uncertainty and go against the aim of reducing regulatory burdens.</w:t>
      </w:r>
    </w:p>
    <w:permEnd w:id="265124465"/>
    <w:p w14:paraId="74661F4E" w14:textId="77777777" w:rsidR="009B1E21" w:rsidRDefault="009B1E21" w:rsidP="009B1E21">
      <w:r>
        <w:t>&lt;ESMA_QUESTION_LATA_8&gt;</w:t>
      </w:r>
    </w:p>
    <w:p w14:paraId="0CCBF783" w14:textId="77777777" w:rsidR="009B1E21" w:rsidRDefault="009B1E21" w:rsidP="009B1E21"/>
    <w:p w14:paraId="07E31FF4"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proposed approach in relation to financial reports, profit warnings, earning surprises and forecasts? In particular, do you agree that profit warnings and earning surprises are to be considered as one-off events and as such should not be included in the list of protracted processes?</w:t>
      </w:r>
    </w:p>
    <w:p w14:paraId="2F4D926F" w14:textId="77777777" w:rsidR="009B1E21" w:rsidRDefault="009B1E21" w:rsidP="009B1E21">
      <w:r>
        <w:t>&lt;ESMA_QUESTION_LATA_9&gt;</w:t>
      </w:r>
    </w:p>
    <w:p w14:paraId="5F424291" w14:textId="77777777" w:rsidR="00186F87" w:rsidRDefault="00186F87" w:rsidP="00EB1EE8">
      <w:permStart w:id="941577706" w:edGrp="everyone"/>
      <w:r>
        <w:t xml:space="preserve">Nasdaq Nordic agrees that the production of financial reports is a process that may involve inside information and where issuers may need to (and have the right to) delay disclosure under current rules. </w:t>
      </w:r>
    </w:p>
    <w:p w14:paraId="0C009782" w14:textId="77777777" w:rsidR="00186F87" w:rsidRDefault="00186F87" w:rsidP="00EB1EE8">
      <w:r>
        <w:t xml:space="preserve">Financial reports contain figures on performance during the reporting period, but often many other pieces of information that may or may not constitute inside information, such as forecasts. There are significant differences in interpretation and application of MAR in different member states, as to the view of whether financial reports typically include inside information or not. </w:t>
      </w:r>
    </w:p>
    <w:p w14:paraId="0DC1201C" w14:textId="77777777" w:rsidR="00186F87" w:rsidRDefault="00186F87" w:rsidP="00EB1EE8">
      <w:r>
        <w:t xml:space="preserve">We understand the aim to remove the need for making decisions on delaying disclosures, by including financial reports as a protracted process, to reduce regulatory burdens. We note also that the Commission has specifically requested ESMA's technical advice to include protracted processes related to financial results. </w:t>
      </w:r>
    </w:p>
    <w:p w14:paraId="44F98965" w14:textId="77777777" w:rsidR="00186F87" w:rsidRDefault="00186F87" w:rsidP="00EB1EE8">
      <w:r>
        <w:t xml:space="preserve">However, in the process of preparing financial reports, issuers may become aware of inside information about performance during the reporting period that materially deviates from </w:t>
      </w:r>
      <w:r>
        <w:lastRenderedPageBreak/>
        <w:t>forecasts and market expectations, e.g. the turnover and/or margins during the reporting period may materially deviate from forecasts previously disclosed by the issuer.</w:t>
      </w:r>
    </w:p>
    <w:p w14:paraId="397303E4" w14:textId="77777777" w:rsidR="00186F87" w:rsidRDefault="00186F87" w:rsidP="009B1E21">
      <w:r>
        <w:t xml:space="preserve">Nasdaq Nordic understands that ESMA proposes to keep the requirement for issuers to disclose profit warnings/earnings surprises in such cases. Essentially, ESMA seems to propose that if information about the performance during the reporting period (e.g. turnover or gross margin) constitutes inside information, it is part of the protracted process of preparing the financial report </w:t>
      </w:r>
      <w:r w:rsidRPr="006C245E">
        <w:rPr>
          <w:u w:val="single"/>
        </w:rPr>
        <w:t>unless</w:t>
      </w:r>
      <w:r>
        <w:t xml:space="preserve"> the issuer would not have the right to delay disclosure of that inside information under Article 17(4)(b) of MAR. This seems contradictory from a legal standpoint. Nasdaq Nordic therefore sees a need for further analysis and qualification of protracted processes related to financial reports, specifically when inside information relating to the performance during the reporting period is part of the protracted process of preparing a financial report or not.</w:t>
      </w:r>
    </w:p>
    <w:permEnd w:id="941577706"/>
    <w:p w14:paraId="275F3EEC" w14:textId="3E00A2D1" w:rsidR="009B1E21" w:rsidRDefault="009B1E21" w:rsidP="009B1E21">
      <w:r>
        <w:t>&lt;ESMA_QUESTION_LATA_9&gt;</w:t>
      </w:r>
    </w:p>
    <w:p w14:paraId="0BFD9DCF" w14:textId="77777777" w:rsidR="009B1E21" w:rsidRDefault="009B1E21" w:rsidP="009B1E21"/>
    <w:p w14:paraId="1B9BB8E9"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proposed approach in relation to recovery and resolution protracted process?</w:t>
      </w:r>
    </w:p>
    <w:p w14:paraId="40118AA7" w14:textId="77777777" w:rsidR="009B1E21" w:rsidRDefault="009B1E21" w:rsidP="009B1E21">
      <w:r>
        <w:t>&lt;ESMA_QUESTION_LATA_10&gt;</w:t>
      </w:r>
    </w:p>
    <w:p w14:paraId="7C00F17F" w14:textId="77777777" w:rsidR="009B1E21" w:rsidRDefault="009B1E21" w:rsidP="009B1E21">
      <w:permStart w:id="1460612003" w:edGrp="everyone"/>
      <w:r>
        <w:t>TYPE YOUR TEXT HERE</w:t>
      </w:r>
    </w:p>
    <w:permEnd w:id="1460612003"/>
    <w:p w14:paraId="4B3D8441" w14:textId="77777777" w:rsidR="009B1E21" w:rsidRDefault="009B1E21" w:rsidP="009B1E21">
      <w:r>
        <w:t>&lt;ESMA_QUESTION_LATA_10&gt;</w:t>
      </w:r>
    </w:p>
    <w:p w14:paraId="120799D7" w14:textId="77777777" w:rsidR="009B1E21" w:rsidRDefault="009B1E21" w:rsidP="009B1E21"/>
    <w:p w14:paraId="48A599FB"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consider the list of protracted processes sufficiently comprehensive? Do you agree with the proposed moment of disclosure? Would you add or remove any process?</w:t>
      </w:r>
    </w:p>
    <w:p w14:paraId="141119F6" w14:textId="77777777" w:rsidR="009B1E21" w:rsidRDefault="009B1E21" w:rsidP="009B1E21">
      <w:r>
        <w:t>&lt;ESMA_QUESTION_LATA_11&gt;</w:t>
      </w:r>
    </w:p>
    <w:p w14:paraId="6F1DBBCB" w14:textId="77777777" w:rsidR="009B1E21" w:rsidRDefault="009B1E21" w:rsidP="009B1E21">
      <w:permStart w:id="159128183" w:edGrp="everyone"/>
      <w:r>
        <w:t>TYPE YOUR TEXT HERE</w:t>
      </w:r>
    </w:p>
    <w:permEnd w:id="159128183"/>
    <w:p w14:paraId="62BA5B3F" w14:textId="77777777" w:rsidR="009B1E21" w:rsidRDefault="009B1E21" w:rsidP="009B1E21">
      <w:r>
        <w:t>&lt;ESMA_QUESTION_LATA_11&gt;</w:t>
      </w:r>
    </w:p>
    <w:p w14:paraId="224B6D82" w14:textId="77777777" w:rsidR="009B1E21" w:rsidRDefault="009B1E21" w:rsidP="009B1E21"/>
    <w:p w14:paraId="42B4E41A"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 xml:space="preserve">Do you agree that the inside information to be delayed may in some cases be assessed against more than one announcement, whenever a clear conclusion </w:t>
      </w:r>
      <w:r w:rsidRPr="008605FA">
        <w:lastRenderedPageBreak/>
        <w:t>about the issuer’s position on the subject matter cannot be drawn exclusively on the basis of the very latest communication?</w:t>
      </w:r>
    </w:p>
    <w:p w14:paraId="309F850D" w14:textId="77777777" w:rsidR="009B1E21" w:rsidRDefault="009B1E21" w:rsidP="009B1E21">
      <w:r>
        <w:t>&lt;ESMA_QUESTION_LATA_12&gt;</w:t>
      </w:r>
    </w:p>
    <w:p w14:paraId="72C001C3" w14:textId="77777777" w:rsidR="009B1E21" w:rsidRDefault="009B1E21" w:rsidP="009B1E21">
      <w:permStart w:id="421398651" w:edGrp="everyone"/>
      <w:r>
        <w:t>TYPE YOUR TEXT HERE</w:t>
      </w:r>
    </w:p>
    <w:permEnd w:id="421398651"/>
    <w:p w14:paraId="4B107EF7" w14:textId="77777777" w:rsidR="009B1E21" w:rsidRDefault="009B1E21" w:rsidP="009B1E21">
      <w:r>
        <w:t>&lt;ESMA_QUESTION_LATA_12&gt;</w:t>
      </w:r>
    </w:p>
    <w:p w14:paraId="52E39D93" w14:textId="77777777" w:rsidR="009B1E21" w:rsidRDefault="009B1E21" w:rsidP="009B1E21"/>
    <w:p w14:paraId="0120F410"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list of communications presented in Article 4 of the draft delegated act? Do you consider it sufficiently comprehensive, or do you deem that any other cases should be added?</w:t>
      </w:r>
    </w:p>
    <w:p w14:paraId="683FAD40" w14:textId="77777777" w:rsidR="009B1E21" w:rsidRDefault="009B1E21" w:rsidP="009B1E21">
      <w:r>
        <w:t>&lt;ESMA_QUESTION_LATA_13&gt;</w:t>
      </w:r>
    </w:p>
    <w:p w14:paraId="6DE66D3B" w14:textId="77777777" w:rsidR="009B1E21" w:rsidRDefault="009B1E21" w:rsidP="009B1E21">
      <w:permStart w:id="2070238072" w:edGrp="everyone"/>
      <w:r>
        <w:t>TYPE YOUR TEXT HERE</w:t>
      </w:r>
    </w:p>
    <w:permEnd w:id="2070238072"/>
    <w:p w14:paraId="3BF954D7" w14:textId="77777777" w:rsidR="009B1E21" w:rsidRDefault="009B1E21" w:rsidP="009B1E21">
      <w:r>
        <w:t>&lt;ESMA_QUESTION_LATA_13&gt;</w:t>
      </w:r>
    </w:p>
    <w:p w14:paraId="67387EDD" w14:textId="77777777" w:rsidR="009B1E21" w:rsidRDefault="009B1E21" w:rsidP="009B1E21"/>
    <w:p w14:paraId="7D67DE6A" w14:textId="77777777" w:rsidR="009B1E21" w:rsidRPr="008605FA"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list of situations where there is a contrast between the inside information to be delayed and the latest announcement or communication as presented by ESMA in [Annex II] of the proposed Delegated Act (Annex IV of this CP)? Do you consider it sufficiently comprehensive, or do you deem that any other situations should be added?</w:t>
      </w:r>
    </w:p>
    <w:p w14:paraId="14CC8B8F" w14:textId="77777777" w:rsidR="009B1E21" w:rsidRDefault="009B1E21" w:rsidP="009B1E21">
      <w:r>
        <w:t>&lt;ESMA_QUESTION_LATA_14&gt;</w:t>
      </w:r>
    </w:p>
    <w:p w14:paraId="0612BAF4" w14:textId="77777777" w:rsidR="009B1E21" w:rsidRDefault="009B1E21" w:rsidP="009B1E21">
      <w:permStart w:id="131739657" w:edGrp="everyone"/>
      <w:r>
        <w:t>TYPE YOUR TEXT HERE</w:t>
      </w:r>
    </w:p>
    <w:permEnd w:id="131739657"/>
    <w:p w14:paraId="179AD97E" w14:textId="77777777" w:rsidR="009B1E21" w:rsidRDefault="009B1E21" w:rsidP="009B1E21">
      <w:r>
        <w:t>&lt;ESMA_QUESTION_LATA_14&gt;</w:t>
      </w:r>
    </w:p>
    <w:p w14:paraId="2A9668C1" w14:textId="77777777" w:rsidR="009B1E21" w:rsidRDefault="009B1E21" w:rsidP="009B1E21"/>
    <w:p w14:paraId="673D6D82"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have any views on the methodology used to conduct the analysis?</w:t>
      </w:r>
    </w:p>
    <w:p w14:paraId="3A9EF350" w14:textId="77777777" w:rsidR="009B1E21" w:rsidRDefault="009B1E21" w:rsidP="009B1E21">
      <w:r>
        <w:t>&lt;ESMA_QUESTION_LATA_15&gt;</w:t>
      </w:r>
    </w:p>
    <w:p w14:paraId="7EE90ACB" w14:textId="77777777" w:rsidR="009B1E21" w:rsidRDefault="009B1E21" w:rsidP="009B1E21">
      <w:permStart w:id="224746622" w:edGrp="everyone"/>
      <w:r>
        <w:t>TYPE YOUR TEXT HERE</w:t>
      </w:r>
    </w:p>
    <w:permEnd w:id="224746622"/>
    <w:p w14:paraId="4D4FF991" w14:textId="77777777" w:rsidR="009B1E21" w:rsidRDefault="009B1E21" w:rsidP="009B1E21">
      <w:r>
        <w:t>&lt;ESMA_QUESTION_LATA_15&gt;</w:t>
      </w:r>
    </w:p>
    <w:p w14:paraId="10261834" w14:textId="77777777" w:rsidR="009B1E21" w:rsidRDefault="009B1E21" w:rsidP="009B1E21"/>
    <w:p w14:paraId="207B4548"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the methodology of calculation in Article 78(1) of CDR 2017/565 to assess if the SME GM meets the 50% criterion is suitable? Please explain.</w:t>
      </w:r>
    </w:p>
    <w:p w14:paraId="341D8C16" w14:textId="77777777" w:rsidR="009B1E21" w:rsidRDefault="009B1E21" w:rsidP="009B1E21">
      <w:r>
        <w:t>&lt;ESMA_QUESTION_LATA_16&gt;</w:t>
      </w:r>
    </w:p>
    <w:p w14:paraId="6C93F2EB" w14:textId="77777777" w:rsidR="009B1E21" w:rsidRDefault="009B1E21" w:rsidP="009B1E21">
      <w:permStart w:id="1599806274" w:edGrp="everyone"/>
      <w:r>
        <w:t>TYPE YOUR TEXT HERE</w:t>
      </w:r>
    </w:p>
    <w:permEnd w:id="1599806274"/>
    <w:p w14:paraId="02DB13CA" w14:textId="77777777" w:rsidR="009B1E21" w:rsidRDefault="009B1E21" w:rsidP="009B1E21">
      <w:r>
        <w:t>&lt;ESMA_QUESTION_LATA_16&gt;</w:t>
      </w:r>
    </w:p>
    <w:p w14:paraId="2992EDF2" w14:textId="77777777" w:rsidR="009B1E21" w:rsidRDefault="009B1E21" w:rsidP="009B1E21"/>
    <w:p w14:paraId="04BF3449"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the requirements in Article 78(1) of CDR 2017/565 ensure that the refusal to be registered as an SME GM does not simply occur as a result of a temporary failure to comply with the requirements specified in Article 33(3) of MiFID II? Please explain.</w:t>
      </w:r>
    </w:p>
    <w:p w14:paraId="3645970F" w14:textId="77777777" w:rsidR="009B1E21" w:rsidRDefault="009B1E21" w:rsidP="009B1E21">
      <w:r>
        <w:t>&lt;ESMA_QUESTION_LATA_17&gt;</w:t>
      </w:r>
    </w:p>
    <w:p w14:paraId="26C0D951" w14:textId="77777777" w:rsidR="009B1E21" w:rsidRDefault="009B1E21" w:rsidP="009B1E21">
      <w:permStart w:id="166685556" w:edGrp="everyone"/>
      <w:r>
        <w:t>TYPE YOUR TEXT HERE</w:t>
      </w:r>
    </w:p>
    <w:permEnd w:id="166685556"/>
    <w:p w14:paraId="4F5DBB1D" w14:textId="77777777" w:rsidR="009B1E21" w:rsidRDefault="009B1E21" w:rsidP="009B1E21">
      <w:r>
        <w:t>&lt;ESMA_QUESTION_LATA_17&gt;</w:t>
      </w:r>
    </w:p>
    <w:p w14:paraId="59E01456" w14:textId="77777777" w:rsidR="009B1E21" w:rsidRDefault="009B1E21" w:rsidP="009B1E21"/>
    <w:p w14:paraId="0479080E"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not to specify further the requirements in Articles 78(2)(a) and 78(2)(b) of CDR 2017/565? Please elaborate.</w:t>
      </w:r>
    </w:p>
    <w:p w14:paraId="3236A846" w14:textId="77777777" w:rsidR="009B1E21" w:rsidRDefault="009B1E21" w:rsidP="009B1E21">
      <w:r>
        <w:t>&lt;ESMA_QUESTION_LATA_18&gt;</w:t>
      </w:r>
    </w:p>
    <w:p w14:paraId="75E25F31" w14:textId="77777777" w:rsidR="009B1E21" w:rsidRDefault="009B1E21" w:rsidP="009B1E21">
      <w:permStart w:id="14434267" w:edGrp="everyone"/>
      <w:r>
        <w:t>TYPE YOUR TEXT HERE</w:t>
      </w:r>
    </w:p>
    <w:permEnd w:id="14434267"/>
    <w:p w14:paraId="086ACBDF" w14:textId="77777777" w:rsidR="009B1E21" w:rsidRDefault="009B1E21" w:rsidP="009B1E21">
      <w:r>
        <w:t>&lt;ESMA_QUESTION_LATA_18&gt;</w:t>
      </w:r>
    </w:p>
    <w:p w14:paraId="041BE13D" w14:textId="77777777" w:rsidR="009B1E21" w:rsidRDefault="009B1E21" w:rsidP="009B1E21"/>
    <w:p w14:paraId="3C9C8F9E" w14:textId="77777777" w:rsidR="009B1E21"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not to modify the requirements currently included in Articles 78(2)(c), (d) and (f) of CDR 2017/565? Please elaborate.</w:t>
      </w:r>
    </w:p>
    <w:p w14:paraId="5D3E6B8D" w14:textId="77777777" w:rsidR="009B1E21" w:rsidRDefault="009B1E21" w:rsidP="009B1E21">
      <w:r>
        <w:t>&lt;ESMA_QUESTION_LATA_19&gt;</w:t>
      </w:r>
    </w:p>
    <w:p w14:paraId="3EB0E12E" w14:textId="77777777" w:rsidR="009B1E21" w:rsidRDefault="009B1E21" w:rsidP="009B1E21">
      <w:permStart w:id="305603693" w:edGrp="everyone"/>
      <w:r>
        <w:t>TYPE YOUR TEXT HERE</w:t>
      </w:r>
    </w:p>
    <w:permEnd w:id="305603693"/>
    <w:p w14:paraId="22BB7D33" w14:textId="77777777" w:rsidR="009B1E21" w:rsidRDefault="009B1E21" w:rsidP="009B1E21">
      <w:r>
        <w:lastRenderedPageBreak/>
        <w:t>&lt;ESMA_QUESTION_LATA_19&gt;</w:t>
      </w:r>
    </w:p>
    <w:p w14:paraId="0DBEDF0D" w14:textId="77777777" w:rsidR="009B1E21" w:rsidRDefault="009B1E21" w:rsidP="009B1E21"/>
    <w:p w14:paraId="6E7FC12C"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to align the requirement in Article 78(2)(e) of CDR 2017/565 with those of the Growth Issuance Prospectus by requiring a statement on the working capital only for share issuances? Please elaborate.</w:t>
      </w:r>
      <w:r w:rsidRPr="009B2F87">
        <w:t xml:space="preserve"> </w:t>
      </w:r>
    </w:p>
    <w:p w14:paraId="3622B1D1" w14:textId="77777777" w:rsidR="009B1E21" w:rsidRDefault="009B1E21" w:rsidP="009B1E21">
      <w:r>
        <w:t>&lt;ESMA_QUESTION_LATA_20&gt;</w:t>
      </w:r>
    </w:p>
    <w:p w14:paraId="6C0C6A14" w14:textId="77777777" w:rsidR="009B1E21" w:rsidRDefault="009B1E21" w:rsidP="009B1E21">
      <w:permStart w:id="767061203" w:edGrp="everyone"/>
      <w:r>
        <w:t>TYPE YOUR TEXT HERE</w:t>
      </w:r>
    </w:p>
    <w:permEnd w:id="767061203"/>
    <w:p w14:paraId="334E6239" w14:textId="77777777" w:rsidR="009B1E21" w:rsidRDefault="009B1E21" w:rsidP="009B1E21">
      <w:r>
        <w:t>&lt;ESMA_QUESTION_LATA_20&gt;</w:t>
      </w:r>
    </w:p>
    <w:p w14:paraId="611B0058" w14:textId="77777777" w:rsidR="009B1E21" w:rsidRDefault="009B1E21" w:rsidP="009B1E21"/>
    <w:p w14:paraId="63E90F6D"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to include in Article 78(2)(g) of CDR 2017/565 the requirement that the financial reports published by SME GM issuers should be subject to audits?</w:t>
      </w:r>
    </w:p>
    <w:p w14:paraId="7F01B22B" w14:textId="77777777" w:rsidR="009B1E21" w:rsidRDefault="009B1E21" w:rsidP="009B1E21">
      <w:r>
        <w:t>&lt;ESMA_QUESTION_LATA_21&gt;</w:t>
      </w:r>
    </w:p>
    <w:p w14:paraId="274A0810" w14:textId="77777777" w:rsidR="00EA7D58" w:rsidRDefault="00EA7D58" w:rsidP="009B1E21">
      <w:permStart w:id="366227586" w:edGrp="everyone"/>
      <w:r>
        <w:t xml:space="preserve">It is already current practice for annual financial reports of SME GM issuers to be audited, and this is for example required by Nasdaq Nordic in our rules for issuers on all relevant markets. However, this is not the case for half-year financial reports. Keeping in mind that one of the objectives of the Listing Act is burden reduction for issuers, especially SMEs, Nasdaq Nordic suggests clarifying that the ESMA proposal </w:t>
      </w:r>
      <w:r w:rsidRPr="0031332F">
        <w:t xml:space="preserve">in Article 78(2)(g) of CDR 2017/565 </w:t>
      </w:r>
      <w:r>
        <w:t>should only apply to annual financial reports.</w:t>
      </w:r>
    </w:p>
    <w:permEnd w:id="366227586"/>
    <w:p w14:paraId="1A5CA3DA" w14:textId="06B6A0F8" w:rsidR="009B1E21" w:rsidRDefault="009B1E21" w:rsidP="009B1E21">
      <w:r>
        <w:t>&lt;ESMA_QUESTION_LATA_21&gt;</w:t>
      </w:r>
    </w:p>
    <w:p w14:paraId="6F06B271" w14:textId="77777777" w:rsidR="009B1E21" w:rsidRDefault="009B1E21" w:rsidP="009B1E21"/>
    <w:p w14:paraId="6EF8877E"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 not to modify Articles 78(2)(h) and (i) of CDR 2017/565? Please elaborate.</w:t>
      </w:r>
    </w:p>
    <w:p w14:paraId="4F72E316" w14:textId="77777777" w:rsidR="009B1E21" w:rsidRDefault="009B1E21" w:rsidP="009B1E21">
      <w:r>
        <w:t>&lt;ESMA_QUESTION_LATA_22&gt;</w:t>
      </w:r>
    </w:p>
    <w:p w14:paraId="057E95A4" w14:textId="77777777" w:rsidR="009B1E21" w:rsidRDefault="009B1E21" w:rsidP="009B1E21">
      <w:permStart w:id="548149613" w:edGrp="everyone"/>
      <w:r>
        <w:t>TYPE YOUR TEXT HERE</w:t>
      </w:r>
    </w:p>
    <w:permEnd w:id="548149613"/>
    <w:p w14:paraId="643F7577" w14:textId="77777777" w:rsidR="009B1E21" w:rsidRDefault="009B1E21" w:rsidP="009B1E21">
      <w:r>
        <w:t>&lt;ESMA_QUESTION_LATA_22&gt;</w:t>
      </w:r>
    </w:p>
    <w:p w14:paraId="718A3B9B" w14:textId="77777777" w:rsidR="009B1E21" w:rsidRDefault="009B1E21" w:rsidP="009B1E21"/>
    <w:p w14:paraId="5F1DA04B"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lastRenderedPageBreak/>
        <w:t>Do you agree with the proposals to meet the first and the second requirements under Article 33(3a) (a) and (b)? Please explain.</w:t>
      </w:r>
    </w:p>
    <w:p w14:paraId="0E9B482C" w14:textId="77777777" w:rsidR="009B1E21" w:rsidRDefault="009B1E21" w:rsidP="009B1E21">
      <w:r>
        <w:t>&lt;ESMA_QUESTION_LATA_23&gt;</w:t>
      </w:r>
    </w:p>
    <w:p w14:paraId="762C7B2D" w14:textId="77777777" w:rsidR="009B1E21" w:rsidRDefault="009B1E21" w:rsidP="009B1E21">
      <w:permStart w:id="474421293" w:edGrp="everyone"/>
      <w:r>
        <w:t>TYPE YOUR TEXT HERE</w:t>
      </w:r>
    </w:p>
    <w:permEnd w:id="474421293"/>
    <w:p w14:paraId="237E5A38" w14:textId="77777777" w:rsidR="009B1E21" w:rsidRDefault="009B1E21" w:rsidP="009B1E21">
      <w:r>
        <w:t>&lt;ESMA_QUESTION_LATA_23&gt;</w:t>
      </w:r>
    </w:p>
    <w:p w14:paraId="4157ED56" w14:textId="77777777" w:rsidR="009B1E21" w:rsidRDefault="009B1E21" w:rsidP="009B1E21"/>
    <w:p w14:paraId="6538D1A9"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with the proposals to meet the third requirement under Article 33(3a) (c)? Please explain.</w:t>
      </w:r>
    </w:p>
    <w:p w14:paraId="4FD01CEE" w14:textId="77777777" w:rsidR="009B1E21" w:rsidRDefault="009B1E21" w:rsidP="009B1E21">
      <w:r>
        <w:t>&lt;ESMA_QUESTION_LATA_24&gt;</w:t>
      </w:r>
    </w:p>
    <w:p w14:paraId="7DF2BCCF" w14:textId="77777777" w:rsidR="009B1E21" w:rsidRDefault="009B1E21" w:rsidP="009B1E21">
      <w:permStart w:id="2060877361" w:edGrp="everyone"/>
      <w:r>
        <w:t>TYPE YOUR TEXT HERE</w:t>
      </w:r>
    </w:p>
    <w:permEnd w:id="2060877361"/>
    <w:p w14:paraId="6442560C" w14:textId="77777777" w:rsidR="009B1E21" w:rsidRDefault="009B1E21" w:rsidP="009B1E21">
      <w:r>
        <w:t>&lt;ESMA_QUESTION_LATA_24&gt;</w:t>
      </w:r>
    </w:p>
    <w:p w14:paraId="5FEBE625" w14:textId="77777777" w:rsidR="009B1E21" w:rsidRDefault="009B1E21" w:rsidP="009B1E21"/>
    <w:p w14:paraId="77E906D5"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no specific amendments are required for Article 79? Please explain.</w:t>
      </w:r>
    </w:p>
    <w:p w14:paraId="41B82113" w14:textId="77777777" w:rsidR="009B1E21" w:rsidRDefault="009B1E21" w:rsidP="009B1E21">
      <w:r>
        <w:t>&lt;ESMA_QUESTION_LATA_25&gt;</w:t>
      </w:r>
    </w:p>
    <w:p w14:paraId="4FD9ADF1" w14:textId="77777777" w:rsidR="009B1E21" w:rsidRDefault="009B1E21" w:rsidP="009B1E21">
      <w:permStart w:id="1612399469" w:edGrp="everyone"/>
      <w:r>
        <w:t>TYPE YOUR TEXT HERE</w:t>
      </w:r>
    </w:p>
    <w:permEnd w:id="1612399469"/>
    <w:p w14:paraId="6CF2E0CC" w14:textId="77777777" w:rsidR="009B1E21" w:rsidRDefault="009B1E21" w:rsidP="009B1E21">
      <w:r>
        <w:t>&lt;ESMA_QUESTION_LATA_25&gt;</w:t>
      </w:r>
    </w:p>
    <w:p w14:paraId="3CA6E1AE" w14:textId="77777777" w:rsidR="009B1E21" w:rsidRDefault="009B1E21" w:rsidP="009B1E21"/>
    <w:p w14:paraId="692C9584" w14:textId="77777777" w:rsidR="009B1E21" w:rsidRPr="009B2F87" w:rsidRDefault="009B1E21" w:rsidP="009B1E21">
      <w:pPr>
        <w:pStyle w:val="Questionstyle"/>
        <w:numPr>
          <w:ilvl w:val="0"/>
          <w:numId w:val="16"/>
        </w:numPr>
        <w:tabs>
          <w:tab w:val="clear" w:pos="567"/>
        </w:tabs>
        <w:spacing w:after="240" w:line="259" w:lineRule="auto"/>
        <w:ind w:left="851" w:hanging="851"/>
        <w:contextualSpacing w:val="0"/>
      </w:pPr>
      <w:r w:rsidRPr="008605FA">
        <w:t>Do you agree that the requirements in Article 79 of CDR 2017/565 ensure that an SME GM is not deregistered due to a temporary failure to comply with the criteria an Article 33 of MiFID II?</w:t>
      </w:r>
    </w:p>
    <w:p w14:paraId="6E70E9D4" w14:textId="77777777" w:rsidR="009B1E21" w:rsidRDefault="009B1E21" w:rsidP="009B1E21">
      <w:r>
        <w:t>&lt;ESMA_QUESTION_LATA_26&gt;</w:t>
      </w:r>
    </w:p>
    <w:p w14:paraId="7CC75409" w14:textId="77777777" w:rsidR="009B1E21" w:rsidRDefault="009B1E21" w:rsidP="009B1E21">
      <w:permStart w:id="434780100" w:edGrp="everyone"/>
      <w:r>
        <w:t>TYPE YOUR TEXT HERE</w:t>
      </w:r>
    </w:p>
    <w:permEnd w:id="434780100"/>
    <w:p w14:paraId="05EFDE60" w14:textId="77777777" w:rsidR="009B1E21" w:rsidRDefault="009B1E21" w:rsidP="009B1E21">
      <w:r>
        <w:t>&lt;ESMA_QUESTION_LATA_26&gt;</w:t>
      </w:r>
    </w:p>
    <w:p w14:paraId="7C79ACB0" w14:textId="7A78F3E0" w:rsidR="00DB2FD6" w:rsidRDefault="00DB2FD6" w:rsidP="00C85E23">
      <w:pPr>
        <w:pStyle w:val="Questionstyle"/>
        <w:tabs>
          <w:tab w:val="clear" w:pos="567"/>
        </w:tabs>
        <w:spacing w:after="240" w:line="256" w:lineRule="auto"/>
        <w:ind w:left="851" w:firstLine="0"/>
      </w:pPr>
    </w:p>
    <w:sectPr w:rsidR="00DB2FD6" w:rsidSect="00AD0B10">
      <w:headerReference w:type="default" r:id="rId21"/>
      <w:footerReference w:type="even" r:id="rId22"/>
      <w:footerReference w:type="default" r:id="rId23"/>
      <w:footerReference w:type="first" r:id="rId24"/>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FF34D" w14:textId="77777777" w:rsidR="003F7C2F" w:rsidRDefault="003F7C2F" w:rsidP="007E7997">
      <w:pPr>
        <w:spacing w:line="240" w:lineRule="auto"/>
      </w:pPr>
      <w:r>
        <w:separator/>
      </w:r>
    </w:p>
  </w:endnote>
  <w:endnote w:type="continuationSeparator" w:id="0">
    <w:p w14:paraId="2375C23A" w14:textId="77777777" w:rsidR="003F7C2F" w:rsidRDefault="003F7C2F" w:rsidP="007E7997">
      <w:pPr>
        <w:spacing w:line="240" w:lineRule="auto"/>
      </w:pPr>
      <w:r>
        <w:continuationSeparator/>
      </w:r>
    </w:p>
  </w:endnote>
  <w:endnote w:type="continuationNotice" w:id="1">
    <w:p w14:paraId="2811C8A2" w14:textId="77777777" w:rsidR="003F7C2F" w:rsidRDefault="003F7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F3C5" w14:textId="77777777" w:rsidR="008E72C7" w:rsidRDefault="008E7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FDFD" w14:textId="77777777" w:rsidR="008E72C7" w:rsidRDefault="008E7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EC59" w14:textId="77777777" w:rsidR="008E72C7" w:rsidRDefault="008E72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2376" w14:textId="77777777" w:rsidR="008E72C7" w:rsidRDefault="008E72C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0E40" w14:textId="77777777" w:rsidR="008E72C7" w:rsidRDefault="008E7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75051" w14:textId="77777777" w:rsidR="003F7C2F" w:rsidRDefault="003F7C2F" w:rsidP="007E7997">
      <w:pPr>
        <w:spacing w:line="240" w:lineRule="auto"/>
      </w:pPr>
      <w:r>
        <w:separator/>
      </w:r>
    </w:p>
  </w:footnote>
  <w:footnote w:type="continuationSeparator" w:id="0">
    <w:p w14:paraId="5EE354B9" w14:textId="77777777" w:rsidR="003F7C2F" w:rsidRDefault="003F7C2F" w:rsidP="007E7997">
      <w:pPr>
        <w:spacing w:line="240" w:lineRule="auto"/>
      </w:pPr>
      <w:r>
        <w:continuationSeparator/>
      </w:r>
    </w:p>
  </w:footnote>
  <w:footnote w:type="continuationNotice" w:id="1">
    <w:p w14:paraId="005E3631" w14:textId="77777777" w:rsidR="003F7C2F" w:rsidRDefault="003F7C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26B760F4" w:rsidR="00D77369" w:rsidRPr="00DB2FD6" w:rsidRDefault="00D77369" w:rsidP="008858FE">
    <w:pPr>
      <w:pStyle w:val="Header"/>
      <w:rPr>
        <w:bCs/>
        <w:caps/>
        <w:color w:val="FF0000" w:themeColor="accent6"/>
        <w:sz w:val="22"/>
        <w:highlight w:val="yellow"/>
      </w:rPr>
    </w:pPr>
    <w:r w:rsidRPr="00306F0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9B1E21">
      <w:t>12</w:t>
    </w:r>
    <w:r w:rsidR="00306F0E">
      <w:t xml:space="preserve"> </w:t>
    </w:r>
    <w:r w:rsidR="009B1E21">
      <w:t>December</w:t>
    </w:r>
    <w:r w:rsidR="00EB238F" w:rsidRPr="002E135A">
      <w:t xml:space="preserve"> </w:t>
    </w:r>
    <w:r w:rsidR="002E135A" w:rsidRPr="002E135A">
      <w:t>2024</w:t>
    </w:r>
  </w:p>
  <w:p w14:paraId="48F2413B" w14:textId="61098375" w:rsidR="004E5FF8" w:rsidRDefault="00FE1EEE" w:rsidP="00C47686">
    <w:pPr>
      <w:jc w:val="right"/>
    </w:pPr>
    <w:r w:rsidRPr="00FE1EEE">
      <w:rPr>
        <w:color w:val="001B4F" w:themeColor="text1" w:themeShade="80"/>
        <w:sz w:val="16"/>
      </w:rPr>
      <w:t>ESMA74-1103241886-1094</w:t>
    </w:r>
  </w:p>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cRfWmmhDFzZuQSr+F1yYKtrrkDYH3frg/nAtH85GTKPjdPLC0mMUB5a2n3icLyTTH+B7RvNrSe0i8imRgOAw==" w:salt="eVOWG2ihBKrp8KVEFnbzk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9B3"/>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6F87"/>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6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474"/>
    <w:rsid w:val="002B358A"/>
    <w:rsid w:val="002B35CC"/>
    <w:rsid w:val="002B4AD7"/>
    <w:rsid w:val="002B59F0"/>
    <w:rsid w:val="002B5B01"/>
    <w:rsid w:val="002B6654"/>
    <w:rsid w:val="002B698F"/>
    <w:rsid w:val="002B73FB"/>
    <w:rsid w:val="002B7497"/>
    <w:rsid w:val="002B76FE"/>
    <w:rsid w:val="002B7955"/>
    <w:rsid w:val="002B7F6D"/>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DB6"/>
    <w:rsid w:val="003933E3"/>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743"/>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DC5"/>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8E7"/>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2C7"/>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A7D58"/>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5EE9D8DD-E2CB-41C5-AEBE-4F75CD0B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www.esma.europa.e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Placehold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1D0361"/>
    <w:rsid w:val="002B3474"/>
    <w:rsid w:val="0034145D"/>
    <w:rsid w:val="004D67E0"/>
    <w:rsid w:val="004E4CF9"/>
    <w:rsid w:val="005D66AB"/>
    <w:rsid w:val="006D3543"/>
    <w:rsid w:val="00813189"/>
    <w:rsid w:val="008222A0"/>
    <w:rsid w:val="00836D47"/>
    <w:rsid w:val="00982D57"/>
    <w:rsid w:val="00993537"/>
    <w:rsid w:val="009B6B9C"/>
    <w:rsid w:val="009C0B17"/>
    <w:rsid w:val="00B22006"/>
    <w:rsid w:val="00B46CAE"/>
    <w:rsid w:val="00D40353"/>
    <w:rsid w:val="00DC3796"/>
    <w:rsid w:val="00DC4211"/>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7E0"/>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45df1a-3a95-4e09-b810-764dbe748b25" xsi:nil="true"/>
    <SharedWithUsers xmlns="6d45df1a-3a95-4e09-b810-764dbe748b25">
      <UserInfo>
        <DisplayName>Kian Navid</DisplayName>
        <AccountId>329</AccountId>
        <AccountType/>
      </UserInfo>
      <UserInfo>
        <DisplayName>Christian Winkler</DisplayName>
        <AccountId>215</AccountId>
        <AccountType/>
      </UserInfo>
      <UserInfo>
        <DisplayName>Iris Hude</DisplayName>
        <AccountId>186</AccountId>
        <AccountType/>
      </UserInfo>
    </SharedWithUsers>
    <lcf76f155ced4ddcb4097134ff3c332f xmlns="0f72354a-a57d-4c09-aeba-c51390cc743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A0AE99983D5F64C978EE30328D7F14B" ma:contentTypeVersion="13" ma:contentTypeDescription="Skapa ett nytt dokument." ma:contentTypeScope="" ma:versionID="27b3af8ab76300eb543226b1cae5853a">
  <xsd:schema xmlns:xsd="http://www.w3.org/2001/XMLSchema" xmlns:xs="http://www.w3.org/2001/XMLSchema" xmlns:p="http://schemas.microsoft.com/office/2006/metadata/properties" xmlns:ns2="0f72354a-a57d-4c09-aeba-c51390cc743a" xmlns:ns3="6d45df1a-3a95-4e09-b810-764dbe748b25" targetNamespace="http://schemas.microsoft.com/office/2006/metadata/properties" ma:root="true" ma:fieldsID="79cb8f89065b5553db59c3ea6908c321" ns2:_="" ns3:_="">
    <xsd:import namespace="0f72354a-a57d-4c09-aeba-c51390cc743a"/>
    <xsd:import namespace="6d45df1a-3a95-4e09-b810-764dbe748b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2354a-a57d-4c09-aeba-c51390cc7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04d500ba-7a14-4510-aa09-dcf56c53d1a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5df1a-3a95-4e09-b810-764dbe748b25"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07345249-18e7-4f08-a89a-596b8e961af8}" ma:internalName="TaxCatchAll" ma:showField="CatchAllData" ma:web="6d45df1a-3a95-4e09-b810-764dbe748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4AE7858C-3128-45EF-AE36-4A7D702B3BF5}">
  <ds:schemaRefs>
    <ds:schemaRef ds:uri="http://schemas.microsoft.com/office/2006/documentManagement/types"/>
    <ds:schemaRef ds:uri="http://purl.org/dc/elements/1.1/"/>
    <ds:schemaRef ds:uri="http://purl.org/dc/terms/"/>
    <ds:schemaRef ds:uri="31cd2e30-85b0-4a67-ba52-2e1ab097a1d0"/>
    <ds:schemaRef ds:uri="http://schemas.microsoft.com/office/infopath/2007/PartnerControls"/>
    <ds:schemaRef ds:uri="d0fb0f98-34f9-4d57-9559-eb8efd17aa5e"/>
    <ds:schemaRef ds:uri="http://purl.org/dc/dcmitype/"/>
    <ds:schemaRef ds:uri="http://schemas.openxmlformats.org/package/2006/metadata/core-properties"/>
    <ds:schemaRef ds:uri="http://schemas.microsoft.com/office/2006/metadata/properties"/>
    <ds:schemaRef ds:uri="http://www.w3.org/XML/1998/namespace"/>
    <ds:schemaRef ds:uri="6d45df1a-3a95-4e09-b810-764dbe748b25"/>
    <ds:schemaRef ds:uri="0f72354a-a57d-4c09-aeba-c51390cc743a"/>
  </ds:schemaRefs>
</ds:datastoreItem>
</file>

<file path=customXml/itemProps4.xml><?xml version="1.0" encoding="utf-8"?>
<ds:datastoreItem xmlns:ds="http://schemas.openxmlformats.org/officeDocument/2006/customXml" ds:itemID="{21E2AA73-A2CB-483B-9881-5B9BA6551453}"/>
</file>

<file path=docMetadata/LabelInfo.xml><?xml version="1.0" encoding="utf-8"?>
<clbl:labelList xmlns:clbl="http://schemas.microsoft.com/office/2020/mipLabelMetadata">
  <clbl:label id="{fe63fdbc-9223-49ac-a12c-b8ae101f8b2d}" enabled="1" method="Standard" siteId="{d0b75e95-684a-45e3-8d2d-53fa2a6a513f}"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12</Pages>
  <Words>2264</Words>
  <Characters>12905</Characters>
  <Application>Microsoft Office Word</Application>
  <DocSecurity>8</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Peter Olivecrona</cp:lastModifiedBy>
  <cp:revision>19</cp:revision>
  <cp:lastPrinted>2023-09-09T00:53:00Z</cp:lastPrinted>
  <dcterms:created xsi:type="dcterms:W3CDTF">2024-12-11T02:10:00Z</dcterms:created>
  <dcterms:modified xsi:type="dcterms:W3CDTF">2025-02-13T15:39:00Z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0x0101002A0AE99983D5F64C978EE30328D7F14B</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9acc7b14-f522-4eb9-ad77-9f478f5094c1</vt:lpwstr>
  </property>
  <property fmtid="{D5CDD505-2E9C-101B-9397-08002B2CF9AE}" pid="8" name="Topic">
    <vt:lpwstr>267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vt:lpwstr>
  </property>
  <property fmtid="{D5CDD505-2E9C-101B-9397-08002B2CF9AE}" pid="14" name="SubTopic">
    <vt:lpwstr>1042</vt:lpwstr>
  </property>
  <property fmtid="{D5CDD505-2E9C-101B-9397-08002B2CF9AE}" pid="15" name="MediaServiceImageTags">
    <vt:lpwstr/>
  </property>
</Properties>
</file>