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0BCCFFE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170D20CF" w:rsidR="00635BCA" w:rsidRPr="00557BD2" w:rsidRDefault="008437F1" w:rsidP="00D21C35">
                <w:r>
                  <w:t>Euronext</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4775059F" w:rsidR="00B17279" w:rsidRDefault="00E10266" w:rsidP="00B17279">
                <w:r>
                  <w:t>Trading Venue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605104681" w:edGrp="everyone" w:displacedByCustomXml="prev"/>
            <w:tc>
              <w:tcPr>
                <w:tcW w:w="4531" w:type="dxa"/>
              </w:tcPr>
              <w:p w14:paraId="10359AFE" w14:textId="66205D1C" w:rsidR="00B17279" w:rsidRDefault="00B17279"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24B3A03D" w:rsidR="00B17279" w:rsidRPr="00557BD2" w:rsidRDefault="00E10266" w:rsidP="00B17279">
                <w:r>
                  <w:t>Europe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3111A860" w14:textId="77777777" w:rsidR="009B1E21" w:rsidRDefault="009B1E21" w:rsidP="009B1E21">
      <w:permStart w:id="627510576" w:edGrp="everyone"/>
      <w:r>
        <w:t>TYPE YOUR TEXT HERE</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5572F42B" w14:textId="77777777" w:rsidR="009B1E21" w:rsidRDefault="009B1E21" w:rsidP="009B1E21">
      <w:permStart w:id="55053902" w:edGrp="everyone"/>
      <w:r>
        <w:t>TYPE YOUR TEXT HERE</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1F7E2365" w14:textId="77777777" w:rsidR="009B1E21" w:rsidRDefault="009B1E21" w:rsidP="009B1E21">
      <w:permStart w:id="783093244" w:edGrp="everyone"/>
      <w:r>
        <w:lastRenderedPageBreak/>
        <w:t>TYPE YOUR TEXT HERE</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02D8C81C" w14:textId="26BF7BCA" w:rsidR="009B1E21" w:rsidRDefault="009B1E21" w:rsidP="009B1E21">
      <w:permStart w:id="1801277174" w:edGrp="everyone"/>
      <w:r>
        <w:t>TYPE YOUR TEXT HERE</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709DA18" w14:textId="77777777" w:rsidR="009B1E21" w:rsidRDefault="009B1E21" w:rsidP="009B1E21">
      <w:permStart w:id="613818377" w:edGrp="everyone"/>
      <w:r>
        <w:t>TYPE YOUR TEXT HERE</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77777777" w:rsidR="009B1E21" w:rsidRDefault="009B1E21" w:rsidP="009B1E21">
      <w:permStart w:id="126633024" w:edGrp="everyone"/>
      <w:r>
        <w:t>TYPE YOUR TEXT HERE</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285CB82" w14:textId="77777777" w:rsidR="009B1E21" w:rsidRDefault="009B1E21" w:rsidP="009B1E21">
      <w:permStart w:id="1778661475" w:edGrp="everyone"/>
      <w:r>
        <w:t>TYPE YOUR TEXT HERE</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4A6A8B12" w14:textId="77777777" w:rsidR="009B1E21" w:rsidRDefault="009B1E21" w:rsidP="009B1E21">
      <w:permStart w:id="265124465" w:edGrp="everyone"/>
      <w:r>
        <w:t>TYPE YOUR TEXT HERE</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23CD9213" w:rsidR="009B1E21" w:rsidRDefault="009B1E21" w:rsidP="009B1E21">
      <w:permStart w:id="941577706" w:edGrp="everyone"/>
      <w:r>
        <w:t>TYPE YOUR TEXT HERE</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77777777" w:rsidR="009B1E21" w:rsidRDefault="009B1E21" w:rsidP="009B1E21">
      <w:permStart w:id="1460612003" w:edGrp="everyone"/>
      <w:r>
        <w:lastRenderedPageBreak/>
        <w:t>TYPE YOUR TEXT HERE</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F1DBBCB" w14:textId="77777777" w:rsidR="009B1E21" w:rsidRDefault="009B1E21" w:rsidP="009B1E21">
      <w:permStart w:id="159128183" w:edGrp="everyone"/>
      <w:r>
        <w:t>TYPE YOUR TEXT HERE</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77777777" w:rsidR="009B1E21" w:rsidRDefault="009B1E21" w:rsidP="009B1E21">
      <w:permStart w:id="421398651" w:edGrp="everyone"/>
      <w:r>
        <w:t>TYPE YOUR TEXT HERE</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77777777" w:rsidR="009B1E21" w:rsidRDefault="009B1E21" w:rsidP="009B1E21">
      <w:permStart w:id="2070238072" w:edGrp="everyone"/>
      <w:r>
        <w:t>TYPE YOUR TEXT HERE</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77777777" w:rsidR="009B1E21" w:rsidRDefault="009B1E21" w:rsidP="009B1E21">
      <w:permStart w:id="131739657" w:edGrp="everyone"/>
      <w:r>
        <w:t>TYPE YOUR TEXT HERE</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670E9CE7" w14:textId="77777777" w:rsidR="00F44CB1" w:rsidRDefault="00F44CB1" w:rsidP="00F44CB1">
      <w:pPr>
        <w:rPr>
          <w:rFonts w:ascii="Verdana" w:hAnsi="Verdana"/>
          <w:sz w:val="20"/>
        </w:rPr>
      </w:pPr>
      <w:permStart w:id="224746622" w:edGrp="everyone"/>
      <w:r>
        <w:rPr>
          <w:rFonts w:ascii="Verdana" w:hAnsi="Verdana"/>
          <w:sz w:val="20"/>
        </w:rPr>
        <w:t>Euronext agrees that ESMA’s proposed</w:t>
      </w:r>
      <w:r w:rsidRPr="00053990">
        <w:rPr>
          <w:rFonts w:ascii="Verdana" w:hAnsi="Verdana"/>
          <w:sz w:val="20"/>
        </w:rPr>
        <w:t xml:space="preserve"> approach</w:t>
      </w:r>
      <w:r>
        <w:rPr>
          <w:rFonts w:ascii="Verdana" w:hAnsi="Verdana"/>
          <w:sz w:val="20"/>
        </w:rPr>
        <w:t xml:space="preserve"> for the methodology to be used seems appropriate. </w:t>
      </w:r>
    </w:p>
    <w:p w14:paraId="36A639C9" w14:textId="77777777" w:rsidR="00F44CB1" w:rsidRDefault="00F44CB1" w:rsidP="00F44CB1">
      <w:pPr>
        <w:rPr>
          <w:rFonts w:ascii="Verdana" w:hAnsi="Verdana"/>
          <w:sz w:val="20"/>
        </w:rPr>
      </w:pPr>
      <w:r>
        <w:rPr>
          <w:rFonts w:ascii="Verdana" w:hAnsi="Verdana"/>
          <w:sz w:val="20"/>
        </w:rPr>
        <w:t xml:space="preserve">We would however reiterate points that we previously highlighted on this topic that it is important that these requirements ensure a harmonised format is used and do not lead to duplicate requirements. </w:t>
      </w:r>
    </w:p>
    <w:p w14:paraId="2203B521" w14:textId="77777777" w:rsidR="00F44CB1" w:rsidRDefault="00F44CB1" w:rsidP="00F44CB1">
      <w:pPr>
        <w:rPr>
          <w:rFonts w:ascii="Verdana" w:eastAsia="Times New Roman" w:hAnsi="Verdana"/>
          <w:sz w:val="20"/>
        </w:rPr>
      </w:pPr>
      <w:r>
        <w:rPr>
          <w:rFonts w:ascii="Verdana" w:eastAsia="Times New Roman" w:hAnsi="Verdana"/>
          <w:sz w:val="20"/>
        </w:rPr>
        <w:t>R</w:t>
      </w:r>
      <w:r>
        <w:rPr>
          <w:rFonts w:ascii="Verdana" w:eastAsia="Times New Roman" w:hAnsi="Verdana"/>
          <w:sz w:val="20"/>
        </w:rPr>
        <w:t>egarding the ITS that ESMA is tasked with drafting:</w:t>
      </w:r>
    </w:p>
    <w:p w14:paraId="0348760E" w14:textId="77777777" w:rsidR="00F44CB1" w:rsidRPr="00F44CB1" w:rsidRDefault="00F44CB1" w:rsidP="00F44CB1">
      <w:pPr>
        <w:pStyle w:val="ListParagraph"/>
        <w:numPr>
          <w:ilvl w:val="0"/>
          <w:numId w:val="17"/>
        </w:numPr>
        <w:spacing w:after="0" w:line="240" w:lineRule="auto"/>
        <w:contextualSpacing/>
        <w:rPr>
          <w:rFonts w:ascii="Verdana" w:eastAsia="Times New Roman" w:hAnsi="Verdana"/>
          <w:sz w:val="20"/>
          <w:szCs w:val="20"/>
          <w:lang w:val="en-GB"/>
        </w:rPr>
      </w:pPr>
      <w:r w:rsidRPr="00F44CB1">
        <w:rPr>
          <w:rFonts w:ascii="Verdana" w:eastAsia="Times New Roman" w:hAnsi="Verdana"/>
          <w:sz w:val="20"/>
          <w:szCs w:val="20"/>
          <w:u w:val="single"/>
          <w:lang w:val="en-GB"/>
        </w:rPr>
        <w:t xml:space="preserve">(b) to determine appropriate arrangements, systems and procedures for trading venues to comply with the requirement in paragraph 1, third subparagraph, and </w:t>
      </w:r>
    </w:p>
    <w:p w14:paraId="0DE59A02" w14:textId="77777777" w:rsidR="00F44CB1" w:rsidRPr="00F44CB1" w:rsidRDefault="00F44CB1" w:rsidP="00F44CB1">
      <w:pPr>
        <w:pStyle w:val="ListParagraph"/>
        <w:numPr>
          <w:ilvl w:val="0"/>
          <w:numId w:val="17"/>
        </w:numPr>
        <w:spacing w:after="0" w:line="240" w:lineRule="auto"/>
        <w:contextualSpacing/>
        <w:rPr>
          <w:rFonts w:ascii="Verdana" w:eastAsia="Times New Roman" w:hAnsi="Verdana"/>
          <w:sz w:val="20"/>
          <w:szCs w:val="20"/>
          <w:u w:val="single"/>
          <w:lang w:val="en-GB"/>
        </w:rPr>
      </w:pPr>
      <w:r w:rsidRPr="00F44CB1">
        <w:rPr>
          <w:rFonts w:ascii="Verdana" w:eastAsia="Times New Roman" w:hAnsi="Verdana"/>
          <w:sz w:val="20"/>
          <w:szCs w:val="20"/>
          <w:u w:val="single"/>
          <w:lang w:val="en-GB"/>
        </w:rPr>
        <w:t xml:space="preserve">(c) to determine the format and the timeframe for provision of the requested data in paragraph 1, third </w:t>
      </w:r>
      <w:proofErr w:type="spellStart"/>
      <w:r w:rsidRPr="00F44CB1">
        <w:rPr>
          <w:rFonts w:ascii="Verdana" w:eastAsia="Times New Roman" w:hAnsi="Verdana"/>
          <w:sz w:val="20"/>
          <w:szCs w:val="20"/>
          <w:u w:val="single"/>
          <w:lang w:val="en-GB"/>
        </w:rPr>
        <w:t>subparagaph</w:t>
      </w:r>
      <w:proofErr w:type="spellEnd"/>
      <w:r w:rsidRPr="00F44CB1">
        <w:rPr>
          <w:rFonts w:ascii="Verdana" w:eastAsia="Times New Roman" w:hAnsi="Verdana"/>
          <w:sz w:val="20"/>
          <w:szCs w:val="20"/>
          <w:u w:val="single"/>
          <w:lang w:val="en-GB"/>
        </w:rPr>
        <w:t>.</w:t>
      </w:r>
    </w:p>
    <w:p w14:paraId="3C51E491" w14:textId="77777777" w:rsidR="00F44CB1" w:rsidRDefault="00F44CB1" w:rsidP="00F44CB1">
      <w:pPr>
        <w:rPr>
          <w:rFonts w:ascii="Verdana" w:eastAsia="Times New Roman" w:hAnsi="Verdana"/>
          <w:sz w:val="20"/>
        </w:rPr>
      </w:pPr>
    </w:p>
    <w:p w14:paraId="2CBA751B" w14:textId="77777777" w:rsidR="00F44CB1" w:rsidRDefault="00F44CB1" w:rsidP="00F44CB1">
      <w:pPr>
        <w:rPr>
          <w:rFonts w:ascii="Verdana" w:hAnsi="Verdana"/>
          <w:sz w:val="20"/>
        </w:rPr>
      </w:pPr>
      <w:r>
        <w:rPr>
          <w:rFonts w:ascii="Verdana" w:eastAsia="Times New Roman" w:hAnsi="Verdana"/>
          <w:sz w:val="20"/>
        </w:rPr>
        <w:t xml:space="preserve">It would be helpful if ESMA could clarify that this will align with </w:t>
      </w:r>
      <w:proofErr w:type="spellStart"/>
      <w:r>
        <w:rPr>
          <w:rFonts w:ascii="Verdana" w:eastAsia="Times New Roman" w:hAnsi="Verdana"/>
          <w:sz w:val="20"/>
        </w:rPr>
        <w:t>MiFIR</w:t>
      </w:r>
      <w:proofErr w:type="spellEnd"/>
      <w:r>
        <w:rPr>
          <w:rFonts w:ascii="Verdana" w:eastAsia="Times New Roman" w:hAnsi="Verdana"/>
          <w:sz w:val="20"/>
        </w:rPr>
        <w:t xml:space="preserve"> Art 25 and RTS24 so that no other duplicative arrangements are envisaged and that there will be </w:t>
      </w:r>
      <w:r>
        <w:rPr>
          <w:rFonts w:ascii="Verdana" w:hAnsi="Verdana"/>
          <w:sz w:val="20"/>
        </w:rPr>
        <w:t xml:space="preserve">both a common format and template set for RTS 24 (under </w:t>
      </w:r>
      <w:proofErr w:type="spellStart"/>
      <w:r>
        <w:rPr>
          <w:rFonts w:ascii="Verdana" w:hAnsi="Verdana"/>
          <w:sz w:val="20"/>
        </w:rPr>
        <w:t>MiFIR</w:t>
      </w:r>
      <w:proofErr w:type="spellEnd"/>
      <w:r>
        <w:rPr>
          <w:rFonts w:ascii="Verdana" w:hAnsi="Verdana"/>
          <w:sz w:val="20"/>
        </w:rPr>
        <w:t xml:space="preserve"> Art 25) as currently different NCAs ask for different formats. We believe this is a key issue. Given this topic is currently under consideration by ESMA as part of the </w:t>
      </w:r>
      <w:proofErr w:type="spellStart"/>
      <w:r>
        <w:rPr>
          <w:rFonts w:ascii="Verdana" w:hAnsi="Verdana"/>
          <w:sz w:val="20"/>
        </w:rPr>
        <w:t>MiFIR</w:t>
      </w:r>
      <w:proofErr w:type="spellEnd"/>
      <w:r>
        <w:rPr>
          <w:rFonts w:ascii="Verdana" w:hAnsi="Verdana"/>
          <w:sz w:val="20"/>
        </w:rPr>
        <w:t xml:space="preserve"> Review, we urge ESMA to take these points on board and ensure a streamlined outcome. </w:t>
      </w:r>
    </w:p>
    <w:p w14:paraId="000B8E26" w14:textId="63D5C031" w:rsidR="00F44CB1" w:rsidRDefault="00F44CB1" w:rsidP="00F44CB1">
      <w:pPr>
        <w:rPr>
          <w:rFonts w:ascii="Verdana" w:hAnsi="Verdana"/>
          <w:sz w:val="20"/>
        </w:rPr>
      </w:pPr>
      <w:r>
        <w:rPr>
          <w:rFonts w:ascii="Verdana" w:hAnsi="Verdana"/>
          <w:sz w:val="20"/>
        </w:rPr>
        <w:t xml:space="preserve">The risk of duplicate requirements needs to be fully addressed and therefore, we believe  it should be made clear that </w:t>
      </w:r>
      <w:r>
        <w:rPr>
          <w:rFonts w:ascii="Verdana" w:eastAsia="Times New Roman" w:hAnsi="Verdana"/>
          <w:sz w:val="20"/>
        </w:rPr>
        <w:t xml:space="preserve">if the trading venue already provides order data to its NCA on an on-going basis under Art 25 </w:t>
      </w:r>
      <w:proofErr w:type="spellStart"/>
      <w:r>
        <w:rPr>
          <w:rFonts w:ascii="Verdana" w:eastAsia="Times New Roman" w:hAnsi="Verdana"/>
          <w:sz w:val="20"/>
        </w:rPr>
        <w:t>MiFIR</w:t>
      </w:r>
      <w:proofErr w:type="spellEnd"/>
      <w:r>
        <w:rPr>
          <w:rFonts w:ascii="Verdana" w:eastAsia="Times New Roman" w:hAnsi="Verdana"/>
          <w:sz w:val="20"/>
        </w:rPr>
        <w:t xml:space="preserve"> and RTS24, these MAR provisions will not apply. </w:t>
      </w:r>
      <w:r>
        <w:rPr>
          <w:rFonts w:ascii="Verdana" w:hAnsi="Verdana"/>
          <w:sz w:val="20"/>
        </w:rPr>
        <w:t xml:space="preserve">Otherwise, there is a concern  that a trading venue may end up having to provide the same </w:t>
      </w:r>
      <w:r>
        <w:rPr>
          <w:rFonts w:ascii="Verdana" w:hAnsi="Verdana"/>
          <w:sz w:val="20"/>
        </w:rPr>
        <w:lastRenderedPageBreak/>
        <w:t>data twice (firstly as part of on-going submission on a daily basis, and then secondly should another NCA request it on an ad-hoc basis) and potentially in different formats of this point is not addressed (e.g. csv and xml) which seems extremely onerous when the NCA already has the data.</w:t>
      </w:r>
    </w:p>
    <w:p w14:paraId="5659083E" w14:textId="77777777" w:rsidR="00F44CB1" w:rsidRPr="0021072C" w:rsidRDefault="00F44CB1" w:rsidP="00F44CB1">
      <w:pPr>
        <w:rPr>
          <w:rFonts w:ascii="Verdana" w:eastAsia="Times New Roman" w:hAnsi="Verdana"/>
          <w:sz w:val="20"/>
        </w:rPr>
      </w:pPr>
      <w:r w:rsidRPr="0021072C">
        <w:rPr>
          <w:rFonts w:ascii="Verdana" w:eastAsia="Times New Roman" w:hAnsi="Verdana"/>
          <w:sz w:val="20"/>
        </w:rPr>
        <w:t xml:space="preserve">As a final comment, and as per our response to </w:t>
      </w:r>
      <w:r>
        <w:rPr>
          <w:rFonts w:ascii="Verdana" w:eastAsia="Times New Roman" w:hAnsi="Verdana"/>
          <w:sz w:val="20"/>
        </w:rPr>
        <w:t xml:space="preserve">the </w:t>
      </w:r>
      <w:r w:rsidRPr="0021072C">
        <w:rPr>
          <w:rFonts w:ascii="Verdana" w:eastAsia="Times New Roman" w:hAnsi="Verdana"/>
          <w:sz w:val="20"/>
        </w:rPr>
        <w:t>ESMA C</w:t>
      </w:r>
      <w:r>
        <w:rPr>
          <w:rFonts w:ascii="Verdana" w:eastAsia="Times New Roman" w:hAnsi="Verdana"/>
          <w:sz w:val="20"/>
        </w:rPr>
        <w:t xml:space="preserve">onsultation </w:t>
      </w:r>
      <w:r w:rsidRPr="0021072C">
        <w:rPr>
          <w:rFonts w:ascii="Verdana" w:eastAsia="Times New Roman" w:hAnsi="Verdana"/>
          <w:sz w:val="20"/>
        </w:rPr>
        <w:t xml:space="preserve">on RTS24, we suggest ESMA should consider some more fundamental changes in approach to RTS24, and instead of requiring entities to report to individual NCAs, it would be more efficient and streamlined if these reports were submitted directly to a central hub, such as ESMA, and that each NCA can then retrieve the required information. The need for a centralised system here is clear and would significantly reduce issues with respect to information exchanges between entities and different NCAs, and indeed between NCAs themselves. </w:t>
      </w:r>
    </w:p>
    <w:p w14:paraId="02F06709" w14:textId="77777777" w:rsidR="00F44CB1" w:rsidRDefault="00F44CB1" w:rsidP="009B1E21">
      <w:pPr>
        <w:rPr>
          <w:rFonts w:ascii="Segoe UI" w:eastAsia="Times New Roman" w:hAnsi="Segoe UI" w:cs="Segoe UI"/>
          <w:color w:val="1A1A1A"/>
          <w:sz w:val="18"/>
          <w:szCs w:val="18"/>
          <w:lang w:eastAsia="en-GB"/>
        </w:rPr>
      </w:pPr>
      <w:r w:rsidRPr="0021072C">
        <w:rPr>
          <w:rFonts w:ascii="Verdana" w:eastAsia="Times New Roman" w:hAnsi="Verdana"/>
          <w:sz w:val="20"/>
        </w:rPr>
        <w:t>This would address concerns arising from th</w:t>
      </w:r>
      <w:r>
        <w:rPr>
          <w:rFonts w:ascii="Verdana" w:eastAsia="Times New Roman" w:hAnsi="Verdana"/>
          <w:sz w:val="20"/>
        </w:rPr>
        <w:t>is</w:t>
      </w:r>
      <w:r w:rsidRPr="0021072C">
        <w:rPr>
          <w:rFonts w:ascii="Verdana" w:eastAsia="Times New Roman" w:hAnsi="Verdana"/>
          <w:sz w:val="20"/>
        </w:rPr>
        <w:t xml:space="preserve"> new Cross Market Order Surveillance Mechanism as it is critical that this does not lead to duplicative and additional reporting requirements for trading venues; and it seems the issue that needs to be addressed generally relates to the exchange of information between NCAs. We believe a central hub for this information would solve this issue</w:t>
      </w:r>
      <w:r w:rsidRPr="0021072C">
        <w:rPr>
          <w:rFonts w:ascii="Segoe UI" w:eastAsia="Times New Roman" w:hAnsi="Segoe UI" w:cs="Segoe UI"/>
          <w:color w:val="1A1A1A"/>
          <w:sz w:val="18"/>
          <w:szCs w:val="18"/>
          <w:lang w:eastAsia="en-GB"/>
        </w:rPr>
        <w:t>.</w:t>
      </w:r>
    </w:p>
    <w:permEnd w:id="224746622"/>
    <w:p w14:paraId="4D4FF991" w14:textId="4D27979E"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DE6F60B" w14:textId="77777777" w:rsidR="009B662C" w:rsidRPr="002D1DE6" w:rsidRDefault="009B662C" w:rsidP="009B662C">
      <w:pPr>
        <w:rPr>
          <w:rFonts w:ascii="Verdana" w:hAnsi="Verdana"/>
          <w:sz w:val="20"/>
        </w:rPr>
      </w:pPr>
      <w:permStart w:id="1599806274" w:edGrp="everyone"/>
      <w:r w:rsidRPr="002D1DE6">
        <w:rPr>
          <w:rFonts w:ascii="Verdana" w:hAnsi="Verdana"/>
          <w:sz w:val="20"/>
        </w:rPr>
        <w:t xml:space="preserve">Yes Euronext agrees the methodology remains suitable. </w:t>
      </w:r>
    </w:p>
    <w:p w14:paraId="5079E5DA" w14:textId="77777777" w:rsidR="009B662C" w:rsidRPr="002D1DE6" w:rsidRDefault="009B662C" w:rsidP="009B662C">
      <w:pPr>
        <w:rPr>
          <w:rFonts w:ascii="Verdana" w:hAnsi="Verdana"/>
          <w:sz w:val="20"/>
        </w:rPr>
      </w:pPr>
      <w:r>
        <w:rPr>
          <w:rFonts w:ascii="Verdana" w:hAnsi="Verdana"/>
          <w:sz w:val="20"/>
        </w:rPr>
        <w:t>However</w:t>
      </w:r>
      <w:r w:rsidRPr="002D1DE6">
        <w:rPr>
          <w:rFonts w:ascii="Verdana" w:hAnsi="Verdana"/>
          <w:sz w:val="20"/>
        </w:rPr>
        <w:t xml:space="preserve">, we have a general point about Article 77(2) of </w:t>
      </w:r>
      <w:hyperlink r:id="rId21" w:history="1">
        <w:r w:rsidRPr="002D1DE6">
          <w:rPr>
            <w:rFonts w:ascii="Verdana" w:hAnsi="Verdana"/>
            <w:sz w:val="20"/>
          </w:rPr>
          <w:t>Regulation 2017/565</w:t>
        </w:r>
      </w:hyperlink>
      <w:r w:rsidRPr="002D1DE6">
        <w:rPr>
          <w:rFonts w:ascii="Verdana" w:hAnsi="Verdana"/>
          <w:sz w:val="20"/>
        </w:rPr>
        <w:t>,  as we suggest more clarity could be provided to the definition regarding issuers of bonds only on a SME GM. The current text states:</w:t>
      </w:r>
    </w:p>
    <w:p w14:paraId="6F73BEB9" w14:textId="77777777" w:rsidR="009B662C" w:rsidRPr="002D1DE6" w:rsidRDefault="009B662C" w:rsidP="009B662C">
      <w:pPr>
        <w:ind w:left="720"/>
        <w:rPr>
          <w:sz w:val="20"/>
          <w:lang w:eastAsia="fr-FR"/>
        </w:rPr>
      </w:pPr>
      <w:r>
        <w:rPr>
          <w:i/>
          <w:iCs/>
          <w:sz w:val="20"/>
          <w:shd w:val="clear" w:color="auto" w:fill="FFFFFF"/>
          <w:lang w:eastAsia="fr-FR"/>
        </w:rPr>
        <w:tab/>
      </w:r>
      <w:r w:rsidRPr="00C2328F">
        <w:rPr>
          <w:i/>
          <w:iCs/>
          <w:sz w:val="20"/>
          <w:shd w:val="clear" w:color="auto" w:fill="FFFFFF"/>
          <w:lang w:eastAsia="fr-FR"/>
        </w:rPr>
        <w:t xml:space="preserve">2. </w:t>
      </w:r>
      <w:r w:rsidRPr="00C2328F">
        <w:rPr>
          <w:i/>
          <w:iCs/>
          <w:sz w:val="20"/>
          <w:lang w:eastAsia="fr-FR"/>
        </w:rPr>
        <w:t xml:space="preserve">An issuer that has no equity instrument traded on any trading venue shall be </w:t>
      </w:r>
      <w:r>
        <w:rPr>
          <w:i/>
          <w:iCs/>
          <w:sz w:val="20"/>
          <w:lang w:eastAsia="fr-FR"/>
        </w:rPr>
        <w:tab/>
      </w:r>
      <w:r w:rsidRPr="00C2328F">
        <w:rPr>
          <w:i/>
          <w:iCs/>
          <w:sz w:val="20"/>
          <w:lang w:eastAsia="fr-FR"/>
        </w:rPr>
        <w:t xml:space="preserve">deemed an SME for the purposes of Article 4(1)(13) of Directive 2014/65/EU if the </w:t>
      </w:r>
      <w:r>
        <w:rPr>
          <w:i/>
          <w:iCs/>
          <w:sz w:val="20"/>
          <w:lang w:eastAsia="fr-FR"/>
        </w:rPr>
        <w:tab/>
      </w:r>
      <w:r w:rsidRPr="00C2328F">
        <w:rPr>
          <w:i/>
          <w:iCs/>
          <w:sz w:val="20"/>
          <w:lang w:eastAsia="fr-FR"/>
        </w:rPr>
        <w:t xml:space="preserve">nominal value of its debt issuances over the previous calendar year, on all trading </w:t>
      </w:r>
      <w:r>
        <w:rPr>
          <w:i/>
          <w:iCs/>
          <w:sz w:val="20"/>
          <w:lang w:eastAsia="fr-FR"/>
        </w:rPr>
        <w:tab/>
      </w:r>
      <w:r w:rsidRPr="00C2328F">
        <w:rPr>
          <w:i/>
          <w:iCs/>
          <w:sz w:val="20"/>
          <w:lang w:eastAsia="fr-FR"/>
        </w:rPr>
        <w:t>venues across the Union, does not exceed EUR 50 million</w:t>
      </w:r>
      <w:r w:rsidRPr="00C2328F">
        <w:rPr>
          <w:sz w:val="20"/>
          <w:lang w:eastAsia="fr-FR"/>
        </w:rPr>
        <w:t>.</w:t>
      </w:r>
    </w:p>
    <w:p w14:paraId="4668B9F1" w14:textId="77777777" w:rsidR="009B662C" w:rsidRDefault="009B662C" w:rsidP="009B662C">
      <w:pPr>
        <w:rPr>
          <w:sz w:val="20"/>
        </w:rPr>
      </w:pPr>
      <w:r w:rsidRPr="002D1DE6">
        <w:rPr>
          <w:rFonts w:ascii="Verdana" w:hAnsi="Verdana"/>
          <w:sz w:val="20"/>
        </w:rPr>
        <w:t xml:space="preserve">This can give rise to different interpretations so we suggest it should be clarified in an ESMA Q&amp;A that this includes issuers with bonds currently admitted to trading on the SME GM, but were admitted to trading before the previous calendar year, and did not issue and </w:t>
      </w:r>
      <w:r w:rsidRPr="002D1DE6">
        <w:rPr>
          <w:rFonts w:ascii="Verdana" w:hAnsi="Verdana"/>
          <w:sz w:val="20"/>
        </w:rPr>
        <w:lastRenderedPageBreak/>
        <w:t>admit bonds over the previous calendar year (so the nominal value of their bond issue was 0).</w:t>
      </w:r>
      <w:r w:rsidRPr="00C2328F">
        <w:rPr>
          <w:sz w:val="20"/>
        </w:rPr>
        <w:t xml:space="preserve"> </w:t>
      </w:r>
    </w:p>
    <w:p w14:paraId="777E9A5C" w14:textId="77777777" w:rsidR="009B662C" w:rsidRDefault="009B662C" w:rsidP="009B1E21">
      <w:pPr>
        <w:rPr>
          <w:rFonts w:ascii="Verdana" w:hAnsi="Verdana"/>
          <w:sz w:val="20"/>
        </w:rPr>
      </w:pPr>
      <w:r>
        <w:t>In addition,</w:t>
      </w:r>
      <w:r w:rsidRPr="00A466FA">
        <w:t xml:space="preserve"> </w:t>
      </w:r>
      <w:r w:rsidRPr="00FE2D10">
        <w:rPr>
          <w:rFonts w:ascii="Verdana" w:hAnsi="Verdana"/>
          <w:sz w:val="20"/>
        </w:rPr>
        <w:t xml:space="preserve">the underlying definition of an SME within MiFID II should be unified and increased regarding the market capitalisation. We recommend raising the threshold for companies qualifying from an average market capitalization of EUR 200 million to EUR </w:t>
      </w:r>
      <w:r>
        <w:rPr>
          <w:rFonts w:ascii="Verdana" w:hAnsi="Verdana"/>
          <w:sz w:val="20"/>
        </w:rPr>
        <w:t>1 billion.</w:t>
      </w:r>
      <w:r w:rsidRPr="00FE2D10">
        <w:rPr>
          <w:rFonts w:ascii="Verdana" w:hAnsi="Verdana"/>
          <w:sz w:val="20"/>
        </w:rPr>
        <w:t xml:space="preserve"> The current qualifying threshold for SMEs is too low as it only takes into consideration small enterprises and not mid-caps. The higher threshold would contribute to a strengthening of SME GM’s ability to attract more companies, with the potential to increase liquidity on these markets.</w:t>
      </w:r>
    </w:p>
    <w:permEnd w:id="1599806274"/>
    <w:p w14:paraId="02DB13CA" w14:textId="53BF9331"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012E4FF9" w14:textId="77777777" w:rsidR="00555D90" w:rsidRDefault="00555D90" w:rsidP="009B1E21">
      <w:pPr>
        <w:rPr>
          <w:rFonts w:ascii="Verdana" w:hAnsi="Verdana"/>
          <w:sz w:val="20"/>
        </w:rPr>
      </w:pPr>
      <w:permStart w:id="166685556" w:edGrp="everyone"/>
      <w:r w:rsidRPr="00053990">
        <w:rPr>
          <w:rFonts w:ascii="Verdana" w:hAnsi="Verdana"/>
          <w:sz w:val="20"/>
        </w:rPr>
        <w:t xml:space="preserve">Yes, </w:t>
      </w:r>
      <w:r>
        <w:rPr>
          <w:rFonts w:ascii="Verdana" w:hAnsi="Verdana"/>
          <w:sz w:val="20"/>
        </w:rPr>
        <w:t>Euronext</w:t>
      </w:r>
      <w:r w:rsidRPr="00053990">
        <w:rPr>
          <w:rFonts w:ascii="Verdana" w:hAnsi="Verdana"/>
          <w:sz w:val="20"/>
        </w:rPr>
        <w:t xml:space="preserve"> agree</w:t>
      </w:r>
      <w:r>
        <w:rPr>
          <w:rFonts w:ascii="Verdana" w:hAnsi="Verdana"/>
          <w:sz w:val="20"/>
        </w:rPr>
        <w:t>s</w:t>
      </w:r>
      <w:r w:rsidRPr="00053990">
        <w:rPr>
          <w:rFonts w:ascii="Verdana" w:hAnsi="Verdana"/>
          <w:sz w:val="20"/>
        </w:rPr>
        <w:t>.</w:t>
      </w:r>
    </w:p>
    <w:permEnd w:id="166685556"/>
    <w:p w14:paraId="4F5DBB1D" w14:textId="40C5D94E"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466B511B" w:rsidR="009B1E21" w:rsidRDefault="00281526" w:rsidP="009B1E21">
      <w:permStart w:id="14434267" w:edGrp="everyone"/>
      <w:r w:rsidRPr="00053990">
        <w:rPr>
          <w:rFonts w:ascii="Verdana" w:hAnsi="Verdana"/>
          <w:sz w:val="20"/>
        </w:rPr>
        <w:t>Yes, Euronext agrees there is no need to specify further these requirements</w:t>
      </w:r>
      <w:r>
        <w:t>.</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015898B8" w:rsidR="009B1E21" w:rsidRDefault="0077404B" w:rsidP="009B1E21">
      <w:permStart w:id="305603693" w:edGrp="everyone"/>
      <w:r w:rsidRPr="00053990">
        <w:rPr>
          <w:rFonts w:ascii="Verdana" w:hAnsi="Verdana"/>
          <w:sz w:val="20"/>
        </w:rPr>
        <w:lastRenderedPageBreak/>
        <w:t>Yes, Euronext agrees as we do not see the need to modify these requirements which currently work well and we believe it is important to retain flexibility for SME issuers and not increase their burden.</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7CC1707C" w:rsidR="009B1E21" w:rsidRDefault="00CF0B3A" w:rsidP="009B1E21">
      <w:permStart w:id="767061203" w:edGrp="everyone"/>
      <w:r w:rsidRPr="00053990">
        <w:rPr>
          <w:rFonts w:ascii="Verdana" w:hAnsi="Verdana"/>
          <w:sz w:val="20"/>
        </w:rPr>
        <w:t>Yes, Euronext supports this approach. We had previously highlighted that this is a specific  area that needed to be considered  further. This requirement to provide a Working Capital statements is very onerous, and is particularly so for a Bond issuer. Therefore, given it may not be relevant for noteholders and also goes beyond the Prospectus Regulation which only looks for working capital for equity securities, we welcome this proposal</w:t>
      </w:r>
      <w:r>
        <w:rPr>
          <w:rFonts w:ascii="Verdana" w:hAnsi="Verdana"/>
          <w:sz w:val="20"/>
        </w:rPr>
        <w:t>.</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8AF649" w:rsidR="009B1E21" w:rsidRDefault="005D42B5" w:rsidP="009B1E21">
      <w:permStart w:id="366227586" w:edGrp="everyone"/>
      <w:r w:rsidRPr="00053990">
        <w:rPr>
          <w:rFonts w:ascii="Verdana" w:hAnsi="Verdana"/>
          <w:sz w:val="20"/>
        </w:rPr>
        <w:t>Yes Euronext agrees but would like clarity that this only refers to Full Year Financial Reports.</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5BBC9709" w14:textId="77777777" w:rsidR="007B526A" w:rsidRDefault="007B526A" w:rsidP="009B1E21">
      <w:pPr>
        <w:rPr>
          <w:rFonts w:ascii="Verdana" w:hAnsi="Verdana"/>
          <w:sz w:val="20"/>
        </w:rPr>
      </w:pPr>
      <w:permStart w:id="548149613" w:edGrp="everyone"/>
      <w:r w:rsidRPr="00053990">
        <w:rPr>
          <w:rFonts w:ascii="Verdana" w:hAnsi="Verdana"/>
          <w:sz w:val="20"/>
        </w:rPr>
        <w:t>Yes, we agree that this should not be modified.</w:t>
      </w:r>
    </w:p>
    <w:permEnd w:id="548149613"/>
    <w:p w14:paraId="643F7577" w14:textId="77777777" w:rsidR="009B1E21" w:rsidRDefault="009B1E21" w:rsidP="009B1E21">
      <w:r>
        <w:lastRenderedPageBreak/>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2038A953" w:rsidR="009B1E21" w:rsidRPr="00382DDA" w:rsidRDefault="00382DDA" w:rsidP="009B1E21">
      <w:pPr>
        <w:rPr>
          <w:rFonts w:ascii="Verdana" w:hAnsi="Verdana"/>
          <w:sz w:val="20"/>
        </w:rPr>
      </w:pPr>
      <w:permStart w:id="474421293" w:edGrp="everyone"/>
      <w:r w:rsidRPr="00053990">
        <w:rPr>
          <w:rFonts w:ascii="Verdana" w:hAnsi="Verdana"/>
          <w:sz w:val="20"/>
        </w:rPr>
        <w:t>Yes, Euronext agrees.</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26B8FF23" w:rsidR="009B1E21" w:rsidRDefault="002F103B" w:rsidP="009B1E21">
      <w:permStart w:id="2060877361" w:edGrp="everyone"/>
      <w:r w:rsidRPr="00053990">
        <w:rPr>
          <w:rFonts w:ascii="Verdana" w:hAnsi="Verdana"/>
          <w:sz w:val="20"/>
        </w:rPr>
        <w:t>Yes, Euronext agrees</w:t>
      </w:r>
      <w:r>
        <w:rPr>
          <w:rFonts w:ascii="Verdana" w:hAnsi="Verdana"/>
          <w:sz w:val="20"/>
        </w:rPr>
        <w:t>.</w:t>
      </w:r>
      <w:r>
        <w:t xml:space="preserve"> </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01519815" w:rsidR="009B1E21" w:rsidRDefault="007F08C1" w:rsidP="009B1E21">
      <w:permStart w:id="1612399469" w:edGrp="everyone"/>
      <w:r w:rsidRPr="00053990">
        <w:rPr>
          <w:rFonts w:ascii="Verdana" w:hAnsi="Verdana"/>
          <w:sz w:val="20"/>
        </w:rPr>
        <w:t>Yes, Euronext agrees.</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1C205B1D" w:rsidR="009B1E21" w:rsidRDefault="002A6C7D" w:rsidP="009B1E21">
      <w:permStart w:id="434780100" w:edGrp="everyone"/>
      <w:r w:rsidRPr="00053990">
        <w:rPr>
          <w:rFonts w:ascii="Verdana" w:hAnsi="Verdana"/>
          <w:sz w:val="20"/>
        </w:rPr>
        <w:t>Yes, Euronext agrees.</w:t>
      </w:r>
    </w:p>
    <w:permEnd w:id="434780100"/>
    <w:p w14:paraId="05EFDE60" w14:textId="77777777" w:rsidR="009B1E21" w:rsidRDefault="009B1E21" w:rsidP="009B1E21">
      <w:r>
        <w:lastRenderedPageBreak/>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22"/>
      <w:footerReference w:type="even" r:id="rId23"/>
      <w:footerReference w:type="default" r:id="rId24"/>
      <w:footerReference w:type="first" r:id="rId2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6F95" w14:textId="77777777" w:rsidR="003F7C2F" w:rsidRDefault="003F7C2F" w:rsidP="007E7997">
      <w:pPr>
        <w:spacing w:line="240" w:lineRule="auto"/>
      </w:pPr>
      <w:r>
        <w:separator/>
      </w:r>
    </w:p>
  </w:endnote>
  <w:endnote w:type="continuationSeparator" w:id="0">
    <w:p w14:paraId="23D67996" w14:textId="77777777" w:rsidR="003F7C2F" w:rsidRDefault="003F7C2F" w:rsidP="007E7997">
      <w:pPr>
        <w:spacing w:line="240" w:lineRule="auto"/>
      </w:pPr>
      <w:r>
        <w:continuationSeparator/>
      </w:r>
    </w:p>
  </w:endnote>
  <w:endnote w:type="continuationNotice" w:id="1">
    <w:p w14:paraId="734FBF85" w14:textId="77777777" w:rsidR="003F7C2F" w:rsidRDefault="003F7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68B8" w14:textId="77777777" w:rsidR="00B26236" w:rsidRDefault="00B26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953A" w14:textId="77777777" w:rsidR="00B26236" w:rsidRDefault="00B26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3958" w14:textId="77777777" w:rsidR="00B26236" w:rsidRDefault="00B262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1258" w14:textId="77777777" w:rsidR="00B26236" w:rsidRDefault="00B262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76C9" w14:textId="77777777" w:rsidR="00B26236" w:rsidRDefault="00B26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820F" w14:textId="77777777" w:rsidR="003F7C2F" w:rsidRDefault="003F7C2F" w:rsidP="007E7997">
      <w:pPr>
        <w:spacing w:line="240" w:lineRule="auto"/>
      </w:pPr>
      <w:r>
        <w:separator/>
      </w:r>
    </w:p>
  </w:footnote>
  <w:footnote w:type="continuationSeparator" w:id="0">
    <w:p w14:paraId="71EEF7F6" w14:textId="77777777" w:rsidR="003F7C2F" w:rsidRDefault="003F7C2F" w:rsidP="007E7997">
      <w:pPr>
        <w:spacing w:line="240" w:lineRule="auto"/>
      </w:pPr>
      <w:r>
        <w:continuationSeparator/>
      </w:r>
    </w:p>
  </w:footnote>
  <w:footnote w:type="continuationNotice" w:id="1">
    <w:p w14:paraId="0D56875F" w14:textId="77777777" w:rsidR="003F7C2F" w:rsidRDefault="003F7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A37D37"/>
    <w:multiLevelType w:val="hybridMultilevel"/>
    <w:tmpl w:val="D722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12457499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33"/>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526"/>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C7D"/>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03B"/>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2DDA"/>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7A4"/>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DD2"/>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D90"/>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2B5"/>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04B"/>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26A"/>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8C1"/>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7F1"/>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62C"/>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236"/>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3A"/>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0266"/>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4CB1"/>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br01.safelinks.protection.outlook.com/?url=https%3A%2F%2Feur-lex.europa.eu%2Flegal-content%2FNL%2FTXT%2F%3Furi%3DCELEX%253A02017R0565-20220802&amp;data=05%7C02%7Cgleeson%40euronext.com%7C2131bb1dd3674b847c9a08dcc684bfde%7C315b1ee5c224498b871ec140611d6d07%7C0%7C0%7C638603520705066484%7CUnknown%7CTWFpbGZsb3d8eyJWIjoiMC4wLjAwMDAiLCJQIjoiV2luMzIiLCJBTiI6Ik1haWwiLCJXVCI6Mn0%3D%7C0%7C%7C%7C&amp;sdata=SWFywSu%2F8jgkp%2Bp5F56aFMsJGVdp47fOOe1ItEtjMvs%3D&amp;reserved=0"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277A4"/>
    <w:rsid w:val="005D66AB"/>
    <w:rsid w:val="006D3543"/>
    <w:rsid w:val="00813189"/>
    <w:rsid w:val="008222A0"/>
    <w:rsid w:val="00836D47"/>
    <w:rsid w:val="00982D57"/>
    <w:rsid w:val="00993537"/>
    <w:rsid w:val="009B6B9C"/>
    <w:rsid w:val="009C0B17"/>
    <w:rsid w:val="00B22006"/>
    <w:rsid w:val="00B46CAE"/>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31cd2e30-85b0-4a67-ba52-2e1ab097a1d0"/>
    <ds:schemaRef ds:uri="http://schemas.microsoft.com/office/infopath/2007/PartnerControls"/>
    <ds:schemaRef ds:uri="d0fb0f98-34f9-4d57-9559-eb8efd17aa5e"/>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2299</Words>
  <Characters>13109</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Gillian Leeson</cp:lastModifiedBy>
  <cp:revision>16</cp:revision>
  <cp:lastPrinted>2023-09-09T00:53:00Z</cp:lastPrinted>
  <dcterms:created xsi:type="dcterms:W3CDTF">2025-02-13T14:49:00Z</dcterms:created>
  <dcterms:modified xsi:type="dcterms:W3CDTF">2025-02-13T15:04:00Z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y fmtid="{D5CDD505-2E9C-101B-9397-08002B2CF9AE}" pid="15" name="MSIP_Label_ac0b9ce6-6e99-42a1-af95-429494370cbc_Enabled">
    <vt:lpwstr>true</vt:lpwstr>
  </property>
  <property fmtid="{D5CDD505-2E9C-101B-9397-08002B2CF9AE}" pid="16" name="MSIP_Label_ac0b9ce6-6e99-42a1-af95-429494370cbc_SetDate">
    <vt:lpwstr>2025-02-13T14:49:56Z</vt:lpwstr>
  </property>
  <property fmtid="{D5CDD505-2E9C-101B-9397-08002B2CF9AE}" pid="17" name="MSIP_Label_ac0b9ce6-6e99-42a1-af95-429494370cbc_Method">
    <vt:lpwstr>Standard</vt:lpwstr>
  </property>
  <property fmtid="{D5CDD505-2E9C-101B-9397-08002B2CF9AE}" pid="18" name="MSIP_Label_ac0b9ce6-6e99-42a1-af95-429494370cbc_Name">
    <vt:lpwstr>ac0b9ce6-6e99-42a1-af95-429494370cbc</vt:lpwstr>
  </property>
  <property fmtid="{D5CDD505-2E9C-101B-9397-08002B2CF9AE}" pid="19" name="MSIP_Label_ac0b9ce6-6e99-42a1-af95-429494370cbc_SiteId">
    <vt:lpwstr>315b1ee5-c224-498b-871e-c140611d6d07</vt:lpwstr>
  </property>
  <property fmtid="{D5CDD505-2E9C-101B-9397-08002B2CF9AE}" pid="20" name="MSIP_Label_ac0b9ce6-6e99-42a1-af95-429494370cbc_ActionId">
    <vt:lpwstr>70b84d70-5fad-4472-b421-a1a78db4d53b</vt:lpwstr>
  </property>
  <property fmtid="{D5CDD505-2E9C-101B-9397-08002B2CF9AE}" pid="21" name="MSIP_Label_ac0b9ce6-6e99-42a1-af95-429494370cbc_ContentBits">
    <vt:lpwstr>2</vt:lpwstr>
  </property>
</Properties>
</file>