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01438AE1" w14:textId="2ED61AF3" w:rsidR="00563C1F" w:rsidRDefault="00EC6066" w:rsidP="00F72D28">
          <w:pPr>
            <w:pStyle w:val="Tytu"/>
          </w:pPr>
          <w:r>
            <w:t xml:space="preserve">Reply </w:t>
          </w:r>
          <w:r w:rsidR="00DD03DC">
            <w:t>F</w:t>
          </w:r>
          <w:r>
            <w:t>orm</w:t>
          </w:r>
        </w:p>
        <w:p w14:paraId="031F2108" w14:textId="0BCCFFED" w:rsidR="007E7997" w:rsidRPr="00C01571" w:rsidRDefault="00D77369" w:rsidP="00D77369">
          <w:pPr>
            <w:pStyle w:val="Podtytu"/>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70CF0"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on </w:t>
          </w:r>
          <w:r w:rsidR="004F7198" w:rsidRPr="004F7198">
            <w:rPr>
              <w:rFonts w:cs="Arial"/>
              <w:b/>
              <w:sz w:val="36"/>
              <w:szCs w:val="36"/>
            </w:rPr>
            <w:t>Draft technical advice concerning MAR and MiFID II SME GM</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Podtytu"/>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Akapitzlist"/>
            <w:rPr>
              <w:lang w:val="en-GB"/>
            </w:rPr>
          </w:pPr>
          <w:r w:rsidRPr="00DB2FD6">
            <w:rPr>
              <w:lang w:val="en-GB"/>
            </w:rPr>
            <w:t>respond to the question stated;</w:t>
          </w:r>
        </w:p>
        <w:p w14:paraId="72FD40F6" w14:textId="77777777" w:rsidR="002533FC" w:rsidRPr="00DB2FD6" w:rsidRDefault="002533FC" w:rsidP="00EC6066">
          <w:pPr>
            <w:pStyle w:val="Akapitzlist"/>
            <w:rPr>
              <w:lang w:val="en-GB"/>
            </w:rPr>
          </w:pPr>
          <w:r w:rsidRPr="00DB2FD6">
            <w:rPr>
              <w:lang w:val="en-GB"/>
            </w:rPr>
            <w:t>indicate the specific question to which the comment relates;</w:t>
          </w:r>
        </w:p>
        <w:p w14:paraId="78B206B7" w14:textId="77777777" w:rsidR="002533FC" w:rsidRPr="00E13D25" w:rsidRDefault="002533FC" w:rsidP="00EC6066">
          <w:pPr>
            <w:pStyle w:val="Akapitzlist"/>
          </w:pPr>
          <w:r w:rsidRPr="00E13D25">
            <w:t>contain a clear rationale; and</w:t>
          </w:r>
        </w:p>
        <w:p w14:paraId="60B8834E" w14:textId="77777777" w:rsidR="002533FC" w:rsidRPr="00DB2FD6" w:rsidRDefault="002533FC" w:rsidP="00EC6066">
          <w:pPr>
            <w:pStyle w:val="Akapitzlist"/>
            <w:rPr>
              <w:lang w:val="en-GB"/>
            </w:rPr>
          </w:pPr>
          <w:r w:rsidRPr="00DB2FD6">
            <w:rPr>
              <w:lang w:val="en-GB"/>
            </w:rPr>
            <w:t>describe any alternatives ESMA should consider.</w:t>
          </w:r>
        </w:p>
        <w:p w14:paraId="219225AC" w14:textId="1C34C5A8" w:rsidR="002533FC" w:rsidRPr="005B6B12" w:rsidRDefault="002533FC" w:rsidP="002533FC">
          <w:r w:rsidRPr="005B6B12">
            <w:t xml:space="preserve">ESMA will consider all comments received by </w:t>
          </w:r>
          <w:r w:rsidR="009B1E21">
            <w:rPr>
              <w:b/>
              <w:bCs/>
              <w:color w:val="auto"/>
            </w:rPr>
            <w:t>13</w:t>
          </w:r>
          <w:r w:rsidR="4A420E9D" w:rsidRPr="1768F097">
            <w:rPr>
              <w:b/>
              <w:bCs/>
              <w:color w:val="auto"/>
            </w:rPr>
            <w:t xml:space="preserve"> </w:t>
          </w:r>
          <w:r w:rsidR="009B1E21">
            <w:rPr>
              <w:b/>
              <w:bCs/>
              <w:color w:val="auto"/>
            </w:rPr>
            <w:t>February</w:t>
          </w:r>
          <w:r w:rsidR="0029727F" w:rsidRPr="1768F097">
            <w:rPr>
              <w:b/>
              <w:color w:val="auto"/>
            </w:rPr>
            <w:t xml:space="preserve"> 202</w:t>
          </w:r>
          <w:r w:rsidR="004035C7" w:rsidRPr="1768F097">
            <w:rPr>
              <w:b/>
              <w:color w:val="auto"/>
            </w:rPr>
            <w:t>4</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ipercze"/>
              </w:rPr>
              <w:t>www.esma.europa.eu</w:t>
            </w:r>
          </w:hyperlink>
          <w:r w:rsidRPr="005B6B12">
            <w:t xml:space="preserve"> under the heading ‘Your input - Consultations’. </w:t>
          </w:r>
        </w:p>
        <w:p w14:paraId="5E44C845" w14:textId="77777777" w:rsidR="00EC6066" w:rsidRPr="0026459D" w:rsidRDefault="00EC6066" w:rsidP="00EC6066">
          <w:pPr>
            <w:pStyle w:val="Podtytu"/>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603DCDF0"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9B1E21">
            <w:rPr>
              <w:bCs/>
            </w:rPr>
            <w:t>LATA</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65CBA027"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9B1E21">
            <w:rPr>
              <w:bCs/>
            </w:rPr>
            <w:t>LATA</w:t>
          </w:r>
          <w:r w:rsidRPr="00C5469A">
            <w:rPr>
              <w:bCs/>
            </w:rPr>
            <w:t xml:space="preserve">_nameofrespondent. </w:t>
          </w:r>
        </w:p>
        <w:p w14:paraId="210BE93A" w14:textId="32733E7C"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9B1E21">
            <w:rPr>
              <w:bCs/>
            </w:rPr>
            <w:t>LATA</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ipercze"/>
              </w:rPr>
              <w:t>www.esma.europa.eu</w:t>
            </w:r>
          </w:hyperlink>
          <w:r w:rsidRPr="005B6B12">
            <w:t xml:space="preserve"> under the heading </w:t>
          </w:r>
          <w:r w:rsidRPr="00025A7F">
            <w:rPr>
              <w:rStyle w:val="Hipercze"/>
            </w:rPr>
            <w:t>‘</w:t>
          </w:r>
          <w:hyperlink r:id="rId17" w:history="1">
            <w:r>
              <w:rPr>
                <w:rStyle w:val="Hipercze"/>
              </w:rPr>
              <w:t>Data protection</w:t>
            </w:r>
          </w:hyperlink>
          <w:r>
            <w:rPr>
              <w:rStyle w:val="Hipercze"/>
            </w:rPr>
            <w:t>’</w:t>
          </w:r>
          <w:r w:rsidRPr="005B6B12">
            <w:t>.</w:t>
          </w:r>
        </w:p>
        <w:p w14:paraId="57A67DA5" w14:textId="381708DC" w:rsidR="00EC6066" w:rsidRPr="005B6B12" w:rsidRDefault="00EC6066" w:rsidP="00EC6066">
          <w:pPr>
            <w:rPr>
              <w:b/>
            </w:rPr>
          </w:pPr>
          <w:r w:rsidRPr="005B6B12">
            <w:rPr>
              <w:b/>
            </w:rPr>
            <w:t>Who should read this paper?</w:t>
          </w:r>
        </w:p>
      </w:sdtContent>
    </w:sdt>
    <w:p w14:paraId="4690CAFC" w14:textId="3C48FB60" w:rsidR="00EC6066" w:rsidRDefault="00D72513" w:rsidP="00EC6066">
      <w:r w:rsidRPr="00D72513">
        <w:t>All interested stakeholders are invited to respond to this consultation paper. This consultation paper is of primary interest to issuers, including SMEs, and trading venues, but responses are also sought from any other market participant including trade associations and industry bodies, institutional and retail investors, consultants and academics</w:t>
      </w:r>
      <w:r w:rsidR="002C06A9">
        <w:t>.</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Nagwek1"/>
        <w:rPr>
          <w:lang w:val="fr-BE"/>
        </w:rPr>
      </w:pPr>
      <w:r>
        <w:rPr>
          <w:lang w:val="fr-BE"/>
        </w:rPr>
        <w:t xml:space="preserve">General information about </w:t>
      </w:r>
      <w:r w:rsidRPr="00501EF4">
        <w:t>respondent</w:t>
      </w:r>
    </w:p>
    <w:tbl>
      <w:tblPr>
        <w:tblStyle w:val="Tabela-Siatka"/>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EndPr/>
          <w:sdtContent>
            <w:tc>
              <w:tcPr>
                <w:tcW w:w="4531" w:type="dxa"/>
              </w:tcPr>
              <w:p w14:paraId="76683ED7" w14:textId="1F29AD79" w:rsidR="00635BCA" w:rsidRPr="00557BD2" w:rsidRDefault="00E33DE6" w:rsidP="00D21C35">
                <w:r>
                  <w:t>Warsaw Stock Exchange</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nvestment firm" w:value="Investment firm"/>
              <w:listItem w:displayText="Credit institution" w:value="Credit institution"/>
              <w:listItem w:displayText="Asset management company" w:value="Asset management company"/>
              <w:listItem w:displayText="Trading Venue" w:value="Trading Venue"/>
              <w:listItem w:displayText="Issuer (SME)" w:value="Issuer (SME)"/>
              <w:listItem w:displayText="Issuer (Other than SME)" w:value="Issuer (Other than SME)"/>
              <w:listItem w:displayText="Retail investor" w:value="Retail investor"/>
              <w:listItem w:displayText="Institutional investor" w:value="Institutional investor"/>
              <w:listItem w:displayText="Trade Association" w:value="Trade Association"/>
              <w:listItem w:displayText="Public authority" w:value="Public authority"/>
              <w:listItem w:displayText="Consultant" w:value="Consultant"/>
              <w:listItem w:displayText="Academic" w:value="Academic"/>
              <w:listItem w:displayText="Other" w:value="Other"/>
            </w:comboBox>
          </w:sdtPr>
          <w:sdtEndPr/>
          <w:sdtContent>
            <w:tc>
              <w:tcPr>
                <w:tcW w:w="4531" w:type="dxa"/>
              </w:tcPr>
              <w:p w14:paraId="1185A96B" w14:textId="63DC9696" w:rsidR="00B17279" w:rsidRDefault="00E33DE6" w:rsidP="00B17279">
                <w:r>
                  <w:t>Trading Venue</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0"/>
              <w14:checkedState w14:val="2612" w14:font="MS Gothic"/>
              <w14:uncheckedState w14:val="2610" w14:font="MS Gothic"/>
            </w14:checkbox>
          </w:sdtPr>
          <w:sdtEndPr/>
          <w:sdtContent>
            <w:permStart w:id="605104681" w:edGrp="everyone" w:displacedByCustomXml="prev"/>
            <w:tc>
              <w:tcPr>
                <w:tcW w:w="4531" w:type="dxa"/>
              </w:tcPr>
              <w:p w14:paraId="10359AFE" w14:textId="39C1B8E7" w:rsidR="00B17279" w:rsidRDefault="00ED3092" w:rsidP="00B17279">
                <w:r>
                  <w:rPr>
                    <w:rFonts w:ascii="MS Gothic" w:eastAsia="MS Gothic" w:hAnsi="MS Gothic" w:hint="eastAsia"/>
                  </w:rPr>
                  <w:t>☐</w:t>
                </w:r>
              </w:p>
            </w:tc>
            <w:permEnd w:id="605104681" w:displacedByCustomXml="next"/>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104175425" w:edGrp="everyone" w:displacedByCustomXml="prev"/>
            <w:tc>
              <w:tcPr>
                <w:tcW w:w="4531" w:type="dxa"/>
              </w:tcPr>
              <w:p w14:paraId="6A619B85" w14:textId="7DE1BA8D" w:rsidR="00B17279" w:rsidRPr="00557BD2" w:rsidRDefault="00ED3092" w:rsidP="00B17279">
                <w:r>
                  <w:t>Poland</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Nagwek1"/>
        <w:rPr>
          <w:lang w:val="fr-BE"/>
        </w:rPr>
      </w:pPr>
      <w:r w:rsidRPr="00557BD2">
        <w:rPr>
          <w:lang w:val="fr-BE"/>
        </w:rPr>
        <w:t>Questions</w:t>
      </w:r>
    </w:p>
    <w:p w14:paraId="6C4AF3A4"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 xml:space="preserve">Do you agree with the definition of protracted processes provided? </w:t>
      </w:r>
    </w:p>
    <w:p w14:paraId="1271C14F" w14:textId="77777777" w:rsidR="009B1E21" w:rsidRDefault="009B1E21" w:rsidP="009B1E21">
      <w:r>
        <w:t>&lt;ESMA_QUESTION_LATA_1&gt;</w:t>
      </w:r>
    </w:p>
    <w:p w14:paraId="46F9A207" w14:textId="0CF264AF" w:rsidR="00200457" w:rsidRPr="00F06214" w:rsidRDefault="00BC4E43" w:rsidP="00F06214">
      <w:permStart w:id="627510576" w:edGrp="everyone"/>
      <w:r>
        <w:t>W</w:t>
      </w:r>
      <w:r w:rsidRPr="00BC4E43">
        <w:t xml:space="preserve">hile we generally agree with the conceptual framework of "protracted processes" as a series of actions or steps that lead to a specific outcome, </w:t>
      </w:r>
      <w:r w:rsidR="00C1648D">
        <w:t>and</w:t>
      </w:r>
      <w:r>
        <w:t xml:space="preserve"> support t</w:t>
      </w:r>
      <w:r w:rsidRPr="00BC4E43">
        <w:t xml:space="preserve">he approach </w:t>
      </w:r>
      <w:r>
        <w:t>that</w:t>
      </w:r>
      <w:r w:rsidRPr="00BC4E43">
        <w:t xml:space="preserve"> limiting disclosure to the final event of a protracted process increases legal certainty for issuers and minimizes the risk of market participants being misled by premature announcements</w:t>
      </w:r>
      <w:r>
        <w:t xml:space="preserve">, </w:t>
      </w:r>
      <w:r w:rsidRPr="00BC4E43">
        <w:t xml:space="preserve">we believe that the current definition requires further refinement to ensure consistency and ease of application across different sectors and market scenarios. The current definition would benefit from more precise </w:t>
      </w:r>
      <w:r w:rsidR="00A96F6A">
        <w:t>determination</w:t>
      </w:r>
      <w:r w:rsidRPr="00BC4E43">
        <w:t xml:space="preserve"> of what constitutes an "intermediate step" versus a "final event," particularly in complex transactions such as multi-stage negotiations.</w:t>
      </w:r>
      <w:r w:rsidR="00A96F6A">
        <w:t xml:space="preserve"> </w:t>
      </w:r>
      <w:r w:rsidR="00A96F6A" w:rsidRPr="00A96F6A">
        <w:t xml:space="preserve">Therefore, from this point of view, it is extremely important to define very precisely a non-exhaustive list of final events within each type of </w:t>
      </w:r>
      <w:r w:rsidR="00A96F6A">
        <w:t xml:space="preserve">protracted </w:t>
      </w:r>
      <w:r w:rsidR="00A96F6A" w:rsidRPr="00A96F6A">
        <w:t xml:space="preserve">process </w:t>
      </w:r>
      <w:r w:rsidR="00A96F6A">
        <w:t>as it</w:t>
      </w:r>
      <w:r w:rsidR="00A96F6A" w:rsidRPr="00A96F6A">
        <w:t xml:space="preserve"> would enhance the practical application of the definition, supporting issuers in making informed disclosure decisions without increasing regulatory uncertainty.</w:t>
      </w:r>
    </w:p>
    <w:permEnd w:id="627510576"/>
    <w:p w14:paraId="0D7538F4" w14:textId="77777777" w:rsidR="009B1E21" w:rsidRDefault="009B1E21" w:rsidP="009B1E21">
      <w:r>
        <w:t>&lt;ESMA_QUESTION_LATA_1&gt;</w:t>
      </w:r>
    </w:p>
    <w:p w14:paraId="6516A674" w14:textId="77777777" w:rsidR="009B1E21" w:rsidRDefault="009B1E21" w:rsidP="009B1E21"/>
    <w:p w14:paraId="30FCAAB9"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identified categories of processes and general principles?</w:t>
      </w:r>
    </w:p>
    <w:p w14:paraId="682E5B57" w14:textId="77777777" w:rsidR="009B1E21" w:rsidRDefault="009B1E21" w:rsidP="009B1E21">
      <w:r>
        <w:t>&lt;ESMA_QUESTION_LATA_2&gt;</w:t>
      </w:r>
    </w:p>
    <w:p w14:paraId="44946003" w14:textId="439C65D5" w:rsidR="00200457" w:rsidRDefault="00D51D62" w:rsidP="00ED3092">
      <w:permStart w:id="55053902" w:edGrp="everyone"/>
      <w:r w:rsidRPr="00D51D62">
        <w:t xml:space="preserve">We generally support the identified categories of protracted processes and the general principles </w:t>
      </w:r>
      <w:r w:rsidRPr="00ED3092">
        <w:rPr>
          <w:color w:val="auto"/>
        </w:rPr>
        <w:t xml:space="preserve">outlined by ESMA. The classification of processes into three main categories provides a structured approach that helps issuers identify when disclosure obligations arise during multi-stage operations. </w:t>
      </w:r>
      <w:r w:rsidR="00F06214" w:rsidRPr="00ED3092">
        <w:rPr>
          <w:color w:val="auto"/>
        </w:rPr>
        <w:t xml:space="preserve">In our view three mentioned event categories seem to cover the full spectrum of potential protracted processes types and enable their good segmentation in terms of the moment of information creation, decision-making, etc. </w:t>
      </w:r>
      <w:r w:rsidRPr="00D51D62">
        <w:t>However, we believe that further adjustments and clarifications are needed to ensure that the framework is both comprehensive and adaptable to complex and sector-specific cases</w:t>
      </w:r>
      <w:r>
        <w:t>.</w:t>
      </w:r>
    </w:p>
    <w:permEnd w:id="55053902"/>
    <w:p w14:paraId="360DEE1D" w14:textId="77777777" w:rsidR="009B1E21" w:rsidRDefault="009B1E21" w:rsidP="009B1E21">
      <w:r>
        <w:t>&lt;ESMA_QUESTION_LATA_2&gt;</w:t>
      </w:r>
    </w:p>
    <w:p w14:paraId="4F7495DE" w14:textId="77777777" w:rsidR="009B1E21" w:rsidRDefault="009B1E21" w:rsidP="009B1E21"/>
    <w:p w14:paraId="46A63C7E"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for protracted processes that are entirely internal to the issuer the moment of disclosure should be the moment when the corporate body having the decision power has taken the decision to commit to the outcome of the process?</w:t>
      </w:r>
    </w:p>
    <w:p w14:paraId="726B7541" w14:textId="77777777" w:rsidR="009B1E21" w:rsidRDefault="009B1E21" w:rsidP="009B1E21">
      <w:r>
        <w:t>&lt;ESMA_QUESTION_LATA_3&gt;</w:t>
      </w:r>
    </w:p>
    <w:p w14:paraId="28C090F8" w14:textId="56B8CB3A" w:rsidR="009B06B3" w:rsidRDefault="0061398B" w:rsidP="009B1E21">
      <w:permStart w:id="783093244" w:edGrp="everyone"/>
      <w:r w:rsidRPr="0061398B">
        <w:t xml:space="preserve">We agree with the proposed principle that the disclosure moment for internal protracted processes should be tied to the decision of the </w:t>
      </w:r>
      <w:r w:rsidR="009B06B3" w:rsidRPr="00ED3092">
        <w:rPr>
          <w:color w:val="auto"/>
        </w:rPr>
        <w:t xml:space="preserve">corporate </w:t>
      </w:r>
      <w:r w:rsidRPr="00ED3092">
        <w:rPr>
          <w:color w:val="auto"/>
        </w:rPr>
        <w:t>body</w:t>
      </w:r>
      <w:r w:rsidR="009B06B3" w:rsidRPr="00ED3092">
        <w:rPr>
          <w:color w:val="auto"/>
        </w:rPr>
        <w:t xml:space="preserve"> having the decision power</w:t>
      </w:r>
      <w:r w:rsidRPr="00ED3092">
        <w:rPr>
          <w:color w:val="auto"/>
        </w:rPr>
        <w:t xml:space="preserve">. </w:t>
      </w:r>
      <w:r w:rsidRPr="0061398B">
        <w:t>However, additional clarifications and sector-specific examples would enhance the practical application of this rule, ensuring that issuers can navigate their obligations effectively while maintaining market transparency.</w:t>
      </w:r>
      <w:r w:rsidR="00C1648D" w:rsidRPr="00C1648D">
        <w:t xml:space="preserve"> It seems particularly important to clarify what is meant by “</w:t>
      </w:r>
      <w:r w:rsidR="00C1648D">
        <w:t xml:space="preserve">taking the </w:t>
      </w:r>
      <w:r w:rsidR="00C1648D" w:rsidRPr="00C1648D">
        <w:t>decision.”</w:t>
      </w:r>
      <w:r w:rsidR="009B06B3">
        <w:t xml:space="preserve"> </w:t>
      </w:r>
    </w:p>
    <w:p w14:paraId="7043E7D2" w14:textId="5F14E160" w:rsidR="00200457" w:rsidRPr="00ED3092" w:rsidRDefault="009B06B3" w:rsidP="00ED3092">
      <w:pPr>
        <w:rPr>
          <w:color w:val="auto"/>
        </w:rPr>
      </w:pPr>
      <w:r w:rsidRPr="00ED3092">
        <w:rPr>
          <w:color w:val="auto"/>
        </w:rPr>
        <w:t>Due to the level of certainty as to the final nature of the decision and the precision of determining the moment when the information was created, we suggest that the "taking the decision" be considered, for example, the signing of a document or another formal form of decision making, and not, for example, verbal arrangements between members of the management board.</w:t>
      </w:r>
    </w:p>
    <w:permEnd w:id="783093244"/>
    <w:p w14:paraId="45209901" w14:textId="1FFD9480" w:rsidR="009B1E21" w:rsidRDefault="009B1E21" w:rsidP="009B1E21">
      <w:r>
        <w:t>&lt;ESMA_QUESTION_LATA_3&gt;</w:t>
      </w:r>
    </w:p>
    <w:p w14:paraId="0E9AA7DD" w14:textId="77777777" w:rsidR="009B1E21" w:rsidRDefault="009B1E21" w:rsidP="009B1E21"/>
    <w:p w14:paraId="5E267D5C"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in presence of a governance structure that foresees the approval of another body further to the management body’s decision, the disclosure obligation should take place as soon as possible after the decision of the first body?</w:t>
      </w:r>
    </w:p>
    <w:p w14:paraId="05A4157B" w14:textId="77777777" w:rsidR="009B1E21" w:rsidRDefault="009B1E21" w:rsidP="009B1E21">
      <w:r>
        <w:t>&lt;ESMA_QUESTION_LATA_4&gt;</w:t>
      </w:r>
    </w:p>
    <w:p w14:paraId="604A2A3D" w14:textId="066F63C0" w:rsidR="00200457" w:rsidRPr="00ED3092" w:rsidRDefault="0042789E" w:rsidP="00ED3092">
      <w:pPr>
        <w:rPr>
          <w:lang w:val="en-US"/>
        </w:rPr>
      </w:pPr>
      <w:permStart w:id="1801277174" w:edGrp="everyone"/>
      <w:r w:rsidRPr="00C1648D">
        <w:rPr>
          <w:lang w:val="en-US"/>
        </w:rPr>
        <w:t>Y</w:t>
      </w:r>
      <w:r w:rsidR="00DD6A51" w:rsidRPr="00C1648D">
        <w:rPr>
          <w:lang w:val="en-US"/>
        </w:rPr>
        <w:t>es, we agree</w:t>
      </w:r>
      <w:r w:rsidR="00C1648D" w:rsidRPr="00C1648D">
        <w:rPr>
          <w:lang w:val="en-US"/>
        </w:rPr>
        <w:t>, but</w:t>
      </w:r>
      <w:r w:rsidR="0014272C" w:rsidRPr="00C1648D">
        <w:rPr>
          <w:lang w:val="en-US"/>
        </w:rPr>
        <w:t xml:space="preserve"> </w:t>
      </w:r>
      <w:r w:rsidR="0097135C">
        <w:rPr>
          <w:lang w:val="en-US"/>
        </w:rPr>
        <w:t>i</w:t>
      </w:r>
      <w:r w:rsidR="00C1648D" w:rsidRPr="00C1648D">
        <w:rPr>
          <w:lang w:val="en-US"/>
        </w:rPr>
        <w:t>t seems particularly important to clarify what is meant by “taking the decision.”</w:t>
      </w:r>
    </w:p>
    <w:permEnd w:id="1801277174"/>
    <w:p w14:paraId="51818508" w14:textId="4EC6C486" w:rsidR="009B1E21" w:rsidRDefault="009B1E21" w:rsidP="009B1E21">
      <w:r>
        <w:t>&lt;ESMA_QUESTION_LATA_4&gt;</w:t>
      </w:r>
    </w:p>
    <w:p w14:paraId="70D959D9" w14:textId="77777777" w:rsidR="009B1E21" w:rsidRDefault="009B1E21" w:rsidP="009B1E21"/>
    <w:p w14:paraId="5D58D7C9"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for protracted processes involving the issuer and another party different from a public authority, the moment of disclosure should be when the competent bodies/persons of all parties involved, having the decision power under national law or bylaws, have taken the decision to sign off to the agreement?</w:t>
      </w:r>
    </w:p>
    <w:p w14:paraId="345B20E6" w14:textId="77777777" w:rsidR="009B1E21" w:rsidRDefault="009B1E21" w:rsidP="009B1E21">
      <w:r>
        <w:t>&lt;ESMA_QUESTION_LATA_5&gt;</w:t>
      </w:r>
    </w:p>
    <w:p w14:paraId="7CE6A5ED" w14:textId="146CEEE3" w:rsidR="0042789E" w:rsidRPr="00ED3092" w:rsidRDefault="0042789E" w:rsidP="009B1E21">
      <w:pPr>
        <w:rPr>
          <w:color w:val="auto"/>
        </w:rPr>
      </w:pPr>
      <w:permStart w:id="613818377" w:edGrp="everyone"/>
      <w:r>
        <w:t>Yes, h</w:t>
      </w:r>
      <w:r w:rsidRPr="0042789E">
        <w:t xml:space="preserve">owever, further guidance on preliminary agreements, staggered approvals, and coordination of disclosure between parties would enhance the practical application of the rule </w:t>
      </w:r>
      <w:r w:rsidRPr="00ED3092">
        <w:rPr>
          <w:color w:val="auto"/>
        </w:rPr>
        <w:t>and reduce uncertainty for issuers.</w:t>
      </w:r>
    </w:p>
    <w:p w14:paraId="276C0022" w14:textId="1859C480" w:rsidR="00200457" w:rsidRDefault="009D17EA" w:rsidP="00200457">
      <w:r w:rsidRPr="00ED3092">
        <w:rPr>
          <w:color w:val="auto"/>
        </w:rPr>
        <w:t>Therefore, w</w:t>
      </w:r>
      <w:r w:rsidR="00200457" w:rsidRPr="00ED3092">
        <w:rPr>
          <w:color w:val="auto"/>
        </w:rPr>
        <w:t>e have concerns about the phrase "taken the decision to sign off to the agreement" in the definition</w:t>
      </w:r>
      <w:r w:rsidR="00200457">
        <w:t>. From our perspective, a more precise moment for identifying inside information would be the actual signing of the agreement. This approach offers greater degree of certainty and eliminates ambiguity in determining the moment of disclosure.</w:t>
      </w:r>
    </w:p>
    <w:p w14:paraId="754DCD79" w14:textId="77777777" w:rsidR="00200457" w:rsidRDefault="00200457" w:rsidP="00200457">
      <w:r>
        <w:t>We can envision scenarios where verbal agreement to signing a contract might initially occur, but the ultimate contract is not signed. Therefore, the actual document signing provides a more definitive and unambiguous point of reference for determining the emergence of inside information.</w:t>
      </w:r>
    </w:p>
    <w:permEnd w:id="613818377"/>
    <w:p w14:paraId="40008995" w14:textId="5E1F96BC" w:rsidR="009B1E21" w:rsidRDefault="009B1E21" w:rsidP="009B1E21">
      <w:r>
        <w:t>&lt;ESMA_QUESTION_LATA_5&gt;</w:t>
      </w:r>
    </w:p>
    <w:p w14:paraId="6FAB022D" w14:textId="77777777" w:rsidR="009B1E21" w:rsidRDefault="009B1E21" w:rsidP="009B1E21"/>
    <w:p w14:paraId="0E7F6B84"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for protracted processes that are driven by a public authority with the involvement of the issuer, the moment of disclosure should be when the issuer has received the final decision from the public authority, even where the issuer and the public authority previously exchanged preliminary information that may on its own amount to inside information?</w:t>
      </w:r>
    </w:p>
    <w:p w14:paraId="494C6179" w14:textId="77777777" w:rsidR="009B1E21" w:rsidRDefault="009B1E21" w:rsidP="009B1E21">
      <w:r>
        <w:t>&lt;ESMA_QUESTION_LATA_6&gt;</w:t>
      </w:r>
    </w:p>
    <w:p w14:paraId="4C877EBE" w14:textId="43A8FB42" w:rsidR="0042789E" w:rsidRDefault="0042789E" w:rsidP="009B1E21">
      <w:pPr>
        <w:rPr>
          <w:color w:val="auto"/>
          <w:lang w:val="en-US"/>
        </w:rPr>
      </w:pPr>
      <w:permStart w:id="126633024" w:edGrp="everyone"/>
      <w:r w:rsidRPr="0042789E">
        <w:t>We agree that disclosure for protracted processes driven by public authorities should occur when the issuer receives the final decision from the authority. However, additional guidance on interim decisions, lengthy processes, and exceptional circumstances would enhance the clarity and practical application of this principle.</w:t>
      </w:r>
      <w:r>
        <w:t xml:space="preserve"> </w:t>
      </w:r>
      <w:r w:rsidR="00690232" w:rsidRPr="00690232">
        <w:rPr>
          <w:color w:val="auto"/>
          <w:lang w:val="en-US"/>
        </w:rPr>
        <w:t>Particular attention should be paid to decisions on the initiation of proceedings and issues concerning the effectiveness of the decisions issued.</w:t>
      </w:r>
    </w:p>
    <w:p w14:paraId="3063CFEA" w14:textId="36D4042B" w:rsidR="00200457" w:rsidRPr="00690232" w:rsidRDefault="00200457" w:rsidP="009B1E21">
      <w:pPr>
        <w:rPr>
          <w:lang w:val="en-US"/>
        </w:rPr>
      </w:pPr>
      <w:r w:rsidRPr="009A7F5E">
        <w:t xml:space="preserve">An interesting scenario we often encounter in the market and at the Warsaw Stock Exchange is when an administrative decision important for the company is published on a public website of an authority (e.g. </w:t>
      </w:r>
      <w:r>
        <w:t>financial market regulator or anti-monopoly office</w:t>
      </w:r>
      <w:r w:rsidRPr="009A7F5E">
        <w:t>) before being delivered to the company. The question is whether this constitutes MAR information or not</w:t>
      </w:r>
      <w:r>
        <w:t xml:space="preserve"> – is the information “public” enough already after the authority announcement?</w:t>
      </w:r>
    </w:p>
    <w:permEnd w:id="126633024"/>
    <w:p w14:paraId="5D77A4F6" w14:textId="3CDB84EE" w:rsidR="009B1E21" w:rsidRDefault="009B1E21" w:rsidP="009B1E21">
      <w:r>
        <w:t>&lt;ESMA_QUESTION_LATA_6&gt;</w:t>
      </w:r>
    </w:p>
    <w:p w14:paraId="520062CF" w14:textId="77777777" w:rsidR="009B1E21" w:rsidRDefault="009B1E21" w:rsidP="009B1E21"/>
    <w:p w14:paraId="73DB792F"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for protracted processes that are triggered by the issuer and whose final outcome is decided by a public authority, two separate processes should be identified, and the moment of disclosure should occur upon completion of each of them as above outlined?</w:t>
      </w:r>
    </w:p>
    <w:p w14:paraId="45C5060C" w14:textId="77777777" w:rsidR="009B1E21" w:rsidRDefault="009B1E21" w:rsidP="009B1E21">
      <w:r>
        <w:t>&lt;ESMA_QUESTION_LATA_7&gt;</w:t>
      </w:r>
    </w:p>
    <w:p w14:paraId="3285CB82" w14:textId="5E1B803D" w:rsidR="009B1E21" w:rsidRPr="00ED3092" w:rsidRDefault="0042789E" w:rsidP="009D17EA">
      <w:pPr>
        <w:rPr>
          <w:color w:val="auto"/>
        </w:rPr>
      </w:pPr>
      <w:permStart w:id="1778661475" w:edGrp="everyone"/>
      <w:r w:rsidRPr="00ED3092">
        <w:rPr>
          <w:color w:val="auto"/>
        </w:rPr>
        <w:t>Yes, this dual-step approach ensures that material information is disclosed in a timely and accurate manner.</w:t>
      </w:r>
      <w:r w:rsidR="009D17EA" w:rsidRPr="00ED3092">
        <w:rPr>
          <w:color w:val="auto"/>
        </w:rPr>
        <w:t xml:space="preserve"> Consequently, we agree with the logic of two separate processes and moments of creating inside information at 1) submission of the application and 2) decision of the authority</w:t>
      </w:r>
      <w:r w:rsidR="00ED3092">
        <w:rPr>
          <w:color w:val="auto"/>
        </w:rPr>
        <w:t>.</w:t>
      </w:r>
    </w:p>
    <w:permEnd w:id="1778661475"/>
    <w:p w14:paraId="51DD0933" w14:textId="77777777" w:rsidR="009B1E21" w:rsidRDefault="009B1E21" w:rsidP="009B1E21">
      <w:r>
        <w:t>&lt;ESMA_QUESTION_LATA_7&gt;</w:t>
      </w:r>
    </w:p>
    <w:p w14:paraId="27B6D49A" w14:textId="77777777" w:rsidR="009B1E21" w:rsidRDefault="009B1E21" w:rsidP="009B1E21"/>
    <w:p w14:paraId="2C06E114"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a hostile takeover can be considered a one-off event? Do you agree with the moment for disclosure identified for takeover processes?</w:t>
      </w:r>
      <w:r w:rsidRPr="009B2F87">
        <w:t xml:space="preserve"> </w:t>
      </w:r>
    </w:p>
    <w:p w14:paraId="1EF57A89" w14:textId="77777777" w:rsidR="009B1E21" w:rsidRDefault="009B1E21" w:rsidP="009B1E21">
      <w:r>
        <w:t>&lt;ESMA_QUESTION_LATA_8&gt;</w:t>
      </w:r>
    </w:p>
    <w:p w14:paraId="16CE5220" w14:textId="668D03B2" w:rsidR="00690232" w:rsidRDefault="00690232" w:rsidP="009B1E21">
      <w:pPr>
        <w:rPr>
          <w:lang w:val="en-US"/>
        </w:rPr>
      </w:pPr>
      <w:permStart w:id="265124465" w:edGrp="everyone"/>
      <w:r w:rsidRPr="00690232">
        <w:rPr>
          <w:lang w:val="en-US"/>
        </w:rPr>
        <w:t>In practice, the classification of a takeover as "friendly" or "hostile" may evolve during the process. For example, initial resistance from the issuer’s management might later transform into cooperation, blurring the distinction between the two categories.</w:t>
      </w:r>
      <w:r w:rsidRPr="00690232">
        <w:t xml:space="preserve"> </w:t>
      </w:r>
      <w:r w:rsidRPr="00690232">
        <w:rPr>
          <w:lang w:val="en-US"/>
        </w:rPr>
        <w:t>Due to this fluidity, the focus should be on the circumstances surrounding the issuer's awareness of the takeover bid rather than solely on its classification. The moment the issuer receives credible and material information about the takeover—whether through formal communication or public announcement—should trigger the obligation to disclose.</w:t>
      </w:r>
      <w:r w:rsidR="00134649">
        <w:rPr>
          <w:lang w:val="en-US"/>
        </w:rPr>
        <w:t xml:space="preserve"> </w:t>
      </w:r>
    </w:p>
    <w:p w14:paraId="10C21D51" w14:textId="73451E7A" w:rsidR="009B305D" w:rsidRPr="009B305D" w:rsidRDefault="00200457" w:rsidP="00ED3092">
      <w:pPr>
        <w:rPr>
          <w:lang w:val="en-US"/>
        </w:rPr>
      </w:pPr>
      <w:r>
        <w:t xml:space="preserve">An </w:t>
      </w:r>
      <w:r w:rsidRPr="00ED3092">
        <w:rPr>
          <w:color w:val="auto"/>
        </w:rPr>
        <w:t xml:space="preserve">interesting question remains: does a public announcement of a hostile takeover targeting the issuer (e.g., a public tender offer for the issuer's shares) create a MAR reporting obligation for the </w:t>
      </w:r>
      <w:r w:rsidR="009D17EA" w:rsidRPr="00ED3092">
        <w:rPr>
          <w:color w:val="auto"/>
        </w:rPr>
        <w:t>issuer</w:t>
      </w:r>
      <w:r w:rsidRPr="00ED3092">
        <w:rPr>
          <w:color w:val="auto"/>
        </w:rPr>
        <w:t>, or do we consider it as not meeting MAR condition of non-public character of the information.</w:t>
      </w:r>
    </w:p>
    <w:permEnd w:id="265124465"/>
    <w:p w14:paraId="74661F4E" w14:textId="2EDD1B25" w:rsidR="009B1E21" w:rsidRDefault="009B1E21" w:rsidP="009B1E21">
      <w:r>
        <w:t>&lt;ESMA_QUESTION_LATA_8&gt;</w:t>
      </w:r>
    </w:p>
    <w:p w14:paraId="0CCBF783" w14:textId="77777777" w:rsidR="009B1E21" w:rsidRDefault="009B1E21" w:rsidP="009B1E21"/>
    <w:p w14:paraId="07E31FF4"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proposed approach in relation to financial reports, profit warnings, earning surprises and forecasts? In particular, do you agree that profit warnings and earning surprises are to be considered as one-off events and as such should not be included in the list of protracted processes?</w:t>
      </w:r>
    </w:p>
    <w:p w14:paraId="2F4D926F" w14:textId="77777777" w:rsidR="009B1E21" w:rsidRDefault="009B1E21" w:rsidP="009B1E21">
      <w:r>
        <w:t>&lt;ESMA_QUESTION_LATA_9&gt;</w:t>
      </w:r>
    </w:p>
    <w:p w14:paraId="3B3E22EE" w14:textId="7EB0A90E" w:rsidR="003D543E" w:rsidRPr="00ED3092" w:rsidRDefault="005B4C16" w:rsidP="00ED3092">
      <w:pPr>
        <w:rPr>
          <w:strike/>
          <w:color w:val="auto"/>
        </w:rPr>
      </w:pPr>
      <w:permStart w:id="941577706" w:edGrp="everyone"/>
      <w:r w:rsidRPr="005B4C16">
        <w:t>The recommendation to link disclosure obligations</w:t>
      </w:r>
      <w:r>
        <w:t xml:space="preserve"> in terms of financial reports</w:t>
      </w:r>
      <w:r w:rsidRPr="005B4C16">
        <w:t xml:space="preserve"> to the finalization</w:t>
      </w:r>
      <w:r>
        <w:t xml:space="preserve"> (approval)</w:t>
      </w:r>
      <w:r w:rsidRPr="005B4C16">
        <w:t xml:space="preserve"> of periodic financial reports ensures that the market receives comprehensive and reliable information at an appropriate stage.</w:t>
      </w:r>
      <w:r>
        <w:t xml:space="preserve"> </w:t>
      </w:r>
      <w:r w:rsidRPr="005B4C16">
        <w:t xml:space="preserve">We support the view that profit warnings and </w:t>
      </w:r>
      <w:r w:rsidR="00134649" w:rsidRPr="005B4C16">
        <w:t>earnings</w:t>
      </w:r>
      <w:r w:rsidRPr="005B4C16">
        <w:t xml:space="preserve"> surprises should be considered one-off events, as they typically arise from a single development or realization and do not involve a series of steps </w:t>
      </w:r>
      <w:r w:rsidRPr="00ED3092">
        <w:rPr>
          <w:color w:val="auto"/>
        </w:rPr>
        <w:t>that define a protracted process.</w:t>
      </w:r>
      <w:r w:rsidR="009D17EA" w:rsidRPr="00ED3092">
        <w:rPr>
          <w:color w:val="auto"/>
        </w:rPr>
        <w:t xml:space="preserve"> For example, this recommendation aligns with our current practice. A profit warning is issued when quarterly results are expected to deviate by a certain degree from the market consensus.</w:t>
      </w:r>
    </w:p>
    <w:permEnd w:id="941577706"/>
    <w:p w14:paraId="275F3EEC" w14:textId="3A0BD101" w:rsidR="009B1E21" w:rsidRDefault="009B1E21" w:rsidP="009B1E21">
      <w:r>
        <w:t>&lt;ESMA_QUESTION_LATA_9&gt;</w:t>
      </w:r>
    </w:p>
    <w:p w14:paraId="0BFD9DCF" w14:textId="77777777" w:rsidR="009B1E21" w:rsidRDefault="009B1E21" w:rsidP="009B1E21"/>
    <w:p w14:paraId="1B9BB8E9"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proposed approach in relation to recovery and resolution protracted process?</w:t>
      </w:r>
    </w:p>
    <w:p w14:paraId="40118AA7" w14:textId="77777777" w:rsidR="009B1E21" w:rsidRDefault="009B1E21" w:rsidP="009B1E21">
      <w:r>
        <w:t>&lt;ESMA_QUESTION_LATA_10&gt;</w:t>
      </w:r>
    </w:p>
    <w:p w14:paraId="78FD160E" w14:textId="058BD52C" w:rsidR="00200457" w:rsidRPr="00ED3092" w:rsidRDefault="00ED3092" w:rsidP="00ED3092">
      <w:permStart w:id="1460612003" w:edGrp="everyone"/>
      <w:r>
        <w:t>TYPE YOUR TEXT HERE</w:t>
      </w:r>
    </w:p>
    <w:permEnd w:id="1460612003"/>
    <w:p w14:paraId="4B3D8441" w14:textId="120BDC52" w:rsidR="009B1E21" w:rsidRDefault="009B1E21" w:rsidP="009B1E21">
      <w:r>
        <w:t>&lt;ESMA_QUESTION_LATA_10&gt;</w:t>
      </w:r>
    </w:p>
    <w:p w14:paraId="120799D7" w14:textId="77777777" w:rsidR="009B1E21" w:rsidRDefault="009B1E21" w:rsidP="009B1E21"/>
    <w:p w14:paraId="48A599FB"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consider the list of protracted processes sufficiently comprehensive? Do you agree with the proposed moment of disclosure? Would you add or remove any process?</w:t>
      </w:r>
    </w:p>
    <w:p w14:paraId="141119F6" w14:textId="77777777" w:rsidR="009B1E21" w:rsidRDefault="009B1E21" w:rsidP="009B1E21">
      <w:r>
        <w:t>&lt;ESMA_QUESTION_LATA_11&gt;</w:t>
      </w:r>
    </w:p>
    <w:p w14:paraId="298EE203" w14:textId="44922953" w:rsidR="00200457" w:rsidRPr="00ED3092" w:rsidRDefault="00A03468" w:rsidP="00ED3092">
      <w:permStart w:id="159128183" w:edGrp="everyone"/>
      <w:r w:rsidRPr="00A03468">
        <w:t>The list of protracted processes is a solid foundation that effectively identifies many common scenarios where disclosure obligations arise. However, additional clarity and examples tailored to industry-specific</w:t>
      </w:r>
      <w:r>
        <w:t xml:space="preserve"> and</w:t>
      </w:r>
      <w:r w:rsidRPr="00A03468">
        <w:t xml:space="preserve"> cross-border</w:t>
      </w:r>
      <w:r>
        <w:t xml:space="preserve"> </w:t>
      </w:r>
      <w:r w:rsidRPr="00A03468">
        <w:t>scenarios would enhance its comprehensiveness and practical utility.</w:t>
      </w:r>
      <w:r>
        <w:t xml:space="preserve"> </w:t>
      </w:r>
      <w:r w:rsidRPr="0009030C">
        <w:t xml:space="preserve">Some consideration should be </w:t>
      </w:r>
      <w:r w:rsidR="00457B35" w:rsidRPr="0009030C">
        <w:t>given</w:t>
      </w:r>
      <w:r w:rsidRPr="0009030C">
        <w:t xml:space="preserve"> to insolvency, liquidation and restructuring process of issuers.</w:t>
      </w:r>
      <w:r w:rsidR="00134649" w:rsidRPr="00134649">
        <w:t xml:space="preserve"> </w:t>
      </w:r>
      <w:r w:rsidR="00134649">
        <w:t>Also</w:t>
      </w:r>
      <w:r w:rsidR="00134649" w:rsidRPr="00134649">
        <w:t xml:space="preserve"> additional clarification is needed for scenarios involving the preparation and disclosure of annual financial reports. Specifically, guidance should address situations where audited results are known but the full report is not yet finalized, particularly when the results align with earlier expectations</w:t>
      </w:r>
      <w:r w:rsidR="00ED3092">
        <w:t>.</w:t>
      </w:r>
    </w:p>
    <w:permEnd w:id="159128183"/>
    <w:p w14:paraId="62BA5B3F" w14:textId="4D288B14" w:rsidR="009B1E21" w:rsidRDefault="009B1E21" w:rsidP="009B1E21">
      <w:r>
        <w:t>&lt;ESMA_QUESTION_LATA_11&gt;</w:t>
      </w:r>
    </w:p>
    <w:p w14:paraId="224B6D82" w14:textId="77777777" w:rsidR="009B1E21" w:rsidRDefault="009B1E21" w:rsidP="009B1E21"/>
    <w:p w14:paraId="42B4E41A"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the inside information to be delayed may in some cases be assessed against more than one announcement, whenever a clear conclusion about the issuer’s position on the subject matter cannot be drawn exclusively on the basis of the very latest communication?</w:t>
      </w:r>
    </w:p>
    <w:p w14:paraId="309F850D" w14:textId="77777777" w:rsidR="009B1E21" w:rsidRDefault="009B1E21" w:rsidP="009B1E21">
      <w:r>
        <w:t>&lt;ESMA_QUESTION_LATA_12&gt;</w:t>
      </w:r>
    </w:p>
    <w:p w14:paraId="72C001C3" w14:textId="0E8EDD23" w:rsidR="009B1E21" w:rsidRDefault="00A03468" w:rsidP="009B1E21">
      <w:permStart w:id="421398651" w:edGrp="everyone"/>
      <w:r w:rsidRPr="00A03468">
        <w:t xml:space="preserve">We agree that assessing inside information against </w:t>
      </w:r>
      <w:r w:rsidR="00381157">
        <w:t>more than one</w:t>
      </w:r>
      <w:r w:rsidRPr="00A03468">
        <w:t xml:space="preserve"> prior announcements is sometimes necessary to ensure that delayed disclosure aligns with the issuer’s overall communication and does not mislead the market. This approach provides greater clarity and transparency, particularly in complex or incremental processes.</w:t>
      </w:r>
    </w:p>
    <w:p w14:paraId="4BE21256" w14:textId="59688C3E" w:rsidR="00457B35" w:rsidRPr="00ED3092" w:rsidRDefault="00200457" w:rsidP="00ED3092">
      <w:pPr>
        <w:rPr>
          <w:b/>
          <w:bCs/>
          <w:color w:val="auto"/>
        </w:rPr>
      </w:pPr>
      <w:r w:rsidRPr="004B4EEA">
        <w:t xml:space="preserve">We recognize that while the last public communication may not comprehensively assess MAR implications, </w:t>
      </w:r>
      <w:r w:rsidRPr="00ED3092">
        <w:rPr>
          <w:color w:val="auto"/>
        </w:rPr>
        <w:t>anchoring the evaluation to the most recent information mitigates the risks of interpretative subjectivity. The complexity of determining the scope and temporal range of prior communications introduces interpretative ambiguity, potentially complicating disclosure decision-making for issuers.</w:t>
      </w:r>
    </w:p>
    <w:permEnd w:id="421398651"/>
    <w:p w14:paraId="4B107EF7" w14:textId="77777777" w:rsidR="009B1E21" w:rsidRDefault="009B1E21" w:rsidP="009B1E21">
      <w:r>
        <w:t>&lt;ESMA_QUESTION_LATA_12&gt;</w:t>
      </w:r>
    </w:p>
    <w:p w14:paraId="52E39D93" w14:textId="77777777" w:rsidR="009B1E21" w:rsidRDefault="009B1E21" w:rsidP="009B1E21"/>
    <w:p w14:paraId="0120F410"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list of communications presented in Article 4 of the draft delegated act? Do you consider it sufficiently comprehensive, or do you deem that any other cases should be added?</w:t>
      </w:r>
    </w:p>
    <w:p w14:paraId="683FAD40" w14:textId="77777777" w:rsidR="009B1E21" w:rsidRDefault="009B1E21" w:rsidP="009B1E21">
      <w:r>
        <w:t>&lt;ESMA_QUESTION_LATA_13&gt;</w:t>
      </w:r>
    </w:p>
    <w:p w14:paraId="40798436" w14:textId="5A526A35" w:rsidR="00200457" w:rsidRDefault="00381157" w:rsidP="00ED3092">
      <w:permStart w:id="2070238072" w:edGrp="everyone"/>
      <w:r w:rsidRPr="00381157">
        <w:t>We generally agree with the list of communications outlined in Article 4 of the draft delegated act, as it reflects a broad and well-structured categorization of issuer communications</w:t>
      </w:r>
      <w:r w:rsidR="00134649">
        <w:t>.</w:t>
      </w:r>
      <w:r w:rsidR="00756976">
        <w:t xml:space="preserve"> </w:t>
      </w:r>
      <w:r w:rsidR="00AD3150" w:rsidRPr="00ED3092">
        <w:rPr>
          <w:color w:val="auto"/>
        </w:rPr>
        <w:t xml:space="preserve">We </w:t>
      </w:r>
      <w:r w:rsidR="00756976" w:rsidRPr="00ED3092">
        <w:rPr>
          <w:color w:val="auto"/>
        </w:rPr>
        <w:t xml:space="preserve">additionally </w:t>
      </w:r>
      <w:r w:rsidR="00AD3150" w:rsidRPr="00ED3092">
        <w:rPr>
          <w:color w:val="auto"/>
        </w:rPr>
        <w:t xml:space="preserve">appreciate that </w:t>
      </w:r>
      <w:r w:rsidR="00756976" w:rsidRPr="00ED3092">
        <w:rPr>
          <w:color w:val="auto"/>
        </w:rPr>
        <w:t xml:space="preserve">the end </w:t>
      </w:r>
      <w:r w:rsidR="00AD3150" w:rsidRPr="00ED3092">
        <w:rPr>
          <w:color w:val="auto"/>
        </w:rPr>
        <w:t xml:space="preserve">the list </w:t>
      </w:r>
      <w:r w:rsidR="00756976" w:rsidRPr="00ED3092">
        <w:rPr>
          <w:color w:val="auto"/>
        </w:rPr>
        <w:t>contains a very general sub-item that covers situations not mentioned in the previous ones (any public form of communication by a person representing the issuer</w:t>
      </w:r>
      <w:r w:rsidR="00ED3092">
        <w:rPr>
          <w:color w:val="auto"/>
        </w:rPr>
        <w:t>.</w:t>
      </w:r>
    </w:p>
    <w:permEnd w:id="2070238072"/>
    <w:p w14:paraId="3BF954D7" w14:textId="430757D5" w:rsidR="009B1E21" w:rsidRDefault="009B1E21" w:rsidP="009B1E21">
      <w:r>
        <w:t>&lt;ESMA_QUESTION_LATA_13&gt;</w:t>
      </w:r>
    </w:p>
    <w:p w14:paraId="67387EDD" w14:textId="77777777" w:rsidR="009B1E21" w:rsidRDefault="009B1E21" w:rsidP="009B1E21"/>
    <w:p w14:paraId="7D67DE6A" w14:textId="77777777" w:rsidR="009B1E21" w:rsidRPr="008605FA"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list of situations where there is a contrast between the inside information to be delayed and the latest announcement or communication as presented by ESMA in [Annex II] of the proposed Delegated Act (Annex IV of this CP)? Do you consider it sufficiently comprehensive, or do you deem that any other situations should be added?</w:t>
      </w:r>
    </w:p>
    <w:p w14:paraId="14CC8B8F" w14:textId="77777777" w:rsidR="009B1E21" w:rsidRDefault="009B1E21" w:rsidP="009B1E21">
      <w:r>
        <w:t>&lt;ESMA_QUESTION_LATA_14&gt;</w:t>
      </w:r>
    </w:p>
    <w:p w14:paraId="3E102D3E" w14:textId="2F62100B" w:rsidR="00200457" w:rsidRPr="00ED3092" w:rsidRDefault="00200457" w:rsidP="00ED3092">
      <w:pPr>
        <w:rPr>
          <w:rFonts w:ascii="Arial" w:eastAsia="Times New Roman" w:hAnsi="Arial" w:cs="Arial"/>
          <w:b/>
          <w:bCs/>
          <w:strike/>
          <w:color w:val="auto"/>
          <w:sz w:val="20"/>
          <w:lang w:eastAsia="pl-PL"/>
        </w:rPr>
      </w:pPr>
      <w:permStart w:id="131739657" w:edGrp="everyone"/>
      <w:r w:rsidRPr="00200457">
        <w:t xml:space="preserve">Listed event categories are defined so broadly that they seem to cover the lion's share of cases in which a delay in information would conflict with the latest information provided by the issuer and thus could mislead public opinion as to </w:t>
      </w:r>
      <w:r w:rsidRPr="00ED3092">
        <w:rPr>
          <w:color w:val="auto"/>
        </w:rPr>
        <w:t>the facts. Despite its non-exhaustive nature, we find the list to be sufficiently comprehensive</w:t>
      </w:r>
    </w:p>
    <w:permEnd w:id="131739657"/>
    <w:p w14:paraId="179AD97E" w14:textId="104722B3" w:rsidR="009B1E21" w:rsidRDefault="009B1E21" w:rsidP="009B1E21">
      <w:r>
        <w:t>&lt;ESMA_QUESTION_LATA_14&gt;</w:t>
      </w:r>
    </w:p>
    <w:p w14:paraId="2A9668C1" w14:textId="77777777" w:rsidR="009B1E21" w:rsidRDefault="009B1E21" w:rsidP="009B1E21"/>
    <w:p w14:paraId="673D6D82"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have any views on the methodology used to conduct the analysis?</w:t>
      </w:r>
    </w:p>
    <w:p w14:paraId="3A9EF350" w14:textId="77777777" w:rsidR="009B1E21" w:rsidRDefault="009B1E21" w:rsidP="009B1E21">
      <w:r>
        <w:t>&lt;ESMA_QUESTION_LATA_15&gt;</w:t>
      </w:r>
    </w:p>
    <w:p w14:paraId="7EE90ACB" w14:textId="77777777" w:rsidR="009B1E21" w:rsidRDefault="009B1E21" w:rsidP="009B1E21">
      <w:permStart w:id="224746622" w:edGrp="everyone"/>
      <w:r>
        <w:t>TYPE YOUR TEXT HERE</w:t>
      </w:r>
    </w:p>
    <w:permEnd w:id="224746622"/>
    <w:p w14:paraId="4D4FF991" w14:textId="77777777" w:rsidR="009B1E21" w:rsidRDefault="009B1E21" w:rsidP="009B1E21">
      <w:r>
        <w:t>&lt;ESMA_QUESTION_LATA_15&gt;</w:t>
      </w:r>
    </w:p>
    <w:p w14:paraId="10261834" w14:textId="77777777" w:rsidR="009B1E21" w:rsidRDefault="009B1E21" w:rsidP="009B1E21"/>
    <w:p w14:paraId="207B4548"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the methodology of calculation in Article 78(1) of CDR 2017/565 to assess if the SME GM meets the 50% criterion is suitable? Please explain.</w:t>
      </w:r>
    </w:p>
    <w:p w14:paraId="341D8C16" w14:textId="77777777" w:rsidR="009B1E21" w:rsidRDefault="009B1E21" w:rsidP="009B1E21">
      <w:r>
        <w:t>&lt;ESMA_QUESTION_LATA_16&gt;</w:t>
      </w:r>
    </w:p>
    <w:p w14:paraId="0FA63AB3" w14:textId="6FCCD6EE" w:rsidR="00080DF5" w:rsidRPr="00080F34" w:rsidRDefault="00080DF5" w:rsidP="009B1E21">
      <w:pPr>
        <w:rPr>
          <w:color w:val="auto"/>
        </w:rPr>
      </w:pPr>
      <w:permStart w:id="1599806274" w:edGrp="everyone"/>
      <w:r w:rsidRPr="00080F34">
        <w:rPr>
          <w:b/>
          <w:bCs/>
          <w:color w:val="auto"/>
          <w:sz w:val="24"/>
          <w:szCs w:val="22"/>
        </w:rPr>
        <w:t xml:space="preserve">WSE agrees. </w:t>
      </w:r>
      <w:r w:rsidRPr="00080F34">
        <w:rPr>
          <w:color w:val="auto"/>
        </w:rPr>
        <w:t>The methodology of calculation in Article 78(1) of CDR 2017/565 to assess if the SME GM meets the 50% criterion is suitable. However, it is worth considering raising the threshold to, for example, 60%, which could emphasize and strengthen the nature of this market as a dedicated SME market</w:t>
      </w:r>
      <w:r w:rsidR="00ED3092">
        <w:rPr>
          <w:color w:val="auto"/>
        </w:rPr>
        <w:t>.</w:t>
      </w:r>
    </w:p>
    <w:permEnd w:id="1599806274"/>
    <w:p w14:paraId="02DB13CA" w14:textId="4977AFF6" w:rsidR="009B1E21" w:rsidRDefault="009B1E21" w:rsidP="009B1E21">
      <w:r>
        <w:t>&lt;ESMA_QUESTION_LATA_16&gt;</w:t>
      </w:r>
    </w:p>
    <w:p w14:paraId="2992EDF2" w14:textId="77777777" w:rsidR="009B1E21" w:rsidRDefault="009B1E21" w:rsidP="009B1E21"/>
    <w:p w14:paraId="04BF3449"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the requirements in Article 78(1) of CDR 2017/565 ensure that the refusal to be registered as an SME GM does not simply occur as a result of a temporary failure to comply with the requirements specified in Article 33(3) of MiFID II? Please explain.</w:t>
      </w:r>
    </w:p>
    <w:p w14:paraId="3645970F" w14:textId="77777777" w:rsidR="009B1E21" w:rsidRDefault="009B1E21" w:rsidP="009B1E21">
      <w:r>
        <w:t>&lt;ESMA_QUESTION_LATA_17&gt;</w:t>
      </w:r>
    </w:p>
    <w:p w14:paraId="4AF2041E" w14:textId="77777777" w:rsidR="00080DF5" w:rsidRPr="00080F34" w:rsidRDefault="00080DF5" w:rsidP="00080DF5">
      <w:pPr>
        <w:rPr>
          <w:color w:val="auto"/>
        </w:rPr>
      </w:pPr>
      <w:permStart w:id="166685556" w:edGrp="everyone"/>
      <w:r w:rsidRPr="00080F34">
        <w:rPr>
          <w:b/>
          <w:bCs/>
          <w:color w:val="auto"/>
          <w:sz w:val="24"/>
          <w:szCs w:val="22"/>
        </w:rPr>
        <w:t xml:space="preserve">WSE agrees. </w:t>
      </w:r>
      <w:r w:rsidRPr="00080F34">
        <w:rPr>
          <w:color w:val="auto"/>
        </w:rPr>
        <w:t>The requirements in Article 78(1) of CDR 2017/565 on the registration as SME GM ensure that the refusal to be registered as an SME GM does not simply occur as a result of a temporary failure to comply with the requirements specified in Article 33(3) of MiFID II.</w:t>
      </w:r>
    </w:p>
    <w:permEnd w:id="166685556"/>
    <w:p w14:paraId="4F5DBB1D" w14:textId="77777777" w:rsidR="009B1E21" w:rsidRDefault="009B1E21" w:rsidP="009B1E21">
      <w:r>
        <w:t>&lt;ESMA_QUESTION_LATA_17&gt;</w:t>
      </w:r>
    </w:p>
    <w:p w14:paraId="59E01456" w14:textId="77777777" w:rsidR="009B1E21" w:rsidRDefault="009B1E21" w:rsidP="009B1E21"/>
    <w:p w14:paraId="0479080E"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 not to specify further the requirements in Articles 78(2)(a) and 78(2)(b) of CDR 2017/565? Please elaborate.</w:t>
      </w:r>
    </w:p>
    <w:p w14:paraId="3236A846" w14:textId="77777777" w:rsidR="009B1E21" w:rsidRDefault="009B1E21" w:rsidP="009B1E21">
      <w:r>
        <w:t>&lt;ESMA_QUESTION_LATA_18&gt;</w:t>
      </w:r>
    </w:p>
    <w:p w14:paraId="401AB709" w14:textId="77777777" w:rsidR="00080DF5" w:rsidRPr="00572973" w:rsidRDefault="00080DF5" w:rsidP="00080DF5">
      <w:pPr>
        <w:pStyle w:val="CM4"/>
        <w:spacing w:before="60" w:after="60"/>
        <w:rPr>
          <w:lang w:val="en-US"/>
        </w:rPr>
      </w:pPr>
      <w:permStart w:id="14434267" w:edGrp="everyone"/>
      <w:r w:rsidRPr="00572973">
        <w:rPr>
          <w:rFonts w:asciiTheme="minorHAnsi" w:hAnsiTheme="minorHAnsi" w:cstheme="minorBidi"/>
          <w:b/>
          <w:bCs/>
          <w:szCs w:val="22"/>
          <w:lang w:val="en-GB"/>
        </w:rPr>
        <w:t xml:space="preserve">WSE agrees. </w:t>
      </w:r>
      <w:r w:rsidRPr="00572973">
        <w:rPr>
          <w:rFonts w:asciiTheme="minorHAnsi" w:hAnsiTheme="minorHAnsi" w:cstheme="minorBidi"/>
          <w:sz w:val="22"/>
          <w:szCs w:val="20"/>
          <w:lang w:val="en-GB"/>
        </w:rPr>
        <w:t>The current regime applicable to SME GMs regarding the initial and ongoing admission to trading of financial instruments is appropriate and do not require any changes</w:t>
      </w:r>
      <w:r w:rsidRPr="00572973">
        <w:rPr>
          <w:rFonts w:asciiTheme="minorHAnsi" w:hAnsiTheme="minorHAnsi" w:cstheme="minorBidi"/>
          <w:szCs w:val="22"/>
          <w:lang w:val="en-GB"/>
        </w:rPr>
        <w:t>.</w:t>
      </w:r>
    </w:p>
    <w:permEnd w:id="14434267"/>
    <w:p w14:paraId="086ACBDF" w14:textId="77777777" w:rsidR="009B1E21" w:rsidRDefault="009B1E21" w:rsidP="009B1E21">
      <w:r>
        <w:t>&lt;ESMA_QUESTION_LATA_18&gt;</w:t>
      </w:r>
    </w:p>
    <w:p w14:paraId="041BE13D" w14:textId="77777777" w:rsidR="009B1E21" w:rsidRDefault="009B1E21" w:rsidP="009B1E21"/>
    <w:p w14:paraId="3C9C8F9E"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 not to modify the requirements currently included in Articles 78(2)(c), (d) and (f) of CDR 2017/565? Please elaborate.</w:t>
      </w:r>
    </w:p>
    <w:p w14:paraId="5D3E6B8D" w14:textId="77777777" w:rsidR="009B1E21" w:rsidRDefault="009B1E21" w:rsidP="009B1E21">
      <w:r>
        <w:t>&lt;ESMA_QUESTION_LATA_19&gt;</w:t>
      </w:r>
    </w:p>
    <w:p w14:paraId="6286800A" w14:textId="77777777" w:rsidR="00080DF5" w:rsidRPr="00572973" w:rsidRDefault="00080DF5" w:rsidP="00080DF5">
      <w:pPr>
        <w:rPr>
          <w:color w:val="auto"/>
          <w:lang w:val="en-US"/>
        </w:rPr>
      </w:pPr>
      <w:permStart w:id="305603693" w:edGrp="everyone"/>
      <w:r w:rsidRPr="00572973">
        <w:rPr>
          <w:b/>
          <w:bCs/>
          <w:color w:val="auto"/>
          <w:sz w:val="24"/>
          <w:szCs w:val="22"/>
        </w:rPr>
        <w:t xml:space="preserve">WSE agrees. </w:t>
      </w:r>
      <w:r w:rsidRPr="00572973">
        <w:rPr>
          <w:color w:val="auto"/>
          <w:szCs w:val="22"/>
          <w:lang w:val="en-US"/>
        </w:rPr>
        <w:t>The MTF should specify what the minimum content of the acceptance document should be, providing a list of minimum information to be included, and the acceptance document should include a statement specifying whether the document has been checked and by whom.</w:t>
      </w:r>
    </w:p>
    <w:permEnd w:id="305603693"/>
    <w:p w14:paraId="22BB7D33" w14:textId="77777777" w:rsidR="009B1E21" w:rsidRDefault="009B1E21" w:rsidP="009B1E21">
      <w:r>
        <w:t>&lt;ESMA_QUESTION_LATA_19&gt;</w:t>
      </w:r>
    </w:p>
    <w:p w14:paraId="0DBEDF0D" w14:textId="77777777" w:rsidR="009B1E21" w:rsidRDefault="009B1E21" w:rsidP="009B1E21"/>
    <w:p w14:paraId="6E7FC12C"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 to align the requirement in Article 78(2)(e) of CDR 2017/565 with those of the Growth Issuance Prospectus by requiring a statement on the working capital only for share issuances? Please elaborate.</w:t>
      </w:r>
      <w:r w:rsidRPr="009B2F87">
        <w:t xml:space="preserve"> </w:t>
      </w:r>
    </w:p>
    <w:p w14:paraId="3622B1D1" w14:textId="77777777" w:rsidR="009B1E21" w:rsidRDefault="009B1E21" w:rsidP="009B1E21">
      <w:r>
        <w:t>&lt;ESMA_QUESTION_LATA_20&gt;</w:t>
      </w:r>
    </w:p>
    <w:p w14:paraId="58EB9CEB" w14:textId="77777777" w:rsidR="00080DF5" w:rsidRPr="00572973" w:rsidRDefault="00080DF5" w:rsidP="00080DF5">
      <w:pPr>
        <w:rPr>
          <w:color w:val="auto"/>
          <w:lang w:val="en-US"/>
        </w:rPr>
      </w:pPr>
      <w:permStart w:id="767061203" w:edGrp="everyone"/>
      <w:r w:rsidRPr="00572973">
        <w:rPr>
          <w:b/>
          <w:bCs/>
          <w:color w:val="auto"/>
          <w:sz w:val="24"/>
          <w:szCs w:val="22"/>
          <w:lang w:val="en-US"/>
        </w:rPr>
        <w:t xml:space="preserve">WSE agrees </w:t>
      </w:r>
      <w:r w:rsidRPr="00572973">
        <w:rPr>
          <w:color w:val="auto"/>
        </w:rPr>
        <w:t>to align the requirement in Article 78(2)(e) of CDR 2017/565 with those of the Growth Issuance Prospectus by requiring a statement on the working capital only for share issuances</w:t>
      </w:r>
      <w:r w:rsidRPr="00572973">
        <w:rPr>
          <w:b/>
          <w:bCs/>
          <w:color w:val="auto"/>
          <w:sz w:val="24"/>
          <w:szCs w:val="22"/>
          <w:lang w:val="en-US"/>
        </w:rPr>
        <w:t>.</w:t>
      </w:r>
    </w:p>
    <w:permEnd w:id="767061203"/>
    <w:p w14:paraId="334E6239" w14:textId="77777777" w:rsidR="009B1E21" w:rsidRDefault="009B1E21" w:rsidP="009B1E21">
      <w:r>
        <w:t>&lt;ESMA_QUESTION_LATA_20&gt;</w:t>
      </w:r>
    </w:p>
    <w:p w14:paraId="611B0058" w14:textId="77777777" w:rsidR="009B1E21" w:rsidRDefault="009B1E21" w:rsidP="009B1E21"/>
    <w:p w14:paraId="63E90F6D"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 to include in Article 78(2)(g) of CDR 2017/565 the requirement that the financial reports published by SME GM issuers should be subject to audits?</w:t>
      </w:r>
    </w:p>
    <w:p w14:paraId="7F01B22B" w14:textId="77777777" w:rsidR="009B1E21" w:rsidRDefault="009B1E21" w:rsidP="009B1E21">
      <w:r>
        <w:t>&lt;ESMA_QUESTION_LATA_21&gt;</w:t>
      </w:r>
    </w:p>
    <w:p w14:paraId="0FD3D575" w14:textId="205E6DC3" w:rsidR="00080DF5" w:rsidRPr="00572973" w:rsidRDefault="00080DF5" w:rsidP="009B1E21">
      <w:pPr>
        <w:rPr>
          <w:color w:val="auto"/>
          <w:lang w:val="en-US"/>
        </w:rPr>
      </w:pPr>
      <w:permStart w:id="366227586" w:edGrp="everyone"/>
      <w:r w:rsidRPr="00572973">
        <w:rPr>
          <w:b/>
          <w:bCs/>
          <w:color w:val="auto"/>
          <w:szCs w:val="22"/>
          <w:lang w:val="en-US"/>
        </w:rPr>
        <w:t xml:space="preserve">WSE agrees </w:t>
      </w:r>
      <w:r w:rsidRPr="00572973">
        <w:rPr>
          <w:color w:val="auto"/>
          <w:lang w:val="en-US"/>
        </w:rPr>
        <w:t>that including a requirement for the financial reports to be subject to an audit could foster investor confidence in SME GMs and create an incentive to invest in the financial instruments traded on those markets. Although such requirement should not apply to half-yearly reports.</w:t>
      </w:r>
    </w:p>
    <w:permEnd w:id="366227586"/>
    <w:p w14:paraId="1A5CA3DA" w14:textId="2A8372B2" w:rsidR="009B1E21" w:rsidRDefault="009B1E21" w:rsidP="009B1E21">
      <w:r>
        <w:t>&lt;ESMA_QUESTION_LATA_21&gt;</w:t>
      </w:r>
    </w:p>
    <w:p w14:paraId="6F06B271" w14:textId="77777777" w:rsidR="009B1E21" w:rsidRDefault="009B1E21" w:rsidP="009B1E21"/>
    <w:p w14:paraId="6EF8877E"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 not to modify Articles 78(2)(h) and (i) of CDR 2017/565? Please elaborate.</w:t>
      </w:r>
    </w:p>
    <w:p w14:paraId="4F72E316" w14:textId="77777777" w:rsidR="009B1E21" w:rsidRDefault="009B1E21" w:rsidP="009B1E21">
      <w:r>
        <w:t>&lt;ESMA_QUESTION_LATA_22&gt;</w:t>
      </w:r>
    </w:p>
    <w:p w14:paraId="1B07BCCA" w14:textId="77777777" w:rsidR="00080DF5" w:rsidRPr="00572973" w:rsidRDefault="00080DF5" w:rsidP="009B1E21">
      <w:pPr>
        <w:rPr>
          <w:color w:val="auto"/>
        </w:rPr>
      </w:pPr>
      <w:permStart w:id="548149613" w:edGrp="everyone"/>
      <w:r w:rsidRPr="00572973">
        <w:rPr>
          <w:b/>
          <w:bCs/>
          <w:color w:val="auto"/>
          <w:sz w:val="24"/>
          <w:szCs w:val="22"/>
          <w:lang w:val="en-US"/>
        </w:rPr>
        <w:t>WSE agrees</w:t>
      </w:r>
      <w:r w:rsidRPr="00572973">
        <w:rPr>
          <w:color w:val="auto"/>
        </w:rPr>
        <w:t xml:space="preserve"> </w:t>
      </w:r>
    </w:p>
    <w:permEnd w:id="548149613"/>
    <w:p w14:paraId="643F7577" w14:textId="24959F29" w:rsidR="009B1E21" w:rsidRDefault="009B1E21" w:rsidP="009B1E21">
      <w:r>
        <w:t>&lt;ESMA_QUESTION_LATA_22&gt;</w:t>
      </w:r>
    </w:p>
    <w:p w14:paraId="718A3B9B" w14:textId="77777777" w:rsidR="009B1E21" w:rsidRDefault="009B1E21" w:rsidP="009B1E21"/>
    <w:p w14:paraId="5F1DA04B"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proposals to meet the first and the second requirements under Article 33(3a) (a) and (b)? Please explain.</w:t>
      </w:r>
    </w:p>
    <w:p w14:paraId="0E9B482C" w14:textId="77777777" w:rsidR="009B1E21" w:rsidRDefault="009B1E21" w:rsidP="009B1E21">
      <w:r>
        <w:t>&lt;ESMA_QUESTION_LATA_23&gt;</w:t>
      </w:r>
    </w:p>
    <w:p w14:paraId="0DB02274" w14:textId="7383FD7A" w:rsidR="009B5774" w:rsidRPr="00ED3092" w:rsidRDefault="00200457" w:rsidP="00664DC2">
      <w:pPr>
        <w:rPr>
          <w:rFonts w:asciiTheme="majorHAnsi" w:hAnsiTheme="majorHAnsi" w:cstheme="majorHAnsi"/>
          <w:color w:val="auto"/>
          <w:szCs w:val="22"/>
          <w:shd w:val="clear" w:color="auto" w:fill="FFFFFF"/>
        </w:rPr>
      </w:pPr>
      <w:permStart w:id="474421293" w:edGrp="everyone"/>
      <w:r w:rsidRPr="00ED3092">
        <w:rPr>
          <w:rStyle w:val="Uwydatnienie"/>
          <w:rFonts w:asciiTheme="majorHAnsi" w:hAnsiTheme="majorHAnsi" w:cstheme="majorHAnsi"/>
          <w:i w:val="0"/>
          <w:iCs w:val="0"/>
          <w:color w:val="auto"/>
          <w:szCs w:val="22"/>
          <w:shd w:val="clear" w:color="auto" w:fill="FFFFFF"/>
        </w:rPr>
        <w:t>In order to avoid any doubts</w:t>
      </w:r>
      <w:r w:rsidR="009B5774" w:rsidRPr="00ED3092">
        <w:rPr>
          <w:rStyle w:val="Uwydatnienie"/>
          <w:rFonts w:asciiTheme="majorHAnsi" w:hAnsiTheme="majorHAnsi" w:cstheme="majorHAnsi"/>
          <w:i w:val="0"/>
          <w:iCs w:val="0"/>
          <w:color w:val="auto"/>
          <w:szCs w:val="22"/>
          <w:shd w:val="clear" w:color="auto" w:fill="FFFFFF"/>
        </w:rPr>
        <w:t>,</w:t>
      </w:r>
      <w:r w:rsidRPr="00ED3092">
        <w:rPr>
          <w:rFonts w:asciiTheme="majorHAnsi" w:hAnsiTheme="majorHAnsi" w:cstheme="majorHAnsi"/>
          <w:color w:val="auto"/>
          <w:szCs w:val="22"/>
          <w:shd w:val="clear" w:color="auto" w:fill="FFFFFF"/>
        </w:rPr>
        <w:t> </w:t>
      </w:r>
      <w:r w:rsidR="009B5774" w:rsidRPr="00ED3092">
        <w:rPr>
          <w:rFonts w:asciiTheme="majorHAnsi" w:hAnsiTheme="majorHAnsi" w:cstheme="majorHAnsi"/>
          <w:color w:val="auto"/>
          <w:szCs w:val="22"/>
          <w:shd w:val="clear" w:color="auto" w:fill="FFFFFF"/>
        </w:rPr>
        <w:t xml:space="preserve">we would like to suggest that when </w:t>
      </w:r>
      <w:r w:rsidRPr="00ED3092">
        <w:rPr>
          <w:rFonts w:asciiTheme="majorHAnsi" w:hAnsiTheme="majorHAnsi" w:cstheme="majorHAnsi"/>
          <w:color w:val="auto"/>
          <w:szCs w:val="22"/>
          <w:lang w:val="en" w:eastAsia="pl-PL"/>
        </w:rPr>
        <w:t xml:space="preserve">formulating the new Article 78a of CDR 2017/565, </w:t>
      </w:r>
      <w:r w:rsidRPr="00ED3092">
        <w:rPr>
          <w:rFonts w:asciiTheme="majorHAnsi" w:hAnsiTheme="majorHAnsi" w:cstheme="majorHAnsi"/>
          <w:color w:val="auto"/>
          <w:szCs w:val="22"/>
          <w:shd w:val="clear" w:color="auto" w:fill="FFFFFF"/>
        </w:rPr>
        <w:t xml:space="preserve">an MTF </w:t>
      </w:r>
      <w:r w:rsidR="00664DC2" w:rsidRPr="00ED3092">
        <w:rPr>
          <w:rFonts w:asciiTheme="majorHAnsi" w:hAnsiTheme="majorHAnsi" w:cstheme="majorHAnsi"/>
          <w:color w:val="auto"/>
          <w:szCs w:val="22"/>
          <w:shd w:val="clear" w:color="auto" w:fill="FFFFFF"/>
        </w:rPr>
        <w:t xml:space="preserve">segment </w:t>
      </w:r>
      <w:r w:rsidRPr="00ED3092">
        <w:rPr>
          <w:rFonts w:asciiTheme="majorHAnsi" w:hAnsiTheme="majorHAnsi" w:cstheme="majorHAnsi"/>
          <w:color w:val="auto"/>
          <w:szCs w:val="22"/>
          <w:shd w:val="clear" w:color="auto" w:fill="FFFFFF"/>
        </w:rPr>
        <w:t xml:space="preserve">registered as an SME GM </w:t>
      </w:r>
      <w:r w:rsidRPr="00ED3092">
        <w:rPr>
          <w:rFonts w:asciiTheme="majorHAnsi" w:hAnsiTheme="majorHAnsi" w:cstheme="majorHAnsi"/>
          <w:color w:val="auto"/>
          <w:szCs w:val="22"/>
          <w:lang w:val="en" w:eastAsia="pl-PL"/>
        </w:rPr>
        <w:t xml:space="preserve">should not be required to have a single </w:t>
      </w:r>
      <w:r w:rsidR="00664DC2" w:rsidRPr="00ED3092">
        <w:rPr>
          <w:rFonts w:asciiTheme="majorHAnsi" w:hAnsiTheme="majorHAnsi" w:cstheme="majorHAnsi"/>
          <w:color w:val="auto"/>
          <w:szCs w:val="22"/>
          <w:lang w:val="en" w:eastAsia="pl-PL"/>
        </w:rPr>
        <w:t xml:space="preserve">aggregate </w:t>
      </w:r>
      <w:r w:rsidRPr="00ED3092">
        <w:rPr>
          <w:rFonts w:asciiTheme="majorHAnsi" w:hAnsiTheme="majorHAnsi" w:cstheme="majorHAnsi"/>
          <w:color w:val="auto"/>
          <w:szCs w:val="22"/>
          <w:lang w:val="en" w:eastAsia="pl-PL"/>
        </w:rPr>
        <w:t>MIC code  (“segment MIC”)</w:t>
      </w:r>
      <w:r w:rsidR="00664DC2" w:rsidRPr="00ED3092">
        <w:rPr>
          <w:rFonts w:asciiTheme="majorHAnsi" w:hAnsiTheme="majorHAnsi" w:cstheme="majorHAnsi"/>
          <w:color w:val="auto"/>
          <w:szCs w:val="22"/>
          <w:lang w:val="en" w:eastAsia="pl-PL"/>
        </w:rPr>
        <w:t>, in case</w:t>
      </w:r>
      <w:r w:rsidRPr="00ED3092">
        <w:rPr>
          <w:rFonts w:asciiTheme="majorHAnsi" w:hAnsiTheme="majorHAnsi" w:cstheme="majorHAnsi"/>
          <w:color w:val="auto"/>
          <w:szCs w:val="22"/>
          <w:lang w:val="en" w:eastAsia="pl-PL"/>
        </w:rPr>
        <w:t xml:space="preserve"> where such a</w:t>
      </w:r>
      <w:r w:rsidR="00664DC2" w:rsidRPr="00ED3092">
        <w:rPr>
          <w:rFonts w:asciiTheme="majorHAnsi" w:hAnsiTheme="majorHAnsi" w:cstheme="majorHAnsi"/>
          <w:color w:val="auto"/>
          <w:szCs w:val="22"/>
          <w:lang w:val="en" w:eastAsia="pl-PL"/>
        </w:rPr>
        <w:t>n</w:t>
      </w:r>
      <w:r w:rsidRPr="00ED3092">
        <w:rPr>
          <w:rFonts w:asciiTheme="majorHAnsi" w:hAnsiTheme="majorHAnsi" w:cstheme="majorHAnsi"/>
          <w:color w:val="auto"/>
          <w:szCs w:val="22"/>
          <w:lang w:val="en" w:eastAsia="pl-PL"/>
        </w:rPr>
        <w:t xml:space="preserve"> </w:t>
      </w:r>
      <w:r w:rsidR="00664DC2" w:rsidRPr="00ED3092">
        <w:rPr>
          <w:rFonts w:asciiTheme="majorHAnsi" w:hAnsiTheme="majorHAnsi" w:cstheme="majorHAnsi"/>
          <w:color w:val="auto"/>
          <w:szCs w:val="22"/>
          <w:shd w:val="clear" w:color="auto" w:fill="FFFFFF"/>
        </w:rPr>
        <w:t>MTF</w:t>
      </w:r>
      <w:r w:rsidR="00664DC2" w:rsidRPr="00ED3092">
        <w:rPr>
          <w:rFonts w:asciiTheme="majorHAnsi" w:hAnsiTheme="majorHAnsi" w:cstheme="majorHAnsi"/>
          <w:color w:val="auto"/>
          <w:szCs w:val="22"/>
          <w:lang w:val="en" w:eastAsia="pl-PL"/>
        </w:rPr>
        <w:t xml:space="preserve"> </w:t>
      </w:r>
      <w:r w:rsidRPr="00ED3092">
        <w:rPr>
          <w:rFonts w:asciiTheme="majorHAnsi" w:hAnsiTheme="majorHAnsi" w:cstheme="majorHAnsi"/>
          <w:color w:val="auto"/>
          <w:szCs w:val="22"/>
          <w:lang w:val="en" w:eastAsia="pl-PL"/>
        </w:rPr>
        <w:t xml:space="preserve">segment consists of </w:t>
      </w:r>
      <w:r w:rsidR="00664DC2" w:rsidRPr="00ED3092">
        <w:rPr>
          <w:rFonts w:asciiTheme="majorHAnsi" w:hAnsiTheme="majorHAnsi" w:cstheme="majorHAnsi"/>
          <w:color w:val="auto"/>
          <w:szCs w:val="22"/>
          <w:lang w:val="en" w:eastAsia="pl-PL"/>
        </w:rPr>
        <w:t xml:space="preserve">more than one market (e.g. two markets, which are separate </w:t>
      </w:r>
      <w:r w:rsidRPr="00ED3092">
        <w:rPr>
          <w:rFonts w:asciiTheme="majorHAnsi" w:hAnsiTheme="majorHAnsi" w:cstheme="majorHAnsi"/>
          <w:color w:val="auto"/>
          <w:szCs w:val="22"/>
          <w:lang w:val="en" w:eastAsia="pl-PL"/>
        </w:rPr>
        <w:t xml:space="preserve">parts </w:t>
      </w:r>
      <w:r w:rsidR="00664DC2" w:rsidRPr="00ED3092">
        <w:rPr>
          <w:rFonts w:asciiTheme="majorHAnsi" w:hAnsiTheme="majorHAnsi" w:cstheme="majorHAnsi"/>
          <w:color w:val="auto"/>
          <w:szCs w:val="22"/>
          <w:lang w:val="en" w:eastAsia="pl-PL"/>
        </w:rPr>
        <w:t xml:space="preserve">of the SME GM segment </w:t>
      </w:r>
      <w:r w:rsidR="00F70C0A" w:rsidRPr="00ED3092">
        <w:rPr>
          <w:rFonts w:asciiTheme="majorHAnsi" w:hAnsiTheme="majorHAnsi" w:cstheme="majorHAnsi"/>
          <w:color w:val="auto"/>
          <w:szCs w:val="22"/>
          <w:lang w:val="en" w:eastAsia="pl-PL"/>
        </w:rPr>
        <w:t>of an MTF</w:t>
      </w:r>
      <w:r w:rsidR="006B0C50">
        <w:rPr>
          <w:rFonts w:asciiTheme="majorHAnsi" w:hAnsiTheme="majorHAnsi" w:cstheme="majorHAnsi"/>
          <w:color w:val="auto"/>
          <w:szCs w:val="22"/>
          <w:lang w:val="en" w:eastAsia="pl-PL"/>
        </w:rPr>
        <w:t xml:space="preserve">) </w:t>
      </w:r>
      <w:r w:rsidRPr="00ED3092">
        <w:rPr>
          <w:rFonts w:asciiTheme="majorHAnsi" w:hAnsiTheme="majorHAnsi" w:cstheme="majorHAnsi"/>
          <w:color w:val="auto"/>
          <w:szCs w:val="22"/>
          <w:lang w:val="en" w:eastAsia="pl-PL"/>
        </w:rPr>
        <w:t xml:space="preserve">. </w:t>
      </w:r>
      <w:r w:rsidRPr="00ED3092">
        <w:rPr>
          <w:rFonts w:asciiTheme="majorHAnsi" w:hAnsiTheme="majorHAnsi" w:cstheme="majorHAnsi"/>
          <w:color w:val="auto"/>
          <w:szCs w:val="22"/>
          <w:shd w:val="clear" w:color="auto" w:fill="FFFFFF"/>
          <w:lang w:val="en"/>
        </w:rPr>
        <w:t xml:space="preserve">These markets were often created earlier than the regulations regarding </w:t>
      </w:r>
      <w:r w:rsidRPr="00ED3092">
        <w:rPr>
          <w:rFonts w:asciiTheme="majorHAnsi" w:hAnsiTheme="majorHAnsi" w:cstheme="majorHAnsi"/>
          <w:color w:val="auto"/>
          <w:szCs w:val="22"/>
          <w:shd w:val="clear" w:color="auto" w:fill="FFFFFF"/>
        </w:rPr>
        <w:t xml:space="preserve">SME GM </w:t>
      </w:r>
      <w:r w:rsidRPr="00ED3092">
        <w:rPr>
          <w:rFonts w:asciiTheme="majorHAnsi" w:hAnsiTheme="majorHAnsi" w:cstheme="majorHAnsi"/>
          <w:color w:val="auto"/>
          <w:szCs w:val="22"/>
          <w:shd w:val="clear" w:color="auto" w:fill="FFFFFF"/>
          <w:lang w:val="en"/>
        </w:rPr>
        <w:t xml:space="preserve">were introduced into the MiFiD II. </w:t>
      </w:r>
      <w:r w:rsidRPr="00ED3092">
        <w:rPr>
          <w:rFonts w:asciiTheme="majorHAnsi" w:hAnsiTheme="majorHAnsi" w:cstheme="majorHAnsi"/>
          <w:color w:val="auto"/>
          <w:szCs w:val="22"/>
          <w:lang w:val="en" w:eastAsia="pl-PL"/>
        </w:rPr>
        <w:t xml:space="preserve">For historical reasons, these markets have separate MIC codes even if they are jointly registered as a </w:t>
      </w:r>
      <w:r w:rsidR="00664DC2" w:rsidRPr="00ED3092">
        <w:rPr>
          <w:rFonts w:asciiTheme="majorHAnsi" w:hAnsiTheme="majorHAnsi" w:cstheme="majorHAnsi"/>
          <w:color w:val="auto"/>
          <w:szCs w:val="22"/>
          <w:lang w:val="en" w:eastAsia="pl-PL"/>
        </w:rPr>
        <w:t xml:space="preserve">single </w:t>
      </w:r>
      <w:r w:rsidRPr="00ED3092">
        <w:rPr>
          <w:rFonts w:asciiTheme="majorHAnsi" w:hAnsiTheme="majorHAnsi" w:cstheme="majorHAnsi"/>
          <w:color w:val="auto"/>
          <w:szCs w:val="22"/>
          <w:shd w:val="clear" w:color="auto" w:fill="FFFFFF"/>
        </w:rPr>
        <w:t xml:space="preserve">SME GM segment. </w:t>
      </w:r>
    </w:p>
    <w:p w14:paraId="34ACCE38" w14:textId="5E482879" w:rsidR="00200457" w:rsidRPr="00ED3092" w:rsidRDefault="00200457" w:rsidP="00200457">
      <w:pPr>
        <w:rPr>
          <w:rFonts w:asciiTheme="majorHAnsi" w:hAnsiTheme="majorHAnsi" w:cstheme="majorHAnsi"/>
          <w:color w:val="auto"/>
          <w:szCs w:val="22"/>
          <w:u w:val="single"/>
          <w:shd w:val="clear" w:color="auto" w:fill="FFFFFF"/>
        </w:rPr>
      </w:pPr>
      <w:r w:rsidRPr="00ED3092">
        <w:rPr>
          <w:rFonts w:asciiTheme="majorHAnsi" w:hAnsiTheme="majorHAnsi" w:cstheme="majorHAnsi"/>
          <w:color w:val="auto"/>
          <w:szCs w:val="22"/>
          <w:shd w:val="clear" w:color="auto" w:fill="FFFFFF"/>
        </w:rPr>
        <w:t xml:space="preserve">Warsaw Stock Exchange (WSE) already has a segment of an MTF registered as an SME GM. This segment of an WSE MTF consists of two </w:t>
      </w:r>
      <w:r w:rsidR="009B5774" w:rsidRPr="00ED3092">
        <w:rPr>
          <w:rFonts w:asciiTheme="majorHAnsi" w:hAnsiTheme="majorHAnsi" w:cstheme="majorHAnsi"/>
          <w:color w:val="auto"/>
          <w:szCs w:val="22"/>
          <w:shd w:val="clear" w:color="auto" w:fill="FFFFFF"/>
        </w:rPr>
        <w:t>markets (</w:t>
      </w:r>
      <w:r w:rsidRPr="00ED3092">
        <w:rPr>
          <w:rFonts w:asciiTheme="majorHAnsi" w:hAnsiTheme="majorHAnsi" w:cstheme="majorHAnsi"/>
          <w:color w:val="auto"/>
          <w:szCs w:val="22"/>
          <w:shd w:val="clear" w:color="auto" w:fill="FFFFFF"/>
        </w:rPr>
        <w:t>parts</w:t>
      </w:r>
      <w:r w:rsidR="009B5774" w:rsidRPr="00ED3092">
        <w:rPr>
          <w:rFonts w:asciiTheme="majorHAnsi" w:hAnsiTheme="majorHAnsi" w:cstheme="majorHAnsi"/>
          <w:color w:val="auto"/>
          <w:szCs w:val="22"/>
          <w:shd w:val="clear" w:color="auto" w:fill="FFFFFF"/>
        </w:rPr>
        <w:t>)</w:t>
      </w:r>
      <w:r w:rsidRPr="00ED3092">
        <w:rPr>
          <w:rFonts w:asciiTheme="majorHAnsi" w:hAnsiTheme="majorHAnsi" w:cstheme="majorHAnsi"/>
          <w:color w:val="auto"/>
          <w:szCs w:val="22"/>
          <w:shd w:val="clear" w:color="auto" w:fill="FFFFFF"/>
        </w:rPr>
        <w:t xml:space="preserve">: one on which shares are traded (NewConnect) and one on which debt instruments are traded (Catalyst). </w:t>
      </w:r>
      <w:r w:rsidRPr="00ED3092">
        <w:rPr>
          <w:rFonts w:asciiTheme="majorHAnsi" w:hAnsiTheme="majorHAnsi" w:cstheme="majorHAnsi"/>
          <w:color w:val="auto"/>
          <w:szCs w:val="22"/>
          <w:lang w:val="en"/>
        </w:rPr>
        <w:t xml:space="preserve">These markets have separate MIC codes for historical reasons. WSE SME GM segment </w:t>
      </w:r>
      <w:r w:rsidRPr="00ED3092">
        <w:rPr>
          <w:rFonts w:asciiTheme="majorHAnsi" w:hAnsiTheme="majorHAnsi" w:cstheme="majorHAnsi"/>
          <w:color w:val="auto"/>
          <w:szCs w:val="22"/>
          <w:lang w:val="en" w:eastAsia="pl-PL"/>
        </w:rPr>
        <w:t xml:space="preserve">does not have a single </w:t>
      </w:r>
      <w:r w:rsidR="00F70C0A" w:rsidRPr="00ED3092">
        <w:rPr>
          <w:rFonts w:asciiTheme="majorHAnsi" w:hAnsiTheme="majorHAnsi" w:cstheme="majorHAnsi"/>
          <w:color w:val="auto"/>
          <w:szCs w:val="22"/>
          <w:lang w:val="en" w:eastAsia="pl-PL"/>
        </w:rPr>
        <w:t xml:space="preserve">aggregate </w:t>
      </w:r>
      <w:r w:rsidRPr="00ED3092">
        <w:rPr>
          <w:rFonts w:asciiTheme="majorHAnsi" w:hAnsiTheme="majorHAnsi" w:cstheme="majorHAnsi"/>
          <w:color w:val="auto"/>
          <w:szCs w:val="22"/>
          <w:lang w:val="en" w:eastAsia="pl-PL"/>
        </w:rPr>
        <w:t xml:space="preserve">MIC code dedicated to this segment. </w:t>
      </w:r>
      <w:r w:rsidR="00F70C0A" w:rsidRPr="00ED3092">
        <w:rPr>
          <w:rFonts w:asciiTheme="majorHAnsi" w:hAnsiTheme="majorHAnsi" w:cstheme="majorHAnsi"/>
          <w:color w:val="auto"/>
          <w:szCs w:val="22"/>
          <w:lang w:val="en" w:eastAsia="pl-PL"/>
        </w:rPr>
        <w:t>However, t</w:t>
      </w:r>
      <w:r w:rsidRPr="00ED3092">
        <w:rPr>
          <w:rFonts w:asciiTheme="majorHAnsi" w:hAnsiTheme="majorHAnsi" w:cstheme="majorHAnsi"/>
          <w:color w:val="auto"/>
          <w:szCs w:val="22"/>
          <w:lang w:val="en" w:eastAsia="pl-PL"/>
        </w:rPr>
        <w:t xml:space="preserve">hese two MIC codes </w:t>
      </w:r>
      <w:r w:rsidR="00F70C0A" w:rsidRPr="00ED3092">
        <w:rPr>
          <w:rFonts w:asciiTheme="majorHAnsi" w:hAnsiTheme="majorHAnsi" w:cstheme="majorHAnsi"/>
          <w:color w:val="auto"/>
          <w:szCs w:val="22"/>
          <w:lang w:val="en" w:eastAsia="pl-PL"/>
        </w:rPr>
        <w:t xml:space="preserve">– one for </w:t>
      </w:r>
      <w:r w:rsidRPr="00ED3092">
        <w:rPr>
          <w:rFonts w:asciiTheme="majorHAnsi" w:hAnsiTheme="majorHAnsi" w:cstheme="majorHAnsi"/>
          <w:color w:val="auto"/>
          <w:szCs w:val="22"/>
          <w:lang w:val="en" w:eastAsia="pl-PL"/>
        </w:rPr>
        <w:t xml:space="preserve">NewConnect, </w:t>
      </w:r>
      <w:r w:rsidR="00F70C0A" w:rsidRPr="00ED3092">
        <w:rPr>
          <w:rFonts w:asciiTheme="majorHAnsi" w:hAnsiTheme="majorHAnsi" w:cstheme="majorHAnsi"/>
          <w:color w:val="auto"/>
          <w:szCs w:val="22"/>
          <w:lang w:val="en" w:eastAsia="pl-PL"/>
        </w:rPr>
        <w:t xml:space="preserve">and one for </w:t>
      </w:r>
      <w:r w:rsidRPr="00ED3092">
        <w:rPr>
          <w:rFonts w:asciiTheme="majorHAnsi" w:hAnsiTheme="majorHAnsi" w:cstheme="majorHAnsi"/>
          <w:color w:val="auto"/>
          <w:szCs w:val="22"/>
          <w:lang w:val="en" w:eastAsia="pl-PL"/>
        </w:rPr>
        <w:t>Catalyst</w:t>
      </w:r>
      <w:r w:rsidR="00F70C0A" w:rsidRPr="00ED3092">
        <w:rPr>
          <w:rFonts w:asciiTheme="majorHAnsi" w:hAnsiTheme="majorHAnsi" w:cstheme="majorHAnsi"/>
          <w:color w:val="auto"/>
          <w:szCs w:val="22"/>
          <w:lang w:val="en" w:eastAsia="pl-PL"/>
        </w:rPr>
        <w:t xml:space="preserve"> - provide a clear </w:t>
      </w:r>
      <w:r w:rsidR="00F70C0A" w:rsidRPr="00ED3092">
        <w:rPr>
          <w:rFonts w:asciiTheme="majorHAnsi" w:hAnsiTheme="majorHAnsi" w:cstheme="majorHAnsi"/>
          <w:color w:val="auto"/>
          <w:szCs w:val="22"/>
        </w:rPr>
        <w:t xml:space="preserve">and </w:t>
      </w:r>
      <w:r w:rsidRPr="00ED3092">
        <w:rPr>
          <w:rFonts w:asciiTheme="majorHAnsi" w:hAnsiTheme="majorHAnsi" w:cstheme="majorHAnsi"/>
          <w:color w:val="auto"/>
          <w:szCs w:val="22"/>
        </w:rPr>
        <w:t xml:space="preserve">unique identification and </w:t>
      </w:r>
      <w:r w:rsidR="00F70C0A" w:rsidRPr="00ED3092">
        <w:rPr>
          <w:rFonts w:asciiTheme="majorHAnsi" w:hAnsiTheme="majorHAnsi" w:cstheme="majorHAnsi"/>
          <w:color w:val="auto"/>
          <w:szCs w:val="22"/>
        </w:rPr>
        <w:t xml:space="preserve">distinctly </w:t>
      </w:r>
      <w:r w:rsidRPr="00ED3092">
        <w:rPr>
          <w:rFonts w:asciiTheme="majorHAnsi" w:hAnsiTheme="majorHAnsi" w:cstheme="majorHAnsi"/>
          <w:color w:val="auto"/>
          <w:szCs w:val="22"/>
        </w:rPr>
        <w:t>separate</w:t>
      </w:r>
      <w:r w:rsidR="00F70C0A" w:rsidRPr="00ED3092">
        <w:rPr>
          <w:rFonts w:asciiTheme="majorHAnsi" w:hAnsiTheme="majorHAnsi" w:cstheme="majorHAnsi"/>
          <w:color w:val="auto"/>
          <w:szCs w:val="22"/>
        </w:rPr>
        <w:t xml:space="preserve"> </w:t>
      </w:r>
      <w:r w:rsidRPr="00ED3092">
        <w:rPr>
          <w:rFonts w:asciiTheme="majorHAnsi" w:hAnsiTheme="majorHAnsi" w:cstheme="majorHAnsi"/>
          <w:color w:val="auto"/>
          <w:szCs w:val="22"/>
          <w:lang w:val="en"/>
        </w:rPr>
        <w:t xml:space="preserve">WSE SME GM segment form the other market segment </w:t>
      </w:r>
      <w:r w:rsidR="00F70C0A" w:rsidRPr="00ED3092">
        <w:rPr>
          <w:rFonts w:asciiTheme="majorHAnsi" w:hAnsiTheme="majorHAnsi" w:cstheme="majorHAnsi"/>
          <w:color w:val="auto"/>
          <w:szCs w:val="22"/>
          <w:lang w:val="en"/>
        </w:rPr>
        <w:t xml:space="preserve">- GlobalConnect, </w:t>
      </w:r>
      <w:r w:rsidRPr="00ED3092">
        <w:rPr>
          <w:rFonts w:asciiTheme="majorHAnsi" w:hAnsiTheme="majorHAnsi" w:cstheme="majorHAnsi"/>
          <w:color w:val="auto"/>
          <w:szCs w:val="22"/>
          <w:lang w:val="en"/>
        </w:rPr>
        <w:t xml:space="preserve">which </w:t>
      </w:r>
      <w:r w:rsidR="00F70C0A" w:rsidRPr="00ED3092">
        <w:rPr>
          <w:rFonts w:asciiTheme="majorHAnsi" w:hAnsiTheme="majorHAnsi" w:cstheme="majorHAnsi"/>
          <w:color w:val="auto"/>
          <w:szCs w:val="22"/>
          <w:lang w:val="en"/>
        </w:rPr>
        <w:t xml:space="preserve">is </w:t>
      </w:r>
      <w:r w:rsidRPr="00ED3092">
        <w:rPr>
          <w:rFonts w:asciiTheme="majorHAnsi" w:hAnsiTheme="majorHAnsi" w:cstheme="majorHAnsi"/>
          <w:color w:val="auto"/>
          <w:szCs w:val="22"/>
          <w:lang w:val="en"/>
        </w:rPr>
        <w:t xml:space="preserve">not registered as </w:t>
      </w:r>
      <w:r w:rsidR="00F70C0A" w:rsidRPr="00ED3092">
        <w:rPr>
          <w:rFonts w:asciiTheme="majorHAnsi" w:hAnsiTheme="majorHAnsi" w:cstheme="majorHAnsi"/>
          <w:color w:val="auto"/>
          <w:szCs w:val="22"/>
          <w:lang w:val="en"/>
        </w:rPr>
        <w:t xml:space="preserve">an </w:t>
      </w:r>
      <w:r w:rsidRPr="00ED3092">
        <w:rPr>
          <w:rFonts w:asciiTheme="majorHAnsi" w:hAnsiTheme="majorHAnsi" w:cstheme="majorHAnsi"/>
          <w:color w:val="auto"/>
          <w:szCs w:val="22"/>
          <w:lang w:val="en"/>
        </w:rPr>
        <w:t xml:space="preserve">SME GM. </w:t>
      </w:r>
      <w:r w:rsidRPr="00ED3092">
        <w:rPr>
          <w:rFonts w:asciiTheme="majorHAnsi" w:hAnsiTheme="majorHAnsi" w:cstheme="majorHAnsi"/>
          <w:color w:val="auto"/>
          <w:szCs w:val="22"/>
        </w:rPr>
        <w:t xml:space="preserve">This fact is recorded in the ESMA database, which contains the following statement:  </w:t>
      </w:r>
      <w:r w:rsidRPr="00ED3092">
        <w:rPr>
          <w:rFonts w:asciiTheme="majorHAnsi" w:hAnsiTheme="majorHAnsi" w:cstheme="majorHAnsi"/>
          <w:color w:val="auto"/>
          <w:szCs w:val="22"/>
          <w:u w:val="single"/>
          <w:shd w:val="clear" w:color="auto" w:fill="FFFFFF"/>
        </w:rPr>
        <w:t>“SME Growth Market was authorized for MTF operating under two MICs: XNCO (NewConnect) and WMTF (Catalyst)”.</w:t>
      </w:r>
    </w:p>
    <w:p w14:paraId="6FFF66BA" w14:textId="6008149E" w:rsidR="006B0C50" w:rsidRDefault="006B0C50" w:rsidP="006B0C50">
      <w:pPr>
        <w:rPr>
          <w:rFonts w:asciiTheme="majorHAnsi" w:hAnsiTheme="majorHAnsi" w:cstheme="majorHAnsi"/>
          <w:szCs w:val="22"/>
          <w:lang w:val="en" w:eastAsia="pl-PL"/>
        </w:rPr>
      </w:pPr>
      <w:bookmarkStart w:id="0" w:name="_Hlk190350186"/>
      <w:r w:rsidRPr="006B0C50">
        <w:rPr>
          <w:rFonts w:asciiTheme="majorHAnsi" w:hAnsiTheme="majorHAnsi" w:cstheme="majorHAnsi"/>
          <w:szCs w:val="22"/>
          <w:lang w:val="en" w:eastAsia="pl-PL"/>
        </w:rPr>
        <w:t xml:space="preserve">In our </w:t>
      </w:r>
      <w:r w:rsidR="00BD315A">
        <w:rPr>
          <w:rFonts w:asciiTheme="majorHAnsi" w:hAnsiTheme="majorHAnsi" w:cstheme="majorHAnsi"/>
          <w:szCs w:val="22"/>
          <w:lang w:val="en" w:eastAsia="pl-PL"/>
        </w:rPr>
        <w:t>view</w:t>
      </w:r>
      <w:r w:rsidRPr="006B0C50">
        <w:rPr>
          <w:rFonts w:asciiTheme="majorHAnsi" w:hAnsiTheme="majorHAnsi" w:cstheme="majorHAnsi"/>
          <w:szCs w:val="22"/>
          <w:lang w:val="en" w:eastAsia="pl-PL"/>
        </w:rPr>
        <w:t>, the new Article 78a of CDR 2017/565 should make clear that it is sufficient for an SM GM segment to have a MIC code (</w:t>
      </w:r>
      <w:r w:rsidRPr="006B0C50">
        <w:rPr>
          <w:rFonts w:asciiTheme="majorHAnsi" w:hAnsiTheme="majorHAnsi" w:cstheme="majorHAnsi"/>
          <w:b/>
          <w:bCs/>
          <w:szCs w:val="22"/>
          <w:u w:val="single"/>
          <w:lang w:val="en" w:eastAsia="pl-PL"/>
        </w:rPr>
        <w:t>or MIC codes - plural</w:t>
      </w:r>
      <w:r w:rsidRPr="006B0C50">
        <w:rPr>
          <w:rFonts w:asciiTheme="majorHAnsi" w:hAnsiTheme="majorHAnsi" w:cstheme="majorHAnsi"/>
          <w:szCs w:val="22"/>
          <w:lang w:val="en" w:eastAsia="pl-PL"/>
        </w:rPr>
        <w:t xml:space="preserve">) that separates it from other MTF segments that do not have SM GM status. However, it does not have to be a separate </w:t>
      </w:r>
      <w:r w:rsidRPr="006B0C50">
        <w:rPr>
          <w:rFonts w:asciiTheme="majorHAnsi" w:hAnsiTheme="majorHAnsi" w:cstheme="majorHAnsi"/>
          <w:szCs w:val="22"/>
          <w:lang w:val="en"/>
        </w:rPr>
        <w:t>aggregate</w:t>
      </w:r>
      <w:r>
        <w:rPr>
          <w:rFonts w:asciiTheme="majorHAnsi" w:hAnsiTheme="majorHAnsi" w:cstheme="majorHAnsi"/>
          <w:szCs w:val="22"/>
          <w:lang w:val="en"/>
        </w:rPr>
        <w:t>d</w:t>
      </w:r>
      <w:r w:rsidRPr="006B0C50">
        <w:rPr>
          <w:rFonts w:asciiTheme="majorHAnsi" w:hAnsiTheme="majorHAnsi" w:cstheme="majorHAnsi"/>
          <w:szCs w:val="22"/>
          <w:lang w:val="en" w:eastAsia="pl-PL"/>
        </w:rPr>
        <w:t xml:space="preserve"> MIC code</w:t>
      </w:r>
      <w:r>
        <w:rPr>
          <w:rFonts w:asciiTheme="majorHAnsi" w:hAnsiTheme="majorHAnsi" w:cstheme="majorHAnsi"/>
          <w:szCs w:val="22"/>
          <w:lang w:val="en" w:eastAsia="pl-PL"/>
        </w:rPr>
        <w:t>,</w:t>
      </w:r>
      <w:r w:rsidRPr="006B0C50">
        <w:rPr>
          <w:rFonts w:asciiTheme="majorHAnsi" w:hAnsiTheme="majorHAnsi" w:cstheme="majorHAnsi"/>
          <w:szCs w:val="22"/>
          <w:lang w:val="en" w:eastAsia="pl-PL"/>
        </w:rPr>
        <w:t xml:space="preserve"> if the SME GM segment consists of more than one market</w:t>
      </w:r>
      <w:r>
        <w:rPr>
          <w:rFonts w:asciiTheme="majorHAnsi" w:hAnsiTheme="majorHAnsi" w:cstheme="majorHAnsi"/>
          <w:szCs w:val="22"/>
          <w:lang w:val="en" w:eastAsia="pl-PL"/>
        </w:rPr>
        <w:t>, which are</w:t>
      </w:r>
      <w:r w:rsidRPr="006B0C50">
        <w:rPr>
          <w:rFonts w:asciiTheme="majorHAnsi" w:hAnsiTheme="majorHAnsi" w:cstheme="majorHAnsi"/>
          <w:szCs w:val="22"/>
          <w:lang w:val="en" w:eastAsia="pl-PL"/>
        </w:rPr>
        <w:t xml:space="preserve"> sufficiently distinguished</w:t>
      </w:r>
      <w:r w:rsidR="00BD315A">
        <w:rPr>
          <w:rFonts w:asciiTheme="majorHAnsi" w:hAnsiTheme="majorHAnsi" w:cstheme="majorHAnsi"/>
          <w:szCs w:val="22"/>
          <w:lang w:val="en" w:eastAsia="pl-PL"/>
        </w:rPr>
        <w:t xml:space="preserve"> by separate MIC codes</w:t>
      </w:r>
      <w:r w:rsidRPr="006B0C50">
        <w:rPr>
          <w:rFonts w:asciiTheme="majorHAnsi" w:hAnsiTheme="majorHAnsi" w:cstheme="majorHAnsi"/>
          <w:szCs w:val="22"/>
          <w:lang w:val="en" w:eastAsia="pl-PL"/>
        </w:rPr>
        <w:t>.</w:t>
      </w:r>
    </w:p>
    <w:bookmarkEnd w:id="0"/>
    <w:permEnd w:id="474421293"/>
    <w:p w14:paraId="237E5A38" w14:textId="77777777" w:rsidR="009B1E21" w:rsidRDefault="009B1E21" w:rsidP="009B1E21">
      <w:r>
        <w:t>&lt;ESMA_QUESTION_LATA_23&gt;</w:t>
      </w:r>
    </w:p>
    <w:p w14:paraId="4157ED56" w14:textId="77777777" w:rsidR="009B1E21" w:rsidRDefault="009B1E21" w:rsidP="009B1E21"/>
    <w:p w14:paraId="6538D1A9"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proposals to meet the third requirement under Article 33(3a) (c)? Please explain.</w:t>
      </w:r>
    </w:p>
    <w:p w14:paraId="4FD01CEE" w14:textId="77777777" w:rsidR="009B1E21" w:rsidRDefault="009B1E21" w:rsidP="009B1E21">
      <w:r>
        <w:t>&lt;ESMA_QUESTION_LATA_24&gt;</w:t>
      </w:r>
    </w:p>
    <w:p w14:paraId="7DF2BCCF" w14:textId="77777777" w:rsidR="009B1E21" w:rsidRDefault="009B1E21" w:rsidP="009B1E21">
      <w:permStart w:id="2060877361" w:edGrp="everyone"/>
      <w:r>
        <w:t>TYPE YOUR TEXT HERE</w:t>
      </w:r>
    </w:p>
    <w:permEnd w:id="2060877361"/>
    <w:p w14:paraId="6442560C" w14:textId="77777777" w:rsidR="009B1E21" w:rsidRDefault="009B1E21" w:rsidP="009B1E21">
      <w:r>
        <w:t>&lt;ESMA_QUESTION_LATA_24&gt;</w:t>
      </w:r>
    </w:p>
    <w:p w14:paraId="5FEBE625" w14:textId="77777777" w:rsidR="009B1E21" w:rsidRDefault="009B1E21" w:rsidP="009B1E21"/>
    <w:p w14:paraId="77E906D5"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no specific amendments are required for Article 79? Please explain.</w:t>
      </w:r>
    </w:p>
    <w:p w14:paraId="41B82113" w14:textId="77777777" w:rsidR="009B1E21" w:rsidRDefault="009B1E21" w:rsidP="009B1E21">
      <w:r>
        <w:t>&lt;ESMA_QUESTION_LATA_25&gt;</w:t>
      </w:r>
    </w:p>
    <w:p w14:paraId="5F6673CC" w14:textId="77777777" w:rsidR="004C680B" w:rsidRPr="00572973" w:rsidRDefault="00080DF5" w:rsidP="009B1E21">
      <w:pPr>
        <w:rPr>
          <w:color w:val="auto"/>
        </w:rPr>
      </w:pPr>
      <w:permStart w:id="1612399469" w:edGrp="everyone"/>
      <w:r w:rsidRPr="00572973">
        <w:rPr>
          <w:b/>
          <w:bCs/>
          <w:color w:val="auto"/>
          <w:sz w:val="24"/>
          <w:szCs w:val="22"/>
          <w:lang w:val="en-US"/>
        </w:rPr>
        <w:t>WSE agrees</w:t>
      </w:r>
      <w:r w:rsidR="004C680B" w:rsidRPr="00572973">
        <w:rPr>
          <w:color w:val="auto"/>
        </w:rPr>
        <w:t>.</w:t>
      </w:r>
    </w:p>
    <w:permEnd w:id="1612399469"/>
    <w:p w14:paraId="6CF2E0CC" w14:textId="23431417" w:rsidR="009B1E21" w:rsidRDefault="009B1E21" w:rsidP="009B1E21">
      <w:r>
        <w:t>&lt;ESMA_QUESTION_LATA_25&gt;</w:t>
      </w:r>
    </w:p>
    <w:p w14:paraId="3CA6E1AE" w14:textId="77777777" w:rsidR="009B1E21" w:rsidRDefault="009B1E21" w:rsidP="009B1E21"/>
    <w:p w14:paraId="692C9584"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the requirements in Article 79 of CDR 2017/565 ensure that an SME GM is not deregistered due to a temporary failure to comply with the criteria an Article 33 of MiFID II?</w:t>
      </w:r>
    </w:p>
    <w:p w14:paraId="6E70E9D4" w14:textId="77777777" w:rsidR="009B1E21" w:rsidRDefault="009B1E21" w:rsidP="009B1E21">
      <w:r>
        <w:t>&lt;ESMA_QUESTION_LATA_26&gt;</w:t>
      </w:r>
    </w:p>
    <w:p w14:paraId="7CC75409" w14:textId="2C095214" w:rsidR="009B1E21" w:rsidRPr="00572973" w:rsidRDefault="00080DF5" w:rsidP="009B1E21">
      <w:pPr>
        <w:rPr>
          <w:color w:val="auto"/>
        </w:rPr>
      </w:pPr>
      <w:permStart w:id="434780100" w:edGrp="everyone"/>
      <w:r w:rsidRPr="00572973">
        <w:rPr>
          <w:b/>
          <w:bCs/>
          <w:color w:val="auto"/>
          <w:sz w:val="24"/>
          <w:szCs w:val="22"/>
          <w:lang w:val="en-US"/>
        </w:rPr>
        <w:t>WSE agrees</w:t>
      </w:r>
      <w:r w:rsidR="004C680B" w:rsidRPr="00572973">
        <w:rPr>
          <w:b/>
          <w:bCs/>
          <w:color w:val="auto"/>
          <w:sz w:val="24"/>
          <w:szCs w:val="22"/>
          <w:lang w:val="en-US"/>
        </w:rPr>
        <w:t>.</w:t>
      </w:r>
    </w:p>
    <w:permEnd w:id="434780100"/>
    <w:p w14:paraId="05EFDE60" w14:textId="77777777" w:rsidR="009B1E21" w:rsidRDefault="009B1E21" w:rsidP="009B1E21">
      <w:r>
        <w:t>&lt;ESMA_QUESTION_LATA_26&gt;</w:t>
      </w:r>
    </w:p>
    <w:p w14:paraId="7C79ACB0" w14:textId="7A78F3E0" w:rsidR="00DB2FD6" w:rsidRDefault="00DB2FD6" w:rsidP="00C85E23">
      <w:pPr>
        <w:pStyle w:val="Questionstyle"/>
        <w:tabs>
          <w:tab w:val="clear" w:pos="567"/>
        </w:tabs>
        <w:spacing w:after="240" w:line="256" w:lineRule="auto"/>
        <w:ind w:left="851" w:firstLine="0"/>
      </w:pP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65A1D" w14:textId="77777777" w:rsidR="00A33512" w:rsidRDefault="00A33512" w:rsidP="007E7997">
      <w:pPr>
        <w:spacing w:line="240" w:lineRule="auto"/>
      </w:pPr>
      <w:r>
        <w:separator/>
      </w:r>
    </w:p>
  </w:endnote>
  <w:endnote w:type="continuationSeparator" w:id="0">
    <w:p w14:paraId="24871B2C" w14:textId="77777777" w:rsidR="00A33512" w:rsidRDefault="00A33512" w:rsidP="007E7997">
      <w:pPr>
        <w:spacing w:line="240" w:lineRule="auto"/>
      </w:pPr>
      <w:r>
        <w:continuationSeparator/>
      </w:r>
    </w:p>
  </w:endnote>
  <w:endnote w:type="continuationNotice" w:id="1">
    <w:p w14:paraId="62E69446" w14:textId="77777777" w:rsidR="00A33512" w:rsidRDefault="00A335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Stopka"/>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BAE92" w14:textId="77777777" w:rsidR="00A33512" w:rsidRDefault="00A33512" w:rsidP="007E7997">
      <w:pPr>
        <w:spacing w:line="240" w:lineRule="auto"/>
      </w:pPr>
      <w:r>
        <w:separator/>
      </w:r>
    </w:p>
  </w:footnote>
  <w:footnote w:type="continuationSeparator" w:id="0">
    <w:p w14:paraId="25F37D4B" w14:textId="77777777" w:rsidR="00A33512" w:rsidRDefault="00A33512" w:rsidP="007E7997">
      <w:pPr>
        <w:spacing w:line="240" w:lineRule="auto"/>
      </w:pPr>
      <w:r>
        <w:continuationSeparator/>
      </w:r>
    </w:p>
  </w:footnote>
  <w:footnote w:type="continuationNotice" w:id="1">
    <w:p w14:paraId="542751E9" w14:textId="77777777" w:rsidR="00A33512" w:rsidRDefault="00A335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26B760F4" w:rsidR="00D77369" w:rsidRPr="00DB2FD6" w:rsidRDefault="00D77369" w:rsidP="008858FE">
    <w:pPr>
      <w:pStyle w:val="Nagwek"/>
      <w:rPr>
        <w:bCs/>
        <w:caps/>
        <w:color w:val="FF0000" w:themeColor="accent6"/>
        <w:sz w:val="22"/>
        <w:highlight w:val="yellow"/>
      </w:rPr>
    </w:pPr>
    <w:r w:rsidRPr="00306F0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9B1E21">
      <w:t>12</w:t>
    </w:r>
    <w:r w:rsidR="00306F0E">
      <w:t xml:space="preserve"> </w:t>
    </w:r>
    <w:r w:rsidR="009B1E21">
      <w:t>December</w:t>
    </w:r>
    <w:r w:rsidR="00EB238F" w:rsidRPr="002E135A">
      <w:t xml:space="preserve"> </w:t>
    </w:r>
    <w:r w:rsidR="002E135A" w:rsidRPr="002E135A">
      <w:t>2024</w:t>
    </w:r>
  </w:p>
  <w:p w14:paraId="48F2413B" w14:textId="61098375" w:rsidR="004E5FF8" w:rsidRDefault="00FE1EEE" w:rsidP="00C47686">
    <w:pPr>
      <w:jc w:val="right"/>
    </w:pPr>
    <w:r w:rsidRPr="00FE1EEE">
      <w:rPr>
        <w:color w:val="001B4F" w:themeColor="text1" w:themeShade="80"/>
        <w:sz w:val="16"/>
      </w:rPr>
      <w:t>ESMA74-1103241886-1094</w:t>
    </w:r>
  </w:p>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Nagwek"/>
    </w:pPr>
  </w:p>
  <w:p w14:paraId="76D78551" w14:textId="45227A06" w:rsidR="00AD0B10" w:rsidRDefault="00AD0B10" w:rsidP="00AD0B10">
    <w:pPr>
      <w:pStyle w:val="Nagwek"/>
    </w:pPr>
  </w:p>
  <w:p w14:paraId="56B00CEC" w14:textId="77777777" w:rsidR="00AD0B10" w:rsidRPr="0043139E" w:rsidRDefault="00AD0B10" w:rsidP="00AD0B10">
    <w:pPr>
      <w:pStyle w:val="Nagwek"/>
    </w:pPr>
  </w:p>
  <w:p w14:paraId="68227DE6" w14:textId="77777777" w:rsidR="00AD0B10" w:rsidRPr="0043139E" w:rsidRDefault="00AD0B10" w:rsidP="00AD0B10">
    <w:pPr>
      <w:pStyle w:val="Nagwek"/>
    </w:pPr>
  </w:p>
  <w:p w14:paraId="0E44DBD1" w14:textId="77777777" w:rsidR="00AD0B10" w:rsidRPr="0043139E" w:rsidRDefault="00AD0B10" w:rsidP="00AD0B10">
    <w:pPr>
      <w:pStyle w:val="Nagwek"/>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Nagwek"/>
    </w:pPr>
  </w:p>
  <w:p w14:paraId="706EF268" w14:textId="77777777" w:rsidR="00AD0B10" w:rsidRPr="0043139E" w:rsidRDefault="00AD0B10" w:rsidP="00AD0B10">
    <w:pPr>
      <w:pStyle w:val="Nagwek"/>
    </w:pPr>
  </w:p>
  <w:p w14:paraId="6B568202" w14:textId="77777777" w:rsidR="00AD0B10" w:rsidRPr="0043139E" w:rsidRDefault="00AD0B10" w:rsidP="00AD0B10">
    <w:pPr>
      <w:pStyle w:val="Nagwek"/>
    </w:pPr>
  </w:p>
  <w:p w14:paraId="70C66BCD" w14:textId="77777777" w:rsidR="00AD0B10" w:rsidRPr="0043139E" w:rsidRDefault="00AD0B10" w:rsidP="00AD0B10">
    <w:pPr>
      <w:pStyle w:val="Nagwek"/>
    </w:pPr>
  </w:p>
  <w:p w14:paraId="07229907" w14:textId="77777777" w:rsidR="00AD0B10" w:rsidRPr="0043139E" w:rsidRDefault="00AD0B10" w:rsidP="00AD0B10">
    <w:pPr>
      <w:pStyle w:val="Nagwek"/>
    </w:pPr>
  </w:p>
  <w:p w14:paraId="55555744" w14:textId="77777777" w:rsidR="00AD0B10" w:rsidRPr="0043139E" w:rsidRDefault="00AD0B10" w:rsidP="00AD0B10">
    <w:pPr>
      <w:pStyle w:val="Nagwek"/>
    </w:pPr>
  </w:p>
  <w:p w14:paraId="4601AE9C" w14:textId="77777777" w:rsidR="00AD0B10" w:rsidRDefault="00AD0B10" w:rsidP="00AD0B10">
    <w:pPr>
      <w:pStyle w:val="Nagwek"/>
    </w:pPr>
  </w:p>
  <w:p w14:paraId="49946785" w14:textId="77777777" w:rsidR="00AD0B10" w:rsidRPr="0043139E" w:rsidRDefault="00AD0B10" w:rsidP="00AD0B10">
    <w:pPr>
      <w:pStyle w:val="Nagwek"/>
    </w:pPr>
  </w:p>
  <w:p w14:paraId="72BAD19F" w14:textId="77777777" w:rsidR="008858FE" w:rsidRPr="00AD0B10" w:rsidRDefault="008858FE" w:rsidP="00AD0B1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Nagwek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Akapitzlist"/>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Nagwek1"/>
      <w:lvlText w:val="%1"/>
      <w:lvlJc w:val="left"/>
      <w:pPr>
        <w:ind w:left="4686" w:hanging="432"/>
      </w:pPr>
    </w:lvl>
    <w:lvl w:ilvl="1">
      <w:start w:val="1"/>
      <w:numFmt w:val="decimal"/>
      <w:pStyle w:val="Nagwek2"/>
      <w:lvlText w:val="%1.%2"/>
      <w:lvlJc w:val="left"/>
      <w:pPr>
        <w:ind w:left="8230"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cRfWmmhDFzZuQSr+F1yYKtrrkDYH3frg/nAtH85GTKPjdPLC0mMUB5a2n3icLyTTH+B7RvNrSe0i8imRgOAw==" w:salt="eVOWG2ihBKrp8KVEFnbzk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93C"/>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DF5"/>
    <w:rsid w:val="00080F34"/>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30C"/>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2F"/>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A17"/>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4649"/>
    <w:rsid w:val="0013511C"/>
    <w:rsid w:val="001353F4"/>
    <w:rsid w:val="00135DB5"/>
    <w:rsid w:val="00135E08"/>
    <w:rsid w:val="0013656A"/>
    <w:rsid w:val="00136B4D"/>
    <w:rsid w:val="00137264"/>
    <w:rsid w:val="00137E61"/>
    <w:rsid w:val="00140BD4"/>
    <w:rsid w:val="0014136E"/>
    <w:rsid w:val="0014272C"/>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9F"/>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57"/>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16D"/>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3B72"/>
    <w:rsid w:val="002B4AD7"/>
    <w:rsid w:val="002B59F0"/>
    <w:rsid w:val="002B5B01"/>
    <w:rsid w:val="002B6654"/>
    <w:rsid w:val="002B698F"/>
    <w:rsid w:val="002B73FB"/>
    <w:rsid w:val="002B7497"/>
    <w:rsid w:val="002B76FE"/>
    <w:rsid w:val="002B7955"/>
    <w:rsid w:val="002B7F6D"/>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D35"/>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6F0E"/>
    <w:rsid w:val="0030704A"/>
    <w:rsid w:val="003070F2"/>
    <w:rsid w:val="00310314"/>
    <w:rsid w:val="0031033C"/>
    <w:rsid w:val="003106C3"/>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735"/>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A18"/>
    <w:rsid w:val="00375C6D"/>
    <w:rsid w:val="0037613E"/>
    <w:rsid w:val="00376F54"/>
    <w:rsid w:val="0037711B"/>
    <w:rsid w:val="00377883"/>
    <w:rsid w:val="00380102"/>
    <w:rsid w:val="003806F7"/>
    <w:rsid w:val="0038077B"/>
    <w:rsid w:val="00380FE4"/>
    <w:rsid w:val="00381157"/>
    <w:rsid w:val="003816C4"/>
    <w:rsid w:val="00381DAE"/>
    <w:rsid w:val="003821C1"/>
    <w:rsid w:val="003826C8"/>
    <w:rsid w:val="003829D6"/>
    <w:rsid w:val="00383097"/>
    <w:rsid w:val="003831E2"/>
    <w:rsid w:val="00383A09"/>
    <w:rsid w:val="00383B87"/>
    <w:rsid w:val="00384C43"/>
    <w:rsid w:val="00385BC6"/>
    <w:rsid w:val="00385F5C"/>
    <w:rsid w:val="00387A6C"/>
    <w:rsid w:val="0039007D"/>
    <w:rsid w:val="00390E7C"/>
    <w:rsid w:val="00391000"/>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37B"/>
    <w:rsid w:val="003C2C9B"/>
    <w:rsid w:val="003C2E99"/>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769"/>
    <w:rsid w:val="003D3B93"/>
    <w:rsid w:val="003D47C1"/>
    <w:rsid w:val="003D4B69"/>
    <w:rsid w:val="003D4F08"/>
    <w:rsid w:val="003D4FAB"/>
    <w:rsid w:val="003D4FAD"/>
    <w:rsid w:val="003D543E"/>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508"/>
    <w:rsid w:val="003F4824"/>
    <w:rsid w:val="003F4AFE"/>
    <w:rsid w:val="003F4ED1"/>
    <w:rsid w:val="003F5A11"/>
    <w:rsid w:val="003F5B77"/>
    <w:rsid w:val="003F61D7"/>
    <w:rsid w:val="003F6288"/>
    <w:rsid w:val="003F6714"/>
    <w:rsid w:val="003F6AD4"/>
    <w:rsid w:val="003F7008"/>
    <w:rsid w:val="003F70E0"/>
    <w:rsid w:val="003F7508"/>
    <w:rsid w:val="003F7C2F"/>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18AC"/>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0609"/>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2789E"/>
    <w:rsid w:val="00430270"/>
    <w:rsid w:val="004302ED"/>
    <w:rsid w:val="00430375"/>
    <w:rsid w:val="004305B7"/>
    <w:rsid w:val="00430B18"/>
    <w:rsid w:val="00430B37"/>
    <w:rsid w:val="004311C5"/>
    <w:rsid w:val="0043139E"/>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B35"/>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0B2"/>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585F"/>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80B"/>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8FA"/>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973"/>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5C84"/>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C16"/>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0E2E"/>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1D52"/>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8B"/>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4DC2"/>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22"/>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32"/>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C50"/>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146"/>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C9C"/>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6CC4"/>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9E2"/>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976"/>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CD0"/>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62B6"/>
    <w:rsid w:val="008F789B"/>
    <w:rsid w:val="00900377"/>
    <w:rsid w:val="009005DD"/>
    <w:rsid w:val="00900900"/>
    <w:rsid w:val="00900ABF"/>
    <w:rsid w:val="00901581"/>
    <w:rsid w:val="00901940"/>
    <w:rsid w:val="00901C96"/>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35C"/>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7C5"/>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6AE"/>
    <w:rsid w:val="009B06B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05D"/>
    <w:rsid w:val="009B352E"/>
    <w:rsid w:val="009B353E"/>
    <w:rsid w:val="009B35F6"/>
    <w:rsid w:val="009B3F90"/>
    <w:rsid w:val="009B3FE6"/>
    <w:rsid w:val="009B4014"/>
    <w:rsid w:val="009B4398"/>
    <w:rsid w:val="009B47E3"/>
    <w:rsid w:val="009B4B7C"/>
    <w:rsid w:val="009B4CF5"/>
    <w:rsid w:val="009B549E"/>
    <w:rsid w:val="009B5553"/>
    <w:rsid w:val="009B5774"/>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7EA"/>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9C7"/>
    <w:rsid w:val="00A01BC4"/>
    <w:rsid w:val="00A01BEB"/>
    <w:rsid w:val="00A02060"/>
    <w:rsid w:val="00A020F8"/>
    <w:rsid w:val="00A026A4"/>
    <w:rsid w:val="00A0307C"/>
    <w:rsid w:val="00A03236"/>
    <w:rsid w:val="00A03468"/>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512"/>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6F6A"/>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150"/>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4DE"/>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4E43"/>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5A"/>
    <w:rsid w:val="00BD31B3"/>
    <w:rsid w:val="00BD332D"/>
    <w:rsid w:val="00BD3B0E"/>
    <w:rsid w:val="00BD3B92"/>
    <w:rsid w:val="00BD41C7"/>
    <w:rsid w:val="00BD4302"/>
    <w:rsid w:val="00BD469B"/>
    <w:rsid w:val="00BD4C05"/>
    <w:rsid w:val="00BD52B6"/>
    <w:rsid w:val="00BD5300"/>
    <w:rsid w:val="00BD5310"/>
    <w:rsid w:val="00BD5A54"/>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3D0"/>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48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CD4"/>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5A"/>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BE3"/>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1D62"/>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2B1"/>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682A"/>
    <w:rsid w:val="00DD6999"/>
    <w:rsid w:val="00DD6A51"/>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46E"/>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3A5B"/>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3DE6"/>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092"/>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214"/>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0A"/>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902"/>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5EE9D8DD-E2CB-41C5-AEBE-4F75CD0B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2FD6"/>
    <w:pPr>
      <w:spacing w:after="250" w:line="276" w:lineRule="auto"/>
      <w:jc w:val="both"/>
    </w:pPr>
    <w:rPr>
      <w:color w:val="181818" w:themeColor="background1" w:themeShade="1A"/>
      <w:sz w:val="22"/>
      <w:lang w:val="en-GB"/>
    </w:rPr>
  </w:style>
  <w:style w:type="paragraph" w:styleId="Nagwek1">
    <w:name w:val="heading 1"/>
    <w:basedOn w:val="Normalny"/>
    <w:next w:val="Normalny"/>
    <w:link w:val="Nagwek1Znak"/>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Nagwek2">
    <w:name w:val="heading 2"/>
    <w:basedOn w:val="Normalny"/>
    <w:next w:val="Normalny"/>
    <w:link w:val="Nagwek2Znak"/>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Nagwek3">
    <w:name w:val="heading 3"/>
    <w:basedOn w:val="Normalny"/>
    <w:next w:val="Normalny"/>
    <w:link w:val="Nagwek3Znak"/>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Nagwek4">
    <w:name w:val="heading 4"/>
    <w:basedOn w:val="Normalny"/>
    <w:next w:val="Normalny"/>
    <w:link w:val="Nagwek4Znak"/>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Nagwek5">
    <w:name w:val="heading 5"/>
    <w:basedOn w:val="Normalny"/>
    <w:next w:val="Normalny"/>
    <w:link w:val="Nagwek5Znak"/>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Nagwek6">
    <w:name w:val="heading 6"/>
    <w:basedOn w:val="Normalny"/>
    <w:next w:val="Normalny"/>
    <w:link w:val="Nagwek6Znak"/>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Nagwek7">
    <w:name w:val="heading 7"/>
    <w:basedOn w:val="Normalny"/>
    <w:next w:val="Normalny"/>
    <w:link w:val="Nagwek7Znak"/>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Nagwek8">
    <w:name w:val="heading 8"/>
    <w:basedOn w:val="Normalny"/>
    <w:next w:val="Normalny"/>
    <w:link w:val="Nagwek8Znak"/>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Nagwek9">
    <w:name w:val="heading 9"/>
    <w:basedOn w:val="Normalny"/>
    <w:next w:val="Normalny"/>
    <w:link w:val="Nagwek9Znak"/>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5B6B12"/>
    <w:pPr>
      <w:spacing w:after="0" w:line="240" w:lineRule="auto"/>
    </w:pPr>
    <w:rPr>
      <w:lang w:val="en-GB"/>
    </w:rPr>
  </w:style>
  <w:style w:type="character" w:customStyle="1" w:styleId="Nagwek4Znak">
    <w:name w:val="Nagłówek 4 Znak"/>
    <w:basedOn w:val="Domylnaczcionkaakapitu"/>
    <w:link w:val="Nagwek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Nagwek3Znak">
    <w:name w:val="Nagłówek 3 Znak"/>
    <w:basedOn w:val="Domylnaczcionkaakapitu"/>
    <w:link w:val="Nagwek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Nagwek1Znak">
    <w:name w:val="Nagłówek 1 Znak"/>
    <w:basedOn w:val="Domylnaczcionkaakapitu"/>
    <w:link w:val="Nagwek1"/>
    <w:uiPriority w:val="9"/>
    <w:rsid w:val="0082744A"/>
    <w:rPr>
      <w:rFonts w:asciiTheme="majorHAnsi" w:eastAsiaTheme="majorEastAsia" w:hAnsiTheme="majorHAnsi" w:cstheme="majorBidi"/>
      <w:b/>
      <w:color w:val="00379F" w:themeColor="text1"/>
      <w:sz w:val="32"/>
      <w:szCs w:val="32"/>
      <w:lang w:val="en-GB"/>
    </w:rPr>
  </w:style>
  <w:style w:type="character" w:customStyle="1" w:styleId="Nagwek2Znak">
    <w:name w:val="Nagłówek 2 Znak"/>
    <w:basedOn w:val="Domylnaczcionkaakapitu"/>
    <w:link w:val="Nagwek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ny"/>
    <w:link w:val="Subtitle1Char"/>
    <w:autoRedefine/>
    <w:rsid w:val="003C4EB5"/>
    <w:pPr>
      <w:tabs>
        <w:tab w:val="left" w:pos="414"/>
      </w:tabs>
    </w:pPr>
    <w:rPr>
      <w:b/>
    </w:rPr>
  </w:style>
  <w:style w:type="character" w:customStyle="1" w:styleId="Subtitle1Char">
    <w:name w:val="Subtitle1 Char"/>
    <w:basedOn w:val="Domylnaczcionkaakapitu"/>
    <w:link w:val="Subtitle1"/>
    <w:rsid w:val="003C4EB5"/>
    <w:rPr>
      <w:rFonts w:cs="Times New Roman"/>
      <w:b/>
      <w:sz w:val="20"/>
      <w:szCs w:val="24"/>
      <w:lang w:val="en-GB" w:eastAsia="de-DE"/>
    </w:rPr>
  </w:style>
  <w:style w:type="paragraph" w:customStyle="1" w:styleId="Title1">
    <w:name w:val="Title 1"/>
    <w:basedOn w:val="Akapitzlist"/>
    <w:link w:val="Title1Char"/>
    <w:qFormat/>
    <w:rsid w:val="00F205B9"/>
    <w:pPr>
      <w:numPr>
        <w:numId w:val="0"/>
      </w:numPr>
      <w:ind w:left="792" w:hanging="432"/>
    </w:pPr>
    <w:rPr>
      <w:b/>
      <w:color w:val="00379F" w:themeColor="text1"/>
      <w:sz w:val="28"/>
    </w:rPr>
  </w:style>
  <w:style w:type="character" w:customStyle="1" w:styleId="Title1Char">
    <w:name w:val="Title 1 Char"/>
    <w:basedOn w:val="Domylnaczcionkaakapitu"/>
    <w:link w:val="Title1"/>
    <w:rsid w:val="00F205B9"/>
    <w:rPr>
      <w:rFonts w:asciiTheme="majorHAnsi" w:hAnsiTheme="majorHAnsi" w:cstheme="majorHAnsi"/>
      <w:b/>
      <w:color w:val="00379F" w:themeColor="text1"/>
      <w:sz w:val="28"/>
      <w:szCs w:val="22"/>
      <w:lang w:val="pt-PT"/>
    </w:rPr>
  </w:style>
  <w:style w:type="paragraph" w:styleId="Akapitzlist">
    <w:name w:val="List Paragraph"/>
    <w:aliases w:val="Paragraphe EI,Paragraphe de liste1,EC"/>
    <w:basedOn w:val="Normalny"/>
    <w:link w:val="AkapitzlistZnak"/>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Akapitzlist"/>
    <w:link w:val="Title3Char"/>
    <w:autoRedefine/>
    <w:rsid w:val="00F205B9"/>
    <w:pPr>
      <w:numPr>
        <w:ilvl w:val="3"/>
        <w:numId w:val="4"/>
      </w:numPr>
    </w:pPr>
  </w:style>
  <w:style w:type="character" w:customStyle="1" w:styleId="Title3Char">
    <w:name w:val="Title 3 Char"/>
    <w:basedOn w:val="Domylnaczcionkaakapitu"/>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ny"/>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omylnaczcionkaakapitu"/>
    <w:link w:val="DocumentTitle"/>
    <w:rsid w:val="00563C1F"/>
    <w:rPr>
      <w:rFonts w:asciiTheme="majorHAnsi" w:hAnsiTheme="majorHAnsi"/>
      <w:b/>
      <w:color w:val="2D4190"/>
      <w:sz w:val="48"/>
      <w:lang w:val="en-GB"/>
    </w:rPr>
  </w:style>
  <w:style w:type="paragraph" w:customStyle="1" w:styleId="DocumentSubtitle">
    <w:name w:val="Document Subtitle"/>
    <w:basedOn w:val="Normalny"/>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omylnaczcionkaakapitu"/>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ny"/>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omylnaczcionkaakapitu"/>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ny"/>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omylnaczcionkaakapitu"/>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ny"/>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omylnaczcionkaakapitu"/>
    <w:link w:val="Introductionheading"/>
    <w:rsid w:val="00044C5A"/>
    <w:rPr>
      <w:rFonts w:ascii="Arial" w:eastAsia="Times New Roman" w:hAnsi="Arial" w:cs="Times New Roman"/>
      <w:b/>
      <w:sz w:val="28"/>
      <w:szCs w:val="24"/>
      <w:lang w:val="en-GB" w:eastAsia="de-DE"/>
    </w:rPr>
  </w:style>
  <w:style w:type="character" w:customStyle="1" w:styleId="Nagwek5Znak">
    <w:name w:val="Nagłówek 5 Znak"/>
    <w:basedOn w:val="Domylnaczcionkaakapitu"/>
    <w:link w:val="Nagwek5"/>
    <w:uiPriority w:val="9"/>
    <w:rsid w:val="007E7997"/>
    <w:rPr>
      <w:rFonts w:asciiTheme="majorHAnsi" w:eastAsiaTheme="majorEastAsia" w:hAnsiTheme="majorHAnsi" w:cstheme="majorBidi"/>
      <w:color w:val="181818" w:themeColor="background1" w:themeShade="1A"/>
      <w:sz w:val="22"/>
      <w:szCs w:val="22"/>
      <w:lang w:val="en-GB"/>
    </w:rPr>
  </w:style>
  <w:style w:type="paragraph" w:styleId="Tekstpodstawowy">
    <w:name w:val="Body Text"/>
    <w:basedOn w:val="Normalny"/>
    <w:link w:val="TekstpodstawowyZnak"/>
    <w:uiPriority w:val="99"/>
    <w:semiHidden/>
    <w:unhideWhenUsed/>
    <w:rsid w:val="00044C5A"/>
  </w:style>
  <w:style w:type="character" w:customStyle="1" w:styleId="TekstpodstawowyZnak">
    <w:name w:val="Tekst podstawowy Znak"/>
    <w:basedOn w:val="Domylnaczcionkaakapitu"/>
    <w:link w:val="Tekstpodstawowy"/>
    <w:uiPriority w:val="99"/>
    <w:semiHidden/>
    <w:rsid w:val="00044C5A"/>
    <w:rPr>
      <w:rFonts w:ascii="Arial" w:eastAsiaTheme="minorEastAsia" w:hAnsi="Arial"/>
    </w:rPr>
  </w:style>
  <w:style w:type="paragraph" w:styleId="Tekstpodstawowyzwciciem">
    <w:name w:val="Body Text First Indent"/>
    <w:basedOn w:val="Tekstpodstawowy"/>
    <w:link w:val="TekstpodstawowyzwciciemZnak"/>
    <w:uiPriority w:val="99"/>
    <w:semiHidden/>
    <w:unhideWhenUsed/>
    <w:rsid w:val="00044C5A"/>
    <w:pPr>
      <w:spacing w:after="0"/>
      <w:ind w:firstLine="360"/>
    </w:pPr>
  </w:style>
  <w:style w:type="character" w:customStyle="1" w:styleId="TekstpodstawowyzwciciemZnak">
    <w:name w:val="Tekst podstawowy z wcięciem Znak"/>
    <w:basedOn w:val="TekstpodstawowyZnak"/>
    <w:link w:val="Tekstpodstawowyzwciciem"/>
    <w:uiPriority w:val="99"/>
    <w:semiHidden/>
    <w:rsid w:val="00044C5A"/>
    <w:rPr>
      <w:rFonts w:ascii="Arial" w:eastAsiaTheme="minorEastAsia" w:hAnsi="Arial"/>
    </w:rPr>
  </w:style>
  <w:style w:type="character" w:customStyle="1" w:styleId="Nagwek6Znak">
    <w:name w:val="Nagłówek 6 Znak"/>
    <w:basedOn w:val="Domylnaczcionkaakapitu"/>
    <w:link w:val="Nagwek6"/>
    <w:uiPriority w:val="9"/>
    <w:semiHidden/>
    <w:rsid w:val="00AA054E"/>
    <w:rPr>
      <w:rFonts w:asciiTheme="majorHAnsi" w:eastAsiaTheme="majorEastAsia" w:hAnsiTheme="majorHAnsi" w:cstheme="majorBidi"/>
      <w:i/>
      <w:iCs/>
      <w:color w:val="007EFF" w:themeColor="text2"/>
      <w:sz w:val="21"/>
      <w:szCs w:val="21"/>
      <w:lang w:val="en-GB"/>
    </w:rPr>
  </w:style>
  <w:style w:type="paragraph" w:styleId="Tytu">
    <w:name w:val="Title"/>
    <w:basedOn w:val="Normalny"/>
    <w:next w:val="Normalny"/>
    <w:link w:val="TytuZnak"/>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ytuZnak">
    <w:name w:val="Tytuł Znak"/>
    <w:basedOn w:val="Domylnaczcionkaakapitu"/>
    <w:link w:val="Tytu"/>
    <w:uiPriority w:val="10"/>
    <w:rsid w:val="00516CBA"/>
    <w:rPr>
      <w:rFonts w:asciiTheme="majorHAnsi" w:eastAsiaTheme="majorEastAsia" w:hAnsiTheme="majorHAnsi" w:cstheme="majorBidi"/>
      <w:b/>
      <w:color w:val="00379F" w:themeColor="text1"/>
      <w:spacing w:val="-10"/>
      <w:sz w:val="56"/>
      <w:szCs w:val="56"/>
      <w:lang w:val="en-GB"/>
    </w:rPr>
  </w:style>
  <w:style w:type="paragraph" w:styleId="Podtytu">
    <w:name w:val="Subtitle"/>
    <w:basedOn w:val="Normalny"/>
    <w:next w:val="Normalny"/>
    <w:link w:val="PodtytuZnak"/>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PodtytuZnak">
    <w:name w:val="Podtytuł Znak"/>
    <w:basedOn w:val="Domylnaczcionkaakapitu"/>
    <w:link w:val="Podtytu"/>
    <w:uiPriority w:val="11"/>
    <w:rsid w:val="0082744A"/>
    <w:rPr>
      <w:rFonts w:asciiTheme="majorHAnsi" w:eastAsiaTheme="majorEastAsia" w:hAnsiTheme="majorHAnsi" w:cstheme="majorBidi"/>
      <w:sz w:val="28"/>
      <w:szCs w:val="24"/>
      <w:lang w:val="en-GB"/>
    </w:rPr>
  </w:style>
  <w:style w:type="character" w:customStyle="1" w:styleId="Nagwek7Znak">
    <w:name w:val="Nagłówek 7 Znak"/>
    <w:basedOn w:val="Domylnaczcionkaakapitu"/>
    <w:link w:val="Nagwek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Nagwek8Znak">
    <w:name w:val="Nagłówek 8 Znak"/>
    <w:basedOn w:val="Domylnaczcionkaakapitu"/>
    <w:link w:val="Nagwek8"/>
    <w:uiPriority w:val="9"/>
    <w:semiHidden/>
    <w:rsid w:val="00AA054E"/>
    <w:rPr>
      <w:rFonts w:asciiTheme="majorHAnsi" w:eastAsiaTheme="majorEastAsia" w:hAnsiTheme="majorHAnsi" w:cstheme="majorBidi"/>
      <w:b/>
      <w:bCs/>
      <w:color w:val="007EFF" w:themeColor="text2"/>
      <w:sz w:val="22"/>
      <w:lang w:val="en-GB"/>
    </w:rPr>
  </w:style>
  <w:style w:type="character" w:customStyle="1" w:styleId="Nagwek9Znak">
    <w:name w:val="Nagłówek 9 Znak"/>
    <w:basedOn w:val="Domylnaczcionkaakapitu"/>
    <w:link w:val="Nagwek9"/>
    <w:uiPriority w:val="9"/>
    <w:semiHidden/>
    <w:rsid w:val="00AA054E"/>
    <w:rPr>
      <w:rFonts w:asciiTheme="majorHAnsi" w:eastAsiaTheme="majorEastAsia" w:hAnsiTheme="majorHAnsi" w:cstheme="majorBidi"/>
      <w:b/>
      <w:bCs/>
      <w:i/>
      <w:iCs/>
      <w:color w:val="007EFF" w:themeColor="text2"/>
      <w:sz w:val="22"/>
      <w:lang w:val="en-GB"/>
    </w:rPr>
  </w:style>
  <w:style w:type="paragraph" w:styleId="Legenda">
    <w:name w:val="caption"/>
    <w:basedOn w:val="Normalny"/>
    <w:next w:val="Normalny"/>
    <w:uiPriority w:val="35"/>
    <w:semiHidden/>
    <w:unhideWhenUsed/>
    <w:qFormat/>
    <w:rsid w:val="00AA054E"/>
    <w:pPr>
      <w:spacing w:line="240" w:lineRule="auto"/>
    </w:pPr>
    <w:rPr>
      <w:b/>
      <w:bCs/>
      <w:smallCaps/>
      <w:color w:val="1A69FF" w:themeColor="text1" w:themeTint="A6"/>
      <w:spacing w:val="6"/>
    </w:rPr>
  </w:style>
  <w:style w:type="character" w:styleId="Pogrubienie">
    <w:name w:val="Strong"/>
    <w:basedOn w:val="Domylnaczcionkaakapitu"/>
    <w:uiPriority w:val="22"/>
    <w:qFormat/>
    <w:rsid w:val="00AA054E"/>
    <w:rPr>
      <w:b/>
      <w:bCs/>
    </w:rPr>
  </w:style>
  <w:style w:type="character" w:styleId="Uwydatnienie">
    <w:name w:val="Emphasis"/>
    <w:basedOn w:val="Domylnaczcionkaakapitu"/>
    <w:uiPriority w:val="20"/>
    <w:qFormat/>
    <w:rsid w:val="00AA054E"/>
    <w:rPr>
      <w:i/>
      <w:iCs/>
    </w:rPr>
  </w:style>
  <w:style w:type="paragraph" w:styleId="Cytat">
    <w:name w:val="Quote"/>
    <w:basedOn w:val="Normalny"/>
    <w:next w:val="Normalny"/>
    <w:link w:val="CytatZnak"/>
    <w:uiPriority w:val="29"/>
    <w:qFormat/>
    <w:rsid w:val="00AA054E"/>
    <w:pPr>
      <w:spacing w:before="160"/>
      <w:ind w:left="720" w:right="720"/>
    </w:pPr>
    <w:rPr>
      <w:i/>
      <w:iCs/>
      <w:color w:val="0055F7" w:themeColor="text1" w:themeTint="BF"/>
    </w:rPr>
  </w:style>
  <w:style w:type="character" w:customStyle="1" w:styleId="CytatZnak">
    <w:name w:val="Cytat Znak"/>
    <w:basedOn w:val="Domylnaczcionkaakapitu"/>
    <w:link w:val="Cytat"/>
    <w:uiPriority w:val="29"/>
    <w:rsid w:val="00AA054E"/>
    <w:rPr>
      <w:i/>
      <w:iCs/>
      <w:color w:val="0055F7" w:themeColor="text1" w:themeTint="BF"/>
    </w:rPr>
  </w:style>
  <w:style w:type="paragraph" w:styleId="Cytatintensywny">
    <w:name w:val="Intense Quote"/>
    <w:basedOn w:val="Normalny"/>
    <w:next w:val="Normalny"/>
    <w:link w:val="CytatintensywnyZnak"/>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CytatintensywnyZnak">
    <w:name w:val="Cytat intensywny Znak"/>
    <w:basedOn w:val="Domylnaczcionkaakapitu"/>
    <w:link w:val="Cytatintensywny"/>
    <w:uiPriority w:val="30"/>
    <w:rsid w:val="00AA054E"/>
    <w:rPr>
      <w:rFonts w:asciiTheme="majorHAnsi" w:eastAsiaTheme="majorEastAsia" w:hAnsiTheme="majorHAnsi" w:cstheme="majorBidi"/>
      <w:color w:val="34009F" w:themeColor="accent1"/>
      <w:sz w:val="28"/>
      <w:szCs w:val="28"/>
    </w:rPr>
  </w:style>
  <w:style w:type="character" w:styleId="Wyrnieniedelikatne">
    <w:name w:val="Subtle Emphasis"/>
    <w:basedOn w:val="Domylnaczcionkaakapitu"/>
    <w:uiPriority w:val="19"/>
    <w:qFormat/>
    <w:rsid w:val="00AA054E"/>
    <w:rPr>
      <w:i/>
      <w:iCs/>
      <w:color w:val="0055F7" w:themeColor="text1" w:themeTint="BF"/>
    </w:rPr>
  </w:style>
  <w:style w:type="character" w:styleId="Wyrnienieintensywne">
    <w:name w:val="Intense Emphasis"/>
    <w:basedOn w:val="Domylnaczcionkaakapitu"/>
    <w:uiPriority w:val="21"/>
    <w:qFormat/>
    <w:rsid w:val="00AA054E"/>
    <w:rPr>
      <w:b/>
      <w:bCs/>
      <w:i/>
      <w:iCs/>
    </w:rPr>
  </w:style>
  <w:style w:type="character" w:styleId="Odwoaniedelikatne">
    <w:name w:val="Subtle Reference"/>
    <w:basedOn w:val="Domylnaczcionkaakapitu"/>
    <w:uiPriority w:val="31"/>
    <w:qFormat/>
    <w:rsid w:val="00AA054E"/>
    <w:rPr>
      <w:smallCaps/>
      <w:color w:val="0055F7" w:themeColor="text1" w:themeTint="BF"/>
      <w:u w:val="single" w:color="4E8BFF" w:themeColor="text1" w:themeTint="80"/>
    </w:rPr>
  </w:style>
  <w:style w:type="character" w:styleId="Odwoanieintensywne">
    <w:name w:val="Intense Reference"/>
    <w:basedOn w:val="Domylnaczcionkaakapitu"/>
    <w:uiPriority w:val="32"/>
    <w:qFormat/>
    <w:rsid w:val="00AA054E"/>
    <w:rPr>
      <w:b/>
      <w:bCs/>
      <w:smallCaps/>
      <w:spacing w:val="5"/>
      <w:u w:val="single"/>
    </w:rPr>
  </w:style>
  <w:style w:type="character" w:styleId="Tytuksiki">
    <w:name w:val="Book Title"/>
    <w:basedOn w:val="Domylnaczcionkaakapitu"/>
    <w:uiPriority w:val="33"/>
    <w:qFormat/>
    <w:rsid w:val="00AA054E"/>
    <w:rPr>
      <w:b/>
      <w:bCs/>
      <w:smallCaps/>
    </w:rPr>
  </w:style>
  <w:style w:type="paragraph" w:styleId="Nagwekspisutreci">
    <w:name w:val="TOC Heading"/>
    <w:basedOn w:val="Nagwek1"/>
    <w:next w:val="Normalny"/>
    <w:uiPriority w:val="39"/>
    <w:unhideWhenUsed/>
    <w:qFormat/>
    <w:rsid w:val="00F205B9"/>
    <w:pPr>
      <w:numPr>
        <w:numId w:val="0"/>
      </w:numPr>
      <w:outlineLvl w:val="9"/>
    </w:pPr>
  </w:style>
  <w:style w:type="character" w:customStyle="1" w:styleId="BezodstpwZnak">
    <w:name w:val="Bez odstępów Znak"/>
    <w:basedOn w:val="Domylnaczcionkaakapitu"/>
    <w:link w:val="Bezodstpw"/>
    <w:uiPriority w:val="1"/>
    <w:rsid w:val="005B6B12"/>
    <w:rPr>
      <w:lang w:val="en-GB"/>
    </w:rPr>
  </w:style>
  <w:style w:type="paragraph" w:styleId="Nagwek">
    <w:name w:val="header"/>
    <w:basedOn w:val="Normalny"/>
    <w:link w:val="NagwekZnak"/>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NagwekZnak">
    <w:name w:val="Nagłówek Znak"/>
    <w:basedOn w:val="Domylnaczcionkaakapitu"/>
    <w:link w:val="Nagwek"/>
    <w:rsid w:val="00AF6B1E"/>
    <w:rPr>
      <w:color w:val="001B4F" w:themeColor="text1" w:themeShade="80"/>
      <w:sz w:val="16"/>
      <w:lang w:val="en-GB"/>
    </w:rPr>
  </w:style>
  <w:style w:type="paragraph" w:styleId="Stopka">
    <w:name w:val="footer"/>
    <w:basedOn w:val="Normalny"/>
    <w:link w:val="StopkaZnak"/>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StopkaZnak">
    <w:name w:val="Stopka Znak"/>
    <w:basedOn w:val="Domylnaczcionkaakapitu"/>
    <w:link w:val="Stopka"/>
    <w:uiPriority w:val="99"/>
    <w:rsid w:val="004E5FF8"/>
    <w:rPr>
      <w:color w:val="001B4F" w:themeColor="text1" w:themeShade="80"/>
      <w:sz w:val="16"/>
      <w:lang w:val="en-GB"/>
    </w:rPr>
  </w:style>
  <w:style w:type="paragraph" w:customStyle="1" w:styleId="00aPagenumber">
    <w:name w:val="00a_Page number"/>
    <w:basedOn w:val="Normalny"/>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ny"/>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Spistreci1">
    <w:name w:val="toc 1"/>
    <w:basedOn w:val="Normalny"/>
    <w:next w:val="Normalny"/>
    <w:uiPriority w:val="39"/>
    <w:unhideWhenUsed/>
    <w:qFormat/>
    <w:rsid w:val="00F205B9"/>
    <w:pPr>
      <w:framePr w:hSpace="180" w:wrap="around" w:vAnchor="text" w:hAnchor="margin" w:y="115"/>
      <w:tabs>
        <w:tab w:val="left" w:pos="440"/>
        <w:tab w:val="right" w:leader="dot" w:pos="9062"/>
      </w:tabs>
      <w:spacing w:after="100"/>
    </w:pPr>
  </w:style>
  <w:style w:type="paragraph" w:styleId="Spistreci2">
    <w:name w:val="toc 2"/>
    <w:basedOn w:val="Spistreci1"/>
    <w:next w:val="Normalny"/>
    <w:uiPriority w:val="39"/>
    <w:unhideWhenUsed/>
    <w:qFormat/>
    <w:rsid w:val="00F205B9"/>
    <w:pPr>
      <w:framePr w:wrap="around"/>
      <w:tabs>
        <w:tab w:val="right" w:leader="dot" w:pos="440"/>
      </w:tabs>
      <w:ind w:left="220"/>
    </w:pPr>
  </w:style>
  <w:style w:type="paragraph" w:styleId="Spistreci3">
    <w:name w:val="toc 3"/>
    <w:basedOn w:val="Spistreci1"/>
    <w:next w:val="Normalny"/>
    <w:uiPriority w:val="39"/>
    <w:unhideWhenUsed/>
    <w:qFormat/>
    <w:rsid w:val="00AD0B10"/>
    <w:pPr>
      <w:framePr w:wrap="around"/>
      <w:ind w:left="442"/>
    </w:pPr>
  </w:style>
  <w:style w:type="character" w:styleId="Hipercze">
    <w:name w:val="Hyperlink"/>
    <w:basedOn w:val="Domylnaczcionkaakapitu"/>
    <w:uiPriority w:val="99"/>
    <w:unhideWhenUsed/>
    <w:qFormat/>
    <w:rsid w:val="000C1E78"/>
    <w:rPr>
      <w:color w:val="005EBF" w:themeColor="text2" w:themeShade="BF"/>
      <w:u w:val="single"/>
    </w:rPr>
  </w:style>
  <w:style w:type="paragraph" w:customStyle="1" w:styleId="Questionstyle">
    <w:name w:val="Question style"/>
    <w:basedOn w:val="Normalny"/>
    <w:next w:val="Normalny"/>
    <w:link w:val="QuestionstyleChar"/>
    <w:autoRedefine/>
    <w:qFormat/>
    <w:rsid w:val="00C5469A"/>
    <w:pPr>
      <w:tabs>
        <w:tab w:val="left" w:pos="567"/>
      </w:tabs>
      <w:ind w:hanging="360"/>
      <w:contextualSpacing/>
    </w:pPr>
    <w:rPr>
      <w:b/>
    </w:rPr>
  </w:style>
  <w:style w:type="character" w:customStyle="1" w:styleId="QuestionstyleChar">
    <w:name w:val="Question style Char"/>
    <w:basedOn w:val="Domylnaczcionkaakapitu"/>
    <w:link w:val="Questionstyle"/>
    <w:rsid w:val="00C5469A"/>
    <w:rPr>
      <w:b/>
      <w:color w:val="181818" w:themeColor="background1" w:themeShade="1A"/>
      <w:sz w:val="22"/>
      <w:lang w:val="en-GB"/>
    </w:rPr>
  </w:style>
  <w:style w:type="paragraph" w:customStyle="1" w:styleId="Listing2">
    <w:name w:val="Listing2"/>
    <w:basedOn w:val="Normalny"/>
    <w:link w:val="Listing2Char"/>
    <w:autoRedefine/>
    <w:rsid w:val="00DF3785"/>
  </w:style>
  <w:style w:type="character" w:customStyle="1" w:styleId="Listing2Char">
    <w:name w:val="Listing2 Char"/>
    <w:basedOn w:val="Domylnaczcionkaakapitu"/>
    <w:link w:val="Listing2"/>
    <w:rsid w:val="00DF3785"/>
    <w:rPr>
      <w:lang w:val="en-GB"/>
    </w:rPr>
  </w:style>
  <w:style w:type="table" w:styleId="Tabela-Siatka">
    <w:name w:val="Table Grid"/>
    <w:basedOn w:val="Standardowy"/>
    <w:uiPriority w:val="5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50534"/>
    <w:pPr>
      <w:spacing w:after="0" w:line="240" w:lineRule="auto"/>
    </w:pPr>
  </w:style>
  <w:style w:type="character" w:customStyle="1" w:styleId="TekstprzypisukocowegoZnak">
    <w:name w:val="Tekst przypisu końcowego Znak"/>
    <w:basedOn w:val="Domylnaczcionkaakapitu"/>
    <w:link w:val="Tekstprzypisukocowego"/>
    <w:uiPriority w:val="99"/>
    <w:semiHidden/>
    <w:rsid w:val="00B50534"/>
    <w:rPr>
      <w:lang w:val="en-GB"/>
    </w:rPr>
  </w:style>
  <w:style w:type="character" w:styleId="Odwoanieprzypisukocowego">
    <w:name w:val="endnote reference"/>
    <w:basedOn w:val="Domylnaczcionkaakapitu"/>
    <w:uiPriority w:val="99"/>
    <w:semiHidden/>
    <w:unhideWhenUsed/>
    <w:rsid w:val="00B50534"/>
    <w:rPr>
      <w:vertAlign w:val="superscript"/>
    </w:rPr>
  </w:style>
  <w:style w:type="paragraph" w:styleId="Tekstprzypisudolnego">
    <w:name w:val="footnote text"/>
    <w:basedOn w:val="Normalny"/>
    <w:link w:val="TekstprzypisudolnegoZnak"/>
    <w:autoRedefine/>
    <w:uiPriority w:val="99"/>
    <w:unhideWhenUsed/>
    <w:qFormat/>
    <w:rsid w:val="007A1A9D"/>
    <w:pPr>
      <w:spacing w:after="0" w:line="240" w:lineRule="auto"/>
    </w:pPr>
    <w:rPr>
      <w:sz w:val="16"/>
    </w:rPr>
  </w:style>
  <w:style w:type="character" w:customStyle="1" w:styleId="TekstprzypisudolnegoZnak">
    <w:name w:val="Tekst przypisu dolnego Znak"/>
    <w:basedOn w:val="Domylnaczcionkaakapitu"/>
    <w:link w:val="Tekstprzypisudolnego"/>
    <w:uiPriority w:val="99"/>
    <w:rsid w:val="007A1A9D"/>
    <w:rPr>
      <w:color w:val="181818" w:themeColor="background1" w:themeShade="1A"/>
      <w:sz w:val="16"/>
      <w:lang w:val="en-GB"/>
    </w:rPr>
  </w:style>
  <w:style w:type="character" w:styleId="Odwoanieprzypisudolnego">
    <w:name w:val="footnote reference"/>
    <w:basedOn w:val="Domylnaczcionkaakapitu"/>
    <w:uiPriority w:val="99"/>
    <w:semiHidden/>
    <w:unhideWhenUsed/>
    <w:qFormat/>
    <w:rsid w:val="00A91D91"/>
    <w:rPr>
      <w:rFonts w:asciiTheme="majorHAnsi" w:hAnsiTheme="majorHAnsi"/>
      <w:sz w:val="16"/>
      <w:vertAlign w:val="superscript"/>
    </w:rPr>
  </w:style>
  <w:style w:type="paragraph" w:customStyle="1" w:styleId="Footnote">
    <w:name w:val="Footnote"/>
    <w:basedOn w:val="Tekstprzypisudolnego"/>
    <w:link w:val="FootnoteChar"/>
    <w:qFormat/>
    <w:rsid w:val="00672C04"/>
    <w:pPr>
      <w:ind w:left="454" w:hanging="454"/>
    </w:pPr>
    <w:rPr>
      <w:lang w:val="nl-BE"/>
    </w:rPr>
  </w:style>
  <w:style w:type="character" w:customStyle="1" w:styleId="FootnoteChar">
    <w:name w:val="Footnote Char"/>
    <w:basedOn w:val="TekstprzypisudolnegoZnak"/>
    <w:link w:val="Footnote"/>
    <w:rsid w:val="00672C04"/>
    <w:rPr>
      <w:color w:val="181818" w:themeColor="background1" w:themeShade="1A"/>
      <w:sz w:val="16"/>
      <w:lang w:val="en-GB"/>
    </w:rPr>
  </w:style>
  <w:style w:type="table" w:customStyle="1" w:styleId="GridTable4-Accent11">
    <w:name w:val="Grid Table 4 - Accent 11"/>
    <w:basedOn w:val="Standardowy"/>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Tekstdymka">
    <w:name w:val="Balloon Text"/>
    <w:basedOn w:val="Normalny"/>
    <w:link w:val="TekstdymkaZnak"/>
    <w:uiPriority w:val="99"/>
    <w:semiHidden/>
    <w:unhideWhenUsed/>
    <w:rsid w:val="007151B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151BF"/>
    <w:rPr>
      <w:rFonts w:ascii="Tahoma" w:hAnsi="Tahoma" w:cs="Tahoma"/>
      <w:sz w:val="16"/>
      <w:szCs w:val="16"/>
      <w:lang w:val="en-GB"/>
    </w:rPr>
  </w:style>
  <w:style w:type="paragraph" w:styleId="Spistreci4">
    <w:name w:val="toc 4"/>
    <w:basedOn w:val="Spistreci1"/>
    <w:next w:val="Normalny"/>
    <w:uiPriority w:val="39"/>
    <w:unhideWhenUsed/>
    <w:qFormat/>
    <w:rsid w:val="00F205B9"/>
    <w:pPr>
      <w:framePr w:wrap="around"/>
      <w:ind w:left="660"/>
    </w:pPr>
  </w:style>
  <w:style w:type="character" w:styleId="Odwoaniedokomentarza">
    <w:name w:val="annotation reference"/>
    <w:basedOn w:val="Domylnaczcionkaakapitu"/>
    <w:uiPriority w:val="99"/>
    <w:semiHidden/>
    <w:unhideWhenUsed/>
    <w:rsid w:val="00D33C31"/>
    <w:rPr>
      <w:sz w:val="16"/>
      <w:szCs w:val="16"/>
    </w:rPr>
  </w:style>
  <w:style w:type="paragraph" w:styleId="Tekstkomentarza">
    <w:name w:val="annotation text"/>
    <w:basedOn w:val="Normalny"/>
    <w:link w:val="TekstkomentarzaZnak"/>
    <w:uiPriority w:val="99"/>
    <w:unhideWhenUsed/>
    <w:rsid w:val="00D33C31"/>
    <w:pPr>
      <w:spacing w:line="240" w:lineRule="auto"/>
    </w:pPr>
    <w:rPr>
      <w:sz w:val="20"/>
    </w:rPr>
  </w:style>
  <w:style w:type="character" w:customStyle="1" w:styleId="TekstkomentarzaZnak">
    <w:name w:val="Tekst komentarza Znak"/>
    <w:basedOn w:val="Domylnaczcionkaakapitu"/>
    <w:link w:val="Tekstkomentarza"/>
    <w:uiPriority w:val="99"/>
    <w:rsid w:val="00D33C31"/>
    <w:rPr>
      <w:lang w:val="en-GB"/>
    </w:rPr>
  </w:style>
  <w:style w:type="paragraph" w:styleId="Tematkomentarza">
    <w:name w:val="annotation subject"/>
    <w:basedOn w:val="Tekstkomentarza"/>
    <w:next w:val="Tekstkomentarza"/>
    <w:link w:val="TematkomentarzaZnak"/>
    <w:uiPriority w:val="99"/>
    <w:semiHidden/>
    <w:unhideWhenUsed/>
    <w:rsid w:val="00D33C31"/>
    <w:rPr>
      <w:b/>
      <w:bCs/>
    </w:rPr>
  </w:style>
  <w:style w:type="character" w:customStyle="1" w:styleId="TematkomentarzaZnak">
    <w:name w:val="Temat komentarza Znak"/>
    <w:basedOn w:val="TekstkomentarzaZnak"/>
    <w:link w:val="Tematkomentarza"/>
    <w:uiPriority w:val="99"/>
    <w:semiHidden/>
    <w:rsid w:val="00D33C31"/>
    <w:rPr>
      <w:b/>
      <w:bCs/>
      <w:lang w:val="en-GB"/>
    </w:rPr>
  </w:style>
  <w:style w:type="character" w:styleId="Nierozpoznanawzmianka">
    <w:name w:val="Unresolved Mention"/>
    <w:basedOn w:val="Domylnaczcionkaakapitu"/>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Pogrubienie"/>
    <w:uiPriority w:val="1"/>
    <w:qFormat/>
    <w:rsid w:val="008858FE"/>
    <w:rPr>
      <w:b w:val="0"/>
      <w:bCs/>
      <w:caps/>
      <w:smallCaps w:val="0"/>
      <w:color w:val="FF0000" w:themeColor="accent6"/>
      <w:sz w:val="22"/>
    </w:rPr>
  </w:style>
  <w:style w:type="paragraph" w:customStyle="1" w:styleId="Disclaimer">
    <w:name w:val="Disclaimer"/>
    <w:basedOn w:val="Normalny"/>
    <w:qFormat/>
    <w:rsid w:val="00906D18"/>
    <w:rPr>
      <w:i/>
      <w:iCs/>
      <w:sz w:val="18"/>
      <w:szCs w:val="18"/>
    </w:rPr>
  </w:style>
  <w:style w:type="paragraph" w:customStyle="1" w:styleId="ESMAHeader">
    <w:name w:val="ESMA Header"/>
    <w:basedOn w:val="Nagwek"/>
    <w:qFormat/>
    <w:rsid w:val="00AF6B1E"/>
  </w:style>
  <w:style w:type="paragraph" w:customStyle="1" w:styleId="Pageheader">
    <w:name w:val="Page header"/>
    <w:basedOn w:val="Nagwek"/>
    <w:next w:val="Nagwek"/>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ny"/>
    <w:qFormat/>
    <w:rsid w:val="00F205B9"/>
    <w:rPr>
      <w:rFonts w:ascii="Arial" w:eastAsia="Times New Roman" w:hAnsi="Arial" w:cs="Arial"/>
      <w:sz w:val="18"/>
      <w:szCs w:val="18"/>
      <w:lang w:eastAsia="de-DE"/>
    </w:rPr>
  </w:style>
  <w:style w:type="paragraph" w:styleId="Spistreci5">
    <w:name w:val="toc 5"/>
    <w:basedOn w:val="Normalny"/>
    <w:next w:val="Normalny"/>
    <w:uiPriority w:val="39"/>
    <w:semiHidden/>
    <w:unhideWhenUsed/>
    <w:qFormat/>
    <w:rsid w:val="00F205B9"/>
    <w:pPr>
      <w:spacing w:after="100"/>
      <w:ind w:left="880"/>
    </w:pPr>
  </w:style>
  <w:style w:type="paragraph" w:styleId="Spistreci6">
    <w:name w:val="toc 6"/>
    <w:basedOn w:val="Normalny"/>
    <w:next w:val="Normalny"/>
    <w:uiPriority w:val="39"/>
    <w:semiHidden/>
    <w:unhideWhenUsed/>
    <w:qFormat/>
    <w:rsid w:val="00F205B9"/>
    <w:pPr>
      <w:spacing w:after="100"/>
      <w:ind w:left="1100"/>
    </w:pPr>
  </w:style>
  <w:style w:type="paragraph" w:styleId="Spistreci7">
    <w:name w:val="toc 7"/>
    <w:basedOn w:val="Normalny"/>
    <w:next w:val="Normalny"/>
    <w:uiPriority w:val="39"/>
    <w:semiHidden/>
    <w:unhideWhenUsed/>
    <w:qFormat/>
    <w:rsid w:val="00F205B9"/>
    <w:pPr>
      <w:spacing w:after="100"/>
      <w:ind w:left="1320"/>
    </w:pPr>
  </w:style>
  <w:style w:type="paragraph" w:styleId="Spistreci8">
    <w:name w:val="toc 8"/>
    <w:basedOn w:val="Normalny"/>
    <w:next w:val="Normalny"/>
    <w:uiPriority w:val="39"/>
    <w:semiHidden/>
    <w:unhideWhenUsed/>
    <w:qFormat/>
    <w:rsid w:val="00F205B9"/>
    <w:pPr>
      <w:spacing w:after="100"/>
      <w:ind w:left="1540"/>
    </w:pPr>
  </w:style>
  <w:style w:type="paragraph" w:styleId="Spistreci9">
    <w:name w:val="toc 9"/>
    <w:basedOn w:val="Normalny"/>
    <w:next w:val="Normalny"/>
    <w:uiPriority w:val="39"/>
    <w:semiHidden/>
    <w:unhideWhenUsed/>
    <w:qFormat/>
    <w:rsid w:val="00F205B9"/>
    <w:pPr>
      <w:spacing w:after="100"/>
      <w:ind w:left="1760"/>
    </w:pPr>
  </w:style>
  <w:style w:type="character" w:styleId="UyteHipercze">
    <w:name w:val="FollowedHyperlink"/>
    <w:basedOn w:val="Domylnaczcionkaakapitu"/>
    <w:uiPriority w:val="99"/>
    <w:semiHidden/>
    <w:unhideWhenUsed/>
    <w:rsid w:val="0043139E"/>
    <w:rPr>
      <w:color w:val="0174AF" w:themeColor="followedHyperlink"/>
      <w:u w:val="single"/>
    </w:rPr>
  </w:style>
  <w:style w:type="character" w:customStyle="1" w:styleId="AkapitzlistZnak">
    <w:name w:val="Akapit z listą Znak"/>
    <w:aliases w:val="Paragraphe EI Znak,Paragraphe de liste1 Znak,EC Znak"/>
    <w:link w:val="Akapitzlist"/>
    <w:uiPriority w:val="34"/>
    <w:locked/>
    <w:rsid w:val="00EC6066"/>
    <w:rPr>
      <w:rFonts w:asciiTheme="majorHAnsi" w:hAnsiTheme="majorHAnsi" w:cstheme="majorHAnsi"/>
      <w:color w:val="181818" w:themeColor="background1" w:themeShade="1A"/>
      <w:sz w:val="22"/>
      <w:szCs w:val="22"/>
      <w:lang w:val="pt-PT"/>
    </w:rPr>
  </w:style>
  <w:style w:type="paragraph" w:styleId="Poprawka">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ny"/>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omylnaczcionkaakapitu"/>
    <w:rsid w:val="00061F32"/>
    <w:rPr>
      <w:rFonts w:ascii="Segoe UI" w:hAnsi="Segoe UI" w:cs="Segoe UI" w:hint="default"/>
      <w:sz w:val="18"/>
      <w:szCs w:val="18"/>
    </w:rPr>
  </w:style>
  <w:style w:type="character" w:customStyle="1" w:styleId="cf11">
    <w:name w:val="cf11"/>
    <w:basedOn w:val="Domylnaczcionkaakapitu"/>
    <w:rsid w:val="00061F32"/>
    <w:rPr>
      <w:rFonts w:ascii="Segoe UI" w:hAnsi="Segoe UI" w:cs="Segoe UI" w:hint="default"/>
      <w:color w:val="333333"/>
      <w:sz w:val="18"/>
      <w:szCs w:val="18"/>
      <w:shd w:val="clear" w:color="auto" w:fill="FFFFFF"/>
    </w:rPr>
  </w:style>
  <w:style w:type="character" w:styleId="Wzmianka">
    <w:name w:val="Mention"/>
    <w:basedOn w:val="Domylnaczcionkaakapitu"/>
    <w:uiPriority w:val="99"/>
    <w:unhideWhenUsed/>
    <w:rsid w:val="00251F26"/>
    <w:rPr>
      <w:color w:val="2B579A"/>
      <w:shd w:val="clear" w:color="auto" w:fill="E1DFDD"/>
    </w:rPr>
  </w:style>
  <w:style w:type="character" w:styleId="Tekstzastpczy">
    <w:name w:val="Placeholder Text"/>
    <w:basedOn w:val="Domylnaczcionkaakapitu"/>
    <w:uiPriority w:val="99"/>
    <w:semiHidden/>
    <w:rsid w:val="00635BCA"/>
    <w:rPr>
      <w:color w:val="808080"/>
    </w:rPr>
  </w:style>
  <w:style w:type="paragraph" w:customStyle="1" w:styleId="para">
    <w:name w:val="para"/>
    <w:basedOn w:val="Akapitzlist"/>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omylnaczcionkaakapitu"/>
    <w:link w:val="para"/>
    <w:rsid w:val="00641F03"/>
    <w:rPr>
      <w:bCs/>
      <w:iCs/>
      <w:color w:val="181818" w:themeColor="background1" w:themeShade="1A"/>
      <w:sz w:val="22"/>
      <w:lang w:val="en-GB"/>
    </w:rPr>
  </w:style>
  <w:style w:type="paragraph" w:customStyle="1" w:styleId="CM4">
    <w:name w:val="CM4"/>
    <w:basedOn w:val="Normalny"/>
    <w:next w:val="Normalny"/>
    <w:uiPriority w:val="99"/>
    <w:rsid w:val="00080DF5"/>
    <w:pPr>
      <w:autoSpaceDE w:val="0"/>
      <w:autoSpaceDN w:val="0"/>
      <w:adjustRightInd w:val="0"/>
      <w:spacing w:after="0" w:line="240" w:lineRule="auto"/>
      <w:jc w:val="left"/>
    </w:pPr>
    <w:rPr>
      <w:rFonts w:ascii="Times New Roman" w:hAnsi="Times New Roman" w:cs="Times New Roman"/>
      <w:color w:val="auto"/>
      <w:sz w:val="24"/>
      <w:szCs w:val="24"/>
      <w:lang w:val="pl-PL"/>
    </w:rPr>
  </w:style>
  <w:style w:type="paragraph" w:styleId="NormalnyWeb">
    <w:name w:val="Normal (Web)"/>
    <w:basedOn w:val="Normalny"/>
    <w:uiPriority w:val="99"/>
    <w:semiHidden/>
    <w:unhideWhenUsed/>
    <w:rsid w:val="009B5774"/>
    <w:pPr>
      <w:spacing w:before="100" w:beforeAutospacing="1" w:after="100" w:afterAutospacing="1" w:line="240" w:lineRule="auto"/>
      <w:jc w:val="left"/>
    </w:pPr>
    <w:rPr>
      <w:rFonts w:ascii="Times New Roman" w:eastAsia="Times New Roman" w:hAnsi="Times New Roman" w:cs="Times New Roman"/>
      <w:color w:val="auto"/>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26025708">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996346276">
      <w:bodyDiv w:val="1"/>
      <w:marLeft w:val="0"/>
      <w:marRight w:val="0"/>
      <w:marTop w:val="0"/>
      <w:marBottom w:val="0"/>
      <w:divBdr>
        <w:top w:val="none" w:sz="0" w:space="0" w:color="auto"/>
        <w:left w:val="none" w:sz="0" w:space="0" w:color="auto"/>
        <w:bottom w:val="none" w:sz="0" w:space="0" w:color="auto"/>
        <w:right w:val="none" w:sz="0" w:space="0" w:color="auto"/>
      </w:divBdr>
    </w:div>
    <w:div w:id="1020854754">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264146542">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471243233">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03028701">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879853729">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Tekstzastpczy"/>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D40353" w:rsidP="00D40353">
          <w:pPr>
            <w:pStyle w:val="B6E42B0E299148B09DE18600D49992C9"/>
          </w:pPr>
          <w:r w:rsidRPr="00DA1A90">
            <w:rPr>
              <w:rStyle w:val="Tekstzastpczy"/>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D40353" w:rsidP="00D40353">
          <w:pPr>
            <w:pStyle w:val="2C1105927AE5462D802EE598D84A45F6"/>
          </w:pPr>
          <w:r w:rsidRPr="00DA1A90">
            <w:rPr>
              <w:rStyle w:val="Tekstzastpczy"/>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1D0361"/>
    <w:rsid w:val="0034145D"/>
    <w:rsid w:val="0034375A"/>
    <w:rsid w:val="004D67E0"/>
    <w:rsid w:val="004E4CF9"/>
    <w:rsid w:val="005D66AB"/>
    <w:rsid w:val="006767DA"/>
    <w:rsid w:val="006D3543"/>
    <w:rsid w:val="00813189"/>
    <w:rsid w:val="008222A0"/>
    <w:rsid w:val="00836D47"/>
    <w:rsid w:val="00982D57"/>
    <w:rsid w:val="00993537"/>
    <w:rsid w:val="009B6B9C"/>
    <w:rsid w:val="009C0B17"/>
    <w:rsid w:val="00B22006"/>
    <w:rsid w:val="00B46CAE"/>
    <w:rsid w:val="00D23CAE"/>
    <w:rsid w:val="00D40353"/>
    <w:rsid w:val="00DC3796"/>
    <w:rsid w:val="00DC4211"/>
    <w:rsid w:val="00F814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D67E0"/>
    <w:rPr>
      <w:color w:val="808080"/>
    </w:rPr>
  </w:style>
  <w:style w:type="paragraph" w:customStyle="1" w:styleId="2B0FF21738C1433DBAFB661809AC1F87">
    <w:name w:val="2B0FF21738C1433DBAFB661809AC1F87"/>
    <w:rsid w:val="00B22006"/>
  </w:style>
  <w:style w:type="paragraph" w:customStyle="1" w:styleId="B6E42B0E299148B09DE18600D49992C9">
    <w:name w:val="B6E42B0E299148B09DE18600D49992C9"/>
    <w:rsid w:val="00D40353"/>
    <w:rPr>
      <w:kern w:val="2"/>
      <w14:ligatures w14:val="standardContextual"/>
    </w:rPr>
  </w:style>
  <w:style w:type="paragraph" w:customStyle="1" w:styleId="2C1105927AE5462D802EE598D84A45F6">
    <w:name w:val="2C1105927AE5462D802EE598D84A45F6"/>
    <w:rsid w:val="00D403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267</Value>
      <Value>282</Value>
      <Value>1042</Value>
      <Value>50</Value>
    </TaxCatchAll>
    <_dlc_DocId xmlns="d0fb0f98-34f9-4d57-9559-eb8efd17aa5e">ESMA74-1103241886-1094</_dlc_DocId>
    <_dlc_DocIdUrl xmlns="d0fb0f98-34f9-4d57-9559-eb8efd17aa5e">
      <Url>https://securitiesandmarketsauth.sharepoint.com/sites/sherpa-trdu/_layouts/15/DocIdRedir.aspx?ID=ESMA74-1103241886-1094</Url>
      <Description>ESMA74-1103241886-1094</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Listing Act - Technical Advice</TermName>
          <TermId xmlns="http://schemas.microsoft.com/office/infopath/2007/PartnerControls">c84c1b51-5e45-4443-98ed-256626262106</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2024</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Markets Integrity</TermName>
          <TermId xmlns="http://schemas.microsoft.com/office/infopath/2007/PartnerControls">7754a890-9027-48dc-9ca6-8f2d192660b4</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MAR - Listing Act</TermName>
          <TermId xmlns="http://schemas.microsoft.com/office/infopath/2007/PartnerControls">89e9d275-a97d-4b10-855d-8abac2d32127</TermId>
        </TermInfo>
      </Terms>
    </caa5aeb1a6644849b60fbe2335e12657>
    <SharedWithUsers xmlns="d0fb0f98-34f9-4d57-9559-eb8efd17aa5e">
      <UserInfo>
        <DisplayName>Kian Navid</DisplayName>
        <AccountId>329</AccountId>
        <AccountType/>
      </UserInfo>
      <UserInfo>
        <DisplayName>Christian Winkler</DisplayName>
        <AccountId>215</AccountId>
        <AccountType/>
      </UserInfo>
      <UserInfo>
        <DisplayName>Iris Hude</DisplayName>
        <AccountId>186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MAR Policy Document" ma:contentTypeID="0x0101008D9E5D2C101BA04B85C7EB08C6516E400600B2E39D2582128A48B571D0EA19AF2162" ma:contentTypeVersion="25" ma:contentTypeDescription="" ma:contentTypeScope="" ma:versionID="fcac9e44e85299b0237e481aeb71eb81">
  <xsd:schema xmlns:xsd="http://www.w3.org/2001/XMLSchema" xmlns:xs="http://www.w3.org/2001/XMLSchema" xmlns:p="http://schemas.microsoft.com/office/2006/metadata/properties" xmlns:ns2="d0fb0f98-34f9-4d57-9559-eb8efd17aa5e" xmlns:ns3="31cd2e30-85b0-4a67-ba52-2e1ab097a1d0" targetNamespace="http://schemas.microsoft.com/office/2006/metadata/properties" ma:root="true" ma:fieldsID="6ff363f4b973be23fe759f1090d88343" ns2:_="" ns3:_="">
    <xsd:import namespace="d0fb0f98-34f9-4d57-9559-eb8efd17aa5e"/>
    <xsd:import namespace="31cd2e30-85b0-4a67-ba52-2e1ab097a1d0"/>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e60b3b2e-3a16-4331-bc26-d3e41291ae90"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4f99a58c-742f-4a20-98c8-851f22b5d16e"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cd2e30-85b0-4a67-ba52-2e1ab097a1d0"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2.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3.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4.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5.xml><?xml version="1.0" encoding="utf-8"?>
<ds:datastoreItem xmlns:ds="http://schemas.openxmlformats.org/officeDocument/2006/customXml" ds:itemID="{CC1D51A4-B8B5-4036-AADB-524FBF408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31cd2e30-85b0-4a67-ba52-2e1ab097a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14</Pages>
  <Words>3058</Words>
  <Characters>18348</Characters>
  <Application>Microsoft Office Word</Application>
  <DocSecurity>8</DocSecurity>
  <Lines>152</Lines>
  <Paragraphs>42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#Kategoria: [Wewnętrzne/Nie zawiera danych osobowych]# </cp:keywords>
  <cp:lastModifiedBy>Mariola Prucnal </cp:lastModifiedBy>
  <cp:revision>16</cp:revision>
  <cp:lastPrinted>2023-09-09T00:53:00Z</cp:lastPrinted>
  <dcterms:created xsi:type="dcterms:W3CDTF">2025-02-11T11:31:00Z</dcterms:created>
  <dcterms:modified xsi:type="dcterms:W3CDTF">2025-02-13T13:59:00Z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0x0101008D9E5D2C101BA04B85C7EB08C6516E400600B2E39D2582128A48B571D0EA19AF2162</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9acc7b14-f522-4eb9-ad77-9f478f5094c1</vt:lpwstr>
  </property>
  <property fmtid="{D5CDD505-2E9C-101B-9397-08002B2CF9AE}" pid="8" name="Topic">
    <vt:lpwstr>267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vt:lpwstr>
  </property>
  <property fmtid="{D5CDD505-2E9C-101B-9397-08002B2CF9AE}" pid="14" name="SubTopic">
    <vt:lpwstr>1042</vt:lpwstr>
  </property>
  <property fmtid="{D5CDD505-2E9C-101B-9397-08002B2CF9AE}" pid="15" name="docIndexRef">
    <vt:lpwstr>429706e0-6321-4b50-816f-b8216f725f1e</vt:lpwstr>
  </property>
  <property fmtid="{D5CDD505-2E9C-101B-9397-08002B2CF9AE}" pid="16" name="bjSaver">
    <vt:lpwstr>ufxNj7aHkgzC8Tk8mQiTQLI0JcI+jayZ</vt:lpwstr>
  </property>
  <property fmtid="{D5CDD505-2E9C-101B-9397-08002B2CF9AE}" pid="17" name="bjDocumentLabelXML">
    <vt:lpwstr>&lt;?xml version="1.0" encoding="us-ascii"?&gt;&lt;sisl xmlns:xsd="http://www.w3.org/2001/XMLSchema" xmlns:xsi="http://www.w3.org/2001/XMLSchema-instance" sislVersion="0" policy="9263484a-4811-448b-b935-4ccfcdbbdeea" origin="userSelected" xmlns="http://www.boldonj</vt:lpwstr>
  </property>
  <property fmtid="{D5CDD505-2E9C-101B-9397-08002B2CF9AE}" pid="18" name="bjDocumentLabelXML-0">
    <vt:lpwstr>ames.com/2008/01/sie/internal/label"&gt;&lt;element uid="697367d0-0d11-4d4e-80a2-256155fcabe6" value="" /&gt;&lt;element uid="d9569de3-fae5-4e2d-a5c1-e0a5a3c84173" value="" /&gt;&lt;/sisl&gt;</vt:lpwstr>
  </property>
  <property fmtid="{D5CDD505-2E9C-101B-9397-08002B2CF9AE}" pid="19" name="bjDocumentSecurityLabel">
    <vt:lpwstr>Kategoria: Wewnętrzne/Nie zawiera danych osobowych</vt:lpwstr>
  </property>
</Properties>
</file>