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2ED61AF3" w:rsidR="00563C1F" w:rsidRDefault="00EC6066" w:rsidP="00F72D28">
          <w:pPr>
            <w:pStyle w:val="Titolo"/>
          </w:pPr>
          <w:r>
            <w:t xml:space="preserve">Reply </w:t>
          </w:r>
          <w:r w:rsidR="00DD03DC">
            <w:t>F</w:t>
          </w:r>
          <w:r>
            <w:t>orm</w:t>
          </w:r>
        </w:p>
        <w:p w14:paraId="031F2108" w14:textId="0BCCFFED"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00AE"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sdt>
              <w:sdtPr>
                <w:id w:val="-1802828714"/>
                <w:placeholder>
                  <w:docPart w:val="FAD5D59DFEE24D10910B5C4231E74E2C"/>
                </w:placeholder>
              </w:sdtPr>
              <w:sdtContent>
                <w:tc>
                  <w:tcPr>
                    <w:tcW w:w="4531" w:type="dxa"/>
                  </w:tcPr>
                  <w:p w14:paraId="76683ED7" w14:textId="514C7E01" w:rsidR="00635BCA" w:rsidRPr="00557BD2" w:rsidRDefault="00E859E5" w:rsidP="00D21C35">
                    <w:r>
                      <w:t>Assonime</w:t>
                    </w:r>
                  </w:p>
                </w:tc>
              </w:sdtContent>
            </w:sdt>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0F83C3A4" w:rsidR="00B17279" w:rsidRDefault="008F5A1F"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605104681" w:edGrp="everyone" w:displacedByCustomXml="prev"/>
            <w:tc>
              <w:tcPr>
                <w:tcW w:w="4531" w:type="dxa"/>
              </w:tcPr>
              <w:p w14:paraId="10359AFE" w14:textId="3314F824" w:rsidR="00B17279" w:rsidRDefault="00140880"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44D843F0" w:rsidR="00B17279" w:rsidRPr="00557BD2" w:rsidRDefault="00140880" w:rsidP="00B17279">
                <w:r>
                  <w:t>Italy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olo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74C2A183" w14:textId="77777777" w:rsidR="00D20AA6" w:rsidRDefault="00F81362" w:rsidP="009B1E21">
      <w:permStart w:id="627510576" w:edGrp="everyone"/>
      <w:r>
        <w:t>We agree with the ESMA’ s statement according to which</w:t>
      </w:r>
      <w:r w:rsidR="00FB2697">
        <w:t xml:space="preserve"> a protracted process means a series of several actions or steps spread in time </w:t>
      </w:r>
      <w:r w:rsidR="005972E0">
        <w:t xml:space="preserve">which need to be </w:t>
      </w:r>
      <w:r w:rsidR="00D20AA6">
        <w:t>performed in order to achieve a pre-defined objective or result.</w:t>
      </w:r>
    </w:p>
    <w:permEnd w:id="627510576"/>
    <w:p w14:paraId="0D7538F4" w14:textId="77777777"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20A55BE5" w14:textId="2BA83A00" w:rsidR="007E643F" w:rsidRDefault="00EF73A9" w:rsidP="009B1E21">
      <w:permStart w:id="55053902" w:edGrp="everyone"/>
      <w:r>
        <w:t>Yes,</w:t>
      </w:r>
      <w:r w:rsidR="00853576">
        <w:t xml:space="preserve"> we agree</w:t>
      </w:r>
      <w:r w:rsidR="005A4C25">
        <w:t xml:space="preserve"> with the </w:t>
      </w:r>
      <w:r w:rsidR="007E643F">
        <w:t xml:space="preserve">main </w:t>
      </w:r>
      <w:r w:rsidR="005A4C25">
        <w:t xml:space="preserve">proposed categories: i) protracted processes </w:t>
      </w:r>
      <w:r w:rsidR="00BD7AFE">
        <w:t xml:space="preserve">that are entirely internal to the issuer; ii) processes that involve </w:t>
      </w:r>
      <w:r w:rsidR="00473546">
        <w:t>the issuer and external counterparties; iii) protracted processes</w:t>
      </w:r>
      <w:r w:rsidR="007E643F">
        <w:t xml:space="preserve"> that involve the issuer and public authorities.</w:t>
      </w:r>
    </w:p>
    <w:p w14:paraId="2BFCC126" w14:textId="6A041546" w:rsidR="009E3311" w:rsidRDefault="009E3311" w:rsidP="009B1E21">
      <w:r>
        <w:t>However</w:t>
      </w:r>
      <w:r w:rsidR="00D5705C" w:rsidRPr="00D5705C">
        <w:t xml:space="preserve"> </w:t>
      </w:r>
      <w:r w:rsidR="00D5705C">
        <w:t xml:space="preserve">more topics are illustrated in Annex I and we should refer to them. </w:t>
      </w:r>
    </w:p>
    <w:permEnd w:id="55053902"/>
    <w:p w14:paraId="360DEE1D" w14:textId="000D7DF2"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t>&lt;ESMA_QUESTION_LATA_3&gt;</w:t>
      </w:r>
    </w:p>
    <w:p w14:paraId="20EA46CA" w14:textId="60558BE8" w:rsidR="00BF7D28" w:rsidRDefault="00BF7D28" w:rsidP="009B1E21">
      <w:permStart w:id="783093244" w:edGrp="everyone"/>
      <w:r>
        <w:t>We agree; w</w:t>
      </w:r>
      <w:r w:rsidR="004E3FB2">
        <w:t xml:space="preserve">e </w:t>
      </w:r>
      <w:r w:rsidR="000F422A">
        <w:t>think that</w:t>
      </w:r>
      <w:r w:rsidR="00782C3F">
        <w:t xml:space="preserve"> when processes are entirely internal to issuer</w:t>
      </w:r>
      <w:r w:rsidR="00624DD0">
        <w:t>,</w:t>
      </w:r>
      <w:r w:rsidR="000F422A">
        <w:t xml:space="preserve"> the moment of disclosure should be the moment when the corporate body </w:t>
      </w:r>
      <w:r w:rsidR="00E408AB">
        <w:t>having the decision power has taken the deci</w:t>
      </w:r>
      <w:r>
        <w:t>sion to commit to the outcome of the process.</w:t>
      </w:r>
    </w:p>
    <w:p w14:paraId="4D196716" w14:textId="4526CFE5" w:rsidR="000F5812" w:rsidRDefault="000F5812" w:rsidP="009B1E21">
      <w:r w:rsidRPr="00EE7D9F">
        <w:t>Our</w:t>
      </w:r>
      <w:r w:rsidRPr="00E8724C">
        <w:t xml:space="preserve"> specific</w:t>
      </w:r>
      <w:r w:rsidRPr="00EE7D9F">
        <w:t xml:space="preserve"> r</w:t>
      </w:r>
      <w:r w:rsidRPr="00E8724C">
        <w:t>emarks concerning the two-tier system are provided</w:t>
      </w:r>
      <w:r>
        <w:t xml:space="preserve"> in the answer Q4 below.</w:t>
      </w:r>
    </w:p>
    <w:permEnd w:id="783093244"/>
    <w:p w14:paraId="45209901" w14:textId="5E453AB6"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4A8B1FD9" w14:textId="77777777" w:rsidR="00642578" w:rsidRPr="00642578" w:rsidRDefault="00642578" w:rsidP="00642578">
      <w:pPr>
        <w:rPr>
          <w:rFonts w:ascii="Arial" w:hAnsi="Arial" w:cs="Arial"/>
          <w:color w:val="auto"/>
          <w:szCs w:val="22"/>
          <w:lang w:val="en-US"/>
          <w14:ligatures w14:val="standardContextual"/>
        </w:rPr>
      </w:pPr>
      <w:permStart w:id="1801277174" w:edGrp="everyone"/>
      <w:r w:rsidRPr="00642578">
        <w:rPr>
          <w:rFonts w:ascii="Arial" w:hAnsi="Arial" w:cs="Arial"/>
          <w:szCs w:val="22"/>
          <w:lang w:val="en-US"/>
          <w14:ligatures w14:val="standardContextual"/>
        </w:rPr>
        <w:t>Overall, we agree with ESMA proposal that the moment of disclosure of inside information of processes that are internal to the issuer should be the moment when the competent corporate body (generally speaking, “the management body” as identified by ESMA) has adopted the decision.</w:t>
      </w:r>
    </w:p>
    <w:p w14:paraId="5651A3EB" w14:textId="77777777" w:rsidR="00642578" w:rsidRPr="00642578" w:rsidRDefault="00642578" w:rsidP="00642578">
      <w:pPr>
        <w:rPr>
          <w:rFonts w:ascii="Arial" w:hAnsi="Arial" w:cs="Arial"/>
          <w:szCs w:val="22"/>
          <w:lang w:val="en-US"/>
          <w14:ligatures w14:val="standardContextual"/>
        </w:rPr>
      </w:pPr>
      <w:r w:rsidRPr="00642578">
        <w:rPr>
          <w:rFonts w:ascii="Arial" w:hAnsi="Arial" w:cs="Arial"/>
          <w:szCs w:val="22"/>
          <w:lang w:val="en-US"/>
          <w14:ligatures w14:val="standardContextual"/>
        </w:rPr>
        <w:t>That said, with specific reference to the case where the decision of the management body needs the validation or the confirmation by another corporate body of the company different from shareholders’ general meeting (for example, the supervisory board), we believe that the disclosure of inside information should necessarily await the decision of the last corporate body which is entitled to have its say about the same subject matter.</w:t>
      </w:r>
    </w:p>
    <w:p w14:paraId="150A5148" w14:textId="77777777" w:rsidR="00642578" w:rsidRPr="00642578" w:rsidRDefault="00642578" w:rsidP="00642578">
      <w:pPr>
        <w:rPr>
          <w:rFonts w:ascii="Arial" w:hAnsi="Arial" w:cs="Arial"/>
          <w:szCs w:val="22"/>
          <w:lang w:val="en-US"/>
          <w14:ligatures w14:val="standardContextual"/>
        </w:rPr>
      </w:pPr>
      <w:r w:rsidRPr="00642578">
        <w:rPr>
          <w:rFonts w:ascii="Arial" w:hAnsi="Arial" w:cs="Arial"/>
          <w:szCs w:val="22"/>
          <w:lang w:val="en-US"/>
          <w14:ligatures w14:val="standardContextual"/>
        </w:rPr>
        <w:t>With reference to this specific topic, it must be underlined that, as matter of fact, it was ESMA that in the “MAR Guidelines – Delay in the disclosure of inside information and interactions with prudential supervision” deems “not definitive” an inside information which relates to the decisions taken by the issuer’s management body and which needs, pursuant to national law or the issuer’s bylaws, the approval of another body of the issuer, other than the shareholders’ general meeting.</w:t>
      </w:r>
    </w:p>
    <w:p w14:paraId="47DCE1A4" w14:textId="77777777" w:rsidR="00642578" w:rsidRPr="00642578" w:rsidRDefault="00642578" w:rsidP="00642578">
      <w:pPr>
        <w:rPr>
          <w:rFonts w:ascii="Arial" w:hAnsi="Arial" w:cs="Arial"/>
          <w:szCs w:val="22"/>
          <w:lang w:val="en-US"/>
          <w14:ligatures w14:val="standardContextual"/>
        </w:rPr>
      </w:pPr>
      <w:r w:rsidRPr="00642578">
        <w:rPr>
          <w:rFonts w:ascii="Arial" w:hAnsi="Arial" w:cs="Arial"/>
          <w:szCs w:val="22"/>
          <w:lang w:val="en-US"/>
          <w14:ligatures w14:val="standardContextual"/>
        </w:rPr>
        <w:lastRenderedPageBreak/>
        <w:t>Therefore, the decisions taken by the issuer’s management body, insofar as they do not have final and definitive nature, should not undergo the obligation of being disclosed. In this respect, it is also argued that the immediate public disclosure of that information before such a definitive decision is taken would jeopardize the correct assessment of the information by the public.</w:t>
      </w:r>
    </w:p>
    <w:p w14:paraId="7FC92A0A" w14:textId="77777777" w:rsidR="00642578" w:rsidRPr="00642578" w:rsidRDefault="00642578" w:rsidP="00642578">
      <w:pPr>
        <w:rPr>
          <w:rFonts w:ascii="Arial" w:hAnsi="Arial" w:cs="Arial"/>
          <w:szCs w:val="22"/>
          <w:lang w:val="en-US"/>
          <w14:ligatures w14:val="standardContextual"/>
        </w:rPr>
      </w:pPr>
      <w:r w:rsidRPr="00642578">
        <w:rPr>
          <w:rFonts w:ascii="Arial" w:hAnsi="Arial" w:cs="Arial"/>
          <w:szCs w:val="22"/>
          <w:lang w:val="en-US"/>
          <w14:ligatures w14:val="standardContextual"/>
        </w:rPr>
        <w:t xml:space="preserve">On the contrary, the disclosure obligation should arise at the time when the last internal body of the issuer, which is different from the shareholders’ general meeting and is entitled to express its view about the same topic, takes its decision since only this step and this point in time could be considered as the “final event”. </w:t>
      </w:r>
    </w:p>
    <w:p w14:paraId="00A1925E" w14:textId="00C262F8" w:rsidR="00BF7D28" w:rsidRPr="00642578" w:rsidRDefault="00642578" w:rsidP="009B1E21">
      <w:pPr>
        <w:rPr>
          <w:lang w:val="en-US"/>
        </w:rPr>
      </w:pPr>
      <w:r w:rsidRPr="00642578">
        <w:rPr>
          <w:rFonts w:ascii="Arial" w:hAnsi="Arial" w:cs="Arial"/>
          <w:szCs w:val="22"/>
          <w:lang w:val="en-US"/>
          <w14:ligatures w14:val="standardContextual"/>
        </w:rPr>
        <w:t>In this respect, we would respectfully ask for aligning the Consultation Paper and, consequently, for deleting from the cases listed in Annex I of the proposed Delegated Act the sentence “</w:t>
      </w:r>
      <w:r w:rsidRPr="00642578">
        <w:rPr>
          <w:rFonts w:ascii="Arial" w:hAnsi="Arial" w:cs="Arial"/>
          <w:i/>
          <w:iCs/>
          <w:szCs w:val="22"/>
          <w:lang w:val="en-US"/>
          <w14:ligatures w14:val="standardContextual"/>
        </w:rPr>
        <w:t>even where another body of the issuer may have to give its approval</w:t>
      </w:r>
      <w:r w:rsidRPr="00642578">
        <w:rPr>
          <w:rFonts w:ascii="Arial" w:hAnsi="Arial" w:cs="Arial"/>
          <w:szCs w:val="22"/>
          <w:lang w:val="en-US"/>
          <w14:ligatures w14:val="standardContextual"/>
        </w:rPr>
        <w:t>”.</w:t>
      </w:r>
    </w:p>
    <w:permEnd w:id="1801277174"/>
    <w:p w14:paraId="51818508" w14:textId="3BEFFBF4"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t>&lt;ESMA_QUESTION_LATA_5&gt;</w:t>
      </w:r>
    </w:p>
    <w:p w14:paraId="5BDB8FBE" w14:textId="2D8A783B" w:rsidR="00781C28" w:rsidRDefault="00781C28" w:rsidP="009B1E21">
      <w:permStart w:id="613818377" w:edGrp="everyone"/>
      <w:r>
        <w:t xml:space="preserve">For </w:t>
      </w:r>
      <w:r w:rsidRPr="008605FA">
        <w:t>protracted processes involving the issuer and another party different from a public authority, the moment of disclosure should be when the competent bodies/persons of all parties involved, having the decision power under national law or bylaws,</w:t>
      </w:r>
      <w:r w:rsidR="00891921">
        <w:t xml:space="preserve"> </w:t>
      </w:r>
      <w:r w:rsidR="00891921" w:rsidRPr="00121C27">
        <w:t>signs</w:t>
      </w:r>
      <w:r w:rsidR="00B22A13">
        <w:t xml:space="preserve"> </w:t>
      </w:r>
      <w:r w:rsidR="00891921">
        <w:t>the agreement</w:t>
      </w:r>
      <w:r w:rsidR="009B2A56">
        <w:t xml:space="preserve"> which is the final event</w:t>
      </w:r>
      <w:r w:rsidR="00D50197">
        <w:t xml:space="preserve"> which follow</w:t>
      </w:r>
      <w:r w:rsidR="00041870">
        <w:t>s</w:t>
      </w:r>
      <w:r w:rsidR="00D50197">
        <w:t xml:space="preserve"> the moment in which the decision has been taken</w:t>
      </w:r>
      <w:r w:rsidR="00B02E9B">
        <w:t xml:space="preserve"> (proposed by ESMA)</w:t>
      </w:r>
      <w:r w:rsidR="009B2A56" w:rsidRPr="00121C27">
        <w:t>.</w:t>
      </w:r>
      <w:r w:rsidR="003F2C3B" w:rsidRPr="00121C27">
        <w:t xml:space="preserve"> We refer here to the signing of a binding agreement</w:t>
      </w:r>
      <w:r w:rsidR="009C14FC" w:rsidRPr="00121C27">
        <w:t xml:space="preserve"> by all parties</w:t>
      </w:r>
      <w:r w:rsidR="00735A2E" w:rsidRPr="00121C27">
        <w:t xml:space="preserve">; </w:t>
      </w:r>
      <w:r w:rsidR="008C49F4" w:rsidRPr="00121C27">
        <w:t>therefore,</w:t>
      </w:r>
      <w:r w:rsidR="00193B97" w:rsidRPr="00121C27">
        <w:t xml:space="preserve"> any reference </w:t>
      </w:r>
      <w:r w:rsidR="000D45D8" w:rsidRPr="00121C27">
        <w:t>to the “</w:t>
      </w:r>
      <w:r w:rsidR="00A06A66" w:rsidRPr="00121C27">
        <w:t>preliminary</w:t>
      </w:r>
      <w:r w:rsidR="000D45D8" w:rsidRPr="00121C27">
        <w:t xml:space="preserve"> agreement</w:t>
      </w:r>
      <w:r w:rsidR="000E70D5" w:rsidRPr="00121C27">
        <w:t xml:space="preserve"> or any other preliminary commitment according to the applicable law” </w:t>
      </w:r>
      <w:r w:rsidR="00B650D9" w:rsidRPr="00121C27">
        <w:t xml:space="preserve">included in the Consultation Paper (par. 70) </w:t>
      </w:r>
      <w:r w:rsidR="00193B97" w:rsidRPr="00121C27">
        <w:t xml:space="preserve">should be avoided </w:t>
      </w:r>
      <w:r w:rsidR="00B650D9" w:rsidRPr="00121C27">
        <w:t xml:space="preserve">as could </w:t>
      </w:r>
      <w:r w:rsidR="00AF5C52" w:rsidRPr="00121C27">
        <w:t xml:space="preserve">undermine </w:t>
      </w:r>
      <w:r w:rsidR="00B65770" w:rsidRPr="00121C27">
        <w:t xml:space="preserve">the goal of the legislative change to art. 17.1 </w:t>
      </w:r>
    </w:p>
    <w:p w14:paraId="10749347" w14:textId="77777777" w:rsidR="0061732A" w:rsidRDefault="003176A9" w:rsidP="009B1E21">
      <w:pPr>
        <w:rPr>
          <w:color w:val="auto"/>
        </w:rPr>
      </w:pPr>
      <w:r>
        <w:rPr>
          <w:color w:val="auto"/>
        </w:rPr>
        <w:t xml:space="preserve">In light of above, </w:t>
      </w:r>
      <w:r w:rsidRPr="0033371B">
        <w:rPr>
          <w:color w:val="auto"/>
        </w:rPr>
        <w:t xml:space="preserve">1-4-6 </w:t>
      </w:r>
      <w:r w:rsidR="00527323">
        <w:rPr>
          <w:color w:val="auto"/>
        </w:rPr>
        <w:t>raws in Annex I (</w:t>
      </w:r>
      <w:r w:rsidRPr="0033371B">
        <w:rPr>
          <w:color w:val="auto"/>
        </w:rPr>
        <w:t>acquisitions or disposals/ material agreements</w:t>
      </w:r>
      <w:r w:rsidR="00527323">
        <w:rPr>
          <w:color w:val="auto"/>
        </w:rPr>
        <w:t>)</w:t>
      </w:r>
      <w:r w:rsidRPr="0033371B">
        <w:rPr>
          <w:color w:val="auto"/>
        </w:rPr>
        <w:t xml:space="preserve">: the final circumstances or events should be </w:t>
      </w:r>
      <w:r w:rsidRPr="001138BB">
        <w:rPr>
          <w:color w:val="auto"/>
        </w:rPr>
        <w:t>the signing of</w:t>
      </w:r>
      <w:r w:rsidRPr="0033371B">
        <w:rPr>
          <w:color w:val="auto"/>
        </w:rPr>
        <w:t xml:space="preserve"> the agreemen</w:t>
      </w:r>
      <w:r w:rsidR="001138BB">
        <w:rPr>
          <w:color w:val="auto"/>
        </w:rPr>
        <w:t>t</w:t>
      </w:r>
    </w:p>
    <w:p w14:paraId="40008995" w14:textId="4ABDAE8A" w:rsidR="009B1E21" w:rsidRDefault="00302EE8" w:rsidP="009B1E21">
      <w:r>
        <w:rPr>
          <w:color w:val="auto"/>
        </w:rPr>
        <w:t xml:space="preserve">8-9-10 raws in Annex I: the moment of disclosure should occur </w:t>
      </w:r>
      <w:r w:rsidR="00735B86">
        <w:rPr>
          <w:color w:val="auto"/>
        </w:rPr>
        <w:t>only after the approval of the operation by the competent body</w:t>
      </w:r>
      <w:permEnd w:id="613818377"/>
      <w:r w:rsidR="009B1E21">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1D3D49CD" w14:textId="7A9C4A9B" w:rsidR="00DB75A9" w:rsidRDefault="00DB75A9" w:rsidP="009B1E21">
      <w:permStart w:id="126633024" w:edGrp="everyone"/>
      <w:r>
        <w:t>Yes, we agree</w:t>
      </w:r>
      <w:r w:rsidR="00DB6D9C" w:rsidRPr="00DB6D9C">
        <w:rPr>
          <w:szCs w:val="22"/>
        </w:rPr>
        <w:t xml:space="preserve"> </w:t>
      </w:r>
      <w:r w:rsidR="00DB6D9C" w:rsidRPr="00E976D8">
        <w:rPr>
          <w:szCs w:val="22"/>
        </w:rPr>
        <w:t>that the moment of disclosure should be when the issuer has received the final decision from the public authority</w:t>
      </w:r>
      <w:r>
        <w:t>.</w:t>
      </w:r>
    </w:p>
    <w:permEnd w:id="126633024"/>
    <w:p w14:paraId="5D77A4F6" w14:textId="4945FE65"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0DA2D55B" w14:textId="488A59A8" w:rsidR="00DC39E8" w:rsidRDefault="00073540" w:rsidP="00DC39E8">
      <w:pPr>
        <w:rPr>
          <w:color w:val="auto"/>
        </w:rPr>
      </w:pPr>
      <w:permStart w:id="1778661475" w:edGrp="everyone"/>
      <w:r w:rsidRPr="002232B5">
        <w:rPr>
          <w:color w:val="auto"/>
        </w:rPr>
        <w:t>I</w:t>
      </w:r>
      <w:r w:rsidR="00DC39E8">
        <w:rPr>
          <w:lang w:val="en-US"/>
        </w:rPr>
        <w:t>No. Where there is an exclusive relationship with the Public Authority (in case, for example, of an application for a license), the final event should be only the formal notification of the authorization by the P</w:t>
      </w:r>
      <w:r w:rsidR="00ED71F1">
        <w:rPr>
          <w:lang w:val="en-US"/>
        </w:rPr>
        <w:t xml:space="preserve">ublic </w:t>
      </w:r>
      <w:r w:rsidR="00DC39E8">
        <w:rPr>
          <w:lang w:val="en-US"/>
        </w:rPr>
        <w:t>A</w:t>
      </w:r>
      <w:r w:rsidR="00ED71F1">
        <w:rPr>
          <w:lang w:val="en-US"/>
        </w:rPr>
        <w:t>uthority</w:t>
      </w:r>
      <w:r w:rsidR="00DC39E8">
        <w:rPr>
          <w:lang w:val="en-US"/>
        </w:rPr>
        <w:t xml:space="preserve"> to the issuer. Conversely, the P</w:t>
      </w:r>
      <w:r w:rsidR="00ED71F1">
        <w:rPr>
          <w:lang w:val="en-US"/>
        </w:rPr>
        <w:t xml:space="preserve">ublic </w:t>
      </w:r>
      <w:r w:rsidR="00DC39E8">
        <w:rPr>
          <w:lang w:val="en-US"/>
        </w:rPr>
        <w:t>A</w:t>
      </w:r>
      <w:r w:rsidR="00ED71F1">
        <w:rPr>
          <w:lang w:val="en-US"/>
        </w:rPr>
        <w:t>uthority</w:t>
      </w:r>
      <w:r w:rsidR="00DC39E8">
        <w:rPr>
          <w:lang w:val="en-US"/>
        </w:rPr>
        <w:t xml:space="preserve"> denial shall not be disclosed. </w:t>
      </w:r>
      <w:r w:rsidR="00385EAF">
        <w:rPr>
          <w:lang w:val="en-US"/>
        </w:rPr>
        <w:t>Consequently</w:t>
      </w:r>
      <w:r w:rsidR="00DC39E8">
        <w:rPr>
          <w:lang w:val="en-US"/>
        </w:rPr>
        <w:t>, items: 17, 19, 21 and 23 of Annex 1 should be deleted.</w:t>
      </w:r>
    </w:p>
    <w:p w14:paraId="51DD0933" w14:textId="3ADFCB51" w:rsidR="009B1E21" w:rsidRDefault="0096553E" w:rsidP="009B1E21">
      <w:r>
        <w:rPr>
          <w:color w:val="auto"/>
        </w:rPr>
        <w:t>.</w:t>
      </w:r>
      <w:permEnd w:id="1778661475"/>
      <w:r w:rsidR="009B1E21">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05DF9070" w14:textId="5890D571" w:rsidR="00017821" w:rsidRDefault="007C082E" w:rsidP="009B1E21">
      <w:pPr>
        <w:rPr>
          <w:color w:val="FF0000"/>
        </w:rPr>
      </w:pPr>
      <w:permStart w:id="265124465" w:edGrp="everyone"/>
      <w:r w:rsidRPr="004A1EDC">
        <w:rPr>
          <w:color w:val="auto"/>
        </w:rPr>
        <w:t xml:space="preserve">We agree with the moment </w:t>
      </w:r>
      <w:r w:rsidR="000419D4" w:rsidRPr="004A1EDC">
        <w:rPr>
          <w:color w:val="auto"/>
        </w:rPr>
        <w:t>for</w:t>
      </w:r>
      <w:r w:rsidRPr="004A1EDC">
        <w:rPr>
          <w:color w:val="auto"/>
        </w:rPr>
        <w:t xml:space="preserve"> disclosure </w:t>
      </w:r>
      <w:r w:rsidR="000419D4" w:rsidRPr="004A1EDC">
        <w:rPr>
          <w:color w:val="auto"/>
        </w:rPr>
        <w:t>identified</w:t>
      </w:r>
      <w:r w:rsidR="00017821" w:rsidRPr="004A1EDC">
        <w:rPr>
          <w:color w:val="auto"/>
        </w:rPr>
        <w:t>,</w:t>
      </w:r>
      <w:r w:rsidR="000419D4" w:rsidRPr="004A1EDC">
        <w:rPr>
          <w:color w:val="auto"/>
        </w:rPr>
        <w:t xml:space="preserve"> in </w:t>
      </w:r>
      <w:r w:rsidR="00982307" w:rsidRPr="004A1EDC">
        <w:rPr>
          <w:color w:val="auto"/>
        </w:rPr>
        <w:t xml:space="preserve">items 2 and 3 </w:t>
      </w:r>
      <w:r w:rsidR="002A58BE">
        <w:rPr>
          <w:color w:val="auto"/>
        </w:rPr>
        <w:t>of</w:t>
      </w:r>
      <w:r w:rsidR="00982307" w:rsidRPr="004A1EDC">
        <w:rPr>
          <w:color w:val="auto"/>
        </w:rPr>
        <w:t xml:space="preserve"> </w:t>
      </w:r>
      <w:r w:rsidR="000419D4" w:rsidRPr="004A1EDC">
        <w:rPr>
          <w:color w:val="auto"/>
        </w:rPr>
        <w:t>Annex I</w:t>
      </w:r>
      <w:r w:rsidR="00017821" w:rsidRPr="004A1EDC">
        <w:rPr>
          <w:color w:val="auto"/>
        </w:rPr>
        <w:t xml:space="preserve">, with </w:t>
      </w:r>
      <w:r w:rsidR="0045297A" w:rsidRPr="004A1EDC">
        <w:rPr>
          <w:color w:val="auto"/>
        </w:rPr>
        <w:t>the decision of the competent body</w:t>
      </w:r>
      <w:r w:rsidR="00017821" w:rsidRPr="004A1EDC">
        <w:rPr>
          <w:color w:val="auto"/>
        </w:rPr>
        <w:t xml:space="preserve">. </w:t>
      </w:r>
      <w:r w:rsidR="00DD170F" w:rsidRPr="004A1EDC">
        <w:rPr>
          <w:color w:val="auto"/>
        </w:rPr>
        <w:t xml:space="preserve">This implies, in our view, </w:t>
      </w:r>
      <w:r w:rsidR="006A3BD9">
        <w:rPr>
          <w:color w:val="auto"/>
        </w:rPr>
        <w:t xml:space="preserve">that </w:t>
      </w:r>
      <w:r w:rsidR="00FA4862">
        <w:rPr>
          <w:color w:val="auto"/>
        </w:rPr>
        <w:t>a</w:t>
      </w:r>
      <w:r w:rsidR="00DD170F" w:rsidRPr="004A1EDC">
        <w:rPr>
          <w:color w:val="auto"/>
        </w:rPr>
        <w:t xml:space="preserve"> pro</w:t>
      </w:r>
      <w:r w:rsidR="00EC7EFB" w:rsidRPr="004A1EDC">
        <w:rPr>
          <w:color w:val="auto"/>
        </w:rPr>
        <w:t>t</w:t>
      </w:r>
      <w:r w:rsidR="00DD170F" w:rsidRPr="004A1EDC">
        <w:rPr>
          <w:color w:val="auto"/>
        </w:rPr>
        <w:t>racted process</w:t>
      </w:r>
      <w:r w:rsidR="001D41BB">
        <w:rPr>
          <w:color w:val="auto"/>
        </w:rPr>
        <w:t xml:space="preserve"> </w:t>
      </w:r>
      <w:r w:rsidR="00FA4862">
        <w:rPr>
          <w:color w:val="auto"/>
        </w:rPr>
        <w:t xml:space="preserve">always occurs </w:t>
      </w:r>
      <w:r w:rsidR="001D41BB">
        <w:rPr>
          <w:color w:val="auto"/>
        </w:rPr>
        <w:t>(irrespective</w:t>
      </w:r>
      <w:r w:rsidR="000308D2">
        <w:rPr>
          <w:color w:val="auto"/>
        </w:rPr>
        <w:t xml:space="preserve"> of the nature of the takeover</w:t>
      </w:r>
      <w:r w:rsidR="001D41BB">
        <w:rPr>
          <w:color w:val="auto"/>
        </w:rPr>
        <w:t xml:space="preserve">) </w:t>
      </w:r>
      <w:r w:rsidR="00FA4862">
        <w:rPr>
          <w:color w:val="auto"/>
        </w:rPr>
        <w:t>ending with</w:t>
      </w:r>
      <w:r w:rsidR="00EC7EFB" w:rsidRPr="004A1EDC">
        <w:rPr>
          <w:color w:val="auto"/>
        </w:rPr>
        <w:t xml:space="preserve"> a decision of the competent body communicated to the public</w:t>
      </w:r>
      <w:r w:rsidR="00EC7EFB">
        <w:rPr>
          <w:color w:val="FF0000"/>
        </w:rPr>
        <w:t>.</w:t>
      </w:r>
    </w:p>
    <w:permEnd w:id="265124465"/>
    <w:p w14:paraId="74661F4E" w14:textId="739C4830"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7B334669" w14:textId="2D852C31" w:rsidR="00800BA1" w:rsidRDefault="00982FF2" w:rsidP="009B1E21">
      <w:permStart w:id="941577706" w:edGrp="everyone"/>
      <w:r>
        <w:t xml:space="preserve">Financial report is a typical process </w:t>
      </w:r>
      <w:r w:rsidR="00B57227">
        <w:t xml:space="preserve">set forth by the Transparency Directive </w:t>
      </w:r>
      <w:r w:rsidR="0094188F">
        <w:t xml:space="preserve">(not necessarily price sensitive) </w:t>
      </w:r>
      <w:r w:rsidR="00B57227">
        <w:t>and published according to the calendar of the issuer</w:t>
      </w:r>
      <w:r w:rsidR="00280DDC">
        <w:t xml:space="preserve"> whose deadlines are set forth by the Transparency Directive</w:t>
      </w:r>
      <w:r w:rsidR="0099479A">
        <w:rPr>
          <w:rStyle w:val="Rimandonotaapidipagina"/>
        </w:rPr>
        <w:footnoteReference w:id="2"/>
      </w:r>
      <w:r w:rsidR="00B57227">
        <w:t>;</w:t>
      </w:r>
      <w:r w:rsidR="0000259D">
        <w:t xml:space="preserve"> </w:t>
      </w:r>
      <w:r w:rsidR="00BD5A17">
        <w:t xml:space="preserve">only when </w:t>
      </w:r>
      <w:r w:rsidR="00EA51D8">
        <w:t>the competent body</w:t>
      </w:r>
      <w:r w:rsidR="00BD5A17">
        <w:t xml:space="preserve"> approves the financial resu</w:t>
      </w:r>
      <w:r w:rsidR="00842CED">
        <w:t>lts, the communication to the public</w:t>
      </w:r>
      <w:r w:rsidR="0001288E">
        <w:t xml:space="preserve"> should occur</w:t>
      </w:r>
      <w:r w:rsidR="00842CED">
        <w:t>.</w:t>
      </w:r>
    </w:p>
    <w:p w14:paraId="6ED19E16" w14:textId="72106D69" w:rsidR="000F27A3" w:rsidRDefault="00800BA1" w:rsidP="009B1E21">
      <w:r>
        <w:t>R</w:t>
      </w:r>
      <w:r w:rsidR="009861CE">
        <w:t>egarding</w:t>
      </w:r>
      <w:r w:rsidR="00DD3DCF">
        <w:t xml:space="preserve"> profit warning or earning surprise</w:t>
      </w:r>
      <w:r w:rsidR="007F0567">
        <w:t>,</w:t>
      </w:r>
      <w:r w:rsidR="00F91B0F">
        <w:t xml:space="preserve"> </w:t>
      </w:r>
      <w:r w:rsidR="009861CE">
        <w:t xml:space="preserve">we think that </w:t>
      </w:r>
      <w:r w:rsidR="009978E3">
        <w:t>they cannot be included in one-off events meaning “event or</w:t>
      </w:r>
      <w:r w:rsidR="003B3099">
        <w:t xml:space="preserve"> set of circumstances, notably when the occurrence of that e</w:t>
      </w:r>
      <w:r w:rsidR="00C035FD">
        <w:t xml:space="preserve">vent or set of circumstances does not depend on the issuer”( see par. </w:t>
      </w:r>
      <w:r w:rsidR="007936C0">
        <w:t>34 of the Consultation Paper)</w:t>
      </w:r>
      <w:r w:rsidR="00D7745F">
        <w:t xml:space="preserve"> </w:t>
      </w:r>
      <w:r w:rsidR="005C02EB">
        <w:t xml:space="preserve">as </w:t>
      </w:r>
      <w:r w:rsidR="00BC6322">
        <w:t>even if they may have an external source (</w:t>
      </w:r>
      <w:r w:rsidR="00F144D7">
        <w:t xml:space="preserve">for example </w:t>
      </w:r>
      <w:r w:rsidR="00B11F8B">
        <w:t xml:space="preserve">the outbreak of a war that may </w:t>
      </w:r>
      <w:r w:rsidR="00BA4D6A">
        <w:t xml:space="preserve">suddenly </w:t>
      </w:r>
      <w:r w:rsidR="00B11F8B">
        <w:t xml:space="preserve">impact </w:t>
      </w:r>
      <w:r w:rsidR="00A609D8">
        <w:t>t</w:t>
      </w:r>
      <w:r w:rsidR="00B11F8B">
        <w:t>he financial results of the issuer)</w:t>
      </w:r>
      <w:r w:rsidR="00BC6322">
        <w:t xml:space="preserve">, </w:t>
      </w:r>
      <w:r w:rsidR="00A609D8">
        <w:t>t</w:t>
      </w:r>
      <w:r w:rsidR="005C02EB">
        <w:t>hey are subject to verification</w:t>
      </w:r>
      <w:r w:rsidR="00D7745F">
        <w:t>/</w:t>
      </w:r>
      <w:r w:rsidR="00192FE6">
        <w:t xml:space="preserve">acknowledgment; only </w:t>
      </w:r>
      <w:r w:rsidR="006E3C3D">
        <w:t xml:space="preserve">after </w:t>
      </w:r>
      <w:r w:rsidR="00192FE6">
        <w:t xml:space="preserve">the </w:t>
      </w:r>
      <w:r w:rsidR="00B2778E">
        <w:t>approval</w:t>
      </w:r>
      <w:r w:rsidR="00D7745F">
        <w:t xml:space="preserve"> of the competent body</w:t>
      </w:r>
      <w:r w:rsidR="00BA2B38">
        <w:t xml:space="preserve"> </w:t>
      </w:r>
      <w:r w:rsidR="006E3C3D">
        <w:t>profit warnings and earning</w:t>
      </w:r>
      <w:r w:rsidR="002C23A3">
        <w:t xml:space="preserve"> surprise must</w:t>
      </w:r>
      <w:r w:rsidR="00097994">
        <w:t xml:space="preserve"> be disclosed to the public</w:t>
      </w:r>
      <w:r w:rsidR="00B854CE">
        <w:t>. A</w:t>
      </w:r>
      <w:r w:rsidR="00D7745F">
        <w:t xml:space="preserve">t the same time </w:t>
      </w:r>
      <w:r w:rsidR="00B854CE">
        <w:t>–</w:t>
      </w:r>
      <w:r w:rsidR="00D7745F">
        <w:t xml:space="preserve"> </w:t>
      </w:r>
      <w:r w:rsidR="00B854CE">
        <w:t xml:space="preserve">however - </w:t>
      </w:r>
      <w:r w:rsidR="00D7745F">
        <w:t>they cannot be delayed</w:t>
      </w:r>
      <w:r w:rsidR="00234905">
        <w:t>.</w:t>
      </w:r>
      <w:r w:rsidR="007936C0">
        <w:t xml:space="preserve"> </w:t>
      </w:r>
    </w:p>
    <w:p w14:paraId="63EACD2F" w14:textId="7C81C10D" w:rsidR="00ED1E48" w:rsidRDefault="001018FE" w:rsidP="009B1E21">
      <w:r>
        <w:t xml:space="preserve">A minor point concerns </w:t>
      </w:r>
      <w:r w:rsidR="00196319">
        <w:t>the</w:t>
      </w:r>
      <w:r w:rsidR="00746384">
        <w:t xml:space="preserve"> process </w:t>
      </w:r>
      <w:r w:rsidR="00196319">
        <w:t>regarding “</w:t>
      </w:r>
      <w:r w:rsidR="004816EE">
        <w:t>dividends</w:t>
      </w:r>
      <w:r w:rsidR="00196319">
        <w:t xml:space="preserve">” </w:t>
      </w:r>
      <w:r w:rsidR="001C24B9">
        <w:t xml:space="preserve">- </w:t>
      </w:r>
      <w:r w:rsidR="00196319">
        <w:t>in</w:t>
      </w:r>
      <w:r w:rsidR="000F27A3">
        <w:t>serted</w:t>
      </w:r>
      <w:r w:rsidR="00196319">
        <w:t xml:space="preserve"> </w:t>
      </w:r>
      <w:r w:rsidR="00DF2AB1">
        <w:t xml:space="preserve">in </w:t>
      </w:r>
      <w:r w:rsidR="00196319">
        <w:t xml:space="preserve">the category of financial </w:t>
      </w:r>
      <w:r w:rsidR="004954EA">
        <w:t>information</w:t>
      </w:r>
      <w:r w:rsidR="005E467F">
        <w:t xml:space="preserve"> </w:t>
      </w:r>
      <w:r w:rsidR="009C789D">
        <w:t>-</w:t>
      </w:r>
      <w:r w:rsidR="005E467F">
        <w:t xml:space="preserve"> as envisaged</w:t>
      </w:r>
      <w:r w:rsidR="009C789D">
        <w:t xml:space="preserve"> by ESMA in the proposed list </w:t>
      </w:r>
      <w:r w:rsidR="001C24B9">
        <w:t>-</w:t>
      </w:r>
      <w:r w:rsidR="009C789D">
        <w:t xml:space="preserve"> </w:t>
      </w:r>
      <w:r w:rsidR="001C24B9">
        <w:t xml:space="preserve">that </w:t>
      </w:r>
      <w:r w:rsidR="00440996">
        <w:t>could</w:t>
      </w:r>
      <w:r w:rsidR="00254BBE">
        <w:t xml:space="preserve"> be removed and </w:t>
      </w:r>
      <w:r w:rsidR="00D56DBC">
        <w:t xml:space="preserve">placed </w:t>
      </w:r>
      <w:r w:rsidR="00254BBE">
        <w:t xml:space="preserve">in </w:t>
      </w:r>
      <w:r w:rsidR="00B47ED1">
        <w:t xml:space="preserve">a </w:t>
      </w:r>
      <w:r w:rsidR="00254BBE">
        <w:t>category</w:t>
      </w:r>
      <w:r w:rsidR="00B47ED1">
        <w:t xml:space="preserve"> named “corporate actions”</w:t>
      </w:r>
      <w:r w:rsidR="00E572A1">
        <w:t xml:space="preserve"> together with </w:t>
      </w:r>
      <w:r w:rsidR="00225B9F">
        <w:t>“postponement and cancellation of interest payment or redemption payments”</w:t>
      </w:r>
      <w:r w:rsidR="002740CE">
        <w:t xml:space="preserve"> as they are separate processes</w:t>
      </w:r>
      <w:r w:rsidR="00D92B44">
        <w:t xml:space="preserve"> from the periodic financial information</w:t>
      </w:r>
      <w:r w:rsidR="005E467F">
        <w:t>.</w:t>
      </w:r>
      <w:r w:rsidR="004816EE">
        <w:t xml:space="preserve"> </w:t>
      </w:r>
    </w:p>
    <w:permEnd w:id="941577706"/>
    <w:p w14:paraId="275F3EEC" w14:textId="7952433F"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20352BB1" w14:textId="77777777" w:rsidR="00B90C87" w:rsidRDefault="005202FC" w:rsidP="009B1E21">
      <w:permStart w:id="1460612003" w:edGrp="everyone"/>
      <w:r>
        <w:t>Yes, we agree</w:t>
      </w:r>
      <w:r w:rsidR="00C860E1">
        <w:t>.</w:t>
      </w:r>
      <w:r w:rsidR="00EB6EB9">
        <w:t xml:space="preserve"> </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227B71EC" w14:textId="77777777" w:rsidR="00304483" w:rsidRPr="00304483" w:rsidRDefault="00304483" w:rsidP="00304483">
      <w:pPr>
        <w:rPr>
          <w:rFonts w:asciiTheme="majorHAnsi" w:hAnsiTheme="majorHAnsi" w:cstheme="majorHAnsi"/>
          <w:color w:val="auto"/>
          <w:szCs w:val="22"/>
          <w:lang w:val="en-US"/>
          <w14:ligatures w14:val="standardContextual"/>
        </w:rPr>
      </w:pPr>
      <w:permStart w:id="159128183" w:edGrp="everyone"/>
      <w:r w:rsidRPr="00304483">
        <w:rPr>
          <w:rFonts w:asciiTheme="majorHAnsi" w:hAnsiTheme="majorHAnsi" w:cstheme="majorHAnsi"/>
          <w:szCs w:val="22"/>
          <w:lang w:val="en-US"/>
          <w14:ligatures w14:val="standardContextual"/>
        </w:rPr>
        <w:t xml:space="preserve">Overall, ESMA proposal deserves to be supported and looks consistent with rules governing prudential supervision applicable to credit institutions. </w:t>
      </w:r>
    </w:p>
    <w:p w14:paraId="74CE3117" w14:textId="754ED029" w:rsidR="00304483" w:rsidRPr="00304483" w:rsidRDefault="00304483" w:rsidP="00304483">
      <w:pPr>
        <w:rPr>
          <w:rFonts w:asciiTheme="majorHAnsi" w:hAnsiTheme="majorHAnsi" w:cstheme="majorHAnsi"/>
          <w:szCs w:val="22"/>
          <w:lang w:val="en-US"/>
          <w14:ligatures w14:val="standardContextual"/>
        </w:rPr>
      </w:pPr>
      <w:r w:rsidRPr="00304483">
        <w:rPr>
          <w:rFonts w:asciiTheme="majorHAnsi" w:hAnsiTheme="majorHAnsi" w:cstheme="majorHAnsi"/>
          <w:szCs w:val="22"/>
          <w:lang w:val="en-US"/>
          <w14:ligatures w14:val="standardContextual"/>
        </w:rPr>
        <w:t xml:space="preserve">Nevertheless, with </w:t>
      </w:r>
      <w:r w:rsidR="001C24B9" w:rsidRPr="00304483">
        <w:rPr>
          <w:rFonts w:asciiTheme="majorHAnsi" w:hAnsiTheme="majorHAnsi" w:cstheme="majorHAnsi"/>
          <w:szCs w:val="22"/>
          <w:lang w:val="en-US"/>
          <w14:ligatures w14:val="standardContextual"/>
        </w:rPr>
        <w:t>reference</w:t>
      </w:r>
      <w:r w:rsidRPr="00304483">
        <w:rPr>
          <w:rFonts w:asciiTheme="majorHAnsi" w:hAnsiTheme="majorHAnsi" w:cstheme="majorHAnsi"/>
          <w:szCs w:val="22"/>
          <w:lang w:val="en-US"/>
          <w14:ligatures w14:val="standardContextual"/>
        </w:rPr>
        <w:t xml:space="preserve"> to the protracted process which relates to the reduction of own funds,</w:t>
      </w:r>
      <w:r w:rsidR="002C4987">
        <w:rPr>
          <w:rFonts w:asciiTheme="majorHAnsi" w:hAnsiTheme="majorHAnsi" w:cstheme="majorHAnsi"/>
          <w:szCs w:val="22"/>
          <w:lang w:val="en-US"/>
          <w14:ligatures w14:val="standardContextual"/>
        </w:rPr>
        <w:t xml:space="preserve"> one</w:t>
      </w:r>
      <w:r w:rsidRPr="00304483">
        <w:rPr>
          <w:rFonts w:asciiTheme="majorHAnsi" w:hAnsiTheme="majorHAnsi" w:cstheme="majorHAnsi"/>
          <w:szCs w:val="22"/>
          <w:lang w:val="en-US"/>
          <w14:ligatures w14:val="standardContextual"/>
        </w:rPr>
        <w:t xml:space="preserve"> </w:t>
      </w:r>
      <w:r w:rsidR="002C4987" w:rsidRPr="00304483">
        <w:rPr>
          <w:rFonts w:asciiTheme="majorHAnsi" w:hAnsiTheme="majorHAnsi" w:cstheme="majorHAnsi"/>
          <w:szCs w:val="22"/>
          <w:lang w:val="en-US"/>
          <w14:ligatures w14:val="standardContextual"/>
        </w:rPr>
        <w:t>integration</w:t>
      </w:r>
      <w:r w:rsidRPr="00304483">
        <w:rPr>
          <w:rFonts w:asciiTheme="majorHAnsi" w:hAnsiTheme="majorHAnsi" w:cstheme="majorHAnsi"/>
          <w:szCs w:val="22"/>
          <w:lang w:val="en-US"/>
          <w14:ligatures w14:val="standardContextual"/>
        </w:rPr>
        <w:t xml:space="preserve"> would be necessary. Namely, it should be envisaged the case where the competent body of the issuer takes the decision after receiving the authority’s authorization. In this case, we believe that the “final event” that is to be disclosed should be the adoption of the decision about the reduction of own funds by the competent body of the issuer and not the receipt of the authority’s authorization.</w:t>
      </w:r>
    </w:p>
    <w:p w14:paraId="253E2EB3" w14:textId="77777777" w:rsidR="00304483" w:rsidRPr="00304483" w:rsidRDefault="00304483" w:rsidP="00304483">
      <w:pPr>
        <w:rPr>
          <w:rFonts w:asciiTheme="majorHAnsi" w:hAnsiTheme="majorHAnsi" w:cstheme="majorHAnsi"/>
          <w:szCs w:val="22"/>
          <w:lang w:val="en-US"/>
          <w14:ligatures w14:val="standardContextual"/>
        </w:rPr>
      </w:pPr>
      <w:r w:rsidRPr="00304483">
        <w:rPr>
          <w:rFonts w:asciiTheme="majorHAnsi" w:hAnsiTheme="majorHAnsi" w:cstheme="majorHAnsi"/>
          <w:szCs w:val="22"/>
          <w:lang w:val="en-US"/>
          <w14:ligatures w14:val="standardContextual"/>
        </w:rPr>
        <w:t>Therefore, we would ask for integrating the circumstance and event provided for by raw 29 of Annex I of the proposed Delegated Act with the following provisions (suggested integration in bold):</w:t>
      </w:r>
    </w:p>
    <w:p w14:paraId="5374B57E" w14:textId="517805A2" w:rsidR="00304483" w:rsidRDefault="00304483" w:rsidP="00304483">
      <w:pPr>
        <w:rPr>
          <w:rFonts w:ascii="Century Gothic" w:hAnsi="Century Gothic"/>
          <w:sz w:val="20"/>
          <w:lang w:val="en-US"/>
          <w14:ligatures w14:val="standardContextual"/>
        </w:rPr>
      </w:pPr>
      <w:r w:rsidRPr="00304483">
        <w:rPr>
          <w:rFonts w:asciiTheme="majorHAnsi" w:hAnsiTheme="majorHAnsi" w:cstheme="majorHAnsi"/>
          <w:szCs w:val="22"/>
          <w:lang w:val="en-US"/>
          <w14:ligatures w14:val="standardContextual"/>
        </w:rPr>
        <w:t xml:space="preserve">“As soon as possible after the credit institution is notified that the reduction of funds has been authorised by the Prudential Competent Authority or as soon as possible after the competent body having the decision power under national law </w:t>
      </w:r>
      <w:r w:rsidRPr="00304483">
        <w:rPr>
          <w:rFonts w:asciiTheme="majorHAnsi" w:hAnsiTheme="majorHAnsi" w:cstheme="majorHAnsi"/>
          <w:b/>
          <w:bCs/>
          <w:szCs w:val="22"/>
          <w:lang w:val="en-US"/>
          <w14:ligatures w14:val="standardContextual"/>
        </w:rPr>
        <w:t>or bylaws has taken the decision to carry out the reduction of own funds once the authorization by the Prudential Competent Authority is notified</w:t>
      </w:r>
      <w:r w:rsidRPr="00304483">
        <w:rPr>
          <w:rFonts w:asciiTheme="majorHAnsi" w:hAnsiTheme="majorHAnsi" w:cstheme="majorHAnsi"/>
          <w:szCs w:val="22"/>
          <w:lang w:val="en-US"/>
          <w14:ligatures w14:val="standardContextual"/>
        </w:rPr>
        <w:t>”.</w:t>
      </w:r>
    </w:p>
    <w:permEnd w:id="159128183"/>
    <w:p w14:paraId="62BA5B3F" w14:textId="1311831C"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inside information to be delayed may in some cases be assessed against more than one announcement, whenever a clear conclusion about the issuer’s position on the subject matter cannot be drawn exclusively on the basis of the very latest communication?</w:t>
      </w:r>
    </w:p>
    <w:p w14:paraId="309F850D" w14:textId="77777777" w:rsidR="009B1E21" w:rsidRDefault="009B1E21" w:rsidP="009B1E21">
      <w:r>
        <w:t>&lt;ESMA_QUESTION_LATA_12&gt;</w:t>
      </w:r>
    </w:p>
    <w:p w14:paraId="10BD20FC" w14:textId="6EE4B1A2" w:rsidR="009F319A" w:rsidRPr="00DF2329" w:rsidRDefault="004737DE" w:rsidP="00DF2329">
      <w:pPr>
        <w:rPr>
          <w:rFonts w:asciiTheme="majorHAnsi" w:hAnsiTheme="majorHAnsi" w:cstheme="majorHAnsi"/>
          <w:szCs w:val="22"/>
          <w:lang w:val="en-US"/>
          <w14:ligatures w14:val="standardContextual"/>
        </w:rPr>
      </w:pPr>
      <w:permStart w:id="421398651" w:edGrp="everyone"/>
      <w:r w:rsidRPr="00DF2329">
        <w:rPr>
          <w:rFonts w:asciiTheme="majorHAnsi" w:hAnsiTheme="majorHAnsi" w:cstheme="majorHAnsi"/>
          <w:szCs w:val="22"/>
          <w:lang w:val="en-US"/>
          <w14:ligatures w14:val="standardContextual"/>
        </w:rPr>
        <w:t>W</w:t>
      </w:r>
      <w:r w:rsidR="00BA2B38" w:rsidRPr="00DF2329">
        <w:rPr>
          <w:rFonts w:asciiTheme="majorHAnsi" w:hAnsiTheme="majorHAnsi" w:cstheme="majorHAnsi"/>
          <w:szCs w:val="22"/>
          <w:lang w:val="en-US"/>
          <w14:ligatures w14:val="standardContextual"/>
        </w:rPr>
        <w:t>e agree</w:t>
      </w:r>
      <w:r w:rsidR="00FF5DC2" w:rsidRPr="00DF2329">
        <w:rPr>
          <w:rFonts w:asciiTheme="majorHAnsi" w:hAnsiTheme="majorHAnsi" w:cstheme="majorHAnsi"/>
          <w:szCs w:val="22"/>
          <w:lang w:val="en-US"/>
          <w14:ligatures w14:val="standardContextual"/>
        </w:rPr>
        <w:t xml:space="preserve"> on the fact that the issuer must check the coherence of</w:t>
      </w:r>
      <w:r w:rsidR="00092ECE" w:rsidRPr="00DF2329">
        <w:rPr>
          <w:rFonts w:asciiTheme="majorHAnsi" w:hAnsiTheme="majorHAnsi" w:cstheme="majorHAnsi"/>
          <w:szCs w:val="22"/>
          <w:lang w:val="en-US"/>
          <w14:ligatures w14:val="standardContextual"/>
        </w:rPr>
        <w:t xml:space="preserve"> its announcements; </w:t>
      </w:r>
      <w:r w:rsidR="00BF3C2E" w:rsidRPr="00DF2329">
        <w:rPr>
          <w:rFonts w:asciiTheme="majorHAnsi" w:hAnsiTheme="majorHAnsi" w:cstheme="majorHAnsi"/>
          <w:szCs w:val="22"/>
          <w:lang w:val="en-US"/>
          <w14:ligatures w14:val="standardContextual"/>
        </w:rPr>
        <w:t>however,</w:t>
      </w:r>
      <w:r w:rsidR="00092ECE" w:rsidRPr="00DF2329">
        <w:rPr>
          <w:rFonts w:asciiTheme="majorHAnsi" w:hAnsiTheme="majorHAnsi" w:cstheme="majorHAnsi"/>
          <w:szCs w:val="22"/>
          <w:lang w:val="en-US"/>
          <w14:ligatures w14:val="standardContextual"/>
        </w:rPr>
        <w:t xml:space="preserve"> art. 4 of the </w:t>
      </w:r>
      <w:r w:rsidR="008A11F5" w:rsidRPr="00DF2329">
        <w:rPr>
          <w:rFonts w:asciiTheme="majorHAnsi" w:hAnsiTheme="majorHAnsi" w:cstheme="majorHAnsi"/>
          <w:szCs w:val="22"/>
          <w:lang w:val="en-US"/>
          <w14:ligatures w14:val="standardContextual"/>
        </w:rPr>
        <w:t>proposed delegated act seems to</w:t>
      </w:r>
      <w:r w:rsidR="00442A49">
        <w:rPr>
          <w:rFonts w:asciiTheme="majorHAnsi" w:hAnsiTheme="majorHAnsi" w:cstheme="majorHAnsi"/>
          <w:szCs w:val="22"/>
          <w:lang w:val="en-US"/>
          <w14:ligatures w14:val="standardContextual"/>
        </w:rPr>
        <w:t>o</w:t>
      </w:r>
      <w:r w:rsidR="008A11F5" w:rsidRPr="00DF2329">
        <w:rPr>
          <w:rFonts w:asciiTheme="majorHAnsi" w:hAnsiTheme="majorHAnsi" w:cstheme="majorHAnsi"/>
          <w:szCs w:val="22"/>
          <w:lang w:val="en-US"/>
          <w14:ligatures w14:val="standardContextual"/>
        </w:rPr>
        <w:t xml:space="preserve"> wide and we therefore propose some modifications in the answer </w:t>
      </w:r>
      <w:r w:rsidR="00E012AC" w:rsidRPr="00DF2329">
        <w:rPr>
          <w:rFonts w:asciiTheme="majorHAnsi" w:hAnsiTheme="majorHAnsi" w:cstheme="majorHAnsi"/>
          <w:szCs w:val="22"/>
          <w:lang w:val="en-US"/>
          <w14:ligatures w14:val="standardContextual"/>
        </w:rPr>
        <w:t>to Q13 below.</w:t>
      </w:r>
      <w:r w:rsidR="00FF5DC2" w:rsidRPr="00DF2329">
        <w:rPr>
          <w:rFonts w:asciiTheme="majorHAnsi" w:hAnsiTheme="majorHAnsi" w:cstheme="majorHAnsi"/>
          <w:szCs w:val="22"/>
          <w:lang w:val="en-US"/>
          <w14:ligatures w14:val="standardContextual"/>
        </w:rPr>
        <w:t xml:space="preserve"> </w:t>
      </w:r>
    </w:p>
    <w:permEnd w:id="421398651"/>
    <w:p w14:paraId="4B107EF7" w14:textId="35A4DCF3" w:rsidR="009B1E21" w:rsidRDefault="009B1E21" w:rsidP="009B1E21">
      <w:r>
        <w:lastRenderedPageBreak/>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6DE66D3B" w14:textId="57C17745" w:rsidR="009B1E21" w:rsidRDefault="00A72856" w:rsidP="009B1E21">
      <w:permStart w:id="2070238072" w:edGrp="everyone"/>
      <w:r>
        <w:t xml:space="preserve">We have </w:t>
      </w:r>
      <w:r w:rsidR="00DE49FE">
        <w:t xml:space="preserve">below </w:t>
      </w:r>
      <w:r>
        <w:t>some suggestion</w:t>
      </w:r>
      <w:r w:rsidR="00B42CB5">
        <w:t>s</w:t>
      </w:r>
      <w:r>
        <w:t xml:space="preserve"> for the re-wording of art. 4</w:t>
      </w:r>
      <w:r w:rsidR="006538B4">
        <w:t>.</w:t>
      </w:r>
    </w:p>
    <w:p w14:paraId="1BA63171" w14:textId="037A13AE" w:rsidR="00810C3A" w:rsidRPr="00E678B8" w:rsidRDefault="00330EF3" w:rsidP="00D40A1B">
      <w:pPr>
        <w:pStyle w:val="Paragrafoelenco"/>
        <w:rPr>
          <w:lang w:val="en-GB"/>
        </w:rPr>
      </w:pPr>
      <w:r w:rsidRPr="00E678B8">
        <w:rPr>
          <w:lang w:val="en-GB"/>
        </w:rPr>
        <w:t>“</w:t>
      </w:r>
      <w:r w:rsidR="00DE49FE" w:rsidRPr="00E678B8">
        <w:rPr>
          <w:lang w:val="en-GB"/>
        </w:rPr>
        <w:t xml:space="preserve">any </w:t>
      </w:r>
      <w:r w:rsidR="00C16F3F" w:rsidRPr="00E678B8">
        <w:rPr>
          <w:lang w:val="en-GB"/>
        </w:rPr>
        <w:t>person perceived as representing the issuer”</w:t>
      </w:r>
      <w:r w:rsidR="002B098A" w:rsidRPr="00E678B8">
        <w:rPr>
          <w:lang w:val="en-GB"/>
        </w:rPr>
        <w:t xml:space="preserve"> (art. 4, c</w:t>
      </w:r>
      <w:r w:rsidRPr="00E678B8">
        <w:rPr>
          <w:lang w:val="en-GB"/>
        </w:rPr>
        <w:t>) d</w:t>
      </w:r>
      <w:r w:rsidR="002B098A" w:rsidRPr="00E678B8">
        <w:rPr>
          <w:lang w:val="en-GB"/>
        </w:rPr>
        <w:t>)</w:t>
      </w:r>
      <w:r w:rsidRPr="00E678B8">
        <w:rPr>
          <w:lang w:val="en-GB"/>
        </w:rPr>
        <w:t xml:space="preserve"> h)</w:t>
      </w:r>
      <w:r w:rsidR="00845B7A" w:rsidRPr="00E678B8">
        <w:rPr>
          <w:lang w:val="en-GB"/>
        </w:rPr>
        <w:t xml:space="preserve"> is too vague</w:t>
      </w:r>
      <w:r w:rsidR="008272A8">
        <w:rPr>
          <w:lang w:val="en-GB"/>
        </w:rPr>
        <w:t xml:space="preserve">, may create uncertainty </w:t>
      </w:r>
      <w:r w:rsidR="00845B7A" w:rsidRPr="00E678B8">
        <w:rPr>
          <w:lang w:val="en-GB"/>
        </w:rPr>
        <w:t>and may be difficult to be verified by the issuer and</w:t>
      </w:r>
      <w:r w:rsidR="004E180D" w:rsidRPr="00E678B8">
        <w:rPr>
          <w:lang w:val="en-GB"/>
        </w:rPr>
        <w:t xml:space="preserve"> therefore could be</w:t>
      </w:r>
      <w:r w:rsidR="006276EC" w:rsidRPr="00E678B8">
        <w:rPr>
          <w:lang w:val="en-GB"/>
        </w:rPr>
        <w:t xml:space="preserve"> reformulated in </w:t>
      </w:r>
      <w:r w:rsidR="004905ED">
        <w:rPr>
          <w:lang w:val="en-GB"/>
        </w:rPr>
        <w:t xml:space="preserve">the following </w:t>
      </w:r>
      <w:r w:rsidR="009A6B67" w:rsidRPr="00E678B8">
        <w:rPr>
          <w:lang w:val="en-GB"/>
        </w:rPr>
        <w:t>way</w:t>
      </w:r>
      <w:r w:rsidR="006276EC" w:rsidRPr="00E678B8">
        <w:rPr>
          <w:lang w:val="en-GB"/>
        </w:rPr>
        <w:t>:</w:t>
      </w:r>
      <w:r w:rsidR="00B46A8A" w:rsidRPr="00E678B8">
        <w:rPr>
          <w:lang w:val="en-GB"/>
        </w:rPr>
        <w:t xml:space="preserve">” any person </w:t>
      </w:r>
      <w:r w:rsidR="00B46A8A" w:rsidRPr="00E678B8">
        <w:rPr>
          <w:strike/>
          <w:lang w:val="en-GB"/>
        </w:rPr>
        <w:t>perceived as</w:t>
      </w:r>
      <w:r w:rsidR="00B46A8A" w:rsidRPr="00E678B8">
        <w:rPr>
          <w:lang w:val="en-GB"/>
        </w:rPr>
        <w:t xml:space="preserve"> representing the issue</w:t>
      </w:r>
      <w:r w:rsidR="00E012AC" w:rsidRPr="00E678B8">
        <w:rPr>
          <w:lang w:val="en-GB"/>
        </w:rPr>
        <w:t>r</w:t>
      </w:r>
      <w:r w:rsidR="00845B7A" w:rsidRPr="00E678B8">
        <w:rPr>
          <w:lang w:val="en-GB"/>
        </w:rPr>
        <w:t xml:space="preserve">; </w:t>
      </w:r>
    </w:p>
    <w:p w14:paraId="650C1ACC" w14:textId="42B77CA4" w:rsidR="00C95A12" w:rsidRPr="00E678B8" w:rsidRDefault="00033A34" w:rsidP="00D40A1B">
      <w:pPr>
        <w:pStyle w:val="Paragrafoelenco"/>
        <w:rPr>
          <w:i/>
          <w:iCs/>
          <w:u w:val="single"/>
          <w:lang w:val="en-GB"/>
        </w:rPr>
      </w:pPr>
      <w:r w:rsidRPr="00E678B8">
        <w:rPr>
          <w:lang w:val="en-GB"/>
        </w:rPr>
        <w:t xml:space="preserve">“regulatory filings </w:t>
      </w:r>
      <w:r w:rsidR="007B22A2" w:rsidRPr="00E678B8">
        <w:rPr>
          <w:lang w:val="en-GB"/>
        </w:rPr>
        <w:t xml:space="preserve">by </w:t>
      </w:r>
      <w:r w:rsidRPr="00E678B8">
        <w:rPr>
          <w:lang w:val="en-GB"/>
        </w:rPr>
        <w:t>the issuer</w:t>
      </w:r>
      <w:r w:rsidR="007B22A2" w:rsidRPr="00E678B8">
        <w:rPr>
          <w:lang w:val="en-GB"/>
        </w:rPr>
        <w:t>” in art. 4.f) seems too wide</w:t>
      </w:r>
      <w:r w:rsidR="00FA50B9" w:rsidRPr="00E678B8">
        <w:rPr>
          <w:lang w:val="en-GB"/>
        </w:rPr>
        <w:t xml:space="preserve"> and it should be specified that </w:t>
      </w:r>
      <w:r w:rsidR="00BF2D68" w:rsidRPr="00E678B8">
        <w:rPr>
          <w:lang w:val="en-GB"/>
        </w:rPr>
        <w:t>these filings are</w:t>
      </w:r>
      <w:r w:rsidR="00936319" w:rsidRPr="00E678B8">
        <w:rPr>
          <w:lang w:val="en-GB"/>
        </w:rPr>
        <w:t xml:space="preserve"> not confidential</w:t>
      </w:r>
      <w:r w:rsidR="004905ED">
        <w:rPr>
          <w:lang w:val="en-GB"/>
        </w:rPr>
        <w:t>;</w:t>
      </w:r>
      <w:r w:rsidR="007B22A2" w:rsidRPr="00E678B8">
        <w:rPr>
          <w:i/>
          <w:iCs/>
          <w:u w:val="single"/>
          <w:lang w:val="en-GB"/>
        </w:rPr>
        <w:t xml:space="preserve"> </w:t>
      </w:r>
    </w:p>
    <w:p w14:paraId="3AFED91F" w14:textId="276C2A5A" w:rsidR="008C3919" w:rsidRPr="00E678B8" w:rsidRDefault="008C3919" w:rsidP="00D40A1B">
      <w:pPr>
        <w:pStyle w:val="Paragrafoelenco"/>
        <w:rPr>
          <w:lang w:val="en-GB"/>
        </w:rPr>
      </w:pPr>
      <w:r w:rsidRPr="00E678B8">
        <w:rPr>
          <w:lang w:val="en-GB"/>
        </w:rPr>
        <w:t xml:space="preserve">We also suggest removing art. 4 h) completely, as it is too vague and far reaching. In any case, the wording “communication </w:t>
      </w:r>
      <w:r w:rsidRPr="00E678B8">
        <w:rPr>
          <w:u w:val="single"/>
          <w:lang w:val="en-GB"/>
        </w:rPr>
        <w:t>capable</w:t>
      </w:r>
      <w:r w:rsidRPr="00E678B8">
        <w:rPr>
          <w:lang w:val="en-GB"/>
        </w:rPr>
        <w:t xml:space="preserve"> of reaching the public” in h) is not clear and must refer to “communication reaching the public”.</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6CBB950F" w14:textId="162A030E" w:rsidR="00183268" w:rsidRDefault="00FB48E1" w:rsidP="009B1E21">
      <w:permStart w:id="131739657" w:edGrp="everyone"/>
      <w:r w:rsidRPr="00FB48E1">
        <w:t xml:space="preserve">In some </w:t>
      </w:r>
      <w:r w:rsidR="00E039F4" w:rsidRPr="00FB48E1">
        <w:t>cases,</w:t>
      </w:r>
      <w:r w:rsidRPr="00FB48E1">
        <w:t xml:space="preserve"> </w:t>
      </w:r>
      <w:r>
        <w:t xml:space="preserve">the situations listed in Annex II are </w:t>
      </w:r>
      <w:r w:rsidR="004A48E8">
        <w:t>too vague; we refer to</w:t>
      </w:r>
      <w:r w:rsidR="00183268">
        <w:t>:</w:t>
      </w:r>
    </w:p>
    <w:p w14:paraId="13EC2EA0" w14:textId="77DB03BD" w:rsidR="00F2692B" w:rsidRPr="00DF0B3C" w:rsidRDefault="009F6D3C" w:rsidP="00F2692B">
      <w:pPr>
        <w:pStyle w:val="NormaleWeb"/>
        <w:spacing w:before="0" w:beforeAutospacing="0" w:after="253" w:afterAutospacing="0" w:line="256" w:lineRule="auto"/>
        <w:ind w:hanging="374"/>
        <w:jc w:val="both"/>
        <w:rPr>
          <w:rFonts w:asciiTheme="majorHAnsi" w:hAnsiTheme="majorHAnsi" w:cstheme="majorHAnsi"/>
          <w:sz w:val="22"/>
          <w:szCs w:val="22"/>
          <w:lang w:val="en-GB"/>
        </w:rPr>
      </w:pPr>
      <w:r w:rsidRPr="00DF0B3C">
        <w:rPr>
          <w:rFonts w:asciiTheme="majorHAnsi" w:hAnsiTheme="majorHAnsi" w:cstheme="majorHAnsi"/>
          <w:sz w:val="22"/>
          <w:szCs w:val="22"/>
          <w:lang w:val="en-GB"/>
        </w:rPr>
        <w:t xml:space="preserve">Case n. </w:t>
      </w:r>
      <w:r w:rsidR="00F2692B" w:rsidRPr="00DF0B3C">
        <w:rPr>
          <w:rFonts w:asciiTheme="majorHAnsi" w:hAnsiTheme="majorHAnsi" w:cstheme="majorHAnsi"/>
          <w:sz w:val="22"/>
          <w:szCs w:val="22"/>
          <w:lang w:val="en-GB"/>
        </w:rPr>
        <w:t xml:space="preserve">2: </w:t>
      </w:r>
      <w:r w:rsidR="00FE7E95">
        <w:rPr>
          <w:rFonts w:asciiTheme="majorHAnsi" w:hAnsiTheme="majorHAnsi" w:cstheme="majorHAnsi"/>
          <w:sz w:val="22"/>
          <w:szCs w:val="22"/>
          <w:lang w:val="en-GB"/>
        </w:rPr>
        <w:t>“</w:t>
      </w:r>
      <w:r w:rsidR="00F2692B" w:rsidRPr="00DF0B3C">
        <w:rPr>
          <w:rFonts w:asciiTheme="majorHAnsi" w:eastAsia="Arial" w:hAnsiTheme="majorHAnsi" w:cstheme="majorHAnsi"/>
          <w:kern w:val="2"/>
          <w:sz w:val="22"/>
          <w:szCs w:val="22"/>
          <w:lang w:val="en-GB"/>
        </w:rPr>
        <w:t>Inside information regarding a material change to the environmental or social impact of a project or product previously publicly announced by the issuer (e.g. environmental targets which are likely not to be met)</w:t>
      </w:r>
      <w:r w:rsidR="00FE7E95">
        <w:rPr>
          <w:rFonts w:asciiTheme="majorHAnsi" w:eastAsia="Arial" w:hAnsiTheme="majorHAnsi" w:cstheme="majorHAnsi"/>
          <w:kern w:val="2"/>
          <w:sz w:val="22"/>
          <w:szCs w:val="22"/>
          <w:lang w:val="en-GB"/>
        </w:rPr>
        <w:t>”</w:t>
      </w:r>
      <w:r w:rsidR="000D4BA9" w:rsidRPr="00DF0B3C">
        <w:rPr>
          <w:rFonts w:asciiTheme="majorHAnsi" w:eastAsia="Arial" w:hAnsiTheme="majorHAnsi" w:cstheme="majorHAnsi"/>
          <w:kern w:val="2"/>
          <w:sz w:val="22"/>
          <w:szCs w:val="22"/>
          <w:lang w:val="en-GB"/>
        </w:rPr>
        <w:t xml:space="preserve"> that in our view should be deleted</w:t>
      </w:r>
      <w:r w:rsidR="00BA2B38">
        <w:rPr>
          <w:rFonts w:asciiTheme="majorHAnsi" w:eastAsia="Arial" w:hAnsiTheme="majorHAnsi" w:cstheme="majorHAnsi"/>
          <w:kern w:val="2"/>
          <w:sz w:val="22"/>
          <w:szCs w:val="22"/>
          <w:lang w:val="en-GB"/>
        </w:rPr>
        <w:t>; ESG information duties</w:t>
      </w:r>
      <w:r w:rsidR="000D5C5E">
        <w:rPr>
          <w:rFonts w:asciiTheme="majorHAnsi" w:eastAsia="Arial" w:hAnsiTheme="majorHAnsi" w:cstheme="majorHAnsi"/>
          <w:kern w:val="2"/>
          <w:sz w:val="22"/>
          <w:szCs w:val="22"/>
          <w:lang w:val="en-GB"/>
        </w:rPr>
        <w:t>/targets</w:t>
      </w:r>
      <w:r w:rsidR="00BA2B38">
        <w:rPr>
          <w:rFonts w:asciiTheme="majorHAnsi" w:eastAsia="Arial" w:hAnsiTheme="majorHAnsi" w:cstheme="majorHAnsi"/>
          <w:kern w:val="2"/>
          <w:sz w:val="22"/>
          <w:szCs w:val="22"/>
          <w:lang w:val="en-GB"/>
        </w:rPr>
        <w:t xml:space="preserve"> are </w:t>
      </w:r>
      <w:r w:rsidR="0020668E">
        <w:rPr>
          <w:rFonts w:asciiTheme="majorHAnsi" w:eastAsia="Arial" w:hAnsiTheme="majorHAnsi" w:cstheme="majorHAnsi"/>
          <w:kern w:val="2"/>
          <w:sz w:val="22"/>
          <w:szCs w:val="22"/>
          <w:lang w:val="en-GB"/>
        </w:rPr>
        <w:t>foreseen by the CSRD</w:t>
      </w:r>
      <w:r w:rsidR="00852634">
        <w:rPr>
          <w:rFonts w:asciiTheme="majorHAnsi" w:eastAsia="Arial" w:hAnsiTheme="majorHAnsi" w:cstheme="majorHAnsi"/>
          <w:kern w:val="2"/>
          <w:sz w:val="22"/>
          <w:szCs w:val="22"/>
          <w:lang w:val="en-GB"/>
        </w:rPr>
        <w:t xml:space="preserve"> with a long-time horizon. They are</w:t>
      </w:r>
      <w:r w:rsidR="0020668E">
        <w:rPr>
          <w:rFonts w:asciiTheme="majorHAnsi" w:eastAsia="Arial" w:hAnsiTheme="majorHAnsi" w:cstheme="majorHAnsi"/>
          <w:kern w:val="2"/>
          <w:sz w:val="22"/>
          <w:szCs w:val="22"/>
          <w:lang w:val="en-GB"/>
        </w:rPr>
        <w:t xml:space="preserve"> </w:t>
      </w:r>
      <w:r w:rsidR="00BA2B38">
        <w:rPr>
          <w:rFonts w:asciiTheme="majorHAnsi" w:eastAsia="Arial" w:hAnsiTheme="majorHAnsi" w:cstheme="majorHAnsi"/>
          <w:kern w:val="2"/>
          <w:sz w:val="22"/>
          <w:szCs w:val="22"/>
          <w:lang w:val="en-GB"/>
        </w:rPr>
        <w:t>included in</w:t>
      </w:r>
      <w:r w:rsidR="00FA7EB8">
        <w:rPr>
          <w:rFonts w:asciiTheme="majorHAnsi" w:eastAsia="Arial" w:hAnsiTheme="majorHAnsi" w:cstheme="majorHAnsi"/>
          <w:kern w:val="2"/>
          <w:sz w:val="22"/>
          <w:szCs w:val="22"/>
          <w:lang w:val="en-GB"/>
        </w:rPr>
        <w:t xml:space="preserve">                                                                                                                                                                                                                                                                                                                                                                                                                                                                                                                                                                                                                                                                                                                                                                                                                                                                                                                                                                                                                                                                                                                                                                                                                                                                                               </w:t>
      </w:r>
      <w:r w:rsidR="00BA2B38">
        <w:rPr>
          <w:rFonts w:asciiTheme="majorHAnsi" w:eastAsia="Arial" w:hAnsiTheme="majorHAnsi" w:cstheme="majorHAnsi"/>
          <w:kern w:val="2"/>
          <w:sz w:val="22"/>
          <w:szCs w:val="22"/>
          <w:lang w:val="en-GB"/>
        </w:rPr>
        <w:t xml:space="preserve"> the Sustainability Report </w:t>
      </w:r>
      <w:r w:rsidR="007502C7">
        <w:rPr>
          <w:rFonts w:asciiTheme="majorHAnsi" w:eastAsia="Arial" w:hAnsiTheme="majorHAnsi" w:cstheme="majorHAnsi"/>
          <w:kern w:val="2"/>
          <w:sz w:val="22"/>
          <w:szCs w:val="22"/>
          <w:lang w:val="en-GB"/>
        </w:rPr>
        <w:t xml:space="preserve">and </w:t>
      </w:r>
      <w:r w:rsidR="00BA2B38">
        <w:rPr>
          <w:rFonts w:asciiTheme="majorHAnsi" w:eastAsia="Arial" w:hAnsiTheme="majorHAnsi" w:cstheme="majorHAnsi"/>
          <w:kern w:val="2"/>
          <w:sz w:val="22"/>
          <w:szCs w:val="22"/>
          <w:lang w:val="en-GB"/>
        </w:rPr>
        <w:t>subject to a periodical publishment</w:t>
      </w:r>
      <w:r w:rsidR="00DF0B3C" w:rsidRPr="00DF0B3C">
        <w:rPr>
          <w:rFonts w:asciiTheme="majorHAnsi" w:eastAsia="Arial" w:hAnsiTheme="majorHAnsi" w:cstheme="majorHAnsi"/>
          <w:kern w:val="2"/>
          <w:sz w:val="22"/>
          <w:szCs w:val="22"/>
          <w:lang w:val="en-GB"/>
        </w:rPr>
        <w:t>.</w:t>
      </w:r>
      <w:r w:rsidR="00F2692B" w:rsidRPr="00DF0B3C">
        <w:rPr>
          <w:rFonts w:asciiTheme="majorHAnsi" w:eastAsia="Arial" w:hAnsiTheme="majorHAnsi" w:cstheme="majorHAnsi"/>
          <w:kern w:val="2"/>
          <w:sz w:val="22"/>
          <w:szCs w:val="22"/>
          <w:lang w:val="en-GB"/>
        </w:rPr>
        <w:t xml:space="preserve">  </w:t>
      </w:r>
    </w:p>
    <w:p w14:paraId="3045F814" w14:textId="66C57129" w:rsidR="009F6D3C" w:rsidRPr="00DF0B3C" w:rsidRDefault="009F6D3C" w:rsidP="009B1E21">
      <w:pPr>
        <w:rPr>
          <w:rFonts w:asciiTheme="majorHAnsi" w:hAnsiTheme="majorHAnsi" w:cstheme="majorHAnsi"/>
          <w:color w:val="auto"/>
          <w:szCs w:val="22"/>
        </w:rPr>
      </w:pPr>
    </w:p>
    <w:p w14:paraId="57529087" w14:textId="29F1FC66" w:rsidR="00183268" w:rsidRPr="00DF0B3C" w:rsidRDefault="00183268" w:rsidP="00183268">
      <w:pPr>
        <w:pStyle w:val="NormaleWeb"/>
        <w:spacing w:before="0" w:beforeAutospacing="0" w:after="253" w:afterAutospacing="0" w:line="256" w:lineRule="auto"/>
        <w:ind w:left="374" w:hanging="374"/>
        <w:jc w:val="both"/>
        <w:rPr>
          <w:rFonts w:asciiTheme="majorHAnsi" w:eastAsia="Arial" w:hAnsiTheme="majorHAnsi" w:cstheme="majorHAnsi"/>
          <w:kern w:val="2"/>
          <w:sz w:val="22"/>
          <w:szCs w:val="22"/>
          <w:lang w:val="en-GB"/>
        </w:rPr>
      </w:pPr>
      <w:r w:rsidRPr="00DF0B3C">
        <w:rPr>
          <w:rFonts w:asciiTheme="majorHAnsi" w:hAnsiTheme="majorHAnsi" w:cstheme="majorHAnsi"/>
          <w:sz w:val="22"/>
          <w:szCs w:val="22"/>
          <w:lang w:val="en-GB"/>
        </w:rPr>
        <w:lastRenderedPageBreak/>
        <w:t>Case n. 6</w:t>
      </w:r>
      <w:r w:rsidR="009F6D3C" w:rsidRPr="00DF0B3C">
        <w:rPr>
          <w:rFonts w:asciiTheme="majorHAnsi" w:hAnsiTheme="majorHAnsi" w:cstheme="majorHAnsi"/>
          <w:sz w:val="22"/>
          <w:szCs w:val="22"/>
          <w:lang w:val="en-GB"/>
        </w:rPr>
        <w:t>:</w:t>
      </w:r>
      <w:r w:rsidRPr="00DF0B3C">
        <w:rPr>
          <w:rFonts w:asciiTheme="majorHAnsi" w:hAnsiTheme="majorHAnsi" w:cstheme="majorHAnsi"/>
          <w:sz w:val="22"/>
          <w:szCs w:val="22"/>
          <w:lang w:val="en-GB"/>
        </w:rPr>
        <w:t xml:space="preserve"> </w:t>
      </w:r>
      <w:r w:rsidRPr="00DF0B3C">
        <w:rPr>
          <w:rFonts w:asciiTheme="majorHAnsi" w:eastAsia="Arial" w:hAnsiTheme="majorHAnsi" w:cstheme="majorHAnsi"/>
          <w:kern w:val="2"/>
          <w:sz w:val="22"/>
          <w:szCs w:val="22"/>
          <w:lang w:val="en-GB"/>
        </w:rPr>
        <w:t>Inside information regarding a material change in a business strategy previously publicly announced by the issuer (</w:t>
      </w:r>
      <w:r w:rsidRPr="008564CC">
        <w:rPr>
          <w:rFonts w:asciiTheme="majorHAnsi" w:eastAsia="Arial" w:hAnsiTheme="majorHAnsi" w:cstheme="majorHAnsi"/>
          <w:kern w:val="2"/>
          <w:sz w:val="22"/>
          <w:szCs w:val="22"/>
          <w:lang w:val="en-GB"/>
        </w:rPr>
        <w:t>e.g. sale of a business line after significant investments in that same business line</w:t>
      </w:r>
      <w:r w:rsidRPr="00DF0B3C">
        <w:rPr>
          <w:rFonts w:asciiTheme="majorHAnsi" w:eastAsia="Arial" w:hAnsiTheme="majorHAnsi" w:cstheme="majorHAnsi"/>
          <w:strike/>
          <w:kern w:val="2"/>
          <w:sz w:val="22"/>
          <w:szCs w:val="22"/>
          <w:lang w:val="en-GB"/>
        </w:rPr>
        <w:t>)</w:t>
      </w:r>
      <w:r w:rsidR="008B09C4" w:rsidRPr="00DF0B3C">
        <w:rPr>
          <w:rFonts w:asciiTheme="majorHAnsi" w:eastAsia="Arial" w:hAnsiTheme="majorHAnsi" w:cstheme="majorHAnsi"/>
          <w:strike/>
          <w:kern w:val="2"/>
          <w:sz w:val="22"/>
          <w:szCs w:val="22"/>
          <w:lang w:val="en-GB"/>
        </w:rPr>
        <w:t xml:space="preserve"> </w:t>
      </w:r>
      <w:r w:rsidR="008B09C4" w:rsidRPr="00DF0B3C">
        <w:rPr>
          <w:rFonts w:asciiTheme="majorHAnsi" w:eastAsia="Arial" w:hAnsiTheme="majorHAnsi" w:cstheme="majorHAnsi"/>
          <w:kern w:val="2"/>
          <w:sz w:val="22"/>
          <w:szCs w:val="22"/>
          <w:lang w:val="en-GB"/>
        </w:rPr>
        <w:t xml:space="preserve">where </w:t>
      </w:r>
      <w:r w:rsidR="009F6D3C" w:rsidRPr="00DF0B3C">
        <w:rPr>
          <w:rFonts w:asciiTheme="majorHAnsi" w:eastAsia="Arial" w:hAnsiTheme="majorHAnsi" w:cstheme="majorHAnsi"/>
          <w:kern w:val="2"/>
          <w:sz w:val="22"/>
          <w:szCs w:val="22"/>
          <w:lang w:val="en-GB"/>
        </w:rPr>
        <w:t>the example quoted</w:t>
      </w:r>
      <w:r w:rsidR="008564CC">
        <w:rPr>
          <w:rFonts w:asciiTheme="majorHAnsi" w:eastAsia="Arial" w:hAnsiTheme="majorHAnsi" w:cstheme="majorHAnsi"/>
          <w:kern w:val="2"/>
          <w:sz w:val="22"/>
          <w:szCs w:val="22"/>
          <w:lang w:val="en-GB"/>
        </w:rPr>
        <w:t xml:space="preserve"> into </w:t>
      </w:r>
      <w:r w:rsidR="009E4794">
        <w:rPr>
          <w:rFonts w:asciiTheme="majorHAnsi" w:eastAsia="Arial" w:hAnsiTheme="majorHAnsi" w:cstheme="majorHAnsi"/>
          <w:kern w:val="2"/>
          <w:sz w:val="22"/>
          <w:szCs w:val="22"/>
          <w:lang w:val="en-GB"/>
        </w:rPr>
        <w:t>brackets</w:t>
      </w:r>
      <w:r w:rsidR="007502C7">
        <w:rPr>
          <w:rFonts w:asciiTheme="majorHAnsi" w:eastAsia="Arial" w:hAnsiTheme="majorHAnsi" w:cstheme="majorHAnsi"/>
          <w:kern w:val="2"/>
          <w:sz w:val="22"/>
          <w:szCs w:val="22"/>
          <w:lang w:val="en-GB"/>
        </w:rPr>
        <w:t xml:space="preserve"> (sale of a</w:t>
      </w:r>
      <w:r w:rsidR="007502C7" w:rsidRPr="007502C7">
        <w:rPr>
          <w:rFonts w:asciiTheme="majorHAnsi" w:eastAsia="Arial" w:hAnsiTheme="majorHAnsi" w:cstheme="majorHAnsi"/>
          <w:kern w:val="2"/>
          <w:sz w:val="22"/>
          <w:szCs w:val="22"/>
          <w:lang w:val="en-GB"/>
        </w:rPr>
        <w:t xml:space="preserve"> </w:t>
      </w:r>
      <w:r w:rsidR="007502C7" w:rsidRPr="008564CC">
        <w:rPr>
          <w:rFonts w:asciiTheme="majorHAnsi" w:eastAsia="Arial" w:hAnsiTheme="majorHAnsi" w:cstheme="majorHAnsi"/>
          <w:kern w:val="2"/>
          <w:sz w:val="22"/>
          <w:szCs w:val="22"/>
          <w:lang w:val="en-GB"/>
        </w:rPr>
        <w:t>business line after significant investments in that same business line</w:t>
      </w:r>
      <w:r w:rsidR="007502C7">
        <w:rPr>
          <w:rFonts w:asciiTheme="majorHAnsi" w:eastAsia="Arial" w:hAnsiTheme="majorHAnsi" w:cstheme="majorHAnsi"/>
          <w:kern w:val="2"/>
          <w:sz w:val="22"/>
          <w:szCs w:val="22"/>
          <w:lang w:val="en-GB"/>
        </w:rPr>
        <w:t>)</w:t>
      </w:r>
      <w:r w:rsidR="009F6D3C" w:rsidRPr="00DF0B3C">
        <w:rPr>
          <w:rFonts w:asciiTheme="majorHAnsi" w:eastAsia="Arial" w:hAnsiTheme="majorHAnsi" w:cstheme="majorHAnsi"/>
          <w:kern w:val="2"/>
          <w:sz w:val="22"/>
          <w:szCs w:val="22"/>
          <w:lang w:val="en-GB"/>
        </w:rPr>
        <w:t xml:space="preserve"> </w:t>
      </w:r>
      <w:r w:rsidR="0021550F">
        <w:rPr>
          <w:rFonts w:asciiTheme="majorHAnsi" w:eastAsia="Arial" w:hAnsiTheme="majorHAnsi" w:cstheme="majorHAnsi"/>
          <w:kern w:val="2"/>
          <w:sz w:val="22"/>
          <w:szCs w:val="22"/>
          <w:lang w:val="en-GB"/>
        </w:rPr>
        <w:t xml:space="preserve">is not suitable and </w:t>
      </w:r>
      <w:r w:rsidR="009F6D3C" w:rsidRPr="00DF0B3C">
        <w:rPr>
          <w:rFonts w:asciiTheme="majorHAnsi" w:eastAsia="Arial" w:hAnsiTheme="majorHAnsi" w:cstheme="majorHAnsi"/>
          <w:kern w:val="2"/>
          <w:sz w:val="22"/>
          <w:szCs w:val="22"/>
          <w:lang w:val="en-GB"/>
        </w:rPr>
        <w:t>should be deleted</w:t>
      </w:r>
      <w:r w:rsidR="00972DDA">
        <w:rPr>
          <w:rFonts w:asciiTheme="majorHAnsi" w:eastAsia="Arial" w:hAnsiTheme="majorHAnsi" w:cstheme="majorHAnsi"/>
          <w:kern w:val="2"/>
          <w:sz w:val="22"/>
          <w:szCs w:val="22"/>
          <w:lang w:val="en-GB"/>
        </w:rPr>
        <w:t xml:space="preserve"> </w:t>
      </w:r>
      <w:r w:rsidR="00F95B87">
        <w:rPr>
          <w:rFonts w:asciiTheme="majorHAnsi" w:eastAsia="Arial" w:hAnsiTheme="majorHAnsi" w:cstheme="majorHAnsi"/>
          <w:kern w:val="2"/>
          <w:sz w:val="22"/>
          <w:szCs w:val="22"/>
          <w:lang w:val="en-GB"/>
        </w:rPr>
        <w:t>as not every investment in a business line is strategic</w:t>
      </w:r>
      <w:r w:rsidR="00DD0F19">
        <w:rPr>
          <w:rFonts w:asciiTheme="majorHAnsi" w:eastAsia="Arial" w:hAnsiTheme="majorHAnsi" w:cstheme="majorHAnsi"/>
          <w:kern w:val="2"/>
          <w:sz w:val="22"/>
          <w:szCs w:val="22"/>
          <w:lang w:val="en-GB"/>
        </w:rPr>
        <w:t>.</w:t>
      </w:r>
    </w:p>
    <w:p w14:paraId="179AD97E" w14:textId="03082807" w:rsidR="009B1E21" w:rsidRDefault="00BE4113" w:rsidP="009B1E21">
      <w:r w:rsidRPr="00DF0B3C">
        <w:t>.</w:t>
      </w:r>
      <w:permEnd w:id="131739657"/>
      <w:r w:rsidR="009B1E21">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77777777" w:rsidR="009B1E21" w:rsidRDefault="009B1E21" w:rsidP="009B1E21">
      <w:permStart w:id="224746622" w:edGrp="everyone"/>
      <w: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77777777" w:rsidR="009B1E21" w:rsidRDefault="009B1E21" w:rsidP="009B1E21">
      <w:permStart w:id="1599806274" w:edGrp="everyone"/>
      <w: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77777777" w:rsidR="009B1E21" w:rsidRDefault="009B1E21" w:rsidP="009B1E21">
      <w:permStart w:id="166685556" w:edGrp="everyone"/>
      <w: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77777777" w:rsidR="009B1E21" w:rsidRDefault="009B1E21" w:rsidP="009B1E21">
      <w:permStart w:id="14434267" w:edGrp="everyone"/>
      <w:r>
        <w:t>TYPE YOUR TEXT HERE</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77777777" w:rsidR="009B1E21" w:rsidRDefault="009B1E21" w:rsidP="009B1E21">
      <w:permStart w:id="305603693" w:edGrp="everyone"/>
      <w:r>
        <w:t>TYPE YOUR TEXT HERE</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77777777" w:rsidR="009B1E21" w:rsidRDefault="009B1E21" w:rsidP="009B1E21">
      <w:permStart w:id="767061203" w:edGrp="everyone"/>
      <w: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7F1D1933" w14:textId="77777777" w:rsidR="009B1E21" w:rsidRDefault="009B1E21" w:rsidP="009B1E21">
      <w:permStart w:id="366227586" w:edGrp="everyone"/>
      <w:r>
        <w:t>TYPE YOUR TEXT HERE</w:t>
      </w:r>
    </w:p>
    <w:permEnd w:id="366227586"/>
    <w:p w14:paraId="1A5CA3DA" w14:textId="77777777"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77777777" w:rsidR="009B1E21" w:rsidRDefault="009B1E21" w:rsidP="009B1E21">
      <w:permStart w:id="548149613" w:edGrp="everyone"/>
      <w:r>
        <w:t>TYPE YOUR TEXT HERE</w:t>
      </w:r>
    </w:p>
    <w:permEnd w:id="548149613"/>
    <w:p w14:paraId="643F7577" w14:textId="77777777"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t>&lt;ESMA_QUESTION_LATA_23&gt;</w:t>
      </w:r>
    </w:p>
    <w:p w14:paraId="762C7B2D" w14:textId="77777777" w:rsidR="009B1E21" w:rsidRDefault="009B1E21" w:rsidP="009B1E21">
      <w:permStart w:id="474421293" w:edGrp="everyone"/>
      <w: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77777777" w:rsidR="009B1E21" w:rsidRDefault="009B1E21" w:rsidP="009B1E21">
      <w:permStart w:id="1612399469" w:edGrp="everyone"/>
      <w: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77777777" w:rsidR="009B1E21" w:rsidRDefault="009B1E21" w:rsidP="009B1E21">
      <w:permStart w:id="434780100" w:edGrp="everyone"/>
      <w:r>
        <w:t>TYPE YOUR TEXT HERE</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1E71" w14:textId="77777777" w:rsidR="00D36C51" w:rsidRDefault="00D36C51" w:rsidP="007E7997">
      <w:pPr>
        <w:spacing w:line="240" w:lineRule="auto"/>
      </w:pPr>
      <w:r>
        <w:separator/>
      </w:r>
    </w:p>
  </w:endnote>
  <w:endnote w:type="continuationSeparator" w:id="0">
    <w:p w14:paraId="13532228" w14:textId="77777777" w:rsidR="00D36C51" w:rsidRDefault="00D36C51" w:rsidP="007E7997">
      <w:pPr>
        <w:spacing w:line="240" w:lineRule="auto"/>
      </w:pPr>
      <w:r>
        <w:continuationSeparator/>
      </w:r>
    </w:p>
  </w:endnote>
  <w:endnote w:type="continuationNotice" w:id="1">
    <w:p w14:paraId="220815E0" w14:textId="77777777" w:rsidR="00D36C51" w:rsidRDefault="00D36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5B38" w14:textId="77777777" w:rsidR="00D36C51" w:rsidRDefault="00D36C51" w:rsidP="007E7997">
      <w:pPr>
        <w:spacing w:line="240" w:lineRule="auto"/>
      </w:pPr>
      <w:r>
        <w:separator/>
      </w:r>
    </w:p>
  </w:footnote>
  <w:footnote w:type="continuationSeparator" w:id="0">
    <w:p w14:paraId="7150913C" w14:textId="77777777" w:rsidR="00D36C51" w:rsidRDefault="00D36C51" w:rsidP="007E7997">
      <w:pPr>
        <w:spacing w:line="240" w:lineRule="auto"/>
      </w:pPr>
      <w:r>
        <w:continuationSeparator/>
      </w:r>
    </w:p>
  </w:footnote>
  <w:footnote w:type="continuationNotice" w:id="1">
    <w:p w14:paraId="549D5852" w14:textId="77777777" w:rsidR="00D36C51" w:rsidRDefault="00D36C51">
      <w:pPr>
        <w:spacing w:after="0" w:line="240" w:lineRule="auto"/>
      </w:pPr>
    </w:p>
  </w:footnote>
  <w:footnote w:id="2">
    <w:p w14:paraId="7BC0F827" w14:textId="1DE448DF" w:rsidR="0099479A" w:rsidRPr="0038549E" w:rsidRDefault="0099479A" w:rsidP="0038549E">
      <w:pPr>
        <w:autoSpaceDE w:val="0"/>
        <w:autoSpaceDN w:val="0"/>
        <w:adjustRightInd w:val="0"/>
        <w:spacing w:after="0" w:line="240" w:lineRule="auto"/>
        <w:jc w:val="left"/>
        <w:rPr>
          <w:sz w:val="18"/>
          <w:szCs w:val="18"/>
        </w:rPr>
      </w:pPr>
      <w:r w:rsidRPr="0038549E">
        <w:rPr>
          <w:rStyle w:val="Rimandonotaapidipagina"/>
          <w:sz w:val="18"/>
          <w:szCs w:val="18"/>
        </w:rPr>
        <w:footnoteRef/>
      </w:r>
      <w:r w:rsidR="0038549E" w:rsidRPr="0038549E">
        <w:rPr>
          <w:sz w:val="18"/>
          <w:szCs w:val="18"/>
        </w:rPr>
        <w:t xml:space="preserve"> See</w:t>
      </w:r>
      <w:r w:rsidRPr="0038549E">
        <w:rPr>
          <w:sz w:val="18"/>
          <w:szCs w:val="18"/>
        </w:rPr>
        <w:t xml:space="preserve"> </w:t>
      </w:r>
      <w:r w:rsidR="0038549E" w:rsidRPr="0038549E">
        <w:rPr>
          <w:rFonts w:ascii="Arial" w:hAnsi="Arial" w:cs="Arial"/>
          <w:color w:val="auto"/>
          <w:sz w:val="18"/>
          <w:szCs w:val="18"/>
        </w:rPr>
        <w:t xml:space="preserve">J. Lau Hansen, </w:t>
      </w:r>
      <w:r w:rsidR="0038549E" w:rsidRPr="0038549E">
        <w:rPr>
          <w:rFonts w:ascii="Arial" w:hAnsi="Arial" w:cs="Arial"/>
          <w:i/>
          <w:iCs/>
          <w:color w:val="auto"/>
          <w:sz w:val="18"/>
          <w:szCs w:val="18"/>
        </w:rPr>
        <w:t xml:space="preserve">Say when: when must an issuer disclose inside information? </w:t>
      </w:r>
      <w:r w:rsidR="0038549E" w:rsidRPr="0038549E">
        <w:rPr>
          <w:rFonts w:ascii="Arial" w:hAnsi="Arial" w:cs="Arial"/>
          <w:color w:val="auto"/>
          <w:sz w:val="18"/>
          <w:szCs w:val="18"/>
        </w:rPr>
        <w:t>“Nordic &amp; European Company Law”, n. 16-03, June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Intestazione"/>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9B21F3"/>
    <w:multiLevelType w:val="hybridMultilevel"/>
    <w:tmpl w:val="C1B26A6C"/>
    <w:lvl w:ilvl="0" w:tplc="28743244">
      <w:start w:val="1"/>
      <w:numFmt w:val="lowerRoman"/>
      <w:pStyle w:val="Paragrafoelenco"/>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53963605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CFA"/>
    <w:rsid w:val="00000F47"/>
    <w:rsid w:val="000016E1"/>
    <w:rsid w:val="00001A56"/>
    <w:rsid w:val="00001FE4"/>
    <w:rsid w:val="00002320"/>
    <w:rsid w:val="000024D8"/>
    <w:rsid w:val="0000259D"/>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88E"/>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21"/>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D76"/>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8D2"/>
    <w:rsid w:val="00030900"/>
    <w:rsid w:val="00030B38"/>
    <w:rsid w:val="00030CFE"/>
    <w:rsid w:val="00030EF6"/>
    <w:rsid w:val="000312A6"/>
    <w:rsid w:val="00031738"/>
    <w:rsid w:val="00031FBC"/>
    <w:rsid w:val="00032C68"/>
    <w:rsid w:val="00033108"/>
    <w:rsid w:val="000332F2"/>
    <w:rsid w:val="00033318"/>
    <w:rsid w:val="000333F7"/>
    <w:rsid w:val="00033696"/>
    <w:rsid w:val="00033A34"/>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70"/>
    <w:rsid w:val="000418EB"/>
    <w:rsid w:val="00041978"/>
    <w:rsid w:val="000419D4"/>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CDB"/>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A0A"/>
    <w:rsid w:val="00063BAE"/>
    <w:rsid w:val="00063FB5"/>
    <w:rsid w:val="00064212"/>
    <w:rsid w:val="00064EF0"/>
    <w:rsid w:val="00065B40"/>
    <w:rsid w:val="000661C3"/>
    <w:rsid w:val="00066B8E"/>
    <w:rsid w:val="0006711D"/>
    <w:rsid w:val="00067199"/>
    <w:rsid w:val="0006773E"/>
    <w:rsid w:val="00067893"/>
    <w:rsid w:val="00067B6D"/>
    <w:rsid w:val="00067C84"/>
    <w:rsid w:val="00070128"/>
    <w:rsid w:val="000704EB"/>
    <w:rsid w:val="00070613"/>
    <w:rsid w:val="00072846"/>
    <w:rsid w:val="0007285E"/>
    <w:rsid w:val="00072E43"/>
    <w:rsid w:val="00073540"/>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2ECE"/>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994"/>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374"/>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629"/>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5D8"/>
    <w:rsid w:val="000D48AC"/>
    <w:rsid w:val="000D4B4E"/>
    <w:rsid w:val="000D4BA9"/>
    <w:rsid w:val="000D4E31"/>
    <w:rsid w:val="000D4E48"/>
    <w:rsid w:val="000D5244"/>
    <w:rsid w:val="000D529F"/>
    <w:rsid w:val="000D5598"/>
    <w:rsid w:val="000D5C5E"/>
    <w:rsid w:val="000D6245"/>
    <w:rsid w:val="000D6B06"/>
    <w:rsid w:val="000D78CF"/>
    <w:rsid w:val="000E02A3"/>
    <w:rsid w:val="000E03E9"/>
    <w:rsid w:val="000E07ED"/>
    <w:rsid w:val="000E0ECD"/>
    <w:rsid w:val="000E10A4"/>
    <w:rsid w:val="000E19CE"/>
    <w:rsid w:val="000E1A33"/>
    <w:rsid w:val="000E219E"/>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D5"/>
    <w:rsid w:val="000E70F7"/>
    <w:rsid w:val="000E75F0"/>
    <w:rsid w:val="000E77EF"/>
    <w:rsid w:val="000E7879"/>
    <w:rsid w:val="000F042B"/>
    <w:rsid w:val="000F1AC6"/>
    <w:rsid w:val="000F1AF5"/>
    <w:rsid w:val="000F25B7"/>
    <w:rsid w:val="000F27A3"/>
    <w:rsid w:val="000F2F45"/>
    <w:rsid w:val="000F3148"/>
    <w:rsid w:val="000F3473"/>
    <w:rsid w:val="000F422A"/>
    <w:rsid w:val="000F4BF0"/>
    <w:rsid w:val="000F4C18"/>
    <w:rsid w:val="000F5114"/>
    <w:rsid w:val="000F52DD"/>
    <w:rsid w:val="000F541A"/>
    <w:rsid w:val="000F544E"/>
    <w:rsid w:val="000F57B6"/>
    <w:rsid w:val="000F5812"/>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8FE"/>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8BB"/>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1C27"/>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880"/>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268"/>
    <w:rsid w:val="00183414"/>
    <w:rsid w:val="001839B2"/>
    <w:rsid w:val="00183AE7"/>
    <w:rsid w:val="00183C99"/>
    <w:rsid w:val="00183CE7"/>
    <w:rsid w:val="00184017"/>
    <w:rsid w:val="001842F1"/>
    <w:rsid w:val="00184589"/>
    <w:rsid w:val="0018540C"/>
    <w:rsid w:val="00185A90"/>
    <w:rsid w:val="00185C4C"/>
    <w:rsid w:val="001865B6"/>
    <w:rsid w:val="001865EF"/>
    <w:rsid w:val="00186932"/>
    <w:rsid w:val="0018704D"/>
    <w:rsid w:val="001872C8"/>
    <w:rsid w:val="001879C7"/>
    <w:rsid w:val="00187E07"/>
    <w:rsid w:val="0019085F"/>
    <w:rsid w:val="00190FCF"/>
    <w:rsid w:val="00191207"/>
    <w:rsid w:val="00191A56"/>
    <w:rsid w:val="001920DF"/>
    <w:rsid w:val="00192249"/>
    <w:rsid w:val="001924C0"/>
    <w:rsid w:val="00192BBA"/>
    <w:rsid w:val="00192FDE"/>
    <w:rsid w:val="00192FE6"/>
    <w:rsid w:val="00193114"/>
    <w:rsid w:val="00193B97"/>
    <w:rsid w:val="00194440"/>
    <w:rsid w:val="001947EE"/>
    <w:rsid w:val="0019488B"/>
    <w:rsid w:val="00194A1B"/>
    <w:rsid w:val="0019537A"/>
    <w:rsid w:val="001955BB"/>
    <w:rsid w:val="00196319"/>
    <w:rsid w:val="0019689D"/>
    <w:rsid w:val="00196F6C"/>
    <w:rsid w:val="00197828"/>
    <w:rsid w:val="00197FF5"/>
    <w:rsid w:val="001A0632"/>
    <w:rsid w:val="001A069D"/>
    <w:rsid w:val="001A0C53"/>
    <w:rsid w:val="001A0C90"/>
    <w:rsid w:val="001A0E8D"/>
    <w:rsid w:val="001A120F"/>
    <w:rsid w:val="001A16BF"/>
    <w:rsid w:val="001A19EF"/>
    <w:rsid w:val="001A1D74"/>
    <w:rsid w:val="001A2038"/>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38"/>
    <w:rsid w:val="001B0951"/>
    <w:rsid w:val="001B0A60"/>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1E3E"/>
    <w:rsid w:val="001C2017"/>
    <w:rsid w:val="001C2134"/>
    <w:rsid w:val="001C2186"/>
    <w:rsid w:val="001C24B9"/>
    <w:rsid w:val="001C2AC2"/>
    <w:rsid w:val="001C34BB"/>
    <w:rsid w:val="001C389D"/>
    <w:rsid w:val="001C3B72"/>
    <w:rsid w:val="001C3B81"/>
    <w:rsid w:val="001C3CC7"/>
    <w:rsid w:val="001C41D7"/>
    <w:rsid w:val="001C4F22"/>
    <w:rsid w:val="001C5579"/>
    <w:rsid w:val="001C5E63"/>
    <w:rsid w:val="001C5FDC"/>
    <w:rsid w:val="001C65B7"/>
    <w:rsid w:val="001C660F"/>
    <w:rsid w:val="001C66BA"/>
    <w:rsid w:val="001C69A8"/>
    <w:rsid w:val="001C6D50"/>
    <w:rsid w:val="001C7377"/>
    <w:rsid w:val="001C7456"/>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1BB"/>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409"/>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68E"/>
    <w:rsid w:val="00206A7B"/>
    <w:rsid w:val="00207A39"/>
    <w:rsid w:val="00207A79"/>
    <w:rsid w:val="00207CA6"/>
    <w:rsid w:val="002101FB"/>
    <w:rsid w:val="002104E5"/>
    <w:rsid w:val="0021101C"/>
    <w:rsid w:val="00211384"/>
    <w:rsid w:val="00211CF5"/>
    <w:rsid w:val="00212030"/>
    <w:rsid w:val="00213569"/>
    <w:rsid w:val="002138C3"/>
    <w:rsid w:val="00213CDC"/>
    <w:rsid w:val="002142BB"/>
    <w:rsid w:val="002146B3"/>
    <w:rsid w:val="002152F9"/>
    <w:rsid w:val="0021550F"/>
    <w:rsid w:val="00215527"/>
    <w:rsid w:val="00215ADD"/>
    <w:rsid w:val="00215BE1"/>
    <w:rsid w:val="00216141"/>
    <w:rsid w:val="0021622E"/>
    <w:rsid w:val="00217155"/>
    <w:rsid w:val="00217772"/>
    <w:rsid w:val="00217848"/>
    <w:rsid w:val="00217F67"/>
    <w:rsid w:val="002209C3"/>
    <w:rsid w:val="00220A3B"/>
    <w:rsid w:val="00220B54"/>
    <w:rsid w:val="00220D26"/>
    <w:rsid w:val="00221728"/>
    <w:rsid w:val="0022181F"/>
    <w:rsid w:val="002218C3"/>
    <w:rsid w:val="00221B56"/>
    <w:rsid w:val="0022214D"/>
    <w:rsid w:val="002227CF"/>
    <w:rsid w:val="002232B5"/>
    <w:rsid w:val="002236FA"/>
    <w:rsid w:val="00224440"/>
    <w:rsid w:val="00224667"/>
    <w:rsid w:val="002247AF"/>
    <w:rsid w:val="0022488F"/>
    <w:rsid w:val="00224ABF"/>
    <w:rsid w:val="002255A5"/>
    <w:rsid w:val="00225B9F"/>
    <w:rsid w:val="00227538"/>
    <w:rsid w:val="00227964"/>
    <w:rsid w:val="00227A16"/>
    <w:rsid w:val="00227A98"/>
    <w:rsid w:val="00227E47"/>
    <w:rsid w:val="00227F6F"/>
    <w:rsid w:val="00227FD5"/>
    <w:rsid w:val="0023008B"/>
    <w:rsid w:val="00230BBE"/>
    <w:rsid w:val="00230CC7"/>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905"/>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1D2"/>
    <w:rsid w:val="00252A09"/>
    <w:rsid w:val="002533FC"/>
    <w:rsid w:val="00253719"/>
    <w:rsid w:val="002537CE"/>
    <w:rsid w:val="00253AF4"/>
    <w:rsid w:val="00253BF8"/>
    <w:rsid w:val="00253F4A"/>
    <w:rsid w:val="0025474C"/>
    <w:rsid w:val="0025491B"/>
    <w:rsid w:val="002549E6"/>
    <w:rsid w:val="00254BBE"/>
    <w:rsid w:val="00254EEC"/>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0CE"/>
    <w:rsid w:val="0027442D"/>
    <w:rsid w:val="00274544"/>
    <w:rsid w:val="002747FC"/>
    <w:rsid w:val="00274AAF"/>
    <w:rsid w:val="00274D2F"/>
    <w:rsid w:val="00275171"/>
    <w:rsid w:val="00275188"/>
    <w:rsid w:val="0027567D"/>
    <w:rsid w:val="00275EB0"/>
    <w:rsid w:val="002765D1"/>
    <w:rsid w:val="002768E1"/>
    <w:rsid w:val="002769A9"/>
    <w:rsid w:val="00276E2F"/>
    <w:rsid w:val="00277553"/>
    <w:rsid w:val="002775CC"/>
    <w:rsid w:val="00277D49"/>
    <w:rsid w:val="00280417"/>
    <w:rsid w:val="0028060C"/>
    <w:rsid w:val="00280DD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5E50"/>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58BE"/>
    <w:rsid w:val="002A6E54"/>
    <w:rsid w:val="002A742E"/>
    <w:rsid w:val="002A7B5A"/>
    <w:rsid w:val="002A7F05"/>
    <w:rsid w:val="002A7F2B"/>
    <w:rsid w:val="002B003D"/>
    <w:rsid w:val="002B036C"/>
    <w:rsid w:val="002B04BE"/>
    <w:rsid w:val="002B06CD"/>
    <w:rsid w:val="002B098A"/>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3A3"/>
    <w:rsid w:val="002C2940"/>
    <w:rsid w:val="002C2E9E"/>
    <w:rsid w:val="002C2FA5"/>
    <w:rsid w:val="002C3068"/>
    <w:rsid w:val="002C3305"/>
    <w:rsid w:val="002C3AA7"/>
    <w:rsid w:val="002C40BE"/>
    <w:rsid w:val="002C423B"/>
    <w:rsid w:val="002C4317"/>
    <w:rsid w:val="002C498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D77FE"/>
    <w:rsid w:val="002E0065"/>
    <w:rsid w:val="002E04A9"/>
    <w:rsid w:val="002E12EF"/>
    <w:rsid w:val="002E135A"/>
    <w:rsid w:val="002E148B"/>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0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EE8"/>
    <w:rsid w:val="00302F37"/>
    <w:rsid w:val="0030327A"/>
    <w:rsid w:val="003032AB"/>
    <w:rsid w:val="003036D7"/>
    <w:rsid w:val="00303B4E"/>
    <w:rsid w:val="00304483"/>
    <w:rsid w:val="00304A15"/>
    <w:rsid w:val="00304BDC"/>
    <w:rsid w:val="00304CD4"/>
    <w:rsid w:val="00304ED0"/>
    <w:rsid w:val="00305609"/>
    <w:rsid w:val="0030562A"/>
    <w:rsid w:val="003057A5"/>
    <w:rsid w:val="003057CE"/>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A9"/>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2C9"/>
    <w:rsid w:val="00326389"/>
    <w:rsid w:val="0032640E"/>
    <w:rsid w:val="0032655B"/>
    <w:rsid w:val="003268D2"/>
    <w:rsid w:val="003269D5"/>
    <w:rsid w:val="00327012"/>
    <w:rsid w:val="003277C4"/>
    <w:rsid w:val="003279E7"/>
    <w:rsid w:val="00330363"/>
    <w:rsid w:val="00330680"/>
    <w:rsid w:val="0033089F"/>
    <w:rsid w:val="00330AD8"/>
    <w:rsid w:val="00330EF3"/>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3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92F"/>
    <w:rsid w:val="00384C43"/>
    <w:rsid w:val="0038549E"/>
    <w:rsid w:val="00385BC6"/>
    <w:rsid w:val="00385EAF"/>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22"/>
    <w:rsid w:val="003A1B8D"/>
    <w:rsid w:val="003A1ED2"/>
    <w:rsid w:val="003A2B47"/>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099"/>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89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3B"/>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966"/>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0A3E"/>
    <w:rsid w:val="00422198"/>
    <w:rsid w:val="00422251"/>
    <w:rsid w:val="004222BC"/>
    <w:rsid w:val="004224B0"/>
    <w:rsid w:val="00422CC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996"/>
    <w:rsid w:val="00440D4E"/>
    <w:rsid w:val="004414EF"/>
    <w:rsid w:val="00441977"/>
    <w:rsid w:val="00441B89"/>
    <w:rsid w:val="004424E6"/>
    <w:rsid w:val="00442518"/>
    <w:rsid w:val="0044299D"/>
    <w:rsid w:val="00442A49"/>
    <w:rsid w:val="00442FCD"/>
    <w:rsid w:val="00444272"/>
    <w:rsid w:val="00444295"/>
    <w:rsid w:val="00444714"/>
    <w:rsid w:val="004448AC"/>
    <w:rsid w:val="00444F94"/>
    <w:rsid w:val="00445696"/>
    <w:rsid w:val="00445B7E"/>
    <w:rsid w:val="00445BC4"/>
    <w:rsid w:val="00445E7B"/>
    <w:rsid w:val="004468C4"/>
    <w:rsid w:val="00446CD6"/>
    <w:rsid w:val="00447737"/>
    <w:rsid w:val="00447D0D"/>
    <w:rsid w:val="00450412"/>
    <w:rsid w:val="004504AA"/>
    <w:rsid w:val="00450C2E"/>
    <w:rsid w:val="00450DA2"/>
    <w:rsid w:val="004510EA"/>
    <w:rsid w:val="004515DA"/>
    <w:rsid w:val="00451618"/>
    <w:rsid w:val="004516A6"/>
    <w:rsid w:val="00451A0B"/>
    <w:rsid w:val="0045297A"/>
    <w:rsid w:val="0045311F"/>
    <w:rsid w:val="004537A0"/>
    <w:rsid w:val="00453CC2"/>
    <w:rsid w:val="00453DB6"/>
    <w:rsid w:val="00453F33"/>
    <w:rsid w:val="00453F82"/>
    <w:rsid w:val="00454257"/>
    <w:rsid w:val="00454259"/>
    <w:rsid w:val="004551C0"/>
    <w:rsid w:val="004553BE"/>
    <w:rsid w:val="00456142"/>
    <w:rsid w:val="00456B62"/>
    <w:rsid w:val="00456E09"/>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546"/>
    <w:rsid w:val="0047366A"/>
    <w:rsid w:val="004737DE"/>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16EE"/>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5ED"/>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4EA"/>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DC"/>
    <w:rsid w:val="004A1EF4"/>
    <w:rsid w:val="004A20DC"/>
    <w:rsid w:val="004A2BD3"/>
    <w:rsid w:val="004A2E54"/>
    <w:rsid w:val="004A2F2B"/>
    <w:rsid w:val="004A2FA8"/>
    <w:rsid w:val="004A3946"/>
    <w:rsid w:val="004A48E8"/>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6C1"/>
    <w:rsid w:val="004B08D9"/>
    <w:rsid w:val="004B0B81"/>
    <w:rsid w:val="004B1226"/>
    <w:rsid w:val="004B17DD"/>
    <w:rsid w:val="004B19C6"/>
    <w:rsid w:val="004B1D1A"/>
    <w:rsid w:val="004B26FB"/>
    <w:rsid w:val="004B293F"/>
    <w:rsid w:val="004B2EDB"/>
    <w:rsid w:val="004B2F3B"/>
    <w:rsid w:val="004B31D2"/>
    <w:rsid w:val="004B3396"/>
    <w:rsid w:val="004B34AF"/>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136"/>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259"/>
    <w:rsid w:val="004D7849"/>
    <w:rsid w:val="004D78E9"/>
    <w:rsid w:val="004D7AE0"/>
    <w:rsid w:val="004D7F13"/>
    <w:rsid w:val="004E0F87"/>
    <w:rsid w:val="004E180D"/>
    <w:rsid w:val="004E1C3A"/>
    <w:rsid w:val="004E1EAD"/>
    <w:rsid w:val="004E1FBC"/>
    <w:rsid w:val="004E234D"/>
    <w:rsid w:val="004E2854"/>
    <w:rsid w:val="004E3BC7"/>
    <w:rsid w:val="004E3FB2"/>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4F1"/>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947"/>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4B4"/>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2FC"/>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6F4"/>
    <w:rsid w:val="00526726"/>
    <w:rsid w:val="00526E5D"/>
    <w:rsid w:val="00526FDB"/>
    <w:rsid w:val="00527323"/>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85F"/>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312"/>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2E98"/>
    <w:rsid w:val="0059367B"/>
    <w:rsid w:val="00593DDB"/>
    <w:rsid w:val="005945B1"/>
    <w:rsid w:val="005946B0"/>
    <w:rsid w:val="0059495F"/>
    <w:rsid w:val="005958A0"/>
    <w:rsid w:val="005958FC"/>
    <w:rsid w:val="00595E58"/>
    <w:rsid w:val="0059639F"/>
    <w:rsid w:val="0059670D"/>
    <w:rsid w:val="00596839"/>
    <w:rsid w:val="005970FD"/>
    <w:rsid w:val="005971EE"/>
    <w:rsid w:val="005972E0"/>
    <w:rsid w:val="0059773F"/>
    <w:rsid w:val="00597AC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25"/>
    <w:rsid w:val="005A4CE2"/>
    <w:rsid w:val="005A5012"/>
    <w:rsid w:val="005A5116"/>
    <w:rsid w:val="005A554D"/>
    <w:rsid w:val="005A5678"/>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2EB"/>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3FC8"/>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6FA"/>
    <w:rsid w:val="005E18BB"/>
    <w:rsid w:val="005E1D11"/>
    <w:rsid w:val="005E256B"/>
    <w:rsid w:val="005E2930"/>
    <w:rsid w:val="005E2DDB"/>
    <w:rsid w:val="005E2E82"/>
    <w:rsid w:val="005E33FB"/>
    <w:rsid w:val="005E3428"/>
    <w:rsid w:val="005E3E68"/>
    <w:rsid w:val="005E3ED1"/>
    <w:rsid w:val="005E3FD9"/>
    <w:rsid w:val="005E412D"/>
    <w:rsid w:val="005E467F"/>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32A"/>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4DD0"/>
    <w:rsid w:val="006250A4"/>
    <w:rsid w:val="00625B11"/>
    <w:rsid w:val="0062601B"/>
    <w:rsid w:val="0062631D"/>
    <w:rsid w:val="006263CE"/>
    <w:rsid w:val="00626CA4"/>
    <w:rsid w:val="00626D32"/>
    <w:rsid w:val="0062734D"/>
    <w:rsid w:val="006276EC"/>
    <w:rsid w:val="00627D59"/>
    <w:rsid w:val="00630165"/>
    <w:rsid w:val="0063138F"/>
    <w:rsid w:val="006316DD"/>
    <w:rsid w:val="006318DC"/>
    <w:rsid w:val="00631DF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578"/>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0A08"/>
    <w:rsid w:val="0065109C"/>
    <w:rsid w:val="006511A3"/>
    <w:rsid w:val="0065126A"/>
    <w:rsid w:val="00651752"/>
    <w:rsid w:val="006517E4"/>
    <w:rsid w:val="0065200A"/>
    <w:rsid w:val="006523C7"/>
    <w:rsid w:val="00652BA9"/>
    <w:rsid w:val="00652D41"/>
    <w:rsid w:val="00652E52"/>
    <w:rsid w:val="00652F59"/>
    <w:rsid w:val="0065332B"/>
    <w:rsid w:val="00653744"/>
    <w:rsid w:val="006538B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8F4"/>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3B5E"/>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3BD9"/>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E66"/>
    <w:rsid w:val="006C2FCD"/>
    <w:rsid w:val="006C2FFC"/>
    <w:rsid w:val="006C3617"/>
    <w:rsid w:val="006C371A"/>
    <w:rsid w:val="006C4351"/>
    <w:rsid w:val="006C440F"/>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6F9"/>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1DC2"/>
    <w:rsid w:val="006E2829"/>
    <w:rsid w:val="006E2999"/>
    <w:rsid w:val="006E3080"/>
    <w:rsid w:val="006E337F"/>
    <w:rsid w:val="006E3481"/>
    <w:rsid w:val="006E360F"/>
    <w:rsid w:val="006E3968"/>
    <w:rsid w:val="006E39B5"/>
    <w:rsid w:val="006E3BED"/>
    <w:rsid w:val="006E3C3D"/>
    <w:rsid w:val="006E3C46"/>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B43"/>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988"/>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A2E"/>
    <w:rsid w:val="00735B86"/>
    <w:rsid w:val="00735C87"/>
    <w:rsid w:val="0073665D"/>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84"/>
    <w:rsid w:val="007463A8"/>
    <w:rsid w:val="007465BC"/>
    <w:rsid w:val="007467D7"/>
    <w:rsid w:val="00746A56"/>
    <w:rsid w:val="00747168"/>
    <w:rsid w:val="00747785"/>
    <w:rsid w:val="007502BF"/>
    <w:rsid w:val="007502C7"/>
    <w:rsid w:val="0075066B"/>
    <w:rsid w:val="00750BE1"/>
    <w:rsid w:val="0075129A"/>
    <w:rsid w:val="007520A8"/>
    <w:rsid w:val="00752244"/>
    <w:rsid w:val="007529E5"/>
    <w:rsid w:val="00752DE9"/>
    <w:rsid w:val="007531C1"/>
    <w:rsid w:val="00753542"/>
    <w:rsid w:val="00753870"/>
    <w:rsid w:val="007549AC"/>
    <w:rsid w:val="00754C78"/>
    <w:rsid w:val="007558DB"/>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8D2"/>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1C28"/>
    <w:rsid w:val="007823A2"/>
    <w:rsid w:val="00782809"/>
    <w:rsid w:val="00782C3F"/>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302"/>
    <w:rsid w:val="00792544"/>
    <w:rsid w:val="00792792"/>
    <w:rsid w:val="007928DA"/>
    <w:rsid w:val="007928E7"/>
    <w:rsid w:val="00792E0A"/>
    <w:rsid w:val="00793167"/>
    <w:rsid w:val="007932E1"/>
    <w:rsid w:val="007936C0"/>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2A2"/>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082E"/>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A2C"/>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0A"/>
    <w:rsid w:val="007E61F1"/>
    <w:rsid w:val="007E6346"/>
    <w:rsid w:val="007E643F"/>
    <w:rsid w:val="007E6672"/>
    <w:rsid w:val="007E66F8"/>
    <w:rsid w:val="007E6B8B"/>
    <w:rsid w:val="007E70E1"/>
    <w:rsid w:val="007E7279"/>
    <w:rsid w:val="007E72EC"/>
    <w:rsid w:val="007E75F3"/>
    <w:rsid w:val="007E76BC"/>
    <w:rsid w:val="007E7997"/>
    <w:rsid w:val="007F0029"/>
    <w:rsid w:val="007F0567"/>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BA1"/>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A"/>
    <w:rsid w:val="00810C3D"/>
    <w:rsid w:val="00810EF9"/>
    <w:rsid w:val="00811295"/>
    <w:rsid w:val="00811BC6"/>
    <w:rsid w:val="00811C0A"/>
    <w:rsid w:val="0081211E"/>
    <w:rsid w:val="0081225F"/>
    <w:rsid w:val="0081266E"/>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9B9"/>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5E1"/>
    <w:rsid w:val="008256BC"/>
    <w:rsid w:val="0082581C"/>
    <w:rsid w:val="00825C52"/>
    <w:rsid w:val="00825FC5"/>
    <w:rsid w:val="008263C0"/>
    <w:rsid w:val="00826C2E"/>
    <w:rsid w:val="008272A8"/>
    <w:rsid w:val="0082744A"/>
    <w:rsid w:val="0082792D"/>
    <w:rsid w:val="008279C0"/>
    <w:rsid w:val="00827B60"/>
    <w:rsid w:val="00827E04"/>
    <w:rsid w:val="00830842"/>
    <w:rsid w:val="0083092F"/>
    <w:rsid w:val="00830FB8"/>
    <w:rsid w:val="00831338"/>
    <w:rsid w:val="00831719"/>
    <w:rsid w:val="00831B63"/>
    <w:rsid w:val="00831C2D"/>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CED"/>
    <w:rsid w:val="00842D60"/>
    <w:rsid w:val="0084305D"/>
    <w:rsid w:val="008436FD"/>
    <w:rsid w:val="00843982"/>
    <w:rsid w:val="008439AB"/>
    <w:rsid w:val="00843BB9"/>
    <w:rsid w:val="00843C16"/>
    <w:rsid w:val="008445CC"/>
    <w:rsid w:val="008446F9"/>
    <w:rsid w:val="00844B1F"/>
    <w:rsid w:val="00845348"/>
    <w:rsid w:val="0084562E"/>
    <w:rsid w:val="008459CC"/>
    <w:rsid w:val="00845B20"/>
    <w:rsid w:val="00845B7A"/>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634"/>
    <w:rsid w:val="00852CC8"/>
    <w:rsid w:val="00852DE6"/>
    <w:rsid w:val="00852E76"/>
    <w:rsid w:val="008530DC"/>
    <w:rsid w:val="00853576"/>
    <w:rsid w:val="008536EB"/>
    <w:rsid w:val="00853B1A"/>
    <w:rsid w:val="00853B56"/>
    <w:rsid w:val="008546DF"/>
    <w:rsid w:val="00854AAE"/>
    <w:rsid w:val="00854CA0"/>
    <w:rsid w:val="00855717"/>
    <w:rsid w:val="00855C9B"/>
    <w:rsid w:val="00855E72"/>
    <w:rsid w:val="008564CC"/>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92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1F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9C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915"/>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919"/>
    <w:rsid w:val="008C3A0B"/>
    <w:rsid w:val="008C3AE8"/>
    <w:rsid w:val="008C3B5F"/>
    <w:rsid w:val="008C3F10"/>
    <w:rsid w:val="008C4169"/>
    <w:rsid w:val="008C49EB"/>
    <w:rsid w:val="008C49F4"/>
    <w:rsid w:val="008C4C28"/>
    <w:rsid w:val="008C4D68"/>
    <w:rsid w:val="008C503A"/>
    <w:rsid w:val="008C5A41"/>
    <w:rsid w:val="008C62B0"/>
    <w:rsid w:val="008C6A59"/>
    <w:rsid w:val="008C6B22"/>
    <w:rsid w:val="008C6E68"/>
    <w:rsid w:val="008C767A"/>
    <w:rsid w:val="008C7BD3"/>
    <w:rsid w:val="008C7C6F"/>
    <w:rsid w:val="008D0044"/>
    <w:rsid w:val="008D03BE"/>
    <w:rsid w:val="008D073F"/>
    <w:rsid w:val="008D0C5F"/>
    <w:rsid w:val="008D0E55"/>
    <w:rsid w:val="008D0E92"/>
    <w:rsid w:val="008D0EAE"/>
    <w:rsid w:val="008D127D"/>
    <w:rsid w:val="008D13D9"/>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38A"/>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1C86"/>
    <w:rsid w:val="008F29DA"/>
    <w:rsid w:val="008F2D5D"/>
    <w:rsid w:val="008F3010"/>
    <w:rsid w:val="008F3070"/>
    <w:rsid w:val="008F35EC"/>
    <w:rsid w:val="008F39FB"/>
    <w:rsid w:val="008F3D0D"/>
    <w:rsid w:val="008F3D56"/>
    <w:rsid w:val="008F4C8C"/>
    <w:rsid w:val="008F54C4"/>
    <w:rsid w:val="008F591C"/>
    <w:rsid w:val="008F59AE"/>
    <w:rsid w:val="008F5A1F"/>
    <w:rsid w:val="008F5C27"/>
    <w:rsid w:val="008F789B"/>
    <w:rsid w:val="00900377"/>
    <w:rsid w:val="009005DD"/>
    <w:rsid w:val="00900900"/>
    <w:rsid w:val="00900ABF"/>
    <w:rsid w:val="00901581"/>
    <w:rsid w:val="0090167B"/>
    <w:rsid w:val="00901940"/>
    <w:rsid w:val="009020A8"/>
    <w:rsid w:val="00903D72"/>
    <w:rsid w:val="00903E26"/>
    <w:rsid w:val="009040B1"/>
    <w:rsid w:val="00904F85"/>
    <w:rsid w:val="009058E0"/>
    <w:rsid w:val="00905D4B"/>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17E46"/>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319"/>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88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6DF"/>
    <w:rsid w:val="00955BEB"/>
    <w:rsid w:val="00955E3B"/>
    <w:rsid w:val="0095696D"/>
    <w:rsid w:val="00956A2D"/>
    <w:rsid w:val="00956AB7"/>
    <w:rsid w:val="00957565"/>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7D2"/>
    <w:rsid w:val="00964B7C"/>
    <w:rsid w:val="0096553E"/>
    <w:rsid w:val="00965764"/>
    <w:rsid w:val="00966824"/>
    <w:rsid w:val="00967052"/>
    <w:rsid w:val="00967525"/>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DDA"/>
    <w:rsid w:val="00972E4C"/>
    <w:rsid w:val="00973372"/>
    <w:rsid w:val="009739A1"/>
    <w:rsid w:val="00973BF2"/>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307"/>
    <w:rsid w:val="00982D0F"/>
    <w:rsid w:val="00982D57"/>
    <w:rsid w:val="00982FF2"/>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1CE"/>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79A"/>
    <w:rsid w:val="0099526D"/>
    <w:rsid w:val="00995354"/>
    <w:rsid w:val="009954AA"/>
    <w:rsid w:val="009959E3"/>
    <w:rsid w:val="00995D7F"/>
    <w:rsid w:val="00995DC1"/>
    <w:rsid w:val="0099632D"/>
    <w:rsid w:val="0099699E"/>
    <w:rsid w:val="0099702F"/>
    <w:rsid w:val="009978E3"/>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5D9A"/>
    <w:rsid w:val="009A64E8"/>
    <w:rsid w:val="009A6889"/>
    <w:rsid w:val="009A69DB"/>
    <w:rsid w:val="009A6B67"/>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A56"/>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D4F"/>
    <w:rsid w:val="009C0EB5"/>
    <w:rsid w:val="009C0F5C"/>
    <w:rsid w:val="009C1132"/>
    <w:rsid w:val="009C14FC"/>
    <w:rsid w:val="009C1A3D"/>
    <w:rsid w:val="009C1AFC"/>
    <w:rsid w:val="009C1EF7"/>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89D"/>
    <w:rsid w:val="009C798E"/>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55"/>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6F7"/>
    <w:rsid w:val="009E0A1A"/>
    <w:rsid w:val="009E0F47"/>
    <w:rsid w:val="009E129F"/>
    <w:rsid w:val="009E1425"/>
    <w:rsid w:val="009E15F3"/>
    <w:rsid w:val="009E176E"/>
    <w:rsid w:val="009E1DBD"/>
    <w:rsid w:val="009E1FDF"/>
    <w:rsid w:val="009E21E6"/>
    <w:rsid w:val="009E2BDE"/>
    <w:rsid w:val="009E3311"/>
    <w:rsid w:val="009E3CFE"/>
    <w:rsid w:val="009E3E86"/>
    <w:rsid w:val="009E4454"/>
    <w:rsid w:val="009E479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D30"/>
    <w:rsid w:val="009E7FA9"/>
    <w:rsid w:val="009F0B9D"/>
    <w:rsid w:val="009F0DB5"/>
    <w:rsid w:val="009F1997"/>
    <w:rsid w:val="009F2098"/>
    <w:rsid w:val="009F26C1"/>
    <w:rsid w:val="009F2B45"/>
    <w:rsid w:val="009F319A"/>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6D3C"/>
    <w:rsid w:val="009F749F"/>
    <w:rsid w:val="009F756F"/>
    <w:rsid w:val="009F7A47"/>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A66"/>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4048"/>
    <w:rsid w:val="00A250B4"/>
    <w:rsid w:val="00A2537E"/>
    <w:rsid w:val="00A255CC"/>
    <w:rsid w:val="00A25625"/>
    <w:rsid w:val="00A2573D"/>
    <w:rsid w:val="00A25F3F"/>
    <w:rsid w:val="00A267C2"/>
    <w:rsid w:val="00A269F7"/>
    <w:rsid w:val="00A26FFE"/>
    <w:rsid w:val="00A27A9A"/>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59AE"/>
    <w:rsid w:val="00A45E4D"/>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9D8"/>
    <w:rsid w:val="00A60CB2"/>
    <w:rsid w:val="00A61821"/>
    <w:rsid w:val="00A61EBD"/>
    <w:rsid w:val="00A6218A"/>
    <w:rsid w:val="00A6246E"/>
    <w:rsid w:val="00A627F2"/>
    <w:rsid w:val="00A6295C"/>
    <w:rsid w:val="00A62DD6"/>
    <w:rsid w:val="00A631B5"/>
    <w:rsid w:val="00A63E7C"/>
    <w:rsid w:val="00A64026"/>
    <w:rsid w:val="00A64334"/>
    <w:rsid w:val="00A64F79"/>
    <w:rsid w:val="00A6558F"/>
    <w:rsid w:val="00A65E36"/>
    <w:rsid w:val="00A65E92"/>
    <w:rsid w:val="00A665EA"/>
    <w:rsid w:val="00A66677"/>
    <w:rsid w:val="00A6678D"/>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2856"/>
    <w:rsid w:val="00A73D62"/>
    <w:rsid w:val="00A7505B"/>
    <w:rsid w:val="00A75A15"/>
    <w:rsid w:val="00A75C4C"/>
    <w:rsid w:val="00A7664A"/>
    <w:rsid w:val="00A767FC"/>
    <w:rsid w:val="00A76A15"/>
    <w:rsid w:val="00A76A1B"/>
    <w:rsid w:val="00A76AD8"/>
    <w:rsid w:val="00A76EDB"/>
    <w:rsid w:val="00A772D0"/>
    <w:rsid w:val="00A773DC"/>
    <w:rsid w:val="00A778BC"/>
    <w:rsid w:val="00A77F2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1D23"/>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80B"/>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5C52"/>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2E9B"/>
    <w:rsid w:val="00B036D5"/>
    <w:rsid w:val="00B03969"/>
    <w:rsid w:val="00B040F3"/>
    <w:rsid w:val="00B04283"/>
    <w:rsid w:val="00B05096"/>
    <w:rsid w:val="00B05231"/>
    <w:rsid w:val="00B05427"/>
    <w:rsid w:val="00B05441"/>
    <w:rsid w:val="00B05B62"/>
    <w:rsid w:val="00B05C99"/>
    <w:rsid w:val="00B07101"/>
    <w:rsid w:val="00B07463"/>
    <w:rsid w:val="00B07994"/>
    <w:rsid w:val="00B103D7"/>
    <w:rsid w:val="00B10874"/>
    <w:rsid w:val="00B10921"/>
    <w:rsid w:val="00B114F0"/>
    <w:rsid w:val="00B11AC2"/>
    <w:rsid w:val="00B11EFB"/>
    <w:rsid w:val="00B11F8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2A13"/>
    <w:rsid w:val="00B23047"/>
    <w:rsid w:val="00B23DDF"/>
    <w:rsid w:val="00B243CB"/>
    <w:rsid w:val="00B245C2"/>
    <w:rsid w:val="00B25327"/>
    <w:rsid w:val="00B25399"/>
    <w:rsid w:val="00B25C8A"/>
    <w:rsid w:val="00B26198"/>
    <w:rsid w:val="00B26E5D"/>
    <w:rsid w:val="00B27095"/>
    <w:rsid w:val="00B27499"/>
    <w:rsid w:val="00B275D7"/>
    <w:rsid w:val="00B2764F"/>
    <w:rsid w:val="00B2778E"/>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CB5"/>
    <w:rsid w:val="00B42FB6"/>
    <w:rsid w:val="00B4325C"/>
    <w:rsid w:val="00B43388"/>
    <w:rsid w:val="00B44AFC"/>
    <w:rsid w:val="00B44F2A"/>
    <w:rsid w:val="00B450E6"/>
    <w:rsid w:val="00B46251"/>
    <w:rsid w:val="00B462B8"/>
    <w:rsid w:val="00B46422"/>
    <w:rsid w:val="00B466BB"/>
    <w:rsid w:val="00B46A8A"/>
    <w:rsid w:val="00B46EF0"/>
    <w:rsid w:val="00B47807"/>
    <w:rsid w:val="00B47C39"/>
    <w:rsid w:val="00B47ED1"/>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57227"/>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0D9"/>
    <w:rsid w:val="00B6511F"/>
    <w:rsid w:val="00B65259"/>
    <w:rsid w:val="00B653F0"/>
    <w:rsid w:val="00B655D1"/>
    <w:rsid w:val="00B65770"/>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3D1D"/>
    <w:rsid w:val="00B8428C"/>
    <w:rsid w:val="00B846DF"/>
    <w:rsid w:val="00B848A3"/>
    <w:rsid w:val="00B84E7E"/>
    <w:rsid w:val="00B85001"/>
    <w:rsid w:val="00B85345"/>
    <w:rsid w:val="00B854CE"/>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C87"/>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1D1"/>
    <w:rsid w:val="00BA1652"/>
    <w:rsid w:val="00BA166B"/>
    <w:rsid w:val="00BA1A26"/>
    <w:rsid w:val="00BA1BC7"/>
    <w:rsid w:val="00BA204B"/>
    <w:rsid w:val="00BA2576"/>
    <w:rsid w:val="00BA2B38"/>
    <w:rsid w:val="00BA2CFD"/>
    <w:rsid w:val="00BA3748"/>
    <w:rsid w:val="00BA3840"/>
    <w:rsid w:val="00BA3BD6"/>
    <w:rsid w:val="00BA3E03"/>
    <w:rsid w:val="00BA427D"/>
    <w:rsid w:val="00BA46CA"/>
    <w:rsid w:val="00BA474C"/>
    <w:rsid w:val="00BA480F"/>
    <w:rsid w:val="00BA4CDD"/>
    <w:rsid w:val="00BA4D38"/>
    <w:rsid w:val="00BA4D6A"/>
    <w:rsid w:val="00BA538D"/>
    <w:rsid w:val="00BA54E9"/>
    <w:rsid w:val="00BA5E68"/>
    <w:rsid w:val="00BA62BD"/>
    <w:rsid w:val="00BA6689"/>
    <w:rsid w:val="00BA66F2"/>
    <w:rsid w:val="00BA6AFD"/>
    <w:rsid w:val="00BA6B57"/>
    <w:rsid w:val="00BA6CED"/>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32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A5A"/>
    <w:rsid w:val="00BD3B0E"/>
    <w:rsid w:val="00BD3B92"/>
    <w:rsid w:val="00BD41C7"/>
    <w:rsid w:val="00BD4302"/>
    <w:rsid w:val="00BD469B"/>
    <w:rsid w:val="00BD4C05"/>
    <w:rsid w:val="00BD52B6"/>
    <w:rsid w:val="00BD5300"/>
    <w:rsid w:val="00BD5310"/>
    <w:rsid w:val="00BD541C"/>
    <w:rsid w:val="00BD5A17"/>
    <w:rsid w:val="00BD5A62"/>
    <w:rsid w:val="00BD6123"/>
    <w:rsid w:val="00BD65A6"/>
    <w:rsid w:val="00BD6B42"/>
    <w:rsid w:val="00BD6B45"/>
    <w:rsid w:val="00BD6F53"/>
    <w:rsid w:val="00BD7AFE"/>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113"/>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2D68"/>
    <w:rsid w:val="00BF39CB"/>
    <w:rsid w:val="00BF3C2E"/>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D28"/>
    <w:rsid w:val="00C0019B"/>
    <w:rsid w:val="00C001E9"/>
    <w:rsid w:val="00C01571"/>
    <w:rsid w:val="00C016FD"/>
    <w:rsid w:val="00C018E0"/>
    <w:rsid w:val="00C01EFF"/>
    <w:rsid w:val="00C024F5"/>
    <w:rsid w:val="00C02BE1"/>
    <w:rsid w:val="00C02D5D"/>
    <w:rsid w:val="00C035F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BD1"/>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3F"/>
    <w:rsid w:val="00C16FB2"/>
    <w:rsid w:val="00C17606"/>
    <w:rsid w:val="00C17A40"/>
    <w:rsid w:val="00C17C83"/>
    <w:rsid w:val="00C206BD"/>
    <w:rsid w:val="00C209CC"/>
    <w:rsid w:val="00C21578"/>
    <w:rsid w:val="00C217C3"/>
    <w:rsid w:val="00C21ACC"/>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683"/>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16"/>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300"/>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60E1"/>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A12"/>
    <w:rsid w:val="00C95F6A"/>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629"/>
    <w:rsid w:val="00CA49C0"/>
    <w:rsid w:val="00CA49CA"/>
    <w:rsid w:val="00CA49D4"/>
    <w:rsid w:val="00CA4B60"/>
    <w:rsid w:val="00CA4E75"/>
    <w:rsid w:val="00CA5589"/>
    <w:rsid w:val="00CA565A"/>
    <w:rsid w:val="00CA679E"/>
    <w:rsid w:val="00CA7088"/>
    <w:rsid w:val="00CA719F"/>
    <w:rsid w:val="00CA75B1"/>
    <w:rsid w:val="00CA7F1A"/>
    <w:rsid w:val="00CA7F6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1A5B"/>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397D"/>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94E"/>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54C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07D"/>
    <w:rsid w:val="00D17302"/>
    <w:rsid w:val="00D177EC"/>
    <w:rsid w:val="00D203BF"/>
    <w:rsid w:val="00D206B3"/>
    <w:rsid w:val="00D209FF"/>
    <w:rsid w:val="00D20AA6"/>
    <w:rsid w:val="00D21195"/>
    <w:rsid w:val="00D211D0"/>
    <w:rsid w:val="00D21C35"/>
    <w:rsid w:val="00D21C75"/>
    <w:rsid w:val="00D220E2"/>
    <w:rsid w:val="00D2297E"/>
    <w:rsid w:val="00D22C91"/>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C51"/>
    <w:rsid w:val="00D36D6C"/>
    <w:rsid w:val="00D3727B"/>
    <w:rsid w:val="00D37312"/>
    <w:rsid w:val="00D37508"/>
    <w:rsid w:val="00D3767D"/>
    <w:rsid w:val="00D37D3A"/>
    <w:rsid w:val="00D401DF"/>
    <w:rsid w:val="00D409EC"/>
    <w:rsid w:val="00D40A1B"/>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197"/>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DBC"/>
    <w:rsid w:val="00D56F0F"/>
    <w:rsid w:val="00D5705C"/>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A"/>
    <w:rsid w:val="00D74ADB"/>
    <w:rsid w:val="00D74FF0"/>
    <w:rsid w:val="00D75650"/>
    <w:rsid w:val="00D75788"/>
    <w:rsid w:val="00D75852"/>
    <w:rsid w:val="00D75B84"/>
    <w:rsid w:val="00D75EC7"/>
    <w:rsid w:val="00D7649C"/>
    <w:rsid w:val="00D7676B"/>
    <w:rsid w:val="00D768A3"/>
    <w:rsid w:val="00D76F7F"/>
    <w:rsid w:val="00D76F90"/>
    <w:rsid w:val="00D77369"/>
    <w:rsid w:val="00D7745F"/>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2B44"/>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6D9C"/>
    <w:rsid w:val="00DB75A9"/>
    <w:rsid w:val="00DB766B"/>
    <w:rsid w:val="00DB77CE"/>
    <w:rsid w:val="00DB7A97"/>
    <w:rsid w:val="00DC02C4"/>
    <w:rsid w:val="00DC0487"/>
    <w:rsid w:val="00DC0F3B"/>
    <w:rsid w:val="00DC1034"/>
    <w:rsid w:val="00DC1A66"/>
    <w:rsid w:val="00DC2982"/>
    <w:rsid w:val="00DC2B9C"/>
    <w:rsid w:val="00DC3338"/>
    <w:rsid w:val="00DC3667"/>
    <w:rsid w:val="00DC39E8"/>
    <w:rsid w:val="00DC40F8"/>
    <w:rsid w:val="00DC45CB"/>
    <w:rsid w:val="00DC46D5"/>
    <w:rsid w:val="00DC46FD"/>
    <w:rsid w:val="00DC481D"/>
    <w:rsid w:val="00DC5733"/>
    <w:rsid w:val="00DC5B2E"/>
    <w:rsid w:val="00DC5FFA"/>
    <w:rsid w:val="00DC64C4"/>
    <w:rsid w:val="00DC6BEF"/>
    <w:rsid w:val="00DC7381"/>
    <w:rsid w:val="00DC789D"/>
    <w:rsid w:val="00DD03DC"/>
    <w:rsid w:val="00DD08E9"/>
    <w:rsid w:val="00DD0D7B"/>
    <w:rsid w:val="00DD0F19"/>
    <w:rsid w:val="00DD0F79"/>
    <w:rsid w:val="00DD1485"/>
    <w:rsid w:val="00DD170F"/>
    <w:rsid w:val="00DD2181"/>
    <w:rsid w:val="00DD21C3"/>
    <w:rsid w:val="00DD24BF"/>
    <w:rsid w:val="00DD2AB4"/>
    <w:rsid w:val="00DD2E65"/>
    <w:rsid w:val="00DD2EEE"/>
    <w:rsid w:val="00DD2FCE"/>
    <w:rsid w:val="00DD3013"/>
    <w:rsid w:val="00DD30BE"/>
    <w:rsid w:val="00DD3302"/>
    <w:rsid w:val="00DD3C41"/>
    <w:rsid w:val="00DD3CF8"/>
    <w:rsid w:val="00DD3DCF"/>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49FE"/>
    <w:rsid w:val="00DE50C8"/>
    <w:rsid w:val="00DE5434"/>
    <w:rsid w:val="00DE59A8"/>
    <w:rsid w:val="00DE6478"/>
    <w:rsid w:val="00DE66AB"/>
    <w:rsid w:val="00DE7069"/>
    <w:rsid w:val="00DE7A0D"/>
    <w:rsid w:val="00DF0197"/>
    <w:rsid w:val="00DF0667"/>
    <w:rsid w:val="00DF0A66"/>
    <w:rsid w:val="00DF0B3C"/>
    <w:rsid w:val="00DF0B9A"/>
    <w:rsid w:val="00DF0DF7"/>
    <w:rsid w:val="00DF1706"/>
    <w:rsid w:val="00DF1982"/>
    <w:rsid w:val="00DF1A5D"/>
    <w:rsid w:val="00DF230E"/>
    <w:rsid w:val="00DF2329"/>
    <w:rsid w:val="00DF2AB1"/>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2AC"/>
    <w:rsid w:val="00E013D6"/>
    <w:rsid w:val="00E01A3D"/>
    <w:rsid w:val="00E02098"/>
    <w:rsid w:val="00E0221B"/>
    <w:rsid w:val="00E02534"/>
    <w:rsid w:val="00E02717"/>
    <w:rsid w:val="00E02FC9"/>
    <w:rsid w:val="00E034A3"/>
    <w:rsid w:val="00E03793"/>
    <w:rsid w:val="00E039F4"/>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331"/>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8AB"/>
    <w:rsid w:val="00E40D9D"/>
    <w:rsid w:val="00E4101D"/>
    <w:rsid w:val="00E41188"/>
    <w:rsid w:val="00E413BF"/>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4E3"/>
    <w:rsid w:val="00E4789C"/>
    <w:rsid w:val="00E50044"/>
    <w:rsid w:val="00E50057"/>
    <w:rsid w:val="00E500AC"/>
    <w:rsid w:val="00E5029C"/>
    <w:rsid w:val="00E50800"/>
    <w:rsid w:val="00E50A3F"/>
    <w:rsid w:val="00E50B88"/>
    <w:rsid w:val="00E50E24"/>
    <w:rsid w:val="00E51EE2"/>
    <w:rsid w:val="00E5260F"/>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2A1"/>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8B8"/>
    <w:rsid w:val="00E67CAF"/>
    <w:rsid w:val="00E67E44"/>
    <w:rsid w:val="00E7090A"/>
    <w:rsid w:val="00E712F7"/>
    <w:rsid w:val="00E7171C"/>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9E5"/>
    <w:rsid w:val="00E85F3B"/>
    <w:rsid w:val="00E862DF"/>
    <w:rsid w:val="00E863D5"/>
    <w:rsid w:val="00E86A20"/>
    <w:rsid w:val="00E86B8B"/>
    <w:rsid w:val="00E86F32"/>
    <w:rsid w:val="00E9004E"/>
    <w:rsid w:val="00E90252"/>
    <w:rsid w:val="00E90685"/>
    <w:rsid w:val="00E90E61"/>
    <w:rsid w:val="00E91632"/>
    <w:rsid w:val="00E92CF9"/>
    <w:rsid w:val="00E93392"/>
    <w:rsid w:val="00E93460"/>
    <w:rsid w:val="00E938F2"/>
    <w:rsid w:val="00E940E9"/>
    <w:rsid w:val="00E9432A"/>
    <w:rsid w:val="00E94E34"/>
    <w:rsid w:val="00E94F94"/>
    <w:rsid w:val="00E95645"/>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69B"/>
    <w:rsid w:val="00EA1769"/>
    <w:rsid w:val="00EA247C"/>
    <w:rsid w:val="00EA2743"/>
    <w:rsid w:val="00EA2833"/>
    <w:rsid w:val="00EA2865"/>
    <w:rsid w:val="00EA31CE"/>
    <w:rsid w:val="00EA3DDC"/>
    <w:rsid w:val="00EA423A"/>
    <w:rsid w:val="00EA44CB"/>
    <w:rsid w:val="00EA4B1E"/>
    <w:rsid w:val="00EA4F72"/>
    <w:rsid w:val="00EA51D8"/>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0EE"/>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6EB9"/>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3E3D"/>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C7EFB"/>
    <w:rsid w:val="00ED05E5"/>
    <w:rsid w:val="00ED08A7"/>
    <w:rsid w:val="00ED1271"/>
    <w:rsid w:val="00ED14E7"/>
    <w:rsid w:val="00ED1A7B"/>
    <w:rsid w:val="00ED1C96"/>
    <w:rsid w:val="00ED1E48"/>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1F1"/>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B88"/>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3A9"/>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871"/>
    <w:rsid w:val="00F04AAC"/>
    <w:rsid w:val="00F04B2A"/>
    <w:rsid w:val="00F05228"/>
    <w:rsid w:val="00F05D8B"/>
    <w:rsid w:val="00F06455"/>
    <w:rsid w:val="00F065C8"/>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4D7"/>
    <w:rsid w:val="00F14539"/>
    <w:rsid w:val="00F14E67"/>
    <w:rsid w:val="00F15217"/>
    <w:rsid w:val="00F1571D"/>
    <w:rsid w:val="00F15A34"/>
    <w:rsid w:val="00F1604B"/>
    <w:rsid w:val="00F1749D"/>
    <w:rsid w:val="00F205B9"/>
    <w:rsid w:val="00F2079A"/>
    <w:rsid w:val="00F20B23"/>
    <w:rsid w:val="00F20BF3"/>
    <w:rsid w:val="00F20C06"/>
    <w:rsid w:val="00F2136E"/>
    <w:rsid w:val="00F219DE"/>
    <w:rsid w:val="00F21E8B"/>
    <w:rsid w:val="00F226E0"/>
    <w:rsid w:val="00F22B59"/>
    <w:rsid w:val="00F2338B"/>
    <w:rsid w:val="00F2403C"/>
    <w:rsid w:val="00F24231"/>
    <w:rsid w:val="00F244EC"/>
    <w:rsid w:val="00F248FA"/>
    <w:rsid w:val="00F26539"/>
    <w:rsid w:val="00F2692B"/>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2B34"/>
    <w:rsid w:val="00F633BC"/>
    <w:rsid w:val="00F6424A"/>
    <w:rsid w:val="00F64476"/>
    <w:rsid w:val="00F64991"/>
    <w:rsid w:val="00F64A65"/>
    <w:rsid w:val="00F65E43"/>
    <w:rsid w:val="00F66041"/>
    <w:rsid w:val="00F66C81"/>
    <w:rsid w:val="00F66CA3"/>
    <w:rsid w:val="00F66F90"/>
    <w:rsid w:val="00F6715A"/>
    <w:rsid w:val="00F67EBD"/>
    <w:rsid w:val="00F70478"/>
    <w:rsid w:val="00F705CF"/>
    <w:rsid w:val="00F709D0"/>
    <w:rsid w:val="00F70B0C"/>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1CF"/>
    <w:rsid w:val="00F74C4E"/>
    <w:rsid w:val="00F75351"/>
    <w:rsid w:val="00F75407"/>
    <w:rsid w:val="00F76801"/>
    <w:rsid w:val="00F76B8E"/>
    <w:rsid w:val="00F76F09"/>
    <w:rsid w:val="00F76F93"/>
    <w:rsid w:val="00F76FA4"/>
    <w:rsid w:val="00F76FEF"/>
    <w:rsid w:val="00F76FFA"/>
    <w:rsid w:val="00F771C9"/>
    <w:rsid w:val="00F77392"/>
    <w:rsid w:val="00F775C7"/>
    <w:rsid w:val="00F77D99"/>
    <w:rsid w:val="00F80158"/>
    <w:rsid w:val="00F801A1"/>
    <w:rsid w:val="00F80815"/>
    <w:rsid w:val="00F80AC2"/>
    <w:rsid w:val="00F80CD8"/>
    <w:rsid w:val="00F80FAB"/>
    <w:rsid w:val="00F81076"/>
    <w:rsid w:val="00F81362"/>
    <w:rsid w:val="00F8149E"/>
    <w:rsid w:val="00F819A0"/>
    <w:rsid w:val="00F81ABB"/>
    <w:rsid w:val="00F81C79"/>
    <w:rsid w:val="00F81D5B"/>
    <w:rsid w:val="00F81D9E"/>
    <w:rsid w:val="00F82262"/>
    <w:rsid w:val="00F82EE4"/>
    <w:rsid w:val="00F83D37"/>
    <w:rsid w:val="00F840B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6A4E"/>
    <w:rsid w:val="00F87261"/>
    <w:rsid w:val="00F87C05"/>
    <w:rsid w:val="00F87C1E"/>
    <w:rsid w:val="00F87CE8"/>
    <w:rsid w:val="00F87EB9"/>
    <w:rsid w:val="00F900BF"/>
    <w:rsid w:val="00F908CB"/>
    <w:rsid w:val="00F90BD9"/>
    <w:rsid w:val="00F91669"/>
    <w:rsid w:val="00F9175E"/>
    <w:rsid w:val="00F9189F"/>
    <w:rsid w:val="00F91B0F"/>
    <w:rsid w:val="00F91BB9"/>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B87"/>
    <w:rsid w:val="00F95C15"/>
    <w:rsid w:val="00F95DE9"/>
    <w:rsid w:val="00F95F1A"/>
    <w:rsid w:val="00F9611B"/>
    <w:rsid w:val="00F96139"/>
    <w:rsid w:val="00F9665F"/>
    <w:rsid w:val="00F96973"/>
    <w:rsid w:val="00F96A6B"/>
    <w:rsid w:val="00F96ABC"/>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59"/>
    <w:rsid w:val="00FA24DB"/>
    <w:rsid w:val="00FA2D03"/>
    <w:rsid w:val="00FA3570"/>
    <w:rsid w:val="00FA389D"/>
    <w:rsid w:val="00FA3A80"/>
    <w:rsid w:val="00FA4744"/>
    <w:rsid w:val="00FA4862"/>
    <w:rsid w:val="00FA4E66"/>
    <w:rsid w:val="00FA5067"/>
    <w:rsid w:val="00FA50B9"/>
    <w:rsid w:val="00FA5192"/>
    <w:rsid w:val="00FA53B0"/>
    <w:rsid w:val="00FA5756"/>
    <w:rsid w:val="00FA57B3"/>
    <w:rsid w:val="00FA64C0"/>
    <w:rsid w:val="00FA6675"/>
    <w:rsid w:val="00FA6A88"/>
    <w:rsid w:val="00FA7EB8"/>
    <w:rsid w:val="00FB0A01"/>
    <w:rsid w:val="00FB0C5B"/>
    <w:rsid w:val="00FB0C7C"/>
    <w:rsid w:val="00FB0DA5"/>
    <w:rsid w:val="00FB0DD1"/>
    <w:rsid w:val="00FB2318"/>
    <w:rsid w:val="00FB2697"/>
    <w:rsid w:val="00FB293B"/>
    <w:rsid w:val="00FB2CFA"/>
    <w:rsid w:val="00FB2FEC"/>
    <w:rsid w:val="00FB3051"/>
    <w:rsid w:val="00FB326E"/>
    <w:rsid w:val="00FB3626"/>
    <w:rsid w:val="00FB3A04"/>
    <w:rsid w:val="00FB3B3B"/>
    <w:rsid w:val="00FB442C"/>
    <w:rsid w:val="00FB456A"/>
    <w:rsid w:val="00FB48E1"/>
    <w:rsid w:val="00FB4A19"/>
    <w:rsid w:val="00FB4E50"/>
    <w:rsid w:val="00FB4EAE"/>
    <w:rsid w:val="00FB5035"/>
    <w:rsid w:val="00FB65CC"/>
    <w:rsid w:val="00FB6B7C"/>
    <w:rsid w:val="00FB6C65"/>
    <w:rsid w:val="00FB6E09"/>
    <w:rsid w:val="00FB70D6"/>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101"/>
    <w:rsid w:val="00FC73F0"/>
    <w:rsid w:val="00FC7442"/>
    <w:rsid w:val="00FC763B"/>
    <w:rsid w:val="00FC76B3"/>
    <w:rsid w:val="00FC7851"/>
    <w:rsid w:val="00FD0060"/>
    <w:rsid w:val="00FD038D"/>
    <w:rsid w:val="00FD0454"/>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19B"/>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E7E95"/>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3CD"/>
    <w:rsid w:val="00FF54D6"/>
    <w:rsid w:val="00FF54DF"/>
    <w:rsid w:val="00FF563F"/>
    <w:rsid w:val="00FF5DC2"/>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D40A1B"/>
    <w:pPr>
      <w:numPr>
        <w:numId w:val="17"/>
      </w:numPr>
      <w:ind w:left="360"/>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D40A1B"/>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paragraph" w:customStyle="1" w:styleId="Default">
    <w:name w:val="Default"/>
    <w:rsid w:val="00063A0A"/>
    <w:pPr>
      <w:autoSpaceDE w:val="0"/>
      <w:autoSpaceDN w:val="0"/>
      <w:adjustRightInd w:val="0"/>
      <w:spacing w:after="0" w:line="240" w:lineRule="auto"/>
    </w:pPr>
    <w:rPr>
      <w:rFonts w:ascii="Arial" w:hAnsi="Arial" w:cs="Arial"/>
      <w:color w:val="000000"/>
      <w:sz w:val="24"/>
      <w:szCs w:val="24"/>
      <w:lang w:val="it-IT"/>
    </w:rPr>
  </w:style>
  <w:style w:type="paragraph" w:styleId="NormaleWeb">
    <w:name w:val="Normal (Web)"/>
    <w:basedOn w:val="Normale"/>
    <w:uiPriority w:val="99"/>
    <w:semiHidden/>
    <w:unhideWhenUsed/>
    <w:rsid w:val="00183268"/>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680725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679086936">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83402339">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27384485">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710257174">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stosegnaposto"/>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stosegnaposto"/>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stosegnaposto"/>
            </w:rPr>
            <w:t>Choose an item.</w:t>
          </w:r>
        </w:p>
      </w:docPartBody>
    </w:docPart>
    <w:docPart>
      <w:docPartPr>
        <w:name w:val="FAD5D59DFEE24D10910B5C4231E74E2C"/>
        <w:category>
          <w:name w:val="General"/>
          <w:gallery w:val="placeholder"/>
        </w:category>
        <w:types>
          <w:type w:val="bbPlcHdr"/>
        </w:types>
        <w:behaviors>
          <w:behavior w:val="content"/>
        </w:behaviors>
        <w:guid w:val="{09E128C3-1FDE-4E51-AD19-E2233F648536}"/>
      </w:docPartPr>
      <w:docPartBody>
        <w:p w:rsidR="00C97BB1" w:rsidRDefault="00942961" w:rsidP="00942961">
          <w:pPr>
            <w:pStyle w:val="FAD5D59DFEE24D10910B5C4231E74E2C"/>
          </w:pPr>
          <w:r w:rsidRPr="00DA1A90">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1E1A20"/>
    <w:rsid w:val="00207A79"/>
    <w:rsid w:val="00251885"/>
    <w:rsid w:val="0034145D"/>
    <w:rsid w:val="00364986"/>
    <w:rsid w:val="00463BDC"/>
    <w:rsid w:val="004D67E0"/>
    <w:rsid w:val="004E4CF9"/>
    <w:rsid w:val="004F14F1"/>
    <w:rsid w:val="00500E22"/>
    <w:rsid w:val="005D47D6"/>
    <w:rsid w:val="005D66AB"/>
    <w:rsid w:val="005E16FA"/>
    <w:rsid w:val="00620EBF"/>
    <w:rsid w:val="006D3543"/>
    <w:rsid w:val="006E1DC2"/>
    <w:rsid w:val="006E3BED"/>
    <w:rsid w:val="007303CA"/>
    <w:rsid w:val="007411BA"/>
    <w:rsid w:val="00766B20"/>
    <w:rsid w:val="00774BF7"/>
    <w:rsid w:val="00792302"/>
    <w:rsid w:val="007E610A"/>
    <w:rsid w:val="00813189"/>
    <w:rsid w:val="008222A0"/>
    <w:rsid w:val="00836D47"/>
    <w:rsid w:val="008C62B0"/>
    <w:rsid w:val="00905D4B"/>
    <w:rsid w:val="00917D46"/>
    <w:rsid w:val="00942961"/>
    <w:rsid w:val="00957648"/>
    <w:rsid w:val="00982D57"/>
    <w:rsid w:val="00993537"/>
    <w:rsid w:val="009B6B9C"/>
    <w:rsid w:val="009C0B17"/>
    <w:rsid w:val="00A772E8"/>
    <w:rsid w:val="00A829C5"/>
    <w:rsid w:val="00B22006"/>
    <w:rsid w:val="00B46CAE"/>
    <w:rsid w:val="00BA3E03"/>
    <w:rsid w:val="00BD541C"/>
    <w:rsid w:val="00C10BD1"/>
    <w:rsid w:val="00C31683"/>
    <w:rsid w:val="00C97BB1"/>
    <w:rsid w:val="00CA4629"/>
    <w:rsid w:val="00CA7088"/>
    <w:rsid w:val="00CC769B"/>
    <w:rsid w:val="00D40353"/>
    <w:rsid w:val="00D64F6D"/>
    <w:rsid w:val="00DC0487"/>
    <w:rsid w:val="00DC3796"/>
    <w:rsid w:val="00DC4211"/>
    <w:rsid w:val="00EA5F7D"/>
    <w:rsid w:val="00F20B23"/>
    <w:rsid w:val="00F6715A"/>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42961"/>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 w:type="paragraph" w:customStyle="1" w:styleId="FAD5D59DFEE24D10910B5C4231E74E2C">
    <w:name w:val="FAD5D59DFEE24D10910B5C4231E74E2C"/>
    <w:rsid w:val="00942961"/>
    <w:pPr>
      <w:spacing w:line="278" w:lineRule="auto"/>
    </w:pPr>
    <w:rPr>
      <w:kern w:val="2"/>
      <w:sz w:val="24"/>
      <w:szCs w:val="24"/>
      <w:lang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B2E39D2582128A48B571D0EA19AF2162" ma:contentTypeVersion="25" ma:contentTypeDescription="" ma:contentTypeScope="" ma:versionID="fcac9e44e85299b0237e481aeb71eb81">
  <xsd:schema xmlns:xsd="http://www.w3.org/2001/XMLSchema" xmlns:xs="http://www.w3.org/2001/XMLSchema" xmlns:p="http://schemas.microsoft.com/office/2006/metadata/properties" xmlns:ns2="d0fb0f98-34f9-4d57-9559-eb8efd17aa5e" xmlns:ns3="31cd2e30-85b0-4a67-ba52-2e1ab097a1d0" targetNamespace="http://schemas.microsoft.com/office/2006/metadata/properties" ma:root="true" ma:fieldsID="6ff363f4b973be23fe759f1090d88343" ns2:_="" ns3:_="">
    <xsd:import namespace="d0fb0f98-34f9-4d57-9559-eb8efd17aa5e"/>
    <xsd:import namespace="31cd2e30-85b0-4a67-ba52-2e1ab097a1d0"/>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d2e30-85b0-4a67-ba52-2e1ab097a1d0"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ESMA74-1103241886-1094</_dlc_DocId>
    <_dlc_DocIdUrl xmlns="d0fb0f98-34f9-4d57-9559-eb8efd17aa5e">
      <Url>https://securitiesandmarketsauth.sharepoint.com/sites/sherpa-trdu/_layouts/15/DocIdRedir.aspx?ID=ESMA74-1103241886-1094</Url>
      <Description>ESMA74-1103241886-1094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CC1D51A4-B8B5-4036-AADB-524FBF40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1cd2e30-85b0-4a67-ba52-2e1ab097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3019</Words>
  <Characters>17213</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Paola Spatola</cp:lastModifiedBy>
  <cp:revision>129</cp:revision>
  <cp:lastPrinted>2025-02-13T11:08:00Z</cp:lastPrinted>
  <dcterms:created xsi:type="dcterms:W3CDTF">2025-01-23T09:18:00Z</dcterms:created>
  <dcterms:modified xsi:type="dcterms:W3CDTF">2025-02-13T13:43:00Z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0x0101008D9E5D2C101BA04B85C7EB08C6516E400600B2E39D2582128A48B571D0EA19AF2162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ies>
</file>