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olo"/>
          </w:pPr>
          <w:r>
            <w:t xml:space="preserve">Reply </w:t>
          </w:r>
          <w:r w:rsidR="00DD03DC">
            <w:t>F</w:t>
          </w:r>
          <w:r>
            <w:t>orm</w:t>
          </w:r>
        </w:p>
        <w:p w14:paraId="031F2108" w14:textId="0BCCFFED" w:rsidR="007E7997" w:rsidRPr="00C01571" w:rsidRDefault="00D77369" w:rsidP="00D77369">
          <w:pPr>
            <w:pStyle w:val="Sottotitolo"/>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0C814BC9" w:rsidR="00635BCA" w:rsidRPr="00557BD2" w:rsidRDefault="00FF7253" w:rsidP="00D21C35">
                <w:r>
                  <w:t>Italian Banking Association</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40E791E8" w:rsidR="00B17279" w:rsidRDefault="00200120"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605104681" w:edGrp="everyone" w:displacedByCustomXml="prev"/>
            <w:tc>
              <w:tcPr>
                <w:tcW w:w="4531" w:type="dxa"/>
              </w:tcPr>
              <w:p w14:paraId="10359AFE" w14:textId="56CE4CDF" w:rsidR="00B17279" w:rsidRDefault="009C794A"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0643392D" w:rsidR="00B17279" w:rsidRPr="00557BD2" w:rsidRDefault="009C794A" w:rsidP="00B17279">
                <w:r>
                  <w:t>Italy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Titolo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3111A860" w14:textId="2D2F7052" w:rsidR="009B1E21" w:rsidRDefault="005838B6" w:rsidP="009B1E21">
      <w:permStart w:id="627510576" w:edGrp="everyone"/>
      <w:r>
        <w:rPr>
          <w:lang w:val="en-US"/>
        </w:rPr>
        <w:t>We do not have</w:t>
      </w:r>
      <w:r w:rsidRPr="00F3583D">
        <w:rPr>
          <w:lang w:val="en-US"/>
        </w:rPr>
        <w:t xml:space="preserve"> remarks </w:t>
      </w:r>
      <w:r>
        <w:rPr>
          <w:lang w:val="en-US"/>
        </w:rPr>
        <w:t>on</w:t>
      </w:r>
      <w:r w:rsidRPr="00F3583D">
        <w:rPr>
          <w:lang w:val="en-US"/>
        </w:rPr>
        <w:t xml:space="preserve"> the definition of “protracted processes” provided by ESMA.</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4D674CC0" w14:textId="77777777" w:rsidR="00D469FB" w:rsidRPr="00D95511" w:rsidRDefault="00D469FB" w:rsidP="00D469FB">
      <w:pPr>
        <w:pStyle w:val="CorpodelTesto"/>
        <w:rPr>
          <w:lang w:val="en-US"/>
        </w:rPr>
      </w:pPr>
      <w:permStart w:id="55053902" w:edGrp="everyone"/>
      <w:r w:rsidRPr="00D95511">
        <w:rPr>
          <w:lang w:val="en-US"/>
        </w:rPr>
        <w:t xml:space="preserve">Regarding the subcategory of processes initiated by an issuer and driven at a later stage by a public authority, we are somewhat perplexed by ESMA's decision to divide this subcategory into two distinct sub-processes (one internal to the issuer, the other internal to the authority); according to ESMA's interpretation, each of these two sub-processes should be subject to specific disclosure obligations. </w:t>
      </w:r>
    </w:p>
    <w:p w14:paraId="0EF84C3A" w14:textId="77777777" w:rsidR="00D469FB" w:rsidRPr="00D95511" w:rsidRDefault="00D469FB" w:rsidP="00D469FB">
      <w:pPr>
        <w:pStyle w:val="CorpodelTesto"/>
        <w:rPr>
          <w:lang w:val="en-US"/>
        </w:rPr>
      </w:pPr>
      <w:r w:rsidRPr="00D95511">
        <w:rPr>
          <w:lang w:val="en-US"/>
        </w:rPr>
        <w:t>In this respect, and as a matter of fact, we believe that, in general, the issuer's initiatives, whose final outcome depends on the adoption of a decision by the public authority, reach a sufficient degree of maturity only as a result of the decision of this authority, while the issuer's internal process lacks stable, objective and concrete evidence that could lead the issuer to believe that the circumstances or the event to which the information refers will undoubtedly occur.</w:t>
      </w:r>
    </w:p>
    <w:p w14:paraId="669104D1" w14:textId="77777777" w:rsidR="00D469FB" w:rsidRPr="00423135" w:rsidRDefault="00D469FB" w:rsidP="00D469FB">
      <w:pPr>
        <w:pStyle w:val="CorpodelTesto"/>
        <w:rPr>
          <w:lang w:val="en-US"/>
        </w:rPr>
      </w:pPr>
      <w:r w:rsidRPr="00423135">
        <w:rPr>
          <w:lang w:val="en-US"/>
        </w:rPr>
        <w:t>In addition, the immediate disclosure of the issuer's internal process would mislead the market each time the authority, at a later stage, does not grant its approval to the issuer's application or grants it subject to conditions.</w:t>
      </w:r>
    </w:p>
    <w:p w14:paraId="6472A528" w14:textId="77777777" w:rsidR="00D469FB" w:rsidRPr="00423135" w:rsidRDefault="00D469FB" w:rsidP="00D469FB">
      <w:pPr>
        <w:pStyle w:val="CorpodelTesto"/>
        <w:rPr>
          <w:lang w:val="en-US"/>
        </w:rPr>
      </w:pPr>
      <w:r w:rsidRPr="00423135">
        <w:rPr>
          <w:lang w:val="en-US"/>
        </w:rPr>
        <w:t>In light of the above, ESMA's proposal to consider the issuer's internal decisions as "final events", which in turn trigger disclosure obligations, cannot be supported.</w:t>
      </w:r>
    </w:p>
    <w:p w14:paraId="5572F42B" w14:textId="1D36EA91" w:rsidR="009B1E21" w:rsidRDefault="00D469FB" w:rsidP="00D469FB">
      <w:r w:rsidRPr="00423135">
        <w:rPr>
          <w:rFonts w:ascii="Verdana" w:hAnsi="Verdana"/>
          <w:lang w:val="en-US"/>
        </w:rPr>
        <w:t>In this respect, we respectfully request ESMA to delete the proposed distinction of sub-categories of events in paragraphs 54 and 55 of the Consultation Paper and to align the cases addressed in Annex I, Section E of the proposed delegated act accordingly.</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1F7E2365" w14:textId="354761F8" w:rsidR="009B1E21" w:rsidRPr="00423135" w:rsidRDefault="001F2FE6" w:rsidP="009B1E21">
      <w:pPr>
        <w:rPr>
          <w:rFonts w:ascii="Verdana" w:hAnsi="Verdana"/>
        </w:rPr>
      </w:pPr>
      <w:permStart w:id="783093244" w:edGrp="everyone"/>
      <w:r w:rsidRPr="00423135">
        <w:rPr>
          <w:rFonts w:ascii="Verdana" w:hAnsi="Verdana"/>
          <w:lang w:val="en-US"/>
        </w:rPr>
        <w:t>We have not received comments by our members on this issue.</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6F2B30D1" w14:textId="77777777" w:rsidR="00FA7D99" w:rsidRPr="00220875" w:rsidRDefault="00FA7D99" w:rsidP="00FA7D99">
      <w:pPr>
        <w:pStyle w:val="CorpodelTesto"/>
        <w:rPr>
          <w:lang w:val="en-US"/>
        </w:rPr>
      </w:pPr>
      <w:permStart w:id="1801277174" w:edGrp="everyone"/>
      <w:r w:rsidRPr="00220875">
        <w:rPr>
          <w:lang w:val="en-US"/>
        </w:rPr>
        <w:t>Overall, we agree with ESMA's proposal that the moment of disclosure of inside information about internal processes of the issuer should be the moment when the competent corporate body (generally the "management body" as identified by ESMA) has taken the decision.</w:t>
      </w:r>
    </w:p>
    <w:p w14:paraId="66FCADD2" w14:textId="77777777" w:rsidR="00FA7D99" w:rsidRPr="00220875" w:rsidRDefault="00FA7D99" w:rsidP="00FA7D99">
      <w:pPr>
        <w:pStyle w:val="CorpodelTesto"/>
        <w:rPr>
          <w:lang w:val="en-US"/>
        </w:rPr>
      </w:pPr>
      <w:r w:rsidRPr="00220875">
        <w:rPr>
          <w:lang w:val="en-US"/>
        </w:rPr>
        <w:t>However, with specific reference to the case where the decision of the management body needs to be validated or confirmed by another corporate body of the company other than the general meeting of shareholders (e.g. the supervisory board), we believe that the disclosure of inside information should necessarily await the decision of the last corporate body entitled to express an opinion on the same matter.</w:t>
      </w:r>
    </w:p>
    <w:p w14:paraId="06A540B6" w14:textId="77777777" w:rsidR="00FA7D99" w:rsidRPr="00220875" w:rsidRDefault="00FA7D99" w:rsidP="00FA7D99">
      <w:pPr>
        <w:pStyle w:val="CorpodelTesto"/>
        <w:rPr>
          <w:lang w:val="en-US"/>
        </w:rPr>
      </w:pPr>
      <w:r w:rsidRPr="00220875">
        <w:rPr>
          <w:lang w:val="en-US"/>
        </w:rPr>
        <w:t>With regard to this specific issue, it should be underlined that it was indeed ESMA which, in the "MAR Guidelines - Delay in the disclosure of inside information and interactions with prudential supervision", considers as "not final" inside information which relates to decisions taken by the issuer's management body and which, according to national law or the issuer's articles of association, requires the approval of a body of the issuer other than the general meeting of shareholders.</w:t>
      </w:r>
    </w:p>
    <w:p w14:paraId="0CB03D6B" w14:textId="77777777" w:rsidR="00FA7D99" w:rsidRDefault="00FA7D99" w:rsidP="00FA7D99">
      <w:pPr>
        <w:pStyle w:val="CorpodelTesto"/>
        <w:rPr>
          <w:lang w:val="en-US"/>
        </w:rPr>
      </w:pPr>
      <w:r w:rsidRPr="00220875">
        <w:rPr>
          <w:lang w:val="en-US"/>
        </w:rPr>
        <w:t>Therefore, decisions taken by the issuer's management body should not be subject to the disclosure requirement, unless they are of a final and conclusive nature. In this respect, it is also argued that the immediate disclosure of such information before such a final decision has been taken would jeopardise the correct assessment of the information by the public.</w:t>
      </w:r>
    </w:p>
    <w:p w14:paraId="6030E74B" w14:textId="77777777" w:rsidR="00FA7D99" w:rsidRPr="00277BAF" w:rsidRDefault="00FA7D99" w:rsidP="00FA7D99">
      <w:pPr>
        <w:pStyle w:val="CorpodelTesto"/>
        <w:rPr>
          <w:lang w:val="en-US"/>
        </w:rPr>
      </w:pPr>
      <w:r w:rsidRPr="00277BAF">
        <w:rPr>
          <w:lang w:val="en-US"/>
        </w:rPr>
        <w:t xml:space="preserve">On the contrary, the disclosure obligation should arise at the time when the last internal body of the issuer, other than the general meeting of shareholders, which is entitled to express an opinion on the same subject, takes its decision, since only this step and this point in time could be considered as the "final event". </w:t>
      </w:r>
    </w:p>
    <w:p w14:paraId="02D8C81C" w14:textId="4F2615A4" w:rsidR="009B1E21" w:rsidRPr="00423135" w:rsidRDefault="00FA7D99" w:rsidP="00FA7D99">
      <w:pPr>
        <w:rPr>
          <w:rFonts w:ascii="Verdana" w:hAnsi="Verdana"/>
        </w:rPr>
      </w:pPr>
      <w:r w:rsidRPr="00423135">
        <w:rPr>
          <w:rFonts w:ascii="Verdana" w:hAnsi="Verdana"/>
          <w:lang w:val="en-US"/>
        </w:rPr>
        <w:t>In this respect, we request that the Consultation Paper be adapted in this sense, with the consequent deletion of the sentence “even if another body of the issuer may have to give its approval” from the cases listed in Annex I of the proposed delegated act.</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4E3A5F0" w14:textId="77777777" w:rsidR="00AC200E" w:rsidRPr="00376E3C" w:rsidRDefault="00AC200E" w:rsidP="00AC200E">
      <w:pPr>
        <w:pStyle w:val="CorpodelTesto"/>
        <w:rPr>
          <w:lang w:val="en-US"/>
        </w:rPr>
      </w:pPr>
      <w:permStart w:id="613818377" w:edGrp="everyone"/>
      <w:r w:rsidRPr="00376E3C">
        <w:rPr>
          <w:lang w:val="en-US"/>
        </w:rPr>
        <w:t>We agree with ESMA's proposal that in the case of protracted processes involving the issuer and a party other than a public authority, the moment of disclosure should be when the competent bodies/persons of all the parties involved, who have the decision-making power under national law or bylaws, have taken the decision to sign off the agreement.</w:t>
      </w:r>
    </w:p>
    <w:p w14:paraId="2709DA18" w14:textId="4C61AA33" w:rsidR="009B1E21" w:rsidRPr="00423135" w:rsidRDefault="00AC200E" w:rsidP="00AC200E">
      <w:pPr>
        <w:rPr>
          <w:rFonts w:ascii="Verdana" w:hAnsi="Verdana"/>
        </w:rPr>
      </w:pPr>
      <w:r w:rsidRPr="00423135">
        <w:rPr>
          <w:rFonts w:ascii="Verdana" w:hAnsi="Verdana"/>
          <w:lang w:val="en-US"/>
        </w:rPr>
        <w:t>In this respect, and in line with our comments in response to question 4, we would like to emphasise that, in cases where the decision of the management body needs to be validated or confirmed by another internal body of the issuer other than the general meeting (e.g. the supervisory board), disclosure should await the decision of the last body that has a say on the matter.</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599F61BF" w:rsidR="009B1E21" w:rsidRPr="00423135" w:rsidRDefault="00202E07" w:rsidP="009B1E21">
      <w:pPr>
        <w:rPr>
          <w:rFonts w:ascii="Verdana" w:hAnsi="Verdana"/>
        </w:rPr>
      </w:pPr>
      <w:permStart w:id="126633024" w:edGrp="everyone"/>
      <w:r w:rsidRPr="00423135">
        <w:rPr>
          <w:rFonts w:ascii="Verdana" w:hAnsi="Verdana"/>
          <w:lang w:val="en-US"/>
        </w:rPr>
        <w:t>We agree with ESMA's proposal that the moment of disclosure of inside information should be when the issuer has received the final decision from the public authority, excluding the disclosure of any preliminary information that may have been exchanged prior to that final decision.</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40F52B2A" w14:textId="77777777" w:rsidR="001A1730" w:rsidRPr="002E08AA" w:rsidRDefault="001A1730" w:rsidP="001A1730">
      <w:pPr>
        <w:pStyle w:val="CorpodelTesto"/>
        <w:rPr>
          <w:lang w:val="en-US"/>
        </w:rPr>
      </w:pPr>
      <w:permStart w:id="1778661475" w:edGrp="everyone"/>
      <w:r w:rsidRPr="002E08AA">
        <w:rPr>
          <w:lang w:val="en-US"/>
        </w:rPr>
        <w:t>In line with our comments in response to question 2 above, we would like to emphasise that, as a general rule, the issuer's initiatives, the final outcome of which depends on the adoption of a decision by the public authority, acquire a sufficient degree of maturity only as a result of the decision of that authority, while the issuer's internal process lacks stable, objective and tangible evidence that could lead the issuer to believe that the circumstances or the event to which this information relates will undoubtedly occur.</w:t>
      </w:r>
    </w:p>
    <w:p w14:paraId="3285CB82" w14:textId="1885BA49" w:rsidR="009B1E21" w:rsidRPr="00423135" w:rsidRDefault="001A1730" w:rsidP="001A1730">
      <w:pPr>
        <w:rPr>
          <w:rFonts w:ascii="Verdana" w:hAnsi="Verdana"/>
        </w:rPr>
      </w:pPr>
      <w:r w:rsidRPr="00423135">
        <w:rPr>
          <w:rFonts w:ascii="Verdana" w:hAnsi="Verdana"/>
          <w:lang w:val="en-US"/>
        </w:rPr>
        <w:t>Therefore, we request the deletion of the proposal to create sub-categories of processes as set out in paragraphs 74-77 of the CP and, consequently, to align the circumstances and events covered in Annex I Section E of the proposed delegated act accordingly.</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4A6A8B12" w14:textId="65DEDCAD" w:rsidR="009B1E21" w:rsidRPr="00423135" w:rsidRDefault="004A4667" w:rsidP="009B1E21">
      <w:pPr>
        <w:rPr>
          <w:rFonts w:ascii="Verdana" w:hAnsi="Verdana"/>
        </w:rPr>
      </w:pPr>
      <w:permStart w:id="265124465" w:edGrp="everyone"/>
      <w:r w:rsidRPr="00423135">
        <w:rPr>
          <w:rFonts w:ascii="Verdana" w:hAnsi="Verdana"/>
          <w:lang w:val="en-US"/>
        </w:rPr>
        <w:t>We agree with ESMA's proposal to define the disclosure obligation exclusively in relation to friendly takeovers, as this does not cause prejudice to the compliance with the specific rules governing IPOs, which aim to ensure transparency and fairness in the conduct of the parties involved.</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16D96C6D" w14:textId="77777777" w:rsidR="003A4B3F" w:rsidRPr="005360B6" w:rsidRDefault="003A4B3F" w:rsidP="003A4B3F">
      <w:pPr>
        <w:pStyle w:val="CorpodelTesto"/>
        <w:rPr>
          <w:lang w:val="en-US"/>
        </w:rPr>
      </w:pPr>
      <w:permStart w:id="941577706" w:edGrp="everyone"/>
      <w:r>
        <w:rPr>
          <w:lang w:val="en-US"/>
        </w:rPr>
        <w:t>We do not agree with the approach proposed, as w</w:t>
      </w:r>
      <w:r w:rsidRPr="005360B6">
        <w:rPr>
          <w:lang w:val="en-US"/>
        </w:rPr>
        <w:t xml:space="preserve">e have some concerns about the qualification of financial reports and forecasts as "protracted processes". In our view, such information only becomes precise when the competent </w:t>
      </w:r>
      <w:r>
        <w:rPr>
          <w:lang w:val="en-US"/>
        </w:rPr>
        <w:t>body</w:t>
      </w:r>
      <w:r w:rsidRPr="005360B6">
        <w:rPr>
          <w:lang w:val="en-US"/>
        </w:rPr>
        <w:t xml:space="preserve"> approves the </w:t>
      </w:r>
      <w:r>
        <w:rPr>
          <w:lang w:val="en-US"/>
        </w:rPr>
        <w:t xml:space="preserve">financial </w:t>
      </w:r>
      <w:r w:rsidRPr="005360B6">
        <w:rPr>
          <w:lang w:val="en-US"/>
        </w:rPr>
        <w:t>data to which it refers and therefore only from that moment on, should this be the case, does this information acquire the nature of "inside information".</w:t>
      </w:r>
    </w:p>
    <w:p w14:paraId="4DF7680B" w14:textId="2E214945" w:rsidR="009B1E21" w:rsidRPr="00423135" w:rsidRDefault="003A4B3F" w:rsidP="003A4B3F">
      <w:pPr>
        <w:rPr>
          <w:rFonts w:ascii="Verdana" w:hAnsi="Verdana"/>
        </w:rPr>
      </w:pPr>
      <w:r w:rsidRPr="00423135">
        <w:rPr>
          <w:rFonts w:ascii="Verdana" w:hAnsi="Verdana"/>
          <w:lang w:val="en-US"/>
        </w:rPr>
        <w:t>Therefore, we would ask for the deletion of the circumstances and events mentioned in rows 11 and 12 of Annex I of the proposed delegated act.</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01E28053" w:rsidR="009B1E21" w:rsidRPr="00423135" w:rsidRDefault="00C26218" w:rsidP="009B1E21">
      <w:pPr>
        <w:rPr>
          <w:rFonts w:ascii="Verdana" w:hAnsi="Verdana"/>
        </w:rPr>
      </w:pPr>
      <w:permStart w:id="1460612003" w:edGrp="everyone"/>
      <w:r w:rsidRPr="00423135">
        <w:rPr>
          <w:rFonts w:ascii="Verdana" w:hAnsi="Verdana"/>
          <w:lang w:val="en-US"/>
        </w:rPr>
        <w:t>We have not received comments by our members on this issue.</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4729FF9B" w14:textId="77777777" w:rsidR="00916C4A" w:rsidRPr="00332C7D" w:rsidRDefault="00916C4A" w:rsidP="00916C4A">
      <w:pPr>
        <w:pStyle w:val="CorpodelTesto"/>
        <w:rPr>
          <w:lang w:val="en-US"/>
        </w:rPr>
      </w:pPr>
      <w:permStart w:id="159128183" w:edGrp="everyone"/>
      <w:r w:rsidRPr="00332C7D">
        <w:rPr>
          <w:lang w:val="en-US"/>
        </w:rPr>
        <w:t xml:space="preserve">Overall, ESMA's proposal deserves support and appears to be consistent with the prudential rules applicable to credit institutions. </w:t>
      </w:r>
    </w:p>
    <w:p w14:paraId="313FA77D" w14:textId="77777777" w:rsidR="00916C4A" w:rsidRPr="00524F04" w:rsidRDefault="00916C4A" w:rsidP="00916C4A">
      <w:pPr>
        <w:pStyle w:val="CorpodelTesto"/>
        <w:rPr>
          <w:lang w:val="en-US"/>
        </w:rPr>
      </w:pPr>
      <w:r w:rsidRPr="00332C7D">
        <w:rPr>
          <w:lang w:val="en-US"/>
        </w:rPr>
        <w:t>However, with reference to the protracted process related to the reduction of own fu</w:t>
      </w:r>
      <w:r w:rsidRPr="00524F04">
        <w:rPr>
          <w:lang w:val="en-US"/>
        </w:rPr>
        <w:t>nds, an integration would be necessary. Provision should be made for the case where the competent body of the issuer takes the decision after having received the authorisation of the Authority. In this case, we believe that the "final event" to be disclosed should be the adoption of the decision to reduce own funds by the issuer's competent body and not the receipt of the authority's approval.</w:t>
      </w:r>
    </w:p>
    <w:p w14:paraId="72093981" w14:textId="77777777" w:rsidR="00916C4A" w:rsidRPr="00524F04" w:rsidRDefault="00916C4A" w:rsidP="00916C4A">
      <w:pPr>
        <w:pStyle w:val="CorpodelTesto"/>
        <w:rPr>
          <w:lang w:val="en-US"/>
        </w:rPr>
      </w:pPr>
      <w:r w:rsidRPr="00524F04">
        <w:rPr>
          <w:lang w:val="en-US"/>
        </w:rPr>
        <w:t>Therefore, we request that the circumstance and event provided for in raw 29 of Annex I of the proposed delegated act be integrated with the following provisions (proposed integration in bold):</w:t>
      </w:r>
    </w:p>
    <w:p w14:paraId="6F1DBBCB" w14:textId="66EFF48F" w:rsidR="009B1E21" w:rsidRPr="00524F04" w:rsidRDefault="00916C4A" w:rsidP="00916C4A">
      <w:pPr>
        <w:rPr>
          <w:rFonts w:ascii="Verdana" w:hAnsi="Verdana"/>
        </w:rPr>
      </w:pPr>
      <w:r w:rsidRPr="00524F04">
        <w:rPr>
          <w:rFonts w:ascii="Verdana" w:hAnsi="Verdana"/>
          <w:lang w:val="en-US"/>
        </w:rPr>
        <w:t xml:space="preserve">“As soon as possible after the credit institution is notified that the reduction of funds has been authorised by the Prudential Competent Authority </w:t>
      </w:r>
      <w:r w:rsidRPr="00524F04">
        <w:rPr>
          <w:rFonts w:ascii="Verdana" w:hAnsi="Verdana"/>
          <w:b/>
          <w:bCs/>
          <w:lang w:val="en-US"/>
        </w:rPr>
        <w:t>or as soon as possible after the competent body having the decision power under national law or bylaws has taken the decision to carry out the reduction of own funds once the authorization by the Prudential Competent Authority is notified</w:t>
      </w:r>
      <w:r w:rsidRPr="00524F04">
        <w:rPr>
          <w:rFonts w:ascii="Verdana" w:hAnsi="Verdana"/>
          <w:lang w:val="en-US"/>
        </w:rPr>
        <w:t>”.</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429F85CC" w:rsidR="009B1E21" w:rsidRPr="00524F04" w:rsidRDefault="00420E03" w:rsidP="009B1E21">
      <w:pPr>
        <w:rPr>
          <w:rFonts w:ascii="Verdana" w:hAnsi="Verdana"/>
        </w:rPr>
      </w:pPr>
      <w:permStart w:id="421398651" w:edGrp="everyone"/>
      <w:r w:rsidRPr="00524F04">
        <w:rPr>
          <w:rFonts w:ascii="Verdana" w:hAnsi="Verdana"/>
          <w:lang w:val="en-US"/>
        </w:rPr>
        <w:t>We agree with ESMA's proposal to consider the full range of messages and signals that the issuer sends to the market.</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56854234" w:rsidR="009B1E21" w:rsidRPr="00524F04" w:rsidRDefault="009F01B9" w:rsidP="009B1E21">
      <w:pPr>
        <w:rPr>
          <w:rFonts w:ascii="Verdana" w:hAnsi="Verdana"/>
        </w:rPr>
      </w:pPr>
      <w:permStart w:id="2070238072" w:edGrp="everyone"/>
      <w:r w:rsidRPr="00524F04">
        <w:rPr>
          <w:rFonts w:ascii="Verdana" w:hAnsi="Verdana"/>
          <w:lang w:val="en-US"/>
        </w:rPr>
        <w:t>We have not received comments by our members on this issue.</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1A38544" w14:textId="77777777" w:rsidR="00E06963" w:rsidRPr="003E570A" w:rsidRDefault="00E06963" w:rsidP="00E06963">
      <w:pPr>
        <w:pStyle w:val="CorpodelTesto"/>
        <w:rPr>
          <w:lang w:val="en-US"/>
        </w:rPr>
      </w:pPr>
      <w:permStart w:id="131739657" w:edGrp="everyone"/>
      <w:r w:rsidRPr="003E570A">
        <w:rPr>
          <w:lang w:val="en-US"/>
        </w:rPr>
        <w:t>We agree with the list of situations set out by ESMA in Article 4 of the proposed delegated act, with one exception: the inclusion of "regulatory filings", as they may be confidential in nature and therefore not previously subject to public disclosure.</w:t>
      </w:r>
    </w:p>
    <w:p w14:paraId="0612BAF4" w14:textId="793C3C25" w:rsidR="009B1E21" w:rsidRPr="008E63C4" w:rsidRDefault="00E06963" w:rsidP="00E06963">
      <w:pPr>
        <w:rPr>
          <w:rFonts w:ascii="Verdana" w:hAnsi="Verdana"/>
        </w:rPr>
      </w:pPr>
      <w:r w:rsidRPr="008E63C4">
        <w:rPr>
          <w:rFonts w:ascii="Verdana" w:hAnsi="Verdana"/>
          <w:lang w:val="en-US"/>
        </w:rPr>
        <w:t>We have no comments on the list proposed by ESMA of cases where there is a conflict between the inside information to be delayed and the issuer's last announcement or communication.</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74C2DB53" w:rsidR="009B1E21" w:rsidRDefault="00B769AA" w:rsidP="009B1E21">
      <w:permStart w:id="224746622" w:edGrp="everyone"/>
      <w:r w:rsidRPr="00524F04">
        <w:rPr>
          <w:rFonts w:ascii="Verdana" w:hAnsi="Verdana"/>
          <w:lang w:val="en-US"/>
        </w:rPr>
        <w:t>We have not received comments by our members on this issue.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0F4E5470" w:rsidR="009B1E21" w:rsidRPr="00B769AA" w:rsidRDefault="00B769AA" w:rsidP="009B1E21">
      <w:pPr>
        <w:rPr>
          <w:rFonts w:ascii="Verdana" w:hAnsi="Verdana"/>
        </w:rPr>
      </w:pPr>
      <w:permStart w:id="1599806274" w:edGrp="everyone"/>
      <w:r w:rsidRPr="00B769AA">
        <w:rPr>
          <w:rFonts w:ascii="Verdana" w:hAnsi="Verdana"/>
        </w:rPr>
        <w:t>We received no comments on this issue since our member banks are not directly involved by the draft technical advice on SME GM</w:t>
      </w:r>
      <w:r w:rsidR="00421BEE">
        <w:rPr>
          <w:rFonts w:ascii="Verdana" w:hAnsi="Verdana"/>
        </w:rPr>
        <w:t>.</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5BFE5D33" w:rsidR="009B1E21" w:rsidRDefault="00422B14" w:rsidP="009B1E21">
      <w:permStart w:id="166685556"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027C4859" w14:textId="77777777" w:rsidR="00422B14" w:rsidRDefault="00422B14" w:rsidP="00422B14">
      <w:permStart w:id="14434267"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44F98E1C" w14:textId="77777777" w:rsidR="00422B14" w:rsidRDefault="00422B14" w:rsidP="00422B14">
      <w:permStart w:id="305603693"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584813E9" w14:textId="77777777" w:rsidR="00422B14" w:rsidRDefault="00422B14" w:rsidP="00422B14">
      <w:permStart w:id="767061203"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13836138" w14:textId="77777777" w:rsidR="00422B14" w:rsidRDefault="00422B14" w:rsidP="00422B14">
      <w:permStart w:id="366227586"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1F635A9C" w14:textId="77777777" w:rsidR="00422B14" w:rsidRDefault="00422B14" w:rsidP="00422B14">
      <w:permStart w:id="548149613"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1FACA34" w14:textId="77777777" w:rsidR="00422B14" w:rsidRDefault="00422B14" w:rsidP="00422B14">
      <w:permStart w:id="474421293"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0017918D" w14:textId="77777777" w:rsidR="00422B14" w:rsidRDefault="00422B14" w:rsidP="00422B14">
      <w:permStart w:id="2060877361"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16A09C65" w14:textId="77777777" w:rsidR="00422B14" w:rsidRDefault="00422B14" w:rsidP="00422B14">
      <w:permStart w:id="1612399469"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525783D0" w14:textId="77777777" w:rsidR="00422B14" w:rsidRDefault="00422B14" w:rsidP="00422B14">
      <w:permStart w:id="434780100" w:edGrp="everyone"/>
      <w:r w:rsidRPr="00B769AA">
        <w:rPr>
          <w:rFonts w:ascii="Verdana" w:hAnsi="Verdana"/>
        </w:rPr>
        <w:t>We received no comments on this issue since our member banks are not directly involved by the draft technical advice on SME GM</w:t>
      </w:r>
      <w:r>
        <w:rPr>
          <w:rFonts w:ascii="Verdana" w:hAnsi="Verdana"/>
        </w:rPr>
        <w:t>.</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927A1" w14:textId="77777777" w:rsidR="008E4FE0" w:rsidRDefault="008E4FE0" w:rsidP="007E7997">
      <w:pPr>
        <w:spacing w:line="240" w:lineRule="auto"/>
      </w:pPr>
      <w:r>
        <w:separator/>
      </w:r>
    </w:p>
  </w:endnote>
  <w:endnote w:type="continuationSeparator" w:id="0">
    <w:p w14:paraId="1583DA57" w14:textId="77777777" w:rsidR="008E4FE0" w:rsidRDefault="008E4FE0" w:rsidP="007E7997">
      <w:pPr>
        <w:spacing w:line="240" w:lineRule="auto"/>
      </w:pPr>
      <w:r>
        <w:continuationSeparator/>
      </w:r>
    </w:p>
  </w:endnote>
  <w:endnote w:type="continuationNotice" w:id="1">
    <w:p w14:paraId="26ADD8CA" w14:textId="77777777" w:rsidR="008E4FE0" w:rsidRDefault="008E4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F4DF" w14:textId="77777777" w:rsidR="008E4FE0" w:rsidRDefault="008E4FE0" w:rsidP="007E7997">
      <w:pPr>
        <w:spacing w:line="240" w:lineRule="auto"/>
      </w:pPr>
      <w:r>
        <w:separator/>
      </w:r>
    </w:p>
  </w:footnote>
  <w:footnote w:type="continuationSeparator" w:id="0">
    <w:p w14:paraId="03087A36" w14:textId="77777777" w:rsidR="008E4FE0" w:rsidRDefault="008E4FE0" w:rsidP="007E7997">
      <w:pPr>
        <w:spacing w:line="240" w:lineRule="auto"/>
      </w:pPr>
      <w:r>
        <w:continuationSeparator/>
      </w:r>
    </w:p>
  </w:footnote>
  <w:footnote w:type="continuationNotice" w:id="1">
    <w:p w14:paraId="2FD64647" w14:textId="77777777" w:rsidR="008E4FE0" w:rsidRDefault="008E4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Intestazion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6E3"/>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730"/>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2FE6"/>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120"/>
    <w:rsid w:val="002004EC"/>
    <w:rsid w:val="00200EF9"/>
    <w:rsid w:val="002012B0"/>
    <w:rsid w:val="00201468"/>
    <w:rsid w:val="002017BA"/>
    <w:rsid w:val="00202E07"/>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439"/>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4B3F"/>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0E03"/>
    <w:rsid w:val="00421BEE"/>
    <w:rsid w:val="00422198"/>
    <w:rsid w:val="00422251"/>
    <w:rsid w:val="004222BC"/>
    <w:rsid w:val="004224B0"/>
    <w:rsid w:val="00422B14"/>
    <w:rsid w:val="00423135"/>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4AA"/>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667"/>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4F04"/>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38B6"/>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779"/>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0F"/>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137"/>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2C8"/>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206"/>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5D24"/>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4FE0"/>
    <w:rsid w:val="008E52DF"/>
    <w:rsid w:val="008E5525"/>
    <w:rsid w:val="008E585D"/>
    <w:rsid w:val="008E5FFC"/>
    <w:rsid w:val="008E63C4"/>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C4A"/>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0DE"/>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94A"/>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1B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00E"/>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69AA"/>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1C6"/>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621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37E58"/>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1B3"/>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4EC7"/>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3C8"/>
    <w:rsid w:val="00D46972"/>
    <w:rsid w:val="00D469FB"/>
    <w:rsid w:val="00D46BCA"/>
    <w:rsid w:val="00D46D76"/>
    <w:rsid w:val="00D470B7"/>
    <w:rsid w:val="00D4758C"/>
    <w:rsid w:val="00D47727"/>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BFD"/>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3"/>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32"/>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C66"/>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D99"/>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253"/>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7EE0FBA3-8D31-40E1-AF9D-D721E841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B14"/>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 w:type="paragraph" w:customStyle="1" w:styleId="CorpodelTesto">
    <w:name w:val="Corpo del Testo"/>
    <w:basedOn w:val="Normale"/>
    <w:rsid w:val="00D469FB"/>
    <w:pPr>
      <w:spacing w:after="240" w:line="240" w:lineRule="auto"/>
    </w:pPr>
    <w:rPr>
      <w:rFonts w:ascii="Verdana" w:eastAsia="Times New Roman" w:hAnsi="Verdana" w:cs="Times New Roman"/>
      <w:color w:val="auto"/>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stosegnaposto"/>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A3256"/>
    <w:rsid w:val="001D0361"/>
    <w:rsid w:val="0034145D"/>
    <w:rsid w:val="004574AA"/>
    <w:rsid w:val="004D67E0"/>
    <w:rsid w:val="004E4CF9"/>
    <w:rsid w:val="005D66AB"/>
    <w:rsid w:val="005F0F0F"/>
    <w:rsid w:val="006D3543"/>
    <w:rsid w:val="007152C8"/>
    <w:rsid w:val="00813189"/>
    <w:rsid w:val="008222A0"/>
    <w:rsid w:val="00836D47"/>
    <w:rsid w:val="00982D57"/>
    <w:rsid w:val="00993537"/>
    <w:rsid w:val="009B6B9C"/>
    <w:rsid w:val="009B6C17"/>
    <w:rsid w:val="009C0B17"/>
    <w:rsid w:val="00B22006"/>
    <w:rsid w:val="00B46CAE"/>
    <w:rsid w:val="00C021C6"/>
    <w:rsid w:val="00D40353"/>
    <w:rsid w:val="00DC3796"/>
    <w:rsid w:val="00DC4211"/>
    <w:rsid w:val="00DF56D7"/>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2869</Words>
  <Characters>16359</Characters>
  <Application>Microsoft Office Word</Application>
  <DocSecurity>12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Michela Costa</cp:lastModifiedBy>
  <cp:revision>27</cp:revision>
  <cp:lastPrinted>2023-09-09T00:53:00Z</cp:lastPrinted>
  <dcterms:created xsi:type="dcterms:W3CDTF">2025-02-13T07:02:00Z</dcterms:created>
  <dcterms:modified xsi:type="dcterms:W3CDTF">2025-02-13T11:32:00Z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ies>
</file>