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2ED61AF3" w:rsidR="00563C1F" w:rsidRDefault="00EC6066" w:rsidP="00F72D28">
          <w:pPr>
            <w:pStyle w:val="Titel"/>
          </w:pPr>
          <w:r>
            <w:t xml:space="preserve">Reply </w:t>
          </w:r>
          <w:r w:rsidR="00DD03DC">
            <w:t>F</w:t>
          </w:r>
          <w:r>
            <w:t>orm</w:t>
          </w:r>
        </w:p>
        <w:p w14:paraId="031F2108" w14:textId="0BCCFFED" w:rsidR="007E7997" w:rsidRPr="00C01571" w:rsidRDefault="00D77369" w:rsidP="00D77369">
          <w:pPr>
            <w:pStyle w:val="Ond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70CF0"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4F7198" w:rsidRPr="004F7198">
            <w:rPr>
              <w:rFonts w:cs="Arial"/>
              <w:b/>
              <w:sz w:val="36"/>
              <w:szCs w:val="36"/>
            </w:rPr>
            <w:t>Draft technical advice concerning MAR and MiFID II SME GM</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Ond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jstalinea"/>
            <w:rPr>
              <w:lang w:val="en-GB"/>
            </w:rPr>
          </w:pPr>
          <w:r w:rsidRPr="00DB2FD6">
            <w:rPr>
              <w:lang w:val="en-GB"/>
            </w:rPr>
            <w:t>respond to the question stated;</w:t>
          </w:r>
        </w:p>
        <w:p w14:paraId="72FD40F6" w14:textId="77777777" w:rsidR="002533FC" w:rsidRPr="00DB2FD6" w:rsidRDefault="002533FC" w:rsidP="00EC6066">
          <w:pPr>
            <w:pStyle w:val="Lijstalinea"/>
            <w:rPr>
              <w:lang w:val="en-GB"/>
            </w:rPr>
          </w:pPr>
          <w:r w:rsidRPr="00DB2FD6">
            <w:rPr>
              <w:lang w:val="en-GB"/>
            </w:rPr>
            <w:t>indicate the specific question to which the comment relates;</w:t>
          </w:r>
        </w:p>
        <w:p w14:paraId="78B206B7" w14:textId="77777777" w:rsidR="002533FC" w:rsidRPr="00E13D25" w:rsidRDefault="002533FC" w:rsidP="00EC6066">
          <w:pPr>
            <w:pStyle w:val="Lijstalinea"/>
          </w:pPr>
          <w:r w:rsidRPr="00E13D25">
            <w:t>contain a clear rationale; and</w:t>
          </w:r>
        </w:p>
        <w:p w14:paraId="60B8834E" w14:textId="77777777" w:rsidR="002533FC" w:rsidRPr="00DB2FD6" w:rsidRDefault="002533FC" w:rsidP="00EC6066">
          <w:pPr>
            <w:pStyle w:val="Lijstalinea"/>
            <w:rPr>
              <w:lang w:val="en-GB"/>
            </w:rPr>
          </w:pPr>
          <w:r w:rsidRPr="00DB2FD6">
            <w:rPr>
              <w:lang w:val="en-GB"/>
            </w:rPr>
            <w:t>describe any alternatives ESMA should consider.</w:t>
          </w:r>
        </w:p>
        <w:p w14:paraId="219225AC" w14:textId="1C34C5A8" w:rsidR="002533FC" w:rsidRPr="005B6B12" w:rsidRDefault="002533FC" w:rsidP="002533FC">
          <w:r w:rsidRPr="005B6B12">
            <w:t xml:space="preserve">ESMA will consider all comments received by </w:t>
          </w:r>
          <w:r w:rsidR="009B1E21">
            <w:rPr>
              <w:b/>
              <w:bCs/>
              <w:color w:val="auto"/>
            </w:rPr>
            <w:t>13</w:t>
          </w:r>
          <w:r w:rsidR="4A420E9D" w:rsidRPr="1768F097">
            <w:rPr>
              <w:b/>
              <w:bCs/>
              <w:color w:val="auto"/>
            </w:rPr>
            <w:t xml:space="preserve"> </w:t>
          </w:r>
          <w:r w:rsidR="009B1E21">
            <w:rPr>
              <w:b/>
              <w:bCs/>
              <w:color w:val="auto"/>
            </w:rPr>
            <w:t>February</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Ond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03DCDF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9B1E21">
            <w:rPr>
              <w:bCs/>
            </w:rPr>
            <w:t>LATA</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65CBA027"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9B1E21">
            <w:rPr>
              <w:bCs/>
            </w:rPr>
            <w:t>LATA</w:t>
          </w:r>
          <w:r w:rsidRPr="00C5469A">
            <w:rPr>
              <w:bCs/>
            </w:rPr>
            <w:t xml:space="preserve">_nameofrespondent. </w:t>
          </w:r>
        </w:p>
        <w:p w14:paraId="210BE93A" w14:textId="32733E7C"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9B1E21">
            <w:rPr>
              <w:bCs/>
            </w:rPr>
            <w:t>LATA</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4690CAFC" w14:textId="3C48FB60" w:rsidR="00EC6066" w:rsidRDefault="00D72513" w:rsidP="00EC6066">
      <w:r w:rsidRPr="00D72513">
        <w:t>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w:t>
      </w:r>
      <w:r w:rsidR="002C06A9">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Kop1"/>
        <w:rPr>
          <w:lang w:val="fr-BE"/>
        </w:rPr>
      </w:pPr>
      <w:r>
        <w:rPr>
          <w:lang w:val="fr-BE"/>
        </w:rPr>
        <w:lastRenderedPageBreak/>
        <w:t xml:space="preserve">General information about </w:t>
      </w:r>
      <w:r w:rsidRPr="00501EF4">
        <w:t>respondent</w:t>
      </w:r>
    </w:p>
    <w:tbl>
      <w:tblPr>
        <w:tblStyle w:val="Tabel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24BCAD02" w:rsidR="00635BCA" w:rsidRPr="00557BD2" w:rsidRDefault="007646EE" w:rsidP="00D21C35">
                <w:r>
                  <w:t>Dutch Banking Association</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49E4BE97" w:rsidR="00B17279" w:rsidRDefault="009E58BF"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605104681" w:edGrp="everyone" w:displacedByCustomXml="prev"/>
            <w:tc>
              <w:tcPr>
                <w:tcW w:w="4531" w:type="dxa"/>
              </w:tcPr>
              <w:p w14:paraId="10359AFE" w14:textId="348374CC" w:rsidR="00B17279" w:rsidRDefault="007646EE"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31D02D3C" w:rsidR="00B17279" w:rsidRPr="00557BD2" w:rsidRDefault="007646EE" w:rsidP="00B17279">
                <w:r>
                  <w:t>Netherlands</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Kop1"/>
        <w:rPr>
          <w:lang w:val="fr-BE"/>
        </w:rPr>
      </w:pPr>
      <w:r w:rsidRPr="00557BD2">
        <w:rPr>
          <w:lang w:val="fr-BE"/>
        </w:rPr>
        <w:t>Questions</w:t>
      </w:r>
    </w:p>
    <w:p w14:paraId="6C4AF3A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with the definition of protracted processes provided? </w:t>
      </w:r>
    </w:p>
    <w:p w14:paraId="1271C14F" w14:textId="77777777" w:rsidR="009B1E21" w:rsidRDefault="009B1E21" w:rsidP="009B1E21">
      <w:r>
        <w:t>&lt;ESMA_QUESTION_LATA_1&gt;</w:t>
      </w:r>
    </w:p>
    <w:p w14:paraId="3C3D8231" w14:textId="77777777" w:rsidR="007646EE" w:rsidRPr="00AB7F91" w:rsidRDefault="007646EE" w:rsidP="00E97426">
      <w:pPr>
        <w:rPr>
          <w:rFonts w:cstheme="minorHAnsi"/>
        </w:rPr>
      </w:pPr>
      <w:permStart w:id="627510576" w:edGrp="everyone"/>
      <w:r w:rsidRPr="000263F3">
        <w:rPr>
          <w:rFonts w:cstheme="minorHAnsi"/>
          <w:sz w:val="20"/>
        </w:rPr>
        <w:t xml:space="preserve">No, we do not agree. In our view ESMA’s proposed definition of </w:t>
      </w:r>
      <w:r w:rsidRPr="00AB7F91">
        <w:rPr>
          <w:rFonts w:cstheme="minorHAnsi"/>
          <w:sz w:val="20"/>
        </w:rPr>
        <w:t xml:space="preserve">protracted processes </w:t>
      </w:r>
      <w:r w:rsidRPr="000263F3">
        <w:rPr>
          <w:rFonts w:cstheme="minorHAnsi"/>
          <w:sz w:val="20"/>
        </w:rPr>
        <w:t xml:space="preserve">should be aligned (more) closely with recital 67 of EU Regulation 2024/2809 (which seems broader). </w:t>
      </w:r>
    </w:p>
    <w:p w14:paraId="25D22F8F" w14:textId="7BD01403" w:rsidR="007646EE" w:rsidRPr="00AB7F91" w:rsidRDefault="007646EE" w:rsidP="007646EE">
      <w:pPr>
        <w:rPr>
          <w:rFonts w:cstheme="minorHAnsi"/>
        </w:rPr>
      </w:pPr>
      <w:r w:rsidRPr="000263F3">
        <w:rPr>
          <w:rFonts w:cstheme="minorHAnsi"/>
          <w:sz w:val="20"/>
        </w:rPr>
        <w:t xml:space="preserve">According to </w:t>
      </w:r>
      <w:r w:rsidRPr="00AB7F91">
        <w:rPr>
          <w:rFonts w:cstheme="minorHAnsi"/>
          <w:sz w:val="20"/>
        </w:rPr>
        <w:t>ESMA</w:t>
      </w:r>
      <w:r w:rsidRPr="000263F3">
        <w:rPr>
          <w:rFonts w:cstheme="minorHAnsi"/>
          <w:sz w:val="20"/>
        </w:rPr>
        <w:t xml:space="preserve">’s proposed definition, </w:t>
      </w:r>
      <w:r w:rsidRPr="00AB7F91">
        <w:rPr>
          <w:rFonts w:cstheme="minorHAnsi"/>
          <w:sz w:val="20"/>
        </w:rPr>
        <w:t xml:space="preserve">a protracted process </w:t>
      </w:r>
      <w:r w:rsidRPr="000263F3">
        <w:rPr>
          <w:rFonts w:cstheme="minorHAnsi"/>
          <w:sz w:val="20"/>
        </w:rPr>
        <w:t>is ‘</w:t>
      </w:r>
      <w:r w:rsidRPr="00AB7F91">
        <w:rPr>
          <w:rFonts w:cstheme="minorHAnsi"/>
          <w:i/>
          <w:iCs/>
          <w:sz w:val="20"/>
        </w:rPr>
        <w:t xml:space="preserve">a series of </w:t>
      </w:r>
      <w:r w:rsidRPr="00AB7F91">
        <w:rPr>
          <w:rFonts w:cstheme="minorHAnsi"/>
          <w:i/>
          <w:iCs/>
          <w:sz w:val="20"/>
          <w:u w:val="single"/>
        </w:rPr>
        <w:t>several actions or steps spread in time which need to be performed</w:t>
      </w:r>
      <w:r w:rsidRPr="00AB7F91">
        <w:rPr>
          <w:rFonts w:cstheme="minorHAnsi"/>
          <w:i/>
          <w:iCs/>
          <w:sz w:val="20"/>
        </w:rPr>
        <w:t xml:space="preserve">, in order to achieve a </w:t>
      </w:r>
      <w:r w:rsidRPr="00AB7F91">
        <w:rPr>
          <w:rFonts w:cstheme="minorHAnsi"/>
          <w:i/>
          <w:iCs/>
          <w:sz w:val="20"/>
          <w:u w:val="single"/>
        </w:rPr>
        <w:t>pre-defined objective or result</w:t>
      </w:r>
      <w:r w:rsidRPr="000263F3">
        <w:rPr>
          <w:rFonts w:cstheme="minorHAnsi"/>
          <w:sz w:val="20"/>
          <w:u w:val="single"/>
        </w:rPr>
        <w:t>’</w:t>
      </w:r>
      <w:r w:rsidRPr="000263F3">
        <w:rPr>
          <w:rFonts w:cstheme="minorHAnsi"/>
          <w:i/>
          <w:iCs/>
          <w:sz w:val="20"/>
        </w:rPr>
        <w:t xml:space="preserve"> </w:t>
      </w:r>
      <w:r w:rsidRPr="000263F3">
        <w:rPr>
          <w:rFonts w:cstheme="minorHAnsi"/>
          <w:sz w:val="20"/>
        </w:rPr>
        <w:t>(underli</w:t>
      </w:r>
      <w:r>
        <w:rPr>
          <w:rFonts w:cstheme="minorHAnsi"/>
          <w:sz w:val="20"/>
        </w:rPr>
        <w:t>ni</w:t>
      </w:r>
      <w:r w:rsidRPr="000263F3">
        <w:rPr>
          <w:rFonts w:cstheme="minorHAnsi"/>
          <w:sz w:val="20"/>
        </w:rPr>
        <w:t>ng added).</w:t>
      </w:r>
      <w:r w:rsidRPr="000263F3">
        <w:rPr>
          <w:rFonts w:cstheme="minorHAnsi"/>
          <w:i/>
          <w:iCs/>
          <w:sz w:val="20"/>
        </w:rPr>
        <w:t xml:space="preserve"> </w:t>
      </w:r>
      <w:r w:rsidRPr="000263F3">
        <w:rPr>
          <w:rFonts w:cstheme="minorHAnsi"/>
          <w:sz w:val="20"/>
        </w:rPr>
        <w:t>However, according to recital 67, ‘</w:t>
      </w:r>
      <w:r w:rsidRPr="00AB7F91">
        <w:rPr>
          <w:rFonts w:cstheme="minorHAnsi"/>
          <w:i/>
          <w:iCs/>
          <w:sz w:val="20"/>
        </w:rPr>
        <w:t xml:space="preserve">The issuer should only disclose information related to </w:t>
      </w:r>
      <w:r w:rsidRPr="00AB7F91">
        <w:rPr>
          <w:rFonts w:cstheme="minorHAnsi"/>
          <w:i/>
          <w:iCs/>
          <w:sz w:val="20"/>
          <w:u w:val="single"/>
        </w:rPr>
        <w:t>the particular circumstances or the particular event that the protracted process</w:t>
      </w:r>
      <w:r w:rsidRPr="00AB7F91">
        <w:rPr>
          <w:rFonts w:cstheme="minorHAnsi"/>
          <w:i/>
          <w:iCs/>
          <w:sz w:val="20"/>
        </w:rPr>
        <w:t xml:space="preserve"> intends to bring about </w:t>
      </w:r>
      <w:r w:rsidRPr="00AB7F91">
        <w:rPr>
          <w:rFonts w:cstheme="minorHAnsi"/>
          <w:i/>
          <w:iCs/>
          <w:sz w:val="20"/>
          <w:u w:val="single"/>
        </w:rPr>
        <w:t>or results in</w:t>
      </w:r>
      <w:r w:rsidRPr="00AB7F91">
        <w:rPr>
          <w:rFonts w:cstheme="minorHAnsi"/>
          <w:i/>
          <w:iCs/>
          <w:sz w:val="20"/>
        </w:rPr>
        <w:t xml:space="preserve"> (‘final event’)</w:t>
      </w:r>
      <w:r w:rsidRPr="000263F3">
        <w:rPr>
          <w:rFonts w:cstheme="minorHAnsi"/>
          <w:sz w:val="20"/>
        </w:rPr>
        <w:t>’ (underli</w:t>
      </w:r>
      <w:r>
        <w:rPr>
          <w:rFonts w:cstheme="minorHAnsi"/>
          <w:sz w:val="20"/>
        </w:rPr>
        <w:t>ni</w:t>
      </w:r>
      <w:r w:rsidRPr="000263F3">
        <w:rPr>
          <w:rFonts w:cstheme="minorHAnsi"/>
          <w:sz w:val="20"/>
        </w:rPr>
        <w:t xml:space="preserve">ng added). In our view, this wording should be reflected (more) adequately in the definition of </w:t>
      </w:r>
      <w:r w:rsidRPr="00AB7F91">
        <w:rPr>
          <w:rFonts w:cstheme="minorHAnsi"/>
          <w:sz w:val="20"/>
        </w:rPr>
        <w:t>protracted processes</w:t>
      </w:r>
      <w:r w:rsidRPr="000263F3">
        <w:rPr>
          <w:rFonts w:cstheme="minorHAnsi"/>
          <w:sz w:val="20"/>
        </w:rPr>
        <w:t xml:space="preserve">. Particularly, that a protracted process also includes the particular circumstances or the particular event the protracted process results in (so without reference to actions or steps which need to be performed in order to achieve a pre-defined objective or result). </w:t>
      </w:r>
    </w:p>
    <w:p w14:paraId="038FD303" w14:textId="2BE92FC2" w:rsidR="007646EE" w:rsidRDefault="007646EE" w:rsidP="007646EE">
      <w:pPr>
        <w:rPr>
          <w:rFonts w:cstheme="minorHAnsi"/>
          <w:i/>
          <w:iCs/>
          <w:sz w:val="20"/>
        </w:rPr>
      </w:pPr>
      <w:r w:rsidRPr="000263F3">
        <w:rPr>
          <w:rFonts w:cstheme="minorHAnsi"/>
          <w:sz w:val="20"/>
        </w:rPr>
        <w:t xml:space="preserve">To this end, we propose the following definition of a </w:t>
      </w:r>
      <w:r w:rsidRPr="00AB7F91">
        <w:rPr>
          <w:rFonts w:cstheme="minorHAnsi"/>
          <w:sz w:val="20"/>
        </w:rPr>
        <w:t>protracted process</w:t>
      </w:r>
      <w:r w:rsidRPr="000263F3">
        <w:rPr>
          <w:rFonts w:cstheme="minorHAnsi"/>
          <w:sz w:val="20"/>
        </w:rPr>
        <w:t xml:space="preserve"> that is aligned (more) closely with recital 67 of EU Regulation 2024/2809: ‘</w:t>
      </w:r>
      <w:r w:rsidRPr="000263F3">
        <w:rPr>
          <w:rFonts w:cstheme="minorHAnsi"/>
          <w:i/>
          <w:iCs/>
          <w:sz w:val="20"/>
        </w:rPr>
        <w:t>A process spread in time that: (a) intends to bring about particular circumstances or a particular event, or (b) results in particular circumstances or a particular event. Both (a) and (b) are considered a final event.’.</w:t>
      </w:r>
    </w:p>
    <w:permEnd w:id="627510576"/>
    <w:p w14:paraId="0D7538F4" w14:textId="35F7EEC5" w:rsidR="009B1E21" w:rsidRDefault="009B1E21" w:rsidP="009B1E21">
      <w:r>
        <w:t>&lt;ESMA_QUESTION_LATA_1&gt;</w:t>
      </w:r>
    </w:p>
    <w:p w14:paraId="6516A674" w14:textId="77777777" w:rsidR="009B1E21" w:rsidRDefault="009B1E21" w:rsidP="009B1E21"/>
    <w:p w14:paraId="30FCAAB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identified categories of processes and general principles?</w:t>
      </w:r>
    </w:p>
    <w:p w14:paraId="682E5B57" w14:textId="77777777" w:rsidR="009B1E21" w:rsidRDefault="009B1E21" w:rsidP="009B1E21">
      <w:r>
        <w:lastRenderedPageBreak/>
        <w:t>&lt;ESMA_QUESTION_LATA_2&gt;</w:t>
      </w:r>
    </w:p>
    <w:p w14:paraId="22D7DADE" w14:textId="77777777" w:rsidR="007646EE" w:rsidRPr="00AB7F91" w:rsidRDefault="007646EE" w:rsidP="007646EE">
      <w:pPr>
        <w:spacing w:after="240"/>
        <w:rPr>
          <w:rFonts w:cstheme="minorHAnsi"/>
        </w:rPr>
      </w:pPr>
      <w:permStart w:id="55053902" w:edGrp="everyone"/>
      <w:r w:rsidRPr="000263F3">
        <w:rPr>
          <w:rFonts w:cstheme="minorHAnsi"/>
          <w:sz w:val="20"/>
        </w:rPr>
        <w:t>To some extent w</w:t>
      </w:r>
      <w:proofErr w:type="spellStart"/>
      <w:r w:rsidRPr="000263F3">
        <w:rPr>
          <w:rFonts w:cstheme="minorHAnsi"/>
          <w:sz w:val="20"/>
          <w:lang w:val="en"/>
        </w:rPr>
        <w:t>e</w:t>
      </w:r>
      <w:proofErr w:type="spellEnd"/>
      <w:r w:rsidRPr="000263F3">
        <w:rPr>
          <w:rFonts w:cstheme="minorHAnsi"/>
          <w:sz w:val="20"/>
          <w:lang w:val="en"/>
        </w:rPr>
        <w:t xml:space="preserve"> agree with ESMA's proposed approach. However, we do not agree with:</w:t>
      </w:r>
    </w:p>
    <w:p w14:paraId="4DF449AB" w14:textId="77777777" w:rsidR="007646EE" w:rsidRPr="00AB7F91" w:rsidRDefault="007646EE" w:rsidP="007646EE">
      <w:pPr>
        <w:pStyle w:val="Lijstalinea"/>
        <w:numPr>
          <w:ilvl w:val="0"/>
          <w:numId w:val="17"/>
        </w:numPr>
        <w:spacing w:after="240" w:line="240" w:lineRule="auto"/>
        <w:jc w:val="left"/>
        <w:rPr>
          <w:rFonts w:eastAsia="Times New Roman" w:cstheme="minorHAnsi"/>
          <w:lang w:val="en-GB"/>
        </w:rPr>
      </w:pPr>
      <w:r w:rsidRPr="000263F3">
        <w:rPr>
          <w:rFonts w:eastAsia="Times New Roman" w:cstheme="minorHAnsi"/>
          <w:sz w:val="20"/>
          <w:szCs w:val="20"/>
          <w:lang w:val="en"/>
        </w:rPr>
        <w:t>paragraph 51 that reads: ‘</w:t>
      </w:r>
      <w:r w:rsidRPr="00AB7F91">
        <w:rPr>
          <w:rFonts w:eastAsia="Times New Roman" w:cstheme="minorHAnsi"/>
          <w:i/>
          <w:iCs/>
          <w:sz w:val="20"/>
          <w:szCs w:val="20"/>
          <w:lang w:val="en-GB"/>
        </w:rPr>
        <w:t xml:space="preserve">The disclosure is thus required when there is </w:t>
      </w:r>
      <w:r w:rsidRPr="00AB7F91">
        <w:rPr>
          <w:rFonts w:eastAsia="Times New Roman" w:cstheme="minorHAnsi"/>
          <w:b/>
          <w:bCs/>
          <w:i/>
          <w:iCs/>
          <w:sz w:val="20"/>
          <w:szCs w:val="20"/>
          <w:lang w:val="en-GB"/>
        </w:rPr>
        <w:t>a degree of certainty</w:t>
      </w:r>
      <w:r w:rsidRPr="00AB7F91">
        <w:rPr>
          <w:rFonts w:eastAsia="Times New Roman" w:cstheme="minorHAnsi"/>
          <w:i/>
          <w:iCs/>
          <w:sz w:val="20"/>
          <w:szCs w:val="20"/>
          <w:lang w:val="en-GB"/>
        </w:rPr>
        <w:t xml:space="preserve"> regarding the outcome of the process which is sufficient not to mislead investors with information which is still subject to changes</w:t>
      </w:r>
      <w:r w:rsidRPr="00AB7F91">
        <w:rPr>
          <w:rFonts w:eastAsia="Times New Roman" w:cstheme="minorHAnsi"/>
          <w:sz w:val="20"/>
          <w:szCs w:val="20"/>
          <w:lang w:val="en-GB"/>
        </w:rPr>
        <w:t>.</w:t>
      </w:r>
      <w:r w:rsidRPr="000263F3">
        <w:rPr>
          <w:rFonts w:eastAsia="Times New Roman" w:cstheme="minorHAnsi"/>
          <w:sz w:val="20"/>
          <w:szCs w:val="20"/>
          <w:lang w:val="en-GB"/>
        </w:rPr>
        <w:t xml:space="preserve">’. </w:t>
      </w:r>
      <w:r w:rsidRPr="000263F3">
        <w:rPr>
          <w:rFonts w:eastAsia="Times New Roman" w:cstheme="minorHAnsi"/>
          <w:sz w:val="20"/>
          <w:szCs w:val="20"/>
          <w:lang w:val="en"/>
        </w:rPr>
        <w:t>In our view ESMA’s reference to ‘</w:t>
      </w:r>
      <w:r w:rsidRPr="000263F3">
        <w:rPr>
          <w:rFonts w:eastAsia="Times New Roman" w:cstheme="minorHAnsi"/>
          <w:i/>
          <w:iCs/>
          <w:sz w:val="20"/>
          <w:szCs w:val="20"/>
          <w:lang w:val="en"/>
        </w:rPr>
        <w:t>a degree of certainty</w:t>
      </w:r>
      <w:r w:rsidRPr="000263F3">
        <w:rPr>
          <w:rFonts w:eastAsia="Times New Roman" w:cstheme="minorHAnsi"/>
          <w:sz w:val="20"/>
          <w:szCs w:val="20"/>
          <w:lang w:val="en"/>
        </w:rPr>
        <w:t xml:space="preserve">’ is an open standard that does not specify the degree of certainty (low, medium, </w:t>
      </w:r>
      <w:r>
        <w:rPr>
          <w:rFonts w:eastAsia="Times New Roman" w:cstheme="minorHAnsi"/>
          <w:sz w:val="20"/>
          <w:szCs w:val="20"/>
          <w:lang w:val="en"/>
        </w:rPr>
        <w:t>full</w:t>
      </w:r>
      <w:r w:rsidRPr="000263F3">
        <w:rPr>
          <w:rFonts w:eastAsia="Times New Roman" w:cstheme="minorHAnsi"/>
          <w:sz w:val="20"/>
          <w:szCs w:val="20"/>
          <w:lang w:val="en"/>
        </w:rPr>
        <w:t xml:space="preserve">), while more specific information about this can be concluded from </w:t>
      </w:r>
      <w:r w:rsidRPr="000263F3">
        <w:rPr>
          <w:rFonts w:eastAsia="Times New Roman" w:cstheme="minorHAnsi"/>
          <w:sz w:val="20"/>
          <w:szCs w:val="20"/>
          <w:lang w:val="en-GB"/>
        </w:rPr>
        <w:t>recital 67 of EU Regulation 2024/2809</w:t>
      </w:r>
      <w:r w:rsidRPr="000263F3">
        <w:rPr>
          <w:rFonts w:eastAsia="Times New Roman" w:cstheme="minorHAnsi"/>
          <w:sz w:val="20"/>
          <w:szCs w:val="20"/>
          <w:lang w:val="en"/>
        </w:rPr>
        <w:t xml:space="preserve">. In case of an intended merger, the trigger point is </w:t>
      </w:r>
      <w:r w:rsidRPr="000263F3">
        <w:rPr>
          <w:rFonts w:eastAsia="Times New Roman" w:cstheme="minorHAnsi"/>
          <w:sz w:val="20"/>
          <w:szCs w:val="20"/>
          <w:lang w:val="en-GB"/>
        </w:rPr>
        <w:t>‘</w:t>
      </w:r>
      <w:r w:rsidRPr="00AB7F91">
        <w:rPr>
          <w:rFonts w:eastAsia="Times New Roman" w:cstheme="minorHAnsi"/>
          <w:i/>
          <w:iCs/>
          <w:sz w:val="20"/>
          <w:szCs w:val="20"/>
          <w:lang w:val="en-GB"/>
        </w:rPr>
        <w:t>after the management has taken the decision to sign off on the merger agreement, once the core elements of the merger have been agreed upon</w:t>
      </w:r>
      <w:r w:rsidRPr="000263F3">
        <w:rPr>
          <w:rFonts w:eastAsia="Times New Roman" w:cstheme="minorHAnsi"/>
          <w:sz w:val="20"/>
          <w:szCs w:val="20"/>
          <w:lang w:val="en-GB"/>
        </w:rPr>
        <w:t>’ and in case of an intended agreement ‘</w:t>
      </w:r>
      <w:r w:rsidRPr="00AB7F91">
        <w:rPr>
          <w:rFonts w:eastAsia="Times New Roman" w:cstheme="minorHAnsi"/>
          <w:i/>
          <w:iCs/>
          <w:sz w:val="20"/>
          <w:szCs w:val="20"/>
          <w:lang w:val="en-GB"/>
        </w:rPr>
        <w:t>the final event should be deemed to have occurred when the core conditions of that agreement have been agreed upon</w:t>
      </w:r>
      <w:r w:rsidRPr="000263F3">
        <w:rPr>
          <w:rFonts w:eastAsia="Times New Roman" w:cstheme="minorHAnsi"/>
          <w:sz w:val="20"/>
          <w:szCs w:val="20"/>
          <w:lang w:val="en-GB"/>
        </w:rPr>
        <w:t xml:space="preserve">’. </w:t>
      </w:r>
      <w:r w:rsidRPr="000263F3">
        <w:rPr>
          <w:rFonts w:eastAsia="Times New Roman" w:cstheme="minorHAnsi"/>
          <w:sz w:val="20"/>
          <w:szCs w:val="20"/>
          <w:lang w:val="en-GB"/>
        </w:rPr>
        <w:br/>
      </w:r>
      <w:r w:rsidRPr="000263F3">
        <w:rPr>
          <w:rFonts w:eastAsia="Times New Roman" w:cstheme="minorHAnsi"/>
          <w:sz w:val="20"/>
          <w:szCs w:val="20"/>
          <w:lang w:val="en-GB"/>
        </w:rPr>
        <w:br/>
        <w:t>Given the above, we propose to change the phrase ‘</w:t>
      </w:r>
      <w:r w:rsidRPr="000263F3">
        <w:rPr>
          <w:rFonts w:eastAsia="Times New Roman" w:cstheme="minorHAnsi"/>
          <w:i/>
          <w:iCs/>
          <w:sz w:val="20"/>
          <w:szCs w:val="20"/>
          <w:lang w:val="en-GB"/>
        </w:rPr>
        <w:t xml:space="preserve">(…) </w:t>
      </w:r>
      <w:r w:rsidRPr="00AB7F91">
        <w:rPr>
          <w:rFonts w:eastAsia="Times New Roman" w:cstheme="minorHAnsi"/>
          <w:b/>
          <w:bCs/>
          <w:i/>
          <w:iCs/>
          <w:sz w:val="20"/>
          <w:szCs w:val="20"/>
          <w:lang w:val="en-GB"/>
        </w:rPr>
        <w:t>a degree of certainty</w:t>
      </w:r>
      <w:r w:rsidRPr="00AB7F91">
        <w:rPr>
          <w:rFonts w:eastAsia="Times New Roman" w:cstheme="minorHAnsi"/>
          <w:i/>
          <w:iCs/>
          <w:sz w:val="20"/>
          <w:szCs w:val="20"/>
          <w:lang w:val="en-GB"/>
        </w:rPr>
        <w:t xml:space="preserve"> regarding the outcome of the process</w:t>
      </w:r>
      <w:r w:rsidRPr="000263F3">
        <w:rPr>
          <w:rFonts w:eastAsia="Times New Roman" w:cstheme="minorHAnsi"/>
          <w:i/>
          <w:iCs/>
          <w:sz w:val="20"/>
          <w:szCs w:val="20"/>
          <w:lang w:val="en-GB"/>
        </w:rPr>
        <w:t xml:space="preserve"> (…)</w:t>
      </w:r>
      <w:r w:rsidRPr="000263F3">
        <w:rPr>
          <w:rFonts w:eastAsia="Times New Roman" w:cstheme="minorHAnsi"/>
          <w:sz w:val="20"/>
          <w:szCs w:val="20"/>
          <w:lang w:val="en-GB"/>
        </w:rPr>
        <w:t>’ into ‘</w:t>
      </w:r>
      <w:r w:rsidRPr="000263F3">
        <w:rPr>
          <w:rFonts w:eastAsia="Times New Roman" w:cstheme="minorHAnsi"/>
          <w:i/>
          <w:iCs/>
          <w:sz w:val="20"/>
          <w:szCs w:val="20"/>
          <w:lang w:val="en-GB"/>
        </w:rPr>
        <w:t xml:space="preserve">(…) </w:t>
      </w:r>
      <w:r>
        <w:rPr>
          <w:rFonts w:eastAsia="Times New Roman" w:cstheme="minorHAnsi"/>
          <w:b/>
          <w:bCs/>
          <w:i/>
          <w:iCs/>
          <w:sz w:val="20"/>
          <w:szCs w:val="20"/>
          <w:lang w:val="en-GB"/>
        </w:rPr>
        <w:t>full</w:t>
      </w:r>
      <w:r w:rsidRPr="000263F3">
        <w:rPr>
          <w:rFonts w:eastAsia="Times New Roman" w:cstheme="minorHAnsi"/>
          <w:b/>
          <w:bCs/>
          <w:i/>
          <w:iCs/>
          <w:sz w:val="20"/>
          <w:szCs w:val="20"/>
          <w:lang w:val="en-GB"/>
        </w:rPr>
        <w:t xml:space="preserve"> </w:t>
      </w:r>
      <w:r w:rsidRPr="00AB7F91">
        <w:rPr>
          <w:rFonts w:eastAsia="Times New Roman" w:cstheme="minorHAnsi"/>
          <w:b/>
          <w:bCs/>
          <w:i/>
          <w:iCs/>
          <w:sz w:val="20"/>
          <w:szCs w:val="20"/>
          <w:lang w:val="en-GB"/>
        </w:rPr>
        <w:t>certainty</w:t>
      </w:r>
      <w:r w:rsidRPr="00AB7F91">
        <w:rPr>
          <w:rFonts w:eastAsia="Times New Roman" w:cstheme="minorHAnsi"/>
          <w:i/>
          <w:iCs/>
          <w:sz w:val="20"/>
          <w:szCs w:val="20"/>
          <w:lang w:val="en-GB"/>
        </w:rPr>
        <w:t xml:space="preserve"> regarding the outcome of the process</w:t>
      </w:r>
      <w:r w:rsidRPr="000263F3">
        <w:rPr>
          <w:rFonts w:eastAsia="Times New Roman" w:cstheme="minorHAnsi"/>
          <w:i/>
          <w:iCs/>
          <w:sz w:val="20"/>
          <w:szCs w:val="20"/>
          <w:lang w:val="en-GB"/>
        </w:rPr>
        <w:t xml:space="preserve"> (…)’.</w:t>
      </w:r>
      <w:r w:rsidRPr="000263F3">
        <w:rPr>
          <w:rFonts w:eastAsia="Times New Roman" w:cstheme="minorHAnsi"/>
          <w:sz w:val="20"/>
          <w:szCs w:val="20"/>
          <w:lang w:val="en-GB"/>
        </w:rPr>
        <w:t xml:space="preserve"> In our view, the reference to ‘</w:t>
      </w:r>
      <w:r w:rsidRPr="000263F3">
        <w:rPr>
          <w:rFonts w:eastAsia="Times New Roman" w:cstheme="minorHAnsi"/>
          <w:i/>
          <w:iCs/>
          <w:sz w:val="20"/>
          <w:szCs w:val="20"/>
          <w:lang w:val="en-GB"/>
        </w:rPr>
        <w:t>a degree of certainty</w:t>
      </w:r>
      <w:r w:rsidRPr="000263F3">
        <w:rPr>
          <w:rFonts w:eastAsia="Times New Roman" w:cstheme="minorHAnsi"/>
          <w:sz w:val="20"/>
          <w:szCs w:val="20"/>
          <w:lang w:val="en-GB"/>
        </w:rPr>
        <w:t xml:space="preserve">’ is too vague and does not take into account that the examples given in recital 67 of EU Regulation 2024/2809 </w:t>
      </w:r>
      <w:r w:rsidRPr="00AB7F91">
        <w:rPr>
          <w:rFonts w:eastAsia="Times New Roman" w:cstheme="minorHAnsi"/>
          <w:sz w:val="20"/>
          <w:szCs w:val="20"/>
          <w:lang w:val="en-GB"/>
        </w:rPr>
        <w:t>regarding the outcome of the process</w:t>
      </w:r>
      <w:r w:rsidRPr="000263F3">
        <w:rPr>
          <w:rFonts w:eastAsia="Times New Roman" w:cstheme="minorHAnsi"/>
          <w:sz w:val="20"/>
          <w:szCs w:val="20"/>
          <w:lang w:val="en-GB"/>
        </w:rPr>
        <w:t>.</w:t>
      </w:r>
    </w:p>
    <w:p w14:paraId="2FBB08DA" w14:textId="77777777" w:rsidR="007646EE" w:rsidRPr="00AB7F91" w:rsidRDefault="007646EE" w:rsidP="007646EE">
      <w:pPr>
        <w:pStyle w:val="Lijstalinea"/>
        <w:numPr>
          <w:ilvl w:val="0"/>
          <w:numId w:val="17"/>
        </w:numPr>
        <w:spacing w:after="240" w:line="240" w:lineRule="auto"/>
        <w:jc w:val="left"/>
        <w:rPr>
          <w:rFonts w:eastAsia="Times New Roman" w:cstheme="minorHAnsi"/>
          <w:lang w:val="en-GB"/>
        </w:rPr>
      </w:pPr>
      <w:r w:rsidRPr="000263F3">
        <w:rPr>
          <w:rFonts w:eastAsia="Times New Roman" w:cstheme="minorHAnsi"/>
          <w:sz w:val="20"/>
          <w:szCs w:val="20"/>
          <w:lang w:val="en-GB"/>
        </w:rPr>
        <w:t>paragraph 53 up to and including paragraph 56 that, among other things, relate to </w:t>
      </w:r>
      <w:r w:rsidRPr="000263F3">
        <w:rPr>
          <w:rFonts w:eastAsia="Times New Roman" w:cstheme="minorHAnsi"/>
          <w:sz w:val="20"/>
          <w:szCs w:val="20"/>
          <w:lang w:val="en"/>
        </w:rPr>
        <w:t>‘</w:t>
      </w:r>
      <w:r w:rsidRPr="00AB7F91">
        <w:rPr>
          <w:rFonts w:eastAsia="Times New Roman" w:cstheme="minorHAnsi"/>
          <w:i/>
          <w:iCs/>
          <w:sz w:val="20"/>
          <w:szCs w:val="20"/>
          <w:lang w:val="en-GB"/>
        </w:rPr>
        <w:t>processes that are triggered by the issuer but are driven by a public authority (e.g. authorisation request)</w:t>
      </w:r>
      <w:r w:rsidRPr="000263F3">
        <w:rPr>
          <w:rFonts w:eastAsia="Times New Roman" w:cstheme="minorHAnsi"/>
          <w:sz w:val="20"/>
          <w:szCs w:val="20"/>
          <w:lang w:val="en-GB"/>
        </w:rPr>
        <w:t xml:space="preserve">’. </w:t>
      </w:r>
      <w:r w:rsidRPr="000263F3">
        <w:rPr>
          <w:rFonts w:eastAsia="Times New Roman" w:cstheme="minorHAnsi"/>
          <w:sz w:val="20"/>
          <w:szCs w:val="20"/>
          <w:lang w:val="en-GB"/>
        </w:rPr>
        <w:br/>
      </w:r>
      <w:r w:rsidRPr="000263F3">
        <w:rPr>
          <w:rFonts w:eastAsia="Times New Roman" w:cstheme="minorHAnsi"/>
          <w:sz w:val="20"/>
          <w:szCs w:val="20"/>
          <w:lang w:val="en-GB"/>
        </w:rPr>
        <w:br/>
        <w:t xml:space="preserve">According to recital 67 of EU Regulation 2024/2809, an issuer should only disclose (inside) information </w:t>
      </w:r>
      <w:r w:rsidRPr="00AB7F91">
        <w:rPr>
          <w:rFonts w:eastAsia="Times New Roman" w:cstheme="minorHAnsi"/>
          <w:sz w:val="20"/>
          <w:szCs w:val="20"/>
          <w:lang w:val="en-GB"/>
        </w:rPr>
        <w:t>related to the particular circumstances or the particular event that the protracted process intends to bring about or results in (</w:t>
      </w:r>
      <w:r w:rsidRPr="000263F3">
        <w:rPr>
          <w:rFonts w:eastAsia="Times New Roman" w:cstheme="minorHAnsi"/>
          <w:sz w:val="20"/>
          <w:szCs w:val="20"/>
          <w:lang w:val="en-GB"/>
        </w:rPr>
        <w:t xml:space="preserve">the </w:t>
      </w:r>
      <w:r w:rsidRPr="00AB7F91">
        <w:rPr>
          <w:rFonts w:eastAsia="Times New Roman" w:cstheme="minorHAnsi"/>
          <w:sz w:val="20"/>
          <w:szCs w:val="20"/>
          <w:lang w:val="en-GB"/>
        </w:rPr>
        <w:t>final event)</w:t>
      </w:r>
      <w:r w:rsidRPr="000263F3">
        <w:rPr>
          <w:rFonts w:eastAsia="Times New Roman" w:cstheme="minorHAnsi"/>
          <w:sz w:val="20"/>
          <w:szCs w:val="20"/>
          <w:lang w:val="en-GB"/>
        </w:rPr>
        <w:t>. However, i</w:t>
      </w:r>
      <w:r w:rsidRPr="000263F3">
        <w:rPr>
          <w:rFonts w:eastAsia="Times New Roman" w:cstheme="minorHAnsi"/>
          <w:sz w:val="20"/>
          <w:szCs w:val="20"/>
          <w:lang w:val="en"/>
        </w:rPr>
        <w:t xml:space="preserve">n ESMA’s proposal various steps in the run-up to such final event are considered as final events and/ or one-off events in themselves. This means that, according to ESMA, these steps must be publicly disclosed, while in fact they are intermediate steps of a protracted process that intends to bring about </w:t>
      </w:r>
      <w:r w:rsidRPr="000263F3">
        <w:rPr>
          <w:rFonts w:eastAsia="Times New Roman" w:cstheme="minorHAnsi"/>
          <w:sz w:val="20"/>
          <w:szCs w:val="20"/>
          <w:lang w:val="en-GB"/>
        </w:rPr>
        <w:t>particular circumstances or a particular event (the final event)</w:t>
      </w:r>
      <w:r w:rsidRPr="000263F3">
        <w:rPr>
          <w:rFonts w:eastAsia="Times New Roman" w:cstheme="minorHAnsi"/>
          <w:sz w:val="20"/>
          <w:szCs w:val="20"/>
          <w:lang w:val="en"/>
        </w:rPr>
        <w:t xml:space="preserve">. That contradicts with Art. 17(1) MAR according to which the requirement to disclose inside information </w:t>
      </w:r>
      <w:r w:rsidRPr="00AB7F91">
        <w:rPr>
          <w:rFonts w:eastAsia="Times New Roman" w:cstheme="minorHAnsi"/>
          <w:sz w:val="20"/>
          <w:szCs w:val="20"/>
          <w:lang w:val="en-GB"/>
        </w:rPr>
        <w:t>shall not apply to inside information related to intermediate steps in a protracted process</w:t>
      </w:r>
      <w:r w:rsidRPr="000263F3">
        <w:rPr>
          <w:rFonts w:eastAsia="Times New Roman" w:cstheme="minorHAnsi"/>
          <w:sz w:val="20"/>
          <w:szCs w:val="20"/>
          <w:lang w:val="en-GB"/>
        </w:rPr>
        <w:t xml:space="preserve">. </w:t>
      </w:r>
      <w:r w:rsidRPr="000263F3">
        <w:rPr>
          <w:rFonts w:eastAsia="Times New Roman" w:cstheme="minorHAnsi"/>
          <w:sz w:val="20"/>
          <w:szCs w:val="20"/>
          <w:lang w:val="en-GB"/>
        </w:rPr>
        <w:br/>
      </w:r>
      <w:r w:rsidRPr="000263F3">
        <w:rPr>
          <w:rFonts w:eastAsia="Times New Roman" w:cstheme="minorHAnsi"/>
          <w:sz w:val="20"/>
          <w:szCs w:val="20"/>
          <w:lang w:val="en-GB"/>
        </w:rPr>
        <w:br/>
        <w:t xml:space="preserve">An example: in case of an intended reduction of own funds by a credit institution, the particular event that the protracted process intends to bring about is a reduction of own funds (the final event). In the run-up to this final event intermediate steps include, among other things: a request for approval to the relevant public authority, as well as the formal decision of this authority to authorize such intended reduction of own funds. These steps are part of the intermediate steps needed to reach the final event (but, in our view, are certainly not separate final events or one-off events). In our opinion, designating such </w:t>
      </w:r>
      <w:r w:rsidRPr="00AB7F91">
        <w:rPr>
          <w:rFonts w:eastAsia="Times New Roman" w:cstheme="minorHAnsi"/>
          <w:sz w:val="20"/>
          <w:szCs w:val="20"/>
          <w:lang w:val="en-GB"/>
        </w:rPr>
        <w:t>intermediate step</w:t>
      </w:r>
      <w:r w:rsidRPr="000263F3">
        <w:rPr>
          <w:rFonts w:eastAsia="Times New Roman" w:cstheme="minorHAnsi"/>
          <w:sz w:val="20"/>
          <w:szCs w:val="20"/>
          <w:lang w:val="en-GB"/>
        </w:rPr>
        <w:t>s</w:t>
      </w:r>
      <w:r w:rsidRPr="00AB7F91">
        <w:rPr>
          <w:rFonts w:eastAsia="Times New Roman" w:cstheme="minorHAnsi"/>
          <w:sz w:val="20"/>
          <w:szCs w:val="20"/>
          <w:lang w:val="en-GB"/>
        </w:rPr>
        <w:t xml:space="preserve"> as a </w:t>
      </w:r>
      <w:r w:rsidRPr="000263F3">
        <w:rPr>
          <w:rFonts w:eastAsia="Times New Roman" w:cstheme="minorHAnsi"/>
          <w:sz w:val="20"/>
          <w:szCs w:val="20"/>
          <w:lang w:val="en-GB"/>
        </w:rPr>
        <w:t xml:space="preserve">one-off events and/ or </w:t>
      </w:r>
      <w:r w:rsidRPr="00AB7F91">
        <w:rPr>
          <w:rFonts w:eastAsia="Times New Roman" w:cstheme="minorHAnsi"/>
          <w:sz w:val="20"/>
          <w:szCs w:val="20"/>
          <w:lang w:val="en-GB"/>
        </w:rPr>
        <w:t>final event</w:t>
      </w:r>
      <w:r w:rsidRPr="000263F3">
        <w:rPr>
          <w:rFonts w:eastAsia="Times New Roman" w:cstheme="minorHAnsi"/>
          <w:sz w:val="20"/>
          <w:szCs w:val="20"/>
          <w:lang w:val="en-GB"/>
        </w:rPr>
        <w:t xml:space="preserve">s </w:t>
      </w:r>
      <w:r w:rsidRPr="00AB7F91">
        <w:rPr>
          <w:rFonts w:eastAsia="Times New Roman" w:cstheme="minorHAnsi"/>
          <w:sz w:val="20"/>
          <w:szCs w:val="20"/>
          <w:lang w:val="en-GB"/>
        </w:rPr>
        <w:t>is not in accordance with the purpose of the amended MAR</w:t>
      </w:r>
      <w:r w:rsidRPr="000263F3">
        <w:rPr>
          <w:rFonts w:eastAsia="Times New Roman" w:cstheme="minorHAnsi"/>
          <w:sz w:val="20"/>
          <w:szCs w:val="20"/>
          <w:lang w:val="en-GB"/>
        </w:rPr>
        <w:t xml:space="preserve"> and recital 67 of EU Regulation 2024/2809. </w:t>
      </w:r>
      <w:r w:rsidRPr="00AB7F91">
        <w:rPr>
          <w:rFonts w:eastAsia="Times New Roman" w:cstheme="minorHAnsi"/>
          <w:sz w:val="20"/>
          <w:szCs w:val="20"/>
          <w:lang w:val="en-GB"/>
        </w:rPr>
        <w:t>Th</w:t>
      </w:r>
      <w:r w:rsidRPr="000263F3">
        <w:rPr>
          <w:rFonts w:eastAsia="Times New Roman" w:cstheme="minorHAnsi"/>
          <w:sz w:val="20"/>
          <w:szCs w:val="20"/>
          <w:lang w:val="en-GB"/>
        </w:rPr>
        <w:t>e request for approval and subsequent decision of the relevant public authority are</w:t>
      </w:r>
      <w:r w:rsidRPr="00AB7F91">
        <w:rPr>
          <w:rFonts w:eastAsia="Times New Roman" w:cstheme="minorHAnsi"/>
          <w:sz w:val="20"/>
          <w:szCs w:val="20"/>
          <w:lang w:val="en-GB"/>
        </w:rPr>
        <w:t> interim step</w:t>
      </w:r>
      <w:r w:rsidRPr="000263F3">
        <w:rPr>
          <w:rFonts w:eastAsia="Times New Roman" w:cstheme="minorHAnsi"/>
          <w:sz w:val="20"/>
          <w:szCs w:val="20"/>
          <w:lang w:val="en-GB"/>
        </w:rPr>
        <w:t>s</w:t>
      </w:r>
      <w:r w:rsidRPr="00AB7F91">
        <w:rPr>
          <w:rFonts w:eastAsia="Times New Roman" w:cstheme="minorHAnsi"/>
          <w:sz w:val="20"/>
          <w:szCs w:val="20"/>
          <w:lang w:val="en-GB"/>
        </w:rPr>
        <w:t xml:space="preserve">, functional to the </w:t>
      </w:r>
      <w:r w:rsidRPr="000263F3">
        <w:rPr>
          <w:rFonts w:eastAsia="Times New Roman" w:cstheme="minorHAnsi"/>
          <w:sz w:val="20"/>
          <w:szCs w:val="20"/>
          <w:lang w:val="en-GB"/>
        </w:rPr>
        <w:t>intended reduction of own funds (the final event).</w:t>
      </w:r>
      <w:r w:rsidRPr="000263F3">
        <w:rPr>
          <w:rFonts w:eastAsia="Times New Roman" w:cstheme="minorHAnsi"/>
          <w:sz w:val="20"/>
          <w:szCs w:val="20"/>
          <w:lang w:val="en-GB"/>
        </w:rPr>
        <w:br/>
      </w:r>
      <w:r w:rsidRPr="000263F3">
        <w:rPr>
          <w:rFonts w:eastAsia="Times New Roman" w:cstheme="minorHAnsi"/>
          <w:sz w:val="20"/>
          <w:szCs w:val="20"/>
          <w:lang w:val="en-GB"/>
        </w:rPr>
        <w:br/>
        <w:t xml:space="preserve">Given the above, we request ESMA to reconsider what entails a final event, taking into account that in the run-up to a final event  the associated (intermediate) steps to such final event do no entail final events and/or one-off events in themselves (that trigger separate disclosure requirements). Otherwise, the added value of the new Article 17(1) MAR seems </w:t>
      </w:r>
      <w:r w:rsidRPr="000263F3">
        <w:rPr>
          <w:rFonts w:eastAsia="Times New Roman" w:cstheme="minorHAnsi"/>
          <w:sz w:val="20"/>
          <w:szCs w:val="20"/>
          <w:lang w:val="en-GB"/>
        </w:rPr>
        <w:lastRenderedPageBreak/>
        <w:t>limited. In this respect, it is crucial that, for example, a formal decision of the relevant public authority to authorize an (intended) reduction of own funds of a credit institution is not ‘</w:t>
      </w:r>
      <w:r w:rsidRPr="000263F3">
        <w:rPr>
          <w:rFonts w:eastAsia="Times New Roman" w:cstheme="minorHAnsi"/>
          <w:i/>
          <w:iCs/>
          <w:sz w:val="20"/>
          <w:szCs w:val="20"/>
          <w:lang w:val="en-GB"/>
        </w:rPr>
        <w:t xml:space="preserve">the </w:t>
      </w:r>
      <w:r w:rsidRPr="00AB7F91">
        <w:rPr>
          <w:rFonts w:eastAsia="Times New Roman" w:cstheme="minorHAnsi"/>
          <w:i/>
          <w:iCs/>
          <w:sz w:val="20"/>
          <w:szCs w:val="20"/>
          <w:lang w:val="en-GB"/>
        </w:rPr>
        <w:t>particular event that the protracted process intends to bring about or results in</w:t>
      </w:r>
      <w:r w:rsidRPr="000263F3">
        <w:rPr>
          <w:rFonts w:eastAsia="Times New Roman" w:cstheme="minorHAnsi"/>
          <w:sz w:val="20"/>
          <w:szCs w:val="20"/>
          <w:lang w:val="en-GB"/>
        </w:rPr>
        <w:t xml:space="preserve">’ (the final event). The final event is the reduction of own funds. This aligns with </w:t>
      </w:r>
      <w:r w:rsidRPr="00AB7F91">
        <w:rPr>
          <w:rFonts w:eastAsia="Times New Roman" w:cstheme="minorHAnsi"/>
          <w:sz w:val="20"/>
          <w:szCs w:val="20"/>
          <w:lang w:val="en-GB"/>
        </w:rPr>
        <w:t>EBA</w:t>
      </w:r>
      <w:r w:rsidRPr="000263F3">
        <w:rPr>
          <w:rFonts w:eastAsia="Times New Roman" w:cstheme="minorHAnsi"/>
          <w:sz w:val="20"/>
          <w:szCs w:val="20"/>
          <w:lang w:val="en-GB"/>
        </w:rPr>
        <w:t xml:space="preserve">’s input </w:t>
      </w:r>
      <w:r w:rsidRPr="00AB7F91">
        <w:rPr>
          <w:rFonts w:eastAsia="Times New Roman" w:cstheme="minorHAnsi"/>
          <w:sz w:val="20"/>
          <w:szCs w:val="20"/>
          <w:lang w:val="en-GB"/>
        </w:rPr>
        <w:t>on recovery and early intervention measures</w:t>
      </w:r>
      <w:r w:rsidRPr="000263F3">
        <w:rPr>
          <w:rFonts w:eastAsia="Times New Roman" w:cstheme="minorHAnsi"/>
          <w:sz w:val="20"/>
          <w:szCs w:val="20"/>
          <w:lang w:val="en-GB"/>
        </w:rPr>
        <w:t xml:space="preserve"> as included in paragraph 99 of ESMA’s consultation paper that reads:</w:t>
      </w:r>
      <w:r w:rsidRPr="000263F3">
        <w:rPr>
          <w:rFonts w:eastAsia="Times New Roman" w:cstheme="minorHAnsi"/>
          <w:sz w:val="20"/>
          <w:szCs w:val="20"/>
          <w:lang w:val="en-GB"/>
        </w:rPr>
        <w:br/>
      </w:r>
      <w:r w:rsidRPr="000263F3">
        <w:rPr>
          <w:rFonts w:eastAsia="Times New Roman" w:cstheme="minorHAnsi"/>
          <w:sz w:val="20"/>
          <w:szCs w:val="20"/>
          <w:lang w:val="en-GB"/>
        </w:rPr>
        <w:br/>
        <w:t>‘</w:t>
      </w:r>
      <w:r w:rsidRPr="00AB7F91">
        <w:rPr>
          <w:rFonts w:eastAsia="Times New Roman" w:cstheme="minorHAnsi"/>
          <w:i/>
          <w:iCs/>
          <w:sz w:val="20"/>
          <w:szCs w:val="20"/>
          <w:lang w:val="en-GB"/>
        </w:rPr>
        <w:t xml:space="preserve">The adoption of early intervention measures by supervisory authorities is also a composite decision-making </w:t>
      </w:r>
      <w:r w:rsidRPr="00AB7F91">
        <w:rPr>
          <w:rFonts w:eastAsia="Times New Roman" w:cstheme="minorHAnsi"/>
          <w:i/>
          <w:iCs/>
          <w:sz w:val="20"/>
          <w:szCs w:val="20"/>
          <w:u w:val="single"/>
          <w:lang w:val="en-GB"/>
        </w:rPr>
        <w:t>process made up of several steps</w:t>
      </w:r>
      <w:r w:rsidRPr="00AB7F91">
        <w:rPr>
          <w:rFonts w:eastAsia="Times New Roman" w:cstheme="minorHAnsi"/>
          <w:i/>
          <w:iCs/>
          <w:sz w:val="20"/>
          <w:szCs w:val="20"/>
          <w:lang w:val="en-GB"/>
        </w:rPr>
        <w:t xml:space="preserve"> that should </w:t>
      </w:r>
      <w:r w:rsidRPr="00AB7F91">
        <w:rPr>
          <w:rFonts w:eastAsia="Times New Roman" w:cstheme="minorHAnsi"/>
          <w:i/>
          <w:iCs/>
          <w:sz w:val="20"/>
          <w:szCs w:val="20"/>
          <w:u w:val="single"/>
          <w:lang w:val="en-GB"/>
        </w:rPr>
        <w:t>be disclosed only upon finalisation of the overall process</w:t>
      </w:r>
      <w:r w:rsidRPr="000263F3">
        <w:rPr>
          <w:rFonts w:eastAsia="Times New Roman" w:cstheme="minorHAnsi"/>
          <w:sz w:val="20"/>
          <w:szCs w:val="20"/>
          <w:lang w:val="en-GB"/>
        </w:rPr>
        <w:t>.’. (underli</w:t>
      </w:r>
      <w:r>
        <w:rPr>
          <w:rFonts w:eastAsia="Times New Roman" w:cstheme="minorHAnsi"/>
          <w:sz w:val="20"/>
          <w:szCs w:val="20"/>
          <w:lang w:val="en-GB"/>
        </w:rPr>
        <w:t>ni</w:t>
      </w:r>
      <w:r w:rsidRPr="000263F3">
        <w:rPr>
          <w:rFonts w:eastAsia="Times New Roman" w:cstheme="minorHAnsi"/>
          <w:sz w:val="20"/>
          <w:szCs w:val="20"/>
          <w:lang w:val="en-GB"/>
        </w:rPr>
        <w:t>ng added)</w:t>
      </w:r>
      <w:r w:rsidRPr="000263F3">
        <w:rPr>
          <w:rFonts w:eastAsia="Times New Roman" w:cstheme="minorHAnsi"/>
          <w:sz w:val="20"/>
          <w:szCs w:val="20"/>
          <w:lang w:val="en-GB"/>
        </w:rPr>
        <w:br/>
      </w:r>
      <w:r w:rsidRPr="000263F3">
        <w:rPr>
          <w:rFonts w:eastAsia="Times New Roman" w:cstheme="minorHAnsi"/>
          <w:sz w:val="20"/>
          <w:szCs w:val="20"/>
          <w:lang w:val="en-GB"/>
        </w:rPr>
        <w:br/>
        <w:t>The above does not affect that in some cases a</w:t>
      </w:r>
      <w:r w:rsidRPr="00AB7F91">
        <w:rPr>
          <w:rFonts w:eastAsia="Times New Roman" w:cstheme="minorHAnsi"/>
          <w:sz w:val="20"/>
          <w:szCs w:val="20"/>
          <w:lang w:val="en-GB"/>
        </w:rPr>
        <w:t xml:space="preserve"> public authority’s final decision </w:t>
      </w:r>
      <w:r w:rsidRPr="000263F3">
        <w:rPr>
          <w:rFonts w:eastAsia="Times New Roman" w:cstheme="minorHAnsi"/>
          <w:sz w:val="20"/>
          <w:szCs w:val="20"/>
          <w:lang w:val="en-GB"/>
        </w:rPr>
        <w:t>entails a final event</w:t>
      </w:r>
      <w:r>
        <w:rPr>
          <w:rFonts w:eastAsia="Times New Roman" w:cstheme="minorHAnsi"/>
          <w:sz w:val="20"/>
          <w:szCs w:val="20"/>
          <w:lang w:val="en-GB"/>
        </w:rPr>
        <w:t>.</w:t>
      </w:r>
      <w:r w:rsidRPr="000263F3">
        <w:rPr>
          <w:rFonts w:eastAsia="Times New Roman" w:cstheme="minorHAnsi"/>
          <w:sz w:val="20"/>
          <w:szCs w:val="20"/>
          <w:lang w:val="en-GB"/>
        </w:rPr>
        <w:t xml:space="preserve"> For example a</w:t>
      </w:r>
      <w:r w:rsidRPr="00AB7F91">
        <w:rPr>
          <w:rFonts w:eastAsia="Times New Roman" w:cstheme="minorHAnsi"/>
          <w:sz w:val="20"/>
          <w:szCs w:val="20"/>
          <w:lang w:val="en-GB"/>
        </w:rPr>
        <w:t xml:space="preserve"> final SREP decision from </w:t>
      </w:r>
      <w:r w:rsidRPr="000263F3">
        <w:rPr>
          <w:rFonts w:eastAsia="Times New Roman" w:cstheme="minorHAnsi"/>
          <w:sz w:val="20"/>
          <w:szCs w:val="20"/>
          <w:lang w:val="en-GB"/>
        </w:rPr>
        <w:t xml:space="preserve">the </w:t>
      </w:r>
      <w:r w:rsidRPr="00AB7F91">
        <w:rPr>
          <w:rFonts w:eastAsia="Times New Roman" w:cstheme="minorHAnsi"/>
          <w:sz w:val="20"/>
          <w:szCs w:val="20"/>
          <w:lang w:val="en-GB"/>
        </w:rPr>
        <w:t>Prudential Competent Authority</w:t>
      </w:r>
      <w:r w:rsidRPr="000263F3">
        <w:rPr>
          <w:rFonts w:eastAsia="Times New Roman" w:cstheme="minorHAnsi"/>
          <w:sz w:val="20"/>
          <w:szCs w:val="20"/>
          <w:lang w:val="en-GB"/>
        </w:rPr>
        <w:t>.</w:t>
      </w:r>
    </w:p>
    <w:permEnd w:id="55053902"/>
    <w:p w14:paraId="360DEE1D" w14:textId="77777777" w:rsidR="009B1E21" w:rsidRDefault="009B1E21" w:rsidP="009B1E21">
      <w:r>
        <w:t>&lt;ESMA_QUESTION_LATA_2&gt;</w:t>
      </w:r>
    </w:p>
    <w:p w14:paraId="4F7495DE" w14:textId="77777777" w:rsidR="009B1E21" w:rsidRDefault="009B1E21" w:rsidP="009B1E21"/>
    <w:p w14:paraId="46A63C7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entirely internal to the issuer the moment of disclosure should be the moment when the corporate body having the decision power has taken the decision to commit to the outcome of the process?</w:t>
      </w:r>
    </w:p>
    <w:p w14:paraId="726B7541" w14:textId="77777777" w:rsidR="009B1E21" w:rsidRDefault="009B1E21" w:rsidP="009B1E21">
      <w:r>
        <w:t>&lt;ESMA_QUESTION_LATA_3&gt;</w:t>
      </w:r>
    </w:p>
    <w:p w14:paraId="3590CFB6" w14:textId="77777777" w:rsidR="007646EE" w:rsidRPr="00CC2CF9" w:rsidRDefault="007646EE" w:rsidP="00E97426">
      <w:pPr>
        <w:rPr>
          <w:rFonts w:cstheme="minorHAnsi"/>
          <w:sz w:val="20"/>
        </w:rPr>
      </w:pPr>
      <w:permStart w:id="783093244" w:edGrp="everyone"/>
      <w:r>
        <w:rPr>
          <w:rFonts w:cstheme="minorHAnsi"/>
          <w:sz w:val="20"/>
        </w:rPr>
        <w:t>In Q3 and Q4 of this consultation i</w:t>
      </w:r>
      <w:r w:rsidRPr="00CC2CF9">
        <w:rPr>
          <w:rFonts w:cstheme="minorHAnsi"/>
          <w:sz w:val="20"/>
        </w:rPr>
        <w:t>t seems that in the view of ESMA a one-tier board governance is predominant. Whereas in a lot of other EU-countries a two-tier board governance is more common. In order to prevent that there could be an undermining the checks and balances in the governance of the issuer, it is recommended that ESMA explicitly mentions the possibility to delay the disclosure by the issuer after the decision of the governing body of the issuer, provided that the conditions for a delay are met.</w:t>
      </w:r>
    </w:p>
    <w:p w14:paraId="574BA282" w14:textId="77777777" w:rsidR="007646EE" w:rsidRPr="00AB7F91" w:rsidRDefault="007646EE" w:rsidP="00E97426">
      <w:pPr>
        <w:rPr>
          <w:rFonts w:cstheme="minorHAnsi"/>
        </w:rPr>
      </w:pPr>
      <w:r w:rsidRPr="000263F3">
        <w:rPr>
          <w:rFonts w:cstheme="minorHAnsi"/>
          <w:sz w:val="20"/>
        </w:rPr>
        <w:t xml:space="preserve">In our view the trigger point is the moment when the management body has taken the decision(s) to commit to the outcome of the process. This means that the management body in its </w:t>
      </w:r>
      <w:r w:rsidRPr="00AB7F91">
        <w:rPr>
          <w:rFonts w:cstheme="minorHAnsi"/>
          <w:sz w:val="20"/>
        </w:rPr>
        <w:t xml:space="preserve">management function and </w:t>
      </w:r>
      <w:r w:rsidRPr="000263F3">
        <w:rPr>
          <w:rFonts w:cstheme="minorHAnsi"/>
          <w:sz w:val="20"/>
        </w:rPr>
        <w:t xml:space="preserve">the management </w:t>
      </w:r>
      <w:r w:rsidRPr="00AB7F91">
        <w:rPr>
          <w:rFonts w:cstheme="minorHAnsi"/>
          <w:sz w:val="20"/>
        </w:rPr>
        <w:t xml:space="preserve">in its supervisory function </w:t>
      </w:r>
      <w:r w:rsidRPr="000263F3">
        <w:rPr>
          <w:rFonts w:cstheme="minorHAnsi"/>
          <w:sz w:val="20"/>
        </w:rPr>
        <w:t xml:space="preserve">has taken such decision(s) (see for the two roles of a management body EU Regulation 2013/36 EU). In other words, in two-tier systems also the supervisory board approval is needed (since the issuer is not committed to the outcome of the process as long as the supervisory board has not approved, provided that the approval of the supervisory board is needed). </w:t>
      </w:r>
    </w:p>
    <w:p w14:paraId="7F55BC0C" w14:textId="77777777" w:rsidR="007646EE" w:rsidRDefault="007646EE" w:rsidP="009B1E21">
      <w:pPr>
        <w:rPr>
          <w:rFonts w:cstheme="minorHAnsi"/>
          <w:sz w:val="20"/>
        </w:rPr>
      </w:pPr>
      <w:r w:rsidRPr="000263F3">
        <w:rPr>
          <w:rFonts w:cstheme="minorHAnsi"/>
          <w:sz w:val="20"/>
        </w:rPr>
        <w:t xml:space="preserve">With respect to paragraph 63 that addresses </w:t>
      </w:r>
      <w:r w:rsidRPr="00AB7F91">
        <w:rPr>
          <w:rFonts w:cstheme="minorHAnsi"/>
          <w:sz w:val="20"/>
        </w:rPr>
        <w:t>acquisition</w:t>
      </w:r>
      <w:r w:rsidRPr="000263F3">
        <w:rPr>
          <w:rFonts w:cstheme="minorHAnsi"/>
          <w:sz w:val="20"/>
        </w:rPr>
        <w:t>s</w:t>
      </w:r>
      <w:r w:rsidRPr="00AB7F91">
        <w:rPr>
          <w:rFonts w:cstheme="minorHAnsi"/>
          <w:sz w:val="20"/>
        </w:rPr>
        <w:t xml:space="preserve"> of own shares</w:t>
      </w:r>
      <w:r w:rsidRPr="000263F3">
        <w:rPr>
          <w:rFonts w:cstheme="minorHAnsi"/>
          <w:sz w:val="20"/>
        </w:rPr>
        <w:t xml:space="preserve"> we refer to our answer to Q2. In short, we do not agree with ESMA’s approach to introduce various additional protracted processes with additional final events (and additional public disclosures), while in fact there is just one protracted process with one final event: an acquisition of own shares.</w:t>
      </w:r>
    </w:p>
    <w:permEnd w:id="783093244"/>
    <w:p w14:paraId="45209901" w14:textId="61727740" w:rsidR="009B1E21" w:rsidRDefault="009B1E21" w:rsidP="009B1E21">
      <w:r>
        <w:t>&lt;ESMA_QUESTION_LATA_3&gt;</w:t>
      </w:r>
    </w:p>
    <w:p w14:paraId="0E9AA7DD" w14:textId="77777777" w:rsidR="009B1E21" w:rsidRDefault="009B1E21" w:rsidP="009B1E21"/>
    <w:p w14:paraId="5E267D5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in presence of a governance structure that foresees the approval of another body further to the management body’s decision, the disclosure obligation should take place as soon as possible after the decision of the first body?</w:t>
      </w:r>
    </w:p>
    <w:p w14:paraId="05A4157B" w14:textId="77777777" w:rsidR="009B1E21" w:rsidRDefault="009B1E21" w:rsidP="009B1E21">
      <w:r>
        <w:t>&lt;ESMA_QUESTION_LATA_4&gt;</w:t>
      </w:r>
    </w:p>
    <w:p w14:paraId="330387D2" w14:textId="77777777" w:rsidR="007646EE" w:rsidRPr="00AB7F91" w:rsidRDefault="007646EE" w:rsidP="007646EE">
      <w:pPr>
        <w:rPr>
          <w:rFonts w:cstheme="minorHAnsi"/>
        </w:rPr>
      </w:pPr>
      <w:permStart w:id="1801277174" w:edGrp="everyone"/>
      <w:r w:rsidRPr="000263F3">
        <w:rPr>
          <w:rFonts w:cstheme="minorHAnsi"/>
          <w:sz w:val="20"/>
        </w:rPr>
        <w:t xml:space="preserve">ESMA proposes that for protracted processes the decision of the governing body of the issuer should trigger the disclosure obligation. This body would typically be the board of directors or management board, even if also a decision of another corporate body, </w:t>
      </w:r>
      <w:proofErr w:type="spellStart"/>
      <w:r w:rsidRPr="000263F3">
        <w:rPr>
          <w:rFonts w:cstheme="minorHAnsi"/>
          <w:sz w:val="20"/>
        </w:rPr>
        <w:t>eg.</w:t>
      </w:r>
      <w:proofErr w:type="spellEnd"/>
      <w:r w:rsidRPr="000263F3">
        <w:rPr>
          <w:rFonts w:cstheme="minorHAnsi"/>
          <w:sz w:val="20"/>
        </w:rPr>
        <w:t xml:space="preserve"> the approval of the supervisory board is required. It seems that in the view of ESMA a one-tier board governance is predominant. Whereas in a lot of other EU-countries a two-tier board governance is more common.</w:t>
      </w:r>
    </w:p>
    <w:p w14:paraId="6F4ED217" w14:textId="77777777" w:rsidR="007646EE" w:rsidRPr="00AB7F91" w:rsidRDefault="007646EE" w:rsidP="007646EE">
      <w:pPr>
        <w:rPr>
          <w:rFonts w:cstheme="minorHAnsi"/>
        </w:rPr>
      </w:pPr>
      <w:r w:rsidRPr="00CC2CF9">
        <w:rPr>
          <w:rFonts w:cstheme="minorHAnsi"/>
          <w:sz w:val="20"/>
        </w:rPr>
        <w:t>As such</w:t>
      </w:r>
      <w:r w:rsidRPr="00AB7F91">
        <w:rPr>
          <w:rFonts w:cstheme="minorHAnsi"/>
          <w:sz w:val="20"/>
        </w:rPr>
        <w:t>, we do not agree with ESMA’s proposal. In case the approval of the supervisory board is needed, the issuer is not committed to the outcome as long as the supervisory board has not approved. The term management body refers to the most senior governing bodies within an organisation. It describes the same bodies as are typically referred to as “the board” or “management and supervisory boards”.</w:t>
      </w:r>
      <w:r w:rsidRPr="000263F3">
        <w:rPr>
          <w:rFonts w:cstheme="minorHAnsi"/>
          <w:sz w:val="20"/>
        </w:rPr>
        <w:t xml:space="preserve"> See also our answer to Q3 that refers to EU Regulation 2013/36 EU. In this respect, it should be noted that the added value of EU Regulation 2024/2809 seems limited in case an issuer would be required to publicly disclose information without the required approval of the supervisory board (unless a delay is permitted).   </w:t>
      </w:r>
    </w:p>
    <w:p w14:paraId="2214ACCE" w14:textId="77777777" w:rsidR="007646EE" w:rsidRPr="00AB7F91" w:rsidRDefault="007646EE" w:rsidP="007646EE">
      <w:pPr>
        <w:rPr>
          <w:rFonts w:cstheme="minorHAnsi"/>
        </w:rPr>
      </w:pPr>
      <w:r w:rsidRPr="000263F3">
        <w:rPr>
          <w:rFonts w:cstheme="minorHAnsi"/>
          <w:sz w:val="20"/>
          <w:lang w:val="en"/>
        </w:rPr>
        <w:t xml:space="preserve">If ESMA were to maintain its position on this point (with which we do not agree) the following applies. </w:t>
      </w:r>
      <w:r w:rsidRPr="000263F3">
        <w:rPr>
          <w:rFonts w:cstheme="minorHAnsi"/>
          <w:sz w:val="20"/>
        </w:rPr>
        <w:t>In order to prevent that there could be an undermining of the checks and balances in the governance of the issuer, it is recommended that ESMA explicitly mentions the possibility to delay the disclosure by the issuer after the decision of the governing body of the issuer, provided that the conditions for a delay are met. In this respect it is relevant that issuers will be confronted with situations where there is not a sufficient degree of certainty regarding the outcome of the process. In that case a public disclosure at the moment the governing body of the issuer is deciding, could be misleading, before the decision of another corporate body, e.g. the approval of the supervisory board. In any case, it should be avoided that the authority of other corporate bodies of the issuer is undermined by a premature disclosure obligation or results in reputation risks and legal claims of investors caused by a premature disclosure of misleading information. </w:t>
      </w:r>
    </w:p>
    <w:permEnd w:id="1801277174"/>
    <w:p w14:paraId="51818508" w14:textId="77777777" w:rsidR="009B1E21" w:rsidRDefault="009B1E21" w:rsidP="009B1E21">
      <w:r>
        <w:t>&lt;ESMA_QUESTION_LATA_4&gt;</w:t>
      </w:r>
    </w:p>
    <w:p w14:paraId="70D959D9" w14:textId="77777777" w:rsidR="009B1E21" w:rsidRDefault="009B1E21" w:rsidP="009B1E21"/>
    <w:p w14:paraId="5D58D7C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involving the issuer and another party different from a public authority, the moment of disclosure should be when the competent bodies/persons of all parties involved, having the decision power under national law or bylaws, have taken the decision to sign off to the agreement?</w:t>
      </w:r>
    </w:p>
    <w:p w14:paraId="345B20E6" w14:textId="77777777" w:rsidR="009B1E21" w:rsidRDefault="009B1E21" w:rsidP="009B1E21">
      <w:r>
        <w:lastRenderedPageBreak/>
        <w:t>&lt;ESMA_QUESTION_LATA_5&gt;</w:t>
      </w:r>
    </w:p>
    <w:p w14:paraId="0DF2AE77" w14:textId="77777777" w:rsidR="007646EE" w:rsidRPr="00B74022" w:rsidRDefault="007646EE" w:rsidP="007646EE">
      <w:pPr>
        <w:rPr>
          <w:rFonts w:cstheme="minorHAnsi"/>
        </w:rPr>
      </w:pPr>
      <w:permStart w:id="613818377" w:edGrp="everyone"/>
      <w:r w:rsidRPr="00B74022">
        <w:rPr>
          <w:rFonts w:cstheme="minorHAnsi"/>
          <w:sz w:val="20"/>
        </w:rPr>
        <w:t>We agree, although in our view it should be clarified that ‘</w:t>
      </w:r>
      <w:r w:rsidRPr="00B74022">
        <w:rPr>
          <w:rFonts w:cstheme="minorHAnsi"/>
          <w:i/>
          <w:iCs/>
          <w:sz w:val="20"/>
        </w:rPr>
        <w:t>the competent bodies/ persons of all parties involved</w:t>
      </w:r>
      <w:r w:rsidRPr="00B74022">
        <w:rPr>
          <w:rFonts w:cstheme="minorHAnsi"/>
          <w:sz w:val="20"/>
        </w:rPr>
        <w:t xml:space="preserve">’ includes the management body in its management function as well as the management body in its supervisory function. In other words, the moment of disclosure in two-tier board systems should be when also the supervisory board has taken the decision to sign off to the agreement. Before the approval of the supervisory board, each party can bring up new points, revert on previous positions, or terminate the discussions etc. This means that the negotiations last until the supervisory board has taken the decision to sign off to the agreement (and both parties have signed the agreement). The negotiations are still ongoing if only the respective management bodies in their management function have taken the decision to sign off to the agreement (provided that the agreement is also subject to the approval of the supervisory boards). </w:t>
      </w:r>
    </w:p>
    <w:p w14:paraId="6FF6BA53" w14:textId="77777777" w:rsidR="007646EE" w:rsidRPr="00AB7F91" w:rsidRDefault="007646EE" w:rsidP="007646EE">
      <w:pPr>
        <w:rPr>
          <w:rFonts w:cstheme="minorHAnsi"/>
        </w:rPr>
      </w:pPr>
      <w:r w:rsidRPr="00B74022">
        <w:rPr>
          <w:rFonts w:cstheme="minorHAnsi"/>
          <w:sz w:val="20"/>
        </w:rPr>
        <w:t>In this respect we refer to recital 67 of EU Regulation 2024/2809 according to which  </w:t>
      </w:r>
      <w:r w:rsidRPr="00B74022">
        <w:rPr>
          <w:rFonts w:cstheme="minorHAnsi"/>
          <w:i/>
          <w:iCs/>
          <w:sz w:val="20"/>
        </w:rPr>
        <w:t>‘(…) in a protracted process, the disclosure requirement should not cover (…) ongoing negotiations (…)</w:t>
      </w:r>
      <w:r w:rsidRPr="00B74022">
        <w:rPr>
          <w:rFonts w:cstheme="minorHAnsi"/>
          <w:sz w:val="20"/>
        </w:rPr>
        <w:t xml:space="preserve">’ and </w:t>
      </w:r>
      <w:r w:rsidRPr="00B74022">
        <w:rPr>
          <w:rFonts w:cstheme="minorHAnsi"/>
          <w:i/>
          <w:iCs/>
          <w:sz w:val="20"/>
        </w:rPr>
        <w:t>‘(…) disclosure should be made as soon as possible after the management has taken the decision to sign off on the merger agreement (…)</w:t>
      </w:r>
      <w:r w:rsidRPr="00B74022">
        <w:rPr>
          <w:rFonts w:cstheme="minorHAnsi"/>
          <w:sz w:val="20"/>
        </w:rPr>
        <w:t>’.</w:t>
      </w:r>
      <w:r w:rsidRPr="000263F3">
        <w:rPr>
          <w:rFonts w:cstheme="minorHAnsi"/>
          <w:sz w:val="20"/>
        </w:rPr>
        <w:t xml:space="preserve"> </w:t>
      </w:r>
    </w:p>
    <w:permEnd w:id="613818377"/>
    <w:p w14:paraId="40008995" w14:textId="77777777" w:rsidR="009B1E21" w:rsidRDefault="009B1E21" w:rsidP="009B1E21">
      <w:r>
        <w:t>&lt;ESMA_QUESTION_LATA_5&gt;</w:t>
      </w:r>
    </w:p>
    <w:p w14:paraId="6FAB022D" w14:textId="77777777" w:rsidR="009B1E21" w:rsidRDefault="009B1E21" w:rsidP="009B1E21"/>
    <w:p w14:paraId="0E7F6B8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driven by a public authority with the involvement of the issuer, the moment of disclosure should be when the issuer has received the final decision from the public authority, even where the issuer and the public authority previously exchanged preliminary information that may on its own amount to inside information?</w:t>
      </w:r>
    </w:p>
    <w:p w14:paraId="494C6179" w14:textId="77777777" w:rsidR="009B1E21" w:rsidRDefault="009B1E21" w:rsidP="009B1E21">
      <w:r>
        <w:t>&lt;ESMA_QUESTION_LATA_6&gt;</w:t>
      </w:r>
    </w:p>
    <w:p w14:paraId="1244337B" w14:textId="77777777" w:rsidR="009B1E21" w:rsidRDefault="009B1E21" w:rsidP="009B1E21">
      <w:permStart w:id="126633024" w:edGrp="everyone"/>
      <w:r>
        <w:t>TYPE YOUR TEXT HERE</w:t>
      </w:r>
    </w:p>
    <w:permEnd w:id="126633024"/>
    <w:p w14:paraId="5D77A4F6" w14:textId="77777777" w:rsidR="009B1E21" w:rsidRDefault="009B1E21" w:rsidP="009B1E21">
      <w:r>
        <w:t>&lt;ESMA_QUESTION_LATA_6&gt;</w:t>
      </w:r>
    </w:p>
    <w:p w14:paraId="520062CF" w14:textId="77777777" w:rsidR="009B1E21" w:rsidRDefault="009B1E21" w:rsidP="009B1E21"/>
    <w:p w14:paraId="73DB792F"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triggered by the issuer and whose final outcome is decided by a public authority, two separate processes should be identified, and the moment of disclosure should occur upon completion of each of them as above outlined?</w:t>
      </w:r>
    </w:p>
    <w:p w14:paraId="45C5060C" w14:textId="77777777" w:rsidR="009B1E21" w:rsidRDefault="009B1E21" w:rsidP="009B1E21">
      <w:r>
        <w:t>&lt;ESMA_QUESTION_LATA_7&gt;</w:t>
      </w:r>
    </w:p>
    <w:p w14:paraId="12DD64D0" w14:textId="677095AC" w:rsidR="007646EE" w:rsidRDefault="007646EE" w:rsidP="007646EE">
      <w:pPr>
        <w:spacing w:after="240"/>
        <w:rPr>
          <w:rFonts w:cstheme="minorHAnsi"/>
          <w:sz w:val="20"/>
        </w:rPr>
      </w:pPr>
      <w:permStart w:id="1778661475" w:edGrp="everyone"/>
      <w:r w:rsidRPr="000263F3">
        <w:rPr>
          <w:rFonts w:cstheme="minorHAnsi"/>
          <w:sz w:val="20"/>
        </w:rPr>
        <w:t xml:space="preserve">ESMA is of the opinion that in case the issuer triggers the process and a public authority is to give its authorisation or other form of decision, two processes can be identified, and disclosure should occur </w:t>
      </w:r>
      <w:r w:rsidRPr="000263F3">
        <w:rPr>
          <w:rFonts w:cstheme="minorHAnsi"/>
          <w:sz w:val="20"/>
        </w:rPr>
        <w:lastRenderedPageBreak/>
        <w:t>upon completion of each of them. This will result in two separate disclosure obligations. This is deviating from the current market practice, will be inefficient and may be even confusing for investors and other parties involved in the relevant process.</w:t>
      </w:r>
      <w:r w:rsidRPr="00B6607E">
        <w:t xml:space="preserve"> </w:t>
      </w:r>
      <w:r w:rsidRPr="00B6607E">
        <w:rPr>
          <w:rFonts w:cstheme="minorHAnsi"/>
          <w:sz w:val="20"/>
        </w:rPr>
        <w:t>The proposed approach is thereby inconsistent with the EU’s broader objective of simplifying EU rules and reduce the administrative and reporting burden for corporations.</w:t>
      </w:r>
    </w:p>
    <w:p w14:paraId="4AC49296" w14:textId="32DAE704" w:rsidR="007646EE" w:rsidRPr="00AB7F91" w:rsidRDefault="007646EE" w:rsidP="007646EE">
      <w:pPr>
        <w:spacing w:after="240"/>
        <w:rPr>
          <w:rFonts w:cstheme="minorHAnsi"/>
        </w:rPr>
      </w:pPr>
      <w:r w:rsidRPr="000263F3">
        <w:rPr>
          <w:rFonts w:cstheme="minorHAnsi"/>
          <w:sz w:val="20"/>
        </w:rPr>
        <w:t>In case of an approval by a public authority, the outcome thereof is beyond the control of the issuer, it could be stated that there does not exist a sufficient degree of certainty regarding the outcome of the process. Besides, from redemptions, reductions and repurchase of own fund instruments by credit institutions, before the approval of the Prudential Competent Authority, there may also be other situations in which it could be expedient to delay the disclosure by the issuer until the authorisation or other form of decision by the public authority has been made. This is for example the case with regard to appointment of members of a corporate body in a key position, where the fit and proper test by the national competent authority has not yet been completed. Disclosure before completion of the fit and proper test may be unnecessary defamatory for the person that the issuer is intending to appoint</w:t>
      </w:r>
      <w:r>
        <w:rPr>
          <w:rFonts w:cstheme="minorHAnsi"/>
          <w:sz w:val="20"/>
        </w:rPr>
        <w:t xml:space="preserve"> and may also damage the good reputation of the issuer</w:t>
      </w:r>
      <w:r w:rsidRPr="000263F3">
        <w:rPr>
          <w:rFonts w:cstheme="minorHAnsi"/>
          <w:sz w:val="20"/>
        </w:rPr>
        <w:t>, in case the approval by the national competent authority is withheld.</w:t>
      </w:r>
    </w:p>
    <w:p w14:paraId="04DD84CA" w14:textId="77777777" w:rsidR="007646EE" w:rsidRDefault="007646EE" w:rsidP="009B1E21">
      <w:pPr>
        <w:rPr>
          <w:rFonts w:cstheme="minorHAnsi"/>
          <w:sz w:val="20"/>
        </w:rPr>
      </w:pPr>
      <w:r w:rsidRPr="000263F3">
        <w:rPr>
          <w:rFonts w:cstheme="minorHAnsi"/>
          <w:sz w:val="20"/>
        </w:rPr>
        <w:t>All in all, we do not agree with ESMA’s approach to introduce various additional protracted processes and final events (with separate public disclosures), while in fact there is just one protracted process with one final event. We also refer to our answer on Q2 under b) that addresses this topic.</w:t>
      </w:r>
    </w:p>
    <w:p w14:paraId="51DD0933" w14:textId="1306BF17" w:rsidR="009B1E21" w:rsidRDefault="007646EE" w:rsidP="009B1E21">
      <w:r w:rsidRPr="000263F3">
        <w:rPr>
          <w:rFonts w:cstheme="minorHAnsi"/>
          <w:sz w:val="20"/>
        </w:rPr>
        <w:t xml:space="preserve"> </w:t>
      </w:r>
      <w:permEnd w:id="1778661475"/>
      <w:r w:rsidR="009B1E21">
        <w:t>&lt;ESMA_QUESTION_LATA_7&gt;</w:t>
      </w:r>
    </w:p>
    <w:p w14:paraId="27B6D49A" w14:textId="77777777" w:rsidR="009B1E21" w:rsidRDefault="009B1E21" w:rsidP="009B1E21"/>
    <w:p w14:paraId="2C06E11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a hostile takeover can be considered a one-off event? Do you agree with the moment for disclosure identified for takeover processes?</w:t>
      </w:r>
      <w:r w:rsidRPr="009B2F87">
        <w:t xml:space="preserve"> </w:t>
      </w:r>
    </w:p>
    <w:p w14:paraId="1EF57A89" w14:textId="77777777" w:rsidR="009B1E21" w:rsidRDefault="009B1E21" w:rsidP="009B1E21">
      <w:r>
        <w:t>&lt;ESMA_QUESTION_LATA_8&gt;</w:t>
      </w:r>
    </w:p>
    <w:p w14:paraId="4A6A8B12" w14:textId="77777777" w:rsidR="009B1E21" w:rsidRDefault="009B1E21" w:rsidP="009B1E21">
      <w:permStart w:id="265124465" w:edGrp="everyone"/>
      <w:r>
        <w:t>TYPE YOUR TEXT HERE</w:t>
      </w:r>
    </w:p>
    <w:permEnd w:id="265124465"/>
    <w:p w14:paraId="74661F4E" w14:textId="77777777" w:rsidR="009B1E21" w:rsidRDefault="009B1E21" w:rsidP="009B1E21">
      <w:r>
        <w:t>&lt;ESMA_QUESTION_LATA_8&gt;</w:t>
      </w:r>
    </w:p>
    <w:p w14:paraId="0CCBF783" w14:textId="77777777" w:rsidR="009B1E21" w:rsidRDefault="009B1E21" w:rsidP="009B1E21"/>
    <w:p w14:paraId="07E31FF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financial reports, profit warnings, earning surprises and forecasts? In particular, do you agree that profit warnings and earning surprises are to be considered as one-off events and as such should not be included in the list of protracted processes?</w:t>
      </w:r>
    </w:p>
    <w:p w14:paraId="2F4D926F" w14:textId="77777777" w:rsidR="009B1E21" w:rsidRDefault="009B1E21" w:rsidP="009B1E21">
      <w:r>
        <w:t>&lt;ESMA_QUESTION_LATA_9&gt;</w:t>
      </w:r>
    </w:p>
    <w:p w14:paraId="4DF7680B" w14:textId="23CD9213" w:rsidR="009B1E21" w:rsidRDefault="009B1E21" w:rsidP="009B1E21">
      <w:permStart w:id="941577706" w:edGrp="everyone"/>
      <w:r>
        <w:t>TYPE YOUR TEXT HERE</w:t>
      </w:r>
    </w:p>
    <w:permEnd w:id="941577706"/>
    <w:p w14:paraId="275F3EEC" w14:textId="77777777" w:rsidR="009B1E21" w:rsidRDefault="009B1E21" w:rsidP="009B1E21">
      <w:r>
        <w:lastRenderedPageBreak/>
        <w:t>&lt;ESMA_QUESTION_LATA_9&gt;</w:t>
      </w:r>
    </w:p>
    <w:p w14:paraId="0BFD9DCF" w14:textId="77777777" w:rsidR="009B1E21" w:rsidRDefault="009B1E21" w:rsidP="009B1E21"/>
    <w:p w14:paraId="1B9BB8E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recovery and resolution protracted process?</w:t>
      </w:r>
    </w:p>
    <w:p w14:paraId="40118AA7" w14:textId="77777777" w:rsidR="009B1E21" w:rsidRDefault="009B1E21" w:rsidP="009B1E21">
      <w:r>
        <w:t>&lt;ESMA_QUESTION_LATA_10&gt;</w:t>
      </w:r>
    </w:p>
    <w:p w14:paraId="7C00F17F" w14:textId="77777777" w:rsidR="009B1E21" w:rsidRDefault="009B1E21" w:rsidP="009B1E21">
      <w:permStart w:id="1460612003" w:edGrp="everyone"/>
      <w:r>
        <w:t>TYPE YOUR TEXT HERE</w:t>
      </w:r>
    </w:p>
    <w:permEnd w:id="1460612003"/>
    <w:p w14:paraId="4B3D8441" w14:textId="77777777" w:rsidR="009B1E21" w:rsidRDefault="009B1E21" w:rsidP="009B1E21">
      <w:r>
        <w:t>&lt;ESMA_QUESTION_LATA_10&gt;</w:t>
      </w:r>
    </w:p>
    <w:p w14:paraId="120799D7" w14:textId="77777777" w:rsidR="009B1E21" w:rsidRDefault="009B1E21" w:rsidP="009B1E21"/>
    <w:p w14:paraId="48A599F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consider the list of protracted processes sufficiently comprehensive? Do you agree with the proposed moment of disclosure? Would you add or remove any process?</w:t>
      </w:r>
    </w:p>
    <w:p w14:paraId="141119F6" w14:textId="77777777" w:rsidR="009B1E21" w:rsidRDefault="009B1E21" w:rsidP="009B1E21">
      <w:r>
        <w:t>&lt;ESMA_QUESTION_LATA_11&gt;</w:t>
      </w:r>
    </w:p>
    <w:p w14:paraId="6F1DBBCB" w14:textId="77777777" w:rsidR="009B1E21" w:rsidRDefault="009B1E21" w:rsidP="009B1E21">
      <w:permStart w:id="159128183" w:edGrp="everyone"/>
      <w:r>
        <w:t>TYPE YOUR TEXT HERE</w:t>
      </w:r>
    </w:p>
    <w:permEnd w:id="159128183"/>
    <w:p w14:paraId="62BA5B3F" w14:textId="77777777" w:rsidR="009B1E21" w:rsidRDefault="009B1E21" w:rsidP="009B1E21">
      <w:r>
        <w:t>&lt;ESMA_QUESTION_LATA_11&gt;</w:t>
      </w:r>
    </w:p>
    <w:p w14:paraId="224B6D82" w14:textId="77777777" w:rsidR="009B1E21" w:rsidRDefault="009B1E21" w:rsidP="009B1E21"/>
    <w:p w14:paraId="42B4E41A"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inside information to be delayed may in some cases be assessed against more than one announcement, whenever a clear conclusion about the issuer’s position on the subject matter cannot be drawn exclusively on the basis of the very latest communication?</w:t>
      </w:r>
    </w:p>
    <w:p w14:paraId="309F850D" w14:textId="77777777" w:rsidR="009B1E21" w:rsidRDefault="009B1E21" w:rsidP="009B1E21">
      <w:r>
        <w:t>&lt;ESMA_QUESTION_LATA_12&gt;</w:t>
      </w:r>
    </w:p>
    <w:p w14:paraId="72C001C3" w14:textId="77777777" w:rsidR="009B1E21" w:rsidRDefault="009B1E21" w:rsidP="009B1E21">
      <w:permStart w:id="421398651" w:edGrp="everyone"/>
      <w:r>
        <w:t>TYPE YOUR TEXT HERE</w:t>
      </w:r>
    </w:p>
    <w:permEnd w:id="421398651"/>
    <w:p w14:paraId="4B107EF7" w14:textId="77777777" w:rsidR="009B1E21" w:rsidRDefault="009B1E21" w:rsidP="009B1E21">
      <w:r>
        <w:t>&lt;ESMA_QUESTION_LATA_12&gt;</w:t>
      </w:r>
    </w:p>
    <w:p w14:paraId="52E39D93" w14:textId="77777777" w:rsidR="009B1E21" w:rsidRDefault="009B1E21" w:rsidP="009B1E21"/>
    <w:p w14:paraId="0120F410"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communications presented in Article 4 of the draft delegated act? Do you consider it sufficiently comprehensive, or do you deem that any other cases should be added?</w:t>
      </w:r>
    </w:p>
    <w:p w14:paraId="683FAD40" w14:textId="77777777" w:rsidR="009B1E21" w:rsidRDefault="009B1E21" w:rsidP="009B1E21">
      <w:r>
        <w:lastRenderedPageBreak/>
        <w:t>&lt;ESMA_QUESTION_LATA_13&gt;</w:t>
      </w:r>
    </w:p>
    <w:p w14:paraId="6DE66D3B" w14:textId="77777777" w:rsidR="009B1E21" w:rsidRDefault="009B1E21" w:rsidP="009B1E21">
      <w:permStart w:id="2070238072" w:edGrp="everyone"/>
      <w:r>
        <w:t>TYPE YOUR TEXT HERE</w:t>
      </w:r>
    </w:p>
    <w:permEnd w:id="2070238072"/>
    <w:p w14:paraId="3BF954D7" w14:textId="77777777" w:rsidR="009B1E21" w:rsidRDefault="009B1E21" w:rsidP="009B1E21">
      <w:r>
        <w:t>&lt;ESMA_QUESTION_LATA_13&gt;</w:t>
      </w:r>
    </w:p>
    <w:p w14:paraId="67387EDD" w14:textId="77777777" w:rsidR="009B1E21" w:rsidRDefault="009B1E21" w:rsidP="009B1E21"/>
    <w:p w14:paraId="7D67DE6A" w14:textId="77777777" w:rsidR="009B1E21" w:rsidRPr="008605FA"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situations where there is a contrast between the inside information to be delayed and the latest announcement or communication as presented by ESMA in [Annex II] of the proposed Delegated Act (Annex IV of this CP)? Do you consider it sufficiently comprehensive, or do you deem that any other situations should be added?</w:t>
      </w:r>
    </w:p>
    <w:p w14:paraId="14CC8B8F" w14:textId="77777777" w:rsidR="009B1E21" w:rsidRDefault="009B1E21" w:rsidP="009B1E21">
      <w:r>
        <w:t>&lt;ESMA_QUESTION_LATA_14&gt;</w:t>
      </w:r>
    </w:p>
    <w:p w14:paraId="0612BAF4" w14:textId="77777777" w:rsidR="009B1E21" w:rsidRDefault="009B1E21" w:rsidP="009B1E21">
      <w:permStart w:id="131739657" w:edGrp="everyone"/>
      <w:r>
        <w:t>TYPE YOUR TEXT HERE</w:t>
      </w:r>
    </w:p>
    <w:permEnd w:id="131739657"/>
    <w:p w14:paraId="179AD97E" w14:textId="77777777" w:rsidR="009B1E21" w:rsidRDefault="009B1E21" w:rsidP="009B1E21">
      <w:r>
        <w:t>&lt;ESMA_QUESTION_LATA_14&gt;</w:t>
      </w:r>
    </w:p>
    <w:p w14:paraId="2A9668C1" w14:textId="77777777" w:rsidR="009B1E21" w:rsidRDefault="009B1E21" w:rsidP="009B1E21"/>
    <w:p w14:paraId="673D6D82"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have any views on the methodology used to conduct the analysis?</w:t>
      </w:r>
    </w:p>
    <w:p w14:paraId="3A9EF350" w14:textId="77777777" w:rsidR="009B1E21" w:rsidRDefault="009B1E21" w:rsidP="009B1E21">
      <w:r>
        <w:t>&lt;ESMA_QUESTION_LATA_15&gt;</w:t>
      </w:r>
    </w:p>
    <w:p w14:paraId="7EE90ACB" w14:textId="77777777" w:rsidR="009B1E21" w:rsidRDefault="009B1E21" w:rsidP="009B1E21">
      <w:permStart w:id="224746622" w:edGrp="everyone"/>
      <w:r>
        <w:t>TYPE YOUR TEXT HERE</w:t>
      </w:r>
    </w:p>
    <w:permEnd w:id="224746622"/>
    <w:p w14:paraId="4D4FF991" w14:textId="77777777" w:rsidR="009B1E21" w:rsidRDefault="009B1E21" w:rsidP="009B1E21">
      <w:r>
        <w:t>&lt;ESMA_QUESTION_LATA_15&gt;</w:t>
      </w:r>
    </w:p>
    <w:p w14:paraId="10261834" w14:textId="77777777" w:rsidR="009B1E21" w:rsidRDefault="009B1E21" w:rsidP="009B1E21"/>
    <w:p w14:paraId="207B4548"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methodology of calculation in Article 78(1) of CDR 2017/565 to assess if the SME GM meets the 50% criterion is suitable? Please explain.</w:t>
      </w:r>
    </w:p>
    <w:p w14:paraId="341D8C16" w14:textId="77777777" w:rsidR="009B1E21" w:rsidRDefault="009B1E21" w:rsidP="009B1E21">
      <w:r>
        <w:t>&lt;ESMA_QUESTION_LATA_16&gt;</w:t>
      </w:r>
    </w:p>
    <w:p w14:paraId="6C93F2EB" w14:textId="77777777" w:rsidR="009B1E21" w:rsidRDefault="009B1E21" w:rsidP="009B1E21">
      <w:permStart w:id="1599806274" w:edGrp="everyone"/>
      <w:r>
        <w:t>TYPE YOUR TEXT HERE</w:t>
      </w:r>
    </w:p>
    <w:permEnd w:id="1599806274"/>
    <w:p w14:paraId="02DB13CA" w14:textId="77777777" w:rsidR="009B1E21" w:rsidRDefault="009B1E21" w:rsidP="009B1E21">
      <w:r>
        <w:t>&lt;ESMA_QUESTION_LATA_16&gt;</w:t>
      </w:r>
    </w:p>
    <w:p w14:paraId="2992EDF2" w14:textId="77777777" w:rsidR="009B1E21" w:rsidRDefault="009B1E21" w:rsidP="009B1E21"/>
    <w:p w14:paraId="04BF344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lastRenderedPageBreak/>
        <w:t>Do you agree that the requirements in Article 78(1) of CDR 2017/565 ensure that the refusal to be registered as an SME GM does not simply occur as a result of a temporary failure to comply with the requirements specified in Article 33(3) of MiFID II? Please explain.</w:t>
      </w:r>
    </w:p>
    <w:p w14:paraId="3645970F" w14:textId="77777777" w:rsidR="009B1E21" w:rsidRDefault="009B1E21" w:rsidP="009B1E21">
      <w:r>
        <w:t>&lt;ESMA_QUESTION_LATA_17&gt;</w:t>
      </w:r>
    </w:p>
    <w:p w14:paraId="26C0D951" w14:textId="77777777" w:rsidR="009B1E21" w:rsidRDefault="009B1E21" w:rsidP="009B1E21">
      <w:permStart w:id="166685556" w:edGrp="everyone"/>
      <w:r>
        <w:t>TYPE YOUR TEXT HERE</w:t>
      </w:r>
    </w:p>
    <w:permEnd w:id="166685556"/>
    <w:p w14:paraId="4F5DBB1D" w14:textId="77777777" w:rsidR="009B1E21" w:rsidRDefault="009B1E21" w:rsidP="009B1E21">
      <w:r>
        <w:t>&lt;ESMA_QUESTION_LATA_17&gt;</w:t>
      </w:r>
    </w:p>
    <w:p w14:paraId="59E01456" w14:textId="77777777" w:rsidR="009B1E21" w:rsidRDefault="009B1E21" w:rsidP="009B1E21"/>
    <w:p w14:paraId="0479080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specify further the requirements in Articles 78(2)(a) and 78(2)(b) of CDR 2017/565? Please elaborate.</w:t>
      </w:r>
    </w:p>
    <w:p w14:paraId="3236A846" w14:textId="77777777" w:rsidR="009B1E21" w:rsidRDefault="009B1E21" w:rsidP="009B1E21">
      <w:r>
        <w:t>&lt;ESMA_QUESTION_LATA_18&gt;</w:t>
      </w:r>
    </w:p>
    <w:p w14:paraId="75E25F31" w14:textId="77777777" w:rsidR="009B1E21" w:rsidRDefault="009B1E21" w:rsidP="009B1E21">
      <w:permStart w:id="14434267" w:edGrp="everyone"/>
      <w:r>
        <w:t>TYPE YOUR TEXT HERE</w:t>
      </w:r>
    </w:p>
    <w:permEnd w:id="14434267"/>
    <w:p w14:paraId="086ACBDF" w14:textId="77777777" w:rsidR="009B1E21" w:rsidRDefault="009B1E21" w:rsidP="009B1E21">
      <w:r>
        <w:t>&lt;ESMA_QUESTION_LATA_18&gt;</w:t>
      </w:r>
    </w:p>
    <w:p w14:paraId="041BE13D" w14:textId="77777777" w:rsidR="009B1E21" w:rsidRDefault="009B1E21" w:rsidP="009B1E21"/>
    <w:p w14:paraId="3C9C8F9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the requirements currently included in Articles 78(2)(c), (d) and (f) of CDR 2017/565? Please elaborate.</w:t>
      </w:r>
    </w:p>
    <w:p w14:paraId="5D3E6B8D" w14:textId="77777777" w:rsidR="009B1E21" w:rsidRDefault="009B1E21" w:rsidP="009B1E21">
      <w:r>
        <w:t>&lt;ESMA_QUESTION_LATA_19&gt;</w:t>
      </w:r>
    </w:p>
    <w:p w14:paraId="3EB0E12E" w14:textId="77777777" w:rsidR="009B1E21" w:rsidRDefault="009B1E21" w:rsidP="009B1E21">
      <w:permStart w:id="305603693" w:edGrp="everyone"/>
      <w:r>
        <w:t>TYPE YOUR TEXT HERE</w:t>
      </w:r>
    </w:p>
    <w:permEnd w:id="305603693"/>
    <w:p w14:paraId="22BB7D33" w14:textId="77777777" w:rsidR="009B1E21" w:rsidRDefault="009B1E21" w:rsidP="009B1E21">
      <w:r>
        <w:t>&lt;ESMA_QUESTION_LATA_19&gt;</w:t>
      </w:r>
    </w:p>
    <w:p w14:paraId="0DBEDF0D" w14:textId="77777777" w:rsidR="009B1E21" w:rsidRDefault="009B1E21" w:rsidP="009B1E21"/>
    <w:p w14:paraId="6E7FC12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align the requirement in Article 78(2)(e) of CDR 2017/565 with those of the Growth Issuance Prospectus by requiring a statement on the working capital only for share issuances? Please elaborate.</w:t>
      </w:r>
      <w:r w:rsidRPr="009B2F87">
        <w:t xml:space="preserve"> </w:t>
      </w:r>
    </w:p>
    <w:p w14:paraId="3622B1D1" w14:textId="77777777" w:rsidR="009B1E21" w:rsidRDefault="009B1E21" w:rsidP="009B1E21">
      <w:r>
        <w:t>&lt;ESMA_QUESTION_LATA_20&gt;</w:t>
      </w:r>
    </w:p>
    <w:p w14:paraId="6C0C6A14" w14:textId="77777777" w:rsidR="009B1E21" w:rsidRDefault="009B1E21" w:rsidP="009B1E21">
      <w:permStart w:id="767061203" w:edGrp="everyone"/>
      <w:r>
        <w:t>TYPE YOUR TEXT HERE</w:t>
      </w:r>
    </w:p>
    <w:permEnd w:id="767061203"/>
    <w:p w14:paraId="334E6239" w14:textId="77777777" w:rsidR="009B1E21" w:rsidRDefault="009B1E21" w:rsidP="009B1E21">
      <w:r>
        <w:t>&lt;ESMA_QUESTION_LATA_20&gt;</w:t>
      </w:r>
    </w:p>
    <w:p w14:paraId="611B0058" w14:textId="77777777" w:rsidR="009B1E21" w:rsidRDefault="009B1E21" w:rsidP="009B1E21"/>
    <w:p w14:paraId="63E90F6D"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include in Article 78(2)(g) of CDR 2017/565 the requirement that the financial reports published by SME GM issuers should be subject to audits?</w:t>
      </w:r>
    </w:p>
    <w:p w14:paraId="7F01B22B" w14:textId="77777777" w:rsidR="009B1E21" w:rsidRDefault="009B1E21" w:rsidP="009B1E21">
      <w:r>
        <w:t>&lt;ESMA_QUESTION_LATA_21&gt;</w:t>
      </w:r>
    </w:p>
    <w:p w14:paraId="7F1D1933" w14:textId="77777777" w:rsidR="009B1E21" w:rsidRDefault="009B1E21" w:rsidP="009B1E21">
      <w:permStart w:id="366227586" w:edGrp="everyone"/>
      <w:r>
        <w:t>TYPE YOUR TEXT HERE</w:t>
      </w:r>
    </w:p>
    <w:permEnd w:id="366227586"/>
    <w:p w14:paraId="1A5CA3DA" w14:textId="77777777" w:rsidR="009B1E21" w:rsidRDefault="009B1E21" w:rsidP="009B1E21">
      <w:r>
        <w:t>&lt;ESMA_QUESTION_LATA_21&gt;</w:t>
      </w:r>
    </w:p>
    <w:p w14:paraId="6F06B271" w14:textId="77777777" w:rsidR="009B1E21" w:rsidRDefault="009B1E21" w:rsidP="009B1E21"/>
    <w:p w14:paraId="6EF8877E"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Articles 78(2)(h) and (i) of CDR 2017/565? Please elaborate.</w:t>
      </w:r>
    </w:p>
    <w:p w14:paraId="4F72E316" w14:textId="77777777" w:rsidR="009B1E21" w:rsidRDefault="009B1E21" w:rsidP="009B1E21">
      <w:r>
        <w:t>&lt;ESMA_QUESTION_LATA_22&gt;</w:t>
      </w:r>
    </w:p>
    <w:p w14:paraId="057E95A4" w14:textId="77777777" w:rsidR="009B1E21" w:rsidRDefault="009B1E21" w:rsidP="009B1E21">
      <w:permStart w:id="548149613" w:edGrp="everyone"/>
      <w:r>
        <w:t>TYPE YOUR TEXT HERE</w:t>
      </w:r>
    </w:p>
    <w:permEnd w:id="548149613"/>
    <w:p w14:paraId="643F7577" w14:textId="77777777" w:rsidR="009B1E21" w:rsidRDefault="009B1E21" w:rsidP="009B1E21">
      <w:r>
        <w:t>&lt;ESMA_QUESTION_LATA_22&gt;</w:t>
      </w:r>
    </w:p>
    <w:p w14:paraId="718A3B9B" w14:textId="77777777" w:rsidR="009B1E21" w:rsidRDefault="009B1E21" w:rsidP="009B1E21"/>
    <w:p w14:paraId="5F1DA04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first and the second requirements under Article 33(3a) (a) and (b)? Please explain.</w:t>
      </w:r>
    </w:p>
    <w:p w14:paraId="0E9B482C" w14:textId="77777777" w:rsidR="009B1E21" w:rsidRDefault="009B1E21" w:rsidP="009B1E21">
      <w:r>
        <w:t>&lt;ESMA_QUESTION_LATA_23&gt;</w:t>
      </w:r>
    </w:p>
    <w:p w14:paraId="762C7B2D" w14:textId="77777777" w:rsidR="009B1E21" w:rsidRDefault="009B1E21" w:rsidP="009B1E21">
      <w:permStart w:id="474421293" w:edGrp="everyone"/>
      <w:r>
        <w:t>TYPE YOUR TEXT HERE</w:t>
      </w:r>
    </w:p>
    <w:permEnd w:id="474421293"/>
    <w:p w14:paraId="237E5A38" w14:textId="77777777" w:rsidR="009B1E21" w:rsidRDefault="009B1E21" w:rsidP="009B1E21">
      <w:r>
        <w:t>&lt;ESMA_QUESTION_LATA_23&gt;</w:t>
      </w:r>
    </w:p>
    <w:p w14:paraId="4157ED56" w14:textId="77777777" w:rsidR="009B1E21" w:rsidRDefault="009B1E21" w:rsidP="009B1E21"/>
    <w:p w14:paraId="6538D1A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third requirement under Article 33(3a) (c)? Please explain.</w:t>
      </w:r>
    </w:p>
    <w:p w14:paraId="4FD01CEE" w14:textId="77777777" w:rsidR="009B1E21" w:rsidRDefault="009B1E21" w:rsidP="009B1E21">
      <w:r>
        <w:t>&lt;ESMA_QUESTION_LATA_24&gt;</w:t>
      </w:r>
    </w:p>
    <w:p w14:paraId="7DF2BCCF" w14:textId="77777777" w:rsidR="009B1E21" w:rsidRDefault="009B1E21" w:rsidP="009B1E21">
      <w:permStart w:id="2060877361" w:edGrp="everyone"/>
      <w:r>
        <w:t>TYPE YOUR TEXT HERE</w:t>
      </w:r>
    </w:p>
    <w:permEnd w:id="2060877361"/>
    <w:p w14:paraId="6442560C" w14:textId="77777777" w:rsidR="009B1E21" w:rsidRDefault="009B1E21" w:rsidP="009B1E21">
      <w:r>
        <w:t>&lt;ESMA_QUESTION_LATA_24&gt;</w:t>
      </w:r>
    </w:p>
    <w:p w14:paraId="5FEBE625" w14:textId="77777777" w:rsidR="009B1E21" w:rsidRDefault="009B1E21" w:rsidP="009B1E21"/>
    <w:p w14:paraId="77E906D5"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no specific amendments are required for Article 79? Please explain.</w:t>
      </w:r>
    </w:p>
    <w:p w14:paraId="41B82113" w14:textId="77777777" w:rsidR="009B1E21" w:rsidRDefault="009B1E21" w:rsidP="009B1E21">
      <w:r>
        <w:t>&lt;ESMA_QUESTION_LATA_25&gt;</w:t>
      </w:r>
    </w:p>
    <w:p w14:paraId="4FD9ADF1" w14:textId="77777777" w:rsidR="009B1E21" w:rsidRDefault="009B1E21" w:rsidP="009B1E21">
      <w:permStart w:id="1612399469" w:edGrp="everyone"/>
      <w:r>
        <w:t>TYPE YOUR TEXT HERE</w:t>
      </w:r>
    </w:p>
    <w:permEnd w:id="1612399469"/>
    <w:p w14:paraId="6CF2E0CC" w14:textId="77777777" w:rsidR="009B1E21" w:rsidRDefault="009B1E21" w:rsidP="009B1E21">
      <w:r>
        <w:t>&lt;ESMA_QUESTION_LATA_25&gt;</w:t>
      </w:r>
    </w:p>
    <w:p w14:paraId="3CA6E1AE" w14:textId="77777777" w:rsidR="009B1E21" w:rsidRDefault="009B1E21" w:rsidP="009B1E21"/>
    <w:p w14:paraId="692C958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79 of CDR 2017/565 ensure that an SME GM is not deregistered due to a temporary failure to comply with the criteria an Article 33 of MiFID II?</w:t>
      </w:r>
    </w:p>
    <w:p w14:paraId="6E70E9D4" w14:textId="77777777" w:rsidR="009B1E21" w:rsidRDefault="009B1E21" w:rsidP="009B1E21">
      <w:r>
        <w:t>&lt;ESMA_QUESTION_LATA_26&gt;</w:t>
      </w:r>
    </w:p>
    <w:p w14:paraId="7CC75409" w14:textId="77777777" w:rsidR="009B1E21" w:rsidRDefault="009B1E21" w:rsidP="009B1E21">
      <w:permStart w:id="434780100" w:edGrp="everyone"/>
      <w:r>
        <w:t>TYPE YOUR TEXT HERE</w:t>
      </w:r>
    </w:p>
    <w:permEnd w:id="434780100"/>
    <w:p w14:paraId="05EFDE60" w14:textId="77777777" w:rsidR="009B1E21" w:rsidRDefault="009B1E21" w:rsidP="009B1E21">
      <w:r>
        <w:t>&lt;ESMA_QUESTION_LATA_26&gt;</w:t>
      </w:r>
    </w:p>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74B5" w14:textId="77777777" w:rsidR="009743D3" w:rsidRDefault="009743D3" w:rsidP="007E7997">
      <w:pPr>
        <w:spacing w:line="240" w:lineRule="auto"/>
      </w:pPr>
      <w:r>
        <w:separator/>
      </w:r>
    </w:p>
  </w:endnote>
  <w:endnote w:type="continuationSeparator" w:id="0">
    <w:p w14:paraId="55639421" w14:textId="77777777" w:rsidR="009743D3" w:rsidRDefault="009743D3" w:rsidP="007E7997">
      <w:pPr>
        <w:spacing w:line="240" w:lineRule="auto"/>
      </w:pPr>
      <w:r>
        <w:continuationSeparator/>
      </w:r>
    </w:p>
  </w:endnote>
  <w:endnote w:type="continuationNotice" w:id="1">
    <w:p w14:paraId="11779B56" w14:textId="77777777" w:rsidR="009743D3" w:rsidRDefault="00974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Voettekst"/>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CB02" w14:textId="77777777" w:rsidR="009743D3" w:rsidRDefault="009743D3" w:rsidP="007E7997">
      <w:pPr>
        <w:spacing w:line="240" w:lineRule="auto"/>
      </w:pPr>
      <w:r>
        <w:separator/>
      </w:r>
    </w:p>
  </w:footnote>
  <w:footnote w:type="continuationSeparator" w:id="0">
    <w:p w14:paraId="1F1A37A9" w14:textId="77777777" w:rsidR="009743D3" w:rsidRDefault="009743D3" w:rsidP="007E7997">
      <w:pPr>
        <w:spacing w:line="240" w:lineRule="auto"/>
      </w:pPr>
      <w:r>
        <w:continuationSeparator/>
      </w:r>
    </w:p>
  </w:footnote>
  <w:footnote w:type="continuationNotice" w:id="1">
    <w:p w14:paraId="6D93DF5B" w14:textId="77777777" w:rsidR="009743D3" w:rsidRDefault="009743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6B760F4" w:rsidR="00D77369" w:rsidRPr="00DB2FD6" w:rsidRDefault="00D77369" w:rsidP="008858FE">
    <w:pPr>
      <w:pStyle w:val="Koptekst"/>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B1E21">
      <w:t>12</w:t>
    </w:r>
    <w:r w:rsidR="00306F0E">
      <w:t xml:space="preserve"> </w:t>
    </w:r>
    <w:r w:rsidR="009B1E21">
      <w:t>December</w:t>
    </w:r>
    <w:r w:rsidR="00EB238F" w:rsidRPr="002E135A">
      <w:t xml:space="preserve"> </w:t>
    </w:r>
    <w:r w:rsidR="002E135A" w:rsidRPr="002E135A">
      <w:t>2024</w:t>
    </w:r>
  </w:p>
  <w:p w14:paraId="48F2413B" w14:textId="61098375" w:rsidR="004E5FF8" w:rsidRDefault="00FE1EEE" w:rsidP="00C47686">
    <w:pPr>
      <w:jc w:val="right"/>
    </w:pPr>
    <w:r w:rsidRPr="00FE1EEE">
      <w:rPr>
        <w:color w:val="001B4F" w:themeColor="text1" w:themeShade="80"/>
        <w:sz w:val="16"/>
      </w:rPr>
      <w:t>ESMA74-1103241886-1094</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Koptekst"/>
    </w:pPr>
  </w:p>
  <w:p w14:paraId="76D78551" w14:textId="45227A06" w:rsidR="00AD0B10" w:rsidRDefault="00AD0B10" w:rsidP="00AD0B10">
    <w:pPr>
      <w:pStyle w:val="Koptekst"/>
    </w:pPr>
  </w:p>
  <w:p w14:paraId="56B00CEC" w14:textId="77777777" w:rsidR="00AD0B10" w:rsidRPr="0043139E" w:rsidRDefault="00AD0B10" w:rsidP="00AD0B10">
    <w:pPr>
      <w:pStyle w:val="Koptekst"/>
    </w:pPr>
  </w:p>
  <w:p w14:paraId="68227DE6" w14:textId="77777777" w:rsidR="00AD0B10" w:rsidRPr="0043139E" w:rsidRDefault="00AD0B10" w:rsidP="00AD0B10">
    <w:pPr>
      <w:pStyle w:val="Koptekst"/>
    </w:pPr>
  </w:p>
  <w:p w14:paraId="0E44DBD1" w14:textId="77777777" w:rsidR="00AD0B10" w:rsidRPr="0043139E" w:rsidRDefault="00AD0B10" w:rsidP="00AD0B10">
    <w:pPr>
      <w:pStyle w:val="Koptekst"/>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tekst"/>
    </w:pPr>
  </w:p>
  <w:p w14:paraId="706EF268" w14:textId="77777777" w:rsidR="00AD0B10" w:rsidRPr="0043139E" w:rsidRDefault="00AD0B10" w:rsidP="00AD0B10">
    <w:pPr>
      <w:pStyle w:val="Koptekst"/>
    </w:pPr>
  </w:p>
  <w:p w14:paraId="6B568202" w14:textId="77777777" w:rsidR="00AD0B10" w:rsidRPr="0043139E" w:rsidRDefault="00AD0B10" w:rsidP="00AD0B10">
    <w:pPr>
      <w:pStyle w:val="Koptekst"/>
    </w:pPr>
  </w:p>
  <w:p w14:paraId="70C66BCD" w14:textId="77777777" w:rsidR="00AD0B10" w:rsidRPr="0043139E" w:rsidRDefault="00AD0B10" w:rsidP="00AD0B10">
    <w:pPr>
      <w:pStyle w:val="Koptekst"/>
    </w:pPr>
  </w:p>
  <w:p w14:paraId="07229907" w14:textId="77777777" w:rsidR="00AD0B10" w:rsidRPr="0043139E" w:rsidRDefault="00AD0B10" w:rsidP="00AD0B10">
    <w:pPr>
      <w:pStyle w:val="Koptekst"/>
    </w:pPr>
  </w:p>
  <w:p w14:paraId="55555744" w14:textId="77777777" w:rsidR="00AD0B10" w:rsidRPr="0043139E" w:rsidRDefault="00AD0B10" w:rsidP="00AD0B10">
    <w:pPr>
      <w:pStyle w:val="Koptekst"/>
    </w:pPr>
  </w:p>
  <w:p w14:paraId="4601AE9C" w14:textId="77777777" w:rsidR="00AD0B10" w:rsidRDefault="00AD0B10" w:rsidP="00AD0B10">
    <w:pPr>
      <w:pStyle w:val="Koptekst"/>
    </w:pPr>
  </w:p>
  <w:p w14:paraId="49946785" w14:textId="77777777" w:rsidR="00AD0B10" w:rsidRPr="0043139E" w:rsidRDefault="00AD0B10" w:rsidP="00AD0B10">
    <w:pPr>
      <w:pStyle w:val="Koptekst"/>
    </w:pPr>
  </w:p>
  <w:p w14:paraId="72BAD19F" w14:textId="77777777" w:rsidR="008858FE" w:rsidRPr="00AD0B10" w:rsidRDefault="008858FE" w:rsidP="00AD0B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5A28"/>
    <w:multiLevelType w:val="hybridMultilevel"/>
    <w:tmpl w:val="0A48C9D6"/>
    <w:lvl w:ilvl="0" w:tplc="20000017">
      <w:start w:val="1"/>
      <w:numFmt w:val="lowerLetter"/>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Kop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jstalinea"/>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Kop1"/>
      <w:lvlText w:val="%1"/>
      <w:lvlJc w:val="left"/>
      <w:pPr>
        <w:ind w:left="4686" w:hanging="432"/>
      </w:pPr>
    </w:lvl>
    <w:lvl w:ilvl="1">
      <w:start w:val="1"/>
      <w:numFmt w:val="decimal"/>
      <w:pStyle w:val="Kop2"/>
      <w:lvlText w:val="%1.%2"/>
      <w:lvlJc w:val="left"/>
      <w:pPr>
        <w:ind w:left="8230"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5"/>
  </w:num>
  <w:num w:numId="3" w16cid:durableId="1675497260">
    <w:abstractNumId w:val="10"/>
  </w:num>
  <w:num w:numId="4" w16cid:durableId="1146706333">
    <w:abstractNumId w:val="4"/>
  </w:num>
  <w:num w:numId="5" w16cid:durableId="1502348752">
    <w:abstractNumId w:val="0"/>
  </w:num>
  <w:num w:numId="6" w16cid:durableId="1544101585">
    <w:abstractNumId w:val="6"/>
  </w:num>
  <w:num w:numId="7" w16cid:durableId="896626050">
    <w:abstractNumId w:val="13"/>
  </w:num>
  <w:num w:numId="8" w16cid:durableId="806780153">
    <w:abstractNumId w:val="3"/>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2"/>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500391137">
    <w:abstractNumId w:val="1"/>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cRfWmmhDFzZuQSr+F1yYKtrrkDYH3frg/nAtH85GTKPjdPLC0mMUB5a2n3icLyTTH+B7RvNrSe0i8imRgOAw==" w:salt="eVOWG2ihBKrp8KVEFnbzk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6ECD"/>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3CF2"/>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9DB"/>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D51"/>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6EE"/>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3D3"/>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8BF"/>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90"/>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02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2FD6"/>
    <w:pPr>
      <w:spacing w:after="250" w:line="276" w:lineRule="auto"/>
      <w:jc w:val="both"/>
    </w:pPr>
    <w:rPr>
      <w:color w:val="181818" w:themeColor="background1" w:themeShade="1A"/>
      <w:sz w:val="22"/>
      <w:lang w:val="en-GB"/>
    </w:rPr>
  </w:style>
  <w:style w:type="paragraph" w:styleId="Kop1">
    <w:name w:val="heading 1"/>
    <w:basedOn w:val="Standaard"/>
    <w:next w:val="Standaard"/>
    <w:link w:val="Kop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Kop2">
    <w:name w:val="heading 2"/>
    <w:basedOn w:val="Standaard"/>
    <w:next w:val="Standaard"/>
    <w:link w:val="Kop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Kop3">
    <w:name w:val="heading 3"/>
    <w:basedOn w:val="Standaard"/>
    <w:next w:val="Standaard"/>
    <w:link w:val="Kop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Kop4">
    <w:name w:val="heading 4"/>
    <w:basedOn w:val="Standaard"/>
    <w:next w:val="Standaard"/>
    <w:link w:val="Kop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Kop5">
    <w:name w:val="heading 5"/>
    <w:basedOn w:val="Standaard"/>
    <w:next w:val="Standaard"/>
    <w:link w:val="Kop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Kop6">
    <w:name w:val="heading 6"/>
    <w:basedOn w:val="Standaard"/>
    <w:next w:val="Standaard"/>
    <w:link w:val="Kop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Kop7">
    <w:name w:val="heading 7"/>
    <w:basedOn w:val="Standaard"/>
    <w:next w:val="Standaard"/>
    <w:link w:val="Kop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Kop8">
    <w:name w:val="heading 8"/>
    <w:basedOn w:val="Standaard"/>
    <w:next w:val="Standaard"/>
    <w:link w:val="Kop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Kop9">
    <w:name w:val="heading 9"/>
    <w:basedOn w:val="Standaard"/>
    <w:next w:val="Standaard"/>
    <w:link w:val="Kop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B6B12"/>
    <w:pPr>
      <w:spacing w:after="0" w:line="240" w:lineRule="auto"/>
    </w:pPr>
    <w:rPr>
      <w:lang w:val="en-GB"/>
    </w:rPr>
  </w:style>
  <w:style w:type="character" w:customStyle="1" w:styleId="Kop4Char">
    <w:name w:val="Kop 4 Char"/>
    <w:basedOn w:val="Standaardalinea-lettertype"/>
    <w:link w:val="Kop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Kop3Char">
    <w:name w:val="Kop 3 Char"/>
    <w:basedOn w:val="Standaardalinea-lettertype"/>
    <w:link w:val="Kop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Kop1Char">
    <w:name w:val="Kop 1 Char"/>
    <w:basedOn w:val="Standaardalinea-lettertype"/>
    <w:link w:val="Kop1"/>
    <w:uiPriority w:val="9"/>
    <w:rsid w:val="0082744A"/>
    <w:rPr>
      <w:rFonts w:asciiTheme="majorHAnsi" w:eastAsiaTheme="majorEastAsia" w:hAnsiTheme="majorHAnsi" w:cstheme="majorBidi"/>
      <w:b/>
      <w:color w:val="00379F" w:themeColor="text1"/>
      <w:sz w:val="32"/>
      <w:szCs w:val="32"/>
      <w:lang w:val="en-GB"/>
    </w:rPr>
  </w:style>
  <w:style w:type="character" w:customStyle="1" w:styleId="Kop2Char">
    <w:name w:val="Kop 2 Char"/>
    <w:basedOn w:val="Standaardalinea-lettertype"/>
    <w:link w:val="Kop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ard"/>
    <w:link w:val="Subtitle1Char"/>
    <w:autoRedefine/>
    <w:rsid w:val="003C4EB5"/>
    <w:pPr>
      <w:tabs>
        <w:tab w:val="left" w:pos="414"/>
      </w:tabs>
    </w:pPr>
    <w:rPr>
      <w:b/>
    </w:rPr>
  </w:style>
  <w:style w:type="character" w:customStyle="1" w:styleId="Subtitle1Char">
    <w:name w:val="Subtitle1 Char"/>
    <w:basedOn w:val="Standaardalinea-lettertype"/>
    <w:link w:val="Subtitle1"/>
    <w:rsid w:val="003C4EB5"/>
    <w:rPr>
      <w:rFonts w:cs="Times New Roman"/>
      <w:b/>
      <w:sz w:val="20"/>
      <w:szCs w:val="24"/>
      <w:lang w:val="en-GB" w:eastAsia="de-DE"/>
    </w:rPr>
  </w:style>
  <w:style w:type="paragraph" w:customStyle="1" w:styleId="Title1">
    <w:name w:val="Title 1"/>
    <w:basedOn w:val="Lijstalinea"/>
    <w:link w:val="Title1Char"/>
    <w:qFormat/>
    <w:rsid w:val="00F205B9"/>
    <w:pPr>
      <w:numPr>
        <w:numId w:val="0"/>
      </w:numPr>
      <w:ind w:left="792" w:hanging="432"/>
    </w:pPr>
    <w:rPr>
      <w:b/>
      <w:color w:val="00379F" w:themeColor="text1"/>
      <w:sz w:val="28"/>
    </w:rPr>
  </w:style>
  <w:style w:type="character" w:customStyle="1" w:styleId="Title1Char">
    <w:name w:val="Title 1 Char"/>
    <w:basedOn w:val="Standaardalinea-lettertype"/>
    <w:link w:val="Title1"/>
    <w:rsid w:val="00F205B9"/>
    <w:rPr>
      <w:rFonts w:asciiTheme="majorHAnsi" w:hAnsiTheme="majorHAnsi" w:cstheme="majorHAnsi"/>
      <w:b/>
      <w:color w:val="00379F" w:themeColor="text1"/>
      <w:sz w:val="28"/>
      <w:szCs w:val="22"/>
      <w:lang w:val="pt-PT"/>
    </w:rPr>
  </w:style>
  <w:style w:type="paragraph" w:styleId="Lijstalinea">
    <w:name w:val="List Paragraph"/>
    <w:aliases w:val="Paragraphe EI,Paragraphe de liste1,EC"/>
    <w:basedOn w:val="Standaard"/>
    <w:link w:val="Lijstalinea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jstalinea"/>
    <w:link w:val="Title3Char"/>
    <w:autoRedefine/>
    <w:rsid w:val="00F205B9"/>
    <w:pPr>
      <w:numPr>
        <w:ilvl w:val="3"/>
        <w:numId w:val="4"/>
      </w:numPr>
    </w:pPr>
  </w:style>
  <w:style w:type="character" w:customStyle="1" w:styleId="Title3Char">
    <w:name w:val="Title 3 Char"/>
    <w:basedOn w:val="Standaardalinea-lettertype"/>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ardalinea-lettertype"/>
    <w:link w:val="DocumentTitle"/>
    <w:rsid w:val="00563C1F"/>
    <w:rPr>
      <w:rFonts w:asciiTheme="majorHAnsi" w:hAnsiTheme="majorHAnsi"/>
      <w:b/>
      <w:color w:val="2D4190"/>
      <w:sz w:val="48"/>
      <w:lang w:val="en-GB"/>
    </w:rPr>
  </w:style>
  <w:style w:type="paragraph" w:customStyle="1" w:styleId="DocumentSubtitle">
    <w:name w:val="Document Subtitle"/>
    <w:basedOn w:val="Standa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ardalinea-lettertype"/>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ardalinea-lettertype"/>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ardalinea-lettertype"/>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ardalinea-lettertype"/>
    <w:link w:val="Introductionheading"/>
    <w:rsid w:val="00044C5A"/>
    <w:rPr>
      <w:rFonts w:ascii="Arial" w:eastAsia="Times New Roman" w:hAnsi="Arial" w:cs="Times New Roman"/>
      <w:b/>
      <w:sz w:val="28"/>
      <w:szCs w:val="24"/>
      <w:lang w:val="en-GB" w:eastAsia="de-DE"/>
    </w:rPr>
  </w:style>
  <w:style w:type="character" w:customStyle="1" w:styleId="Kop5Char">
    <w:name w:val="Kop 5 Char"/>
    <w:basedOn w:val="Standaardalinea-lettertype"/>
    <w:link w:val="Kop5"/>
    <w:uiPriority w:val="9"/>
    <w:rsid w:val="007E7997"/>
    <w:rPr>
      <w:rFonts w:asciiTheme="majorHAnsi" w:eastAsiaTheme="majorEastAsia" w:hAnsiTheme="majorHAnsi" w:cstheme="majorBidi"/>
      <w:color w:val="181818" w:themeColor="background1" w:themeShade="1A"/>
      <w:sz w:val="22"/>
      <w:szCs w:val="22"/>
      <w:lang w:val="en-GB"/>
    </w:rPr>
  </w:style>
  <w:style w:type="paragraph" w:styleId="Plattetekst">
    <w:name w:val="Body Text"/>
    <w:basedOn w:val="Standaard"/>
    <w:link w:val="PlattetekstChar"/>
    <w:uiPriority w:val="99"/>
    <w:semiHidden/>
    <w:unhideWhenUsed/>
    <w:rsid w:val="00044C5A"/>
  </w:style>
  <w:style w:type="character" w:customStyle="1" w:styleId="PlattetekstChar">
    <w:name w:val="Platte tekst Char"/>
    <w:basedOn w:val="Standaardalinea-lettertype"/>
    <w:link w:val="Plattetekst"/>
    <w:uiPriority w:val="99"/>
    <w:semiHidden/>
    <w:rsid w:val="00044C5A"/>
    <w:rPr>
      <w:rFonts w:ascii="Arial" w:eastAsiaTheme="minorEastAsia" w:hAnsi="Arial"/>
    </w:rPr>
  </w:style>
  <w:style w:type="paragraph" w:styleId="Platteteksteersteinspringing">
    <w:name w:val="Body Text First Indent"/>
    <w:basedOn w:val="Plattetekst"/>
    <w:link w:val="PlatteteksteersteinspringingChar"/>
    <w:uiPriority w:val="99"/>
    <w:semiHidden/>
    <w:unhideWhenUsed/>
    <w:rsid w:val="00044C5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4C5A"/>
    <w:rPr>
      <w:rFonts w:ascii="Arial" w:eastAsiaTheme="minorEastAsia" w:hAnsi="Arial"/>
    </w:rPr>
  </w:style>
  <w:style w:type="character" w:customStyle="1" w:styleId="Kop6Char">
    <w:name w:val="Kop 6 Char"/>
    <w:basedOn w:val="Standaardalinea-lettertype"/>
    <w:link w:val="Kop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ard"/>
    <w:next w:val="Standaard"/>
    <w:link w:val="Titel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Char">
    <w:name w:val="Titel Char"/>
    <w:basedOn w:val="Standaardalinea-lettertype"/>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Ondertitel">
    <w:name w:val="Subtitle"/>
    <w:basedOn w:val="Standaard"/>
    <w:next w:val="Standaard"/>
    <w:link w:val="Ondertitel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OndertitelChar">
    <w:name w:val="Ondertitel Char"/>
    <w:basedOn w:val="Standaardalinea-lettertype"/>
    <w:link w:val="Ondertitel"/>
    <w:uiPriority w:val="11"/>
    <w:rsid w:val="0082744A"/>
    <w:rPr>
      <w:rFonts w:asciiTheme="majorHAnsi" w:eastAsiaTheme="majorEastAsia" w:hAnsiTheme="majorHAnsi" w:cstheme="majorBidi"/>
      <w:sz w:val="28"/>
      <w:szCs w:val="24"/>
      <w:lang w:val="en-GB"/>
    </w:rPr>
  </w:style>
  <w:style w:type="character" w:customStyle="1" w:styleId="Kop7Char">
    <w:name w:val="Kop 7 Char"/>
    <w:basedOn w:val="Standaardalinea-lettertype"/>
    <w:link w:val="Kop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Kop8Char">
    <w:name w:val="Kop 8 Char"/>
    <w:basedOn w:val="Standaardalinea-lettertype"/>
    <w:link w:val="Kop8"/>
    <w:uiPriority w:val="9"/>
    <w:semiHidden/>
    <w:rsid w:val="00AA054E"/>
    <w:rPr>
      <w:rFonts w:asciiTheme="majorHAnsi" w:eastAsiaTheme="majorEastAsia" w:hAnsiTheme="majorHAnsi" w:cstheme="majorBidi"/>
      <w:b/>
      <w:bCs/>
      <w:color w:val="007EFF" w:themeColor="text2"/>
      <w:sz w:val="22"/>
      <w:lang w:val="en-GB"/>
    </w:rPr>
  </w:style>
  <w:style w:type="character" w:customStyle="1" w:styleId="Kop9Char">
    <w:name w:val="Kop 9 Char"/>
    <w:basedOn w:val="Standaardalinea-lettertype"/>
    <w:link w:val="Kop9"/>
    <w:uiPriority w:val="9"/>
    <w:semiHidden/>
    <w:rsid w:val="00AA054E"/>
    <w:rPr>
      <w:rFonts w:asciiTheme="majorHAnsi" w:eastAsiaTheme="majorEastAsia" w:hAnsiTheme="majorHAnsi" w:cstheme="majorBidi"/>
      <w:b/>
      <w:bCs/>
      <w:i/>
      <w:iCs/>
      <w:color w:val="007EFF" w:themeColor="text2"/>
      <w:sz w:val="22"/>
      <w:lang w:val="en-GB"/>
    </w:rPr>
  </w:style>
  <w:style w:type="paragraph" w:styleId="Bijschrift">
    <w:name w:val="caption"/>
    <w:basedOn w:val="Standaard"/>
    <w:next w:val="Standaard"/>
    <w:uiPriority w:val="35"/>
    <w:semiHidden/>
    <w:unhideWhenUsed/>
    <w:qFormat/>
    <w:rsid w:val="00AA054E"/>
    <w:pPr>
      <w:spacing w:line="240" w:lineRule="auto"/>
    </w:pPr>
    <w:rPr>
      <w:b/>
      <w:bCs/>
      <w:smallCaps/>
      <w:color w:val="1A69FF" w:themeColor="text1" w:themeTint="A6"/>
      <w:spacing w:val="6"/>
    </w:rPr>
  </w:style>
  <w:style w:type="character" w:styleId="Zwaar">
    <w:name w:val="Strong"/>
    <w:basedOn w:val="Standaardalinea-lettertype"/>
    <w:uiPriority w:val="22"/>
    <w:qFormat/>
    <w:rsid w:val="00AA054E"/>
    <w:rPr>
      <w:b/>
      <w:bCs/>
    </w:rPr>
  </w:style>
  <w:style w:type="character" w:styleId="Nadruk">
    <w:name w:val="Emphasis"/>
    <w:basedOn w:val="Standaardalinea-lettertype"/>
    <w:uiPriority w:val="20"/>
    <w:qFormat/>
    <w:rsid w:val="00AA054E"/>
    <w:rPr>
      <w:i/>
      <w:iCs/>
    </w:rPr>
  </w:style>
  <w:style w:type="paragraph" w:styleId="Citaat">
    <w:name w:val="Quote"/>
    <w:basedOn w:val="Standaard"/>
    <w:next w:val="Standaard"/>
    <w:link w:val="CitaatChar"/>
    <w:uiPriority w:val="29"/>
    <w:qFormat/>
    <w:rsid w:val="00AA054E"/>
    <w:pPr>
      <w:spacing w:before="160"/>
      <w:ind w:left="720" w:right="720"/>
    </w:pPr>
    <w:rPr>
      <w:i/>
      <w:iCs/>
      <w:color w:val="0055F7" w:themeColor="text1" w:themeTint="BF"/>
    </w:rPr>
  </w:style>
  <w:style w:type="character" w:customStyle="1" w:styleId="CitaatChar">
    <w:name w:val="Citaat Char"/>
    <w:basedOn w:val="Standaardalinea-lettertype"/>
    <w:link w:val="Citaat"/>
    <w:uiPriority w:val="29"/>
    <w:rsid w:val="00AA054E"/>
    <w:rPr>
      <w:i/>
      <w:iCs/>
      <w:color w:val="0055F7" w:themeColor="text1" w:themeTint="BF"/>
    </w:rPr>
  </w:style>
  <w:style w:type="paragraph" w:styleId="Duidelijkcitaat">
    <w:name w:val="Intense Quote"/>
    <w:basedOn w:val="Standaard"/>
    <w:next w:val="Standaard"/>
    <w:link w:val="Duidelijkcitaat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DuidelijkcitaatChar">
    <w:name w:val="Duidelijk citaat Char"/>
    <w:basedOn w:val="Standaardalinea-lettertype"/>
    <w:link w:val="Duidelijkcitaat"/>
    <w:uiPriority w:val="30"/>
    <w:rsid w:val="00AA054E"/>
    <w:rPr>
      <w:rFonts w:asciiTheme="majorHAnsi" w:eastAsiaTheme="majorEastAsia" w:hAnsiTheme="majorHAnsi" w:cstheme="majorBidi"/>
      <w:color w:val="34009F" w:themeColor="accent1"/>
      <w:sz w:val="28"/>
      <w:szCs w:val="28"/>
    </w:rPr>
  </w:style>
  <w:style w:type="character" w:styleId="Subtielebenadrukking">
    <w:name w:val="Subtle Emphasis"/>
    <w:basedOn w:val="Standaardalinea-lettertype"/>
    <w:uiPriority w:val="19"/>
    <w:qFormat/>
    <w:rsid w:val="00AA054E"/>
    <w:rPr>
      <w:i/>
      <w:iCs/>
      <w:color w:val="0055F7" w:themeColor="text1" w:themeTint="BF"/>
    </w:rPr>
  </w:style>
  <w:style w:type="character" w:styleId="Intensievebenadrukking">
    <w:name w:val="Intense Emphasis"/>
    <w:basedOn w:val="Standaardalinea-lettertype"/>
    <w:uiPriority w:val="21"/>
    <w:qFormat/>
    <w:rsid w:val="00AA054E"/>
    <w:rPr>
      <w:b/>
      <w:bCs/>
      <w:i/>
      <w:iCs/>
    </w:rPr>
  </w:style>
  <w:style w:type="character" w:styleId="Subtieleverwijzing">
    <w:name w:val="Subtle Reference"/>
    <w:basedOn w:val="Standaardalinea-lettertype"/>
    <w:uiPriority w:val="31"/>
    <w:qFormat/>
    <w:rsid w:val="00AA054E"/>
    <w:rPr>
      <w:smallCaps/>
      <w:color w:val="0055F7" w:themeColor="text1" w:themeTint="BF"/>
      <w:u w:val="single" w:color="4E8BFF" w:themeColor="text1" w:themeTint="80"/>
    </w:rPr>
  </w:style>
  <w:style w:type="character" w:styleId="Intensieveverwijzing">
    <w:name w:val="Intense Reference"/>
    <w:basedOn w:val="Standaardalinea-lettertype"/>
    <w:uiPriority w:val="32"/>
    <w:qFormat/>
    <w:rsid w:val="00AA054E"/>
    <w:rPr>
      <w:b/>
      <w:bCs/>
      <w:smallCaps/>
      <w:spacing w:val="5"/>
      <w:u w:val="single"/>
    </w:rPr>
  </w:style>
  <w:style w:type="character" w:styleId="Titelvanboek">
    <w:name w:val="Book Title"/>
    <w:basedOn w:val="Standaardalinea-lettertype"/>
    <w:uiPriority w:val="33"/>
    <w:qFormat/>
    <w:rsid w:val="00AA054E"/>
    <w:rPr>
      <w:b/>
      <w:bCs/>
      <w:smallCaps/>
    </w:rPr>
  </w:style>
  <w:style w:type="paragraph" w:styleId="Kopvaninhoudsopgave">
    <w:name w:val="TOC Heading"/>
    <w:basedOn w:val="Kop1"/>
    <w:next w:val="Standaard"/>
    <w:uiPriority w:val="39"/>
    <w:unhideWhenUsed/>
    <w:qFormat/>
    <w:rsid w:val="00F205B9"/>
    <w:pPr>
      <w:numPr>
        <w:numId w:val="0"/>
      </w:numPr>
      <w:outlineLvl w:val="9"/>
    </w:pPr>
  </w:style>
  <w:style w:type="character" w:customStyle="1" w:styleId="GeenafstandChar">
    <w:name w:val="Geen afstand Char"/>
    <w:basedOn w:val="Standaardalinea-lettertype"/>
    <w:link w:val="Geenafstand"/>
    <w:uiPriority w:val="1"/>
    <w:rsid w:val="005B6B12"/>
    <w:rPr>
      <w:lang w:val="en-GB"/>
    </w:rPr>
  </w:style>
  <w:style w:type="paragraph" w:styleId="Koptekst">
    <w:name w:val="header"/>
    <w:basedOn w:val="Standaard"/>
    <w:link w:val="Koptekst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tekstChar">
    <w:name w:val="Koptekst Char"/>
    <w:basedOn w:val="Standaardalinea-lettertype"/>
    <w:link w:val="Koptekst"/>
    <w:rsid w:val="00AF6B1E"/>
    <w:rPr>
      <w:color w:val="001B4F" w:themeColor="text1" w:themeShade="80"/>
      <w:sz w:val="16"/>
      <w:lang w:val="en-GB"/>
    </w:rPr>
  </w:style>
  <w:style w:type="paragraph" w:styleId="Voettekst">
    <w:name w:val="footer"/>
    <w:basedOn w:val="Standaard"/>
    <w:link w:val="Voettekst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VoettekstChar">
    <w:name w:val="Voettekst Char"/>
    <w:basedOn w:val="Standaardalinea-lettertype"/>
    <w:link w:val="Voettekst"/>
    <w:uiPriority w:val="99"/>
    <w:rsid w:val="004E5FF8"/>
    <w:rPr>
      <w:color w:val="001B4F" w:themeColor="text1" w:themeShade="80"/>
      <w:sz w:val="16"/>
      <w:lang w:val="en-GB"/>
    </w:rPr>
  </w:style>
  <w:style w:type="paragraph" w:customStyle="1" w:styleId="00aPagenumber">
    <w:name w:val="00a_Page number"/>
    <w:basedOn w:val="Standa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Inhopg1">
    <w:name w:val="toc 1"/>
    <w:basedOn w:val="Standaard"/>
    <w:next w:val="Standaard"/>
    <w:uiPriority w:val="39"/>
    <w:unhideWhenUsed/>
    <w:qFormat/>
    <w:rsid w:val="00F205B9"/>
    <w:pPr>
      <w:framePr w:hSpace="180" w:wrap="around" w:vAnchor="text" w:hAnchor="margin" w:y="115"/>
      <w:tabs>
        <w:tab w:val="left" w:pos="440"/>
        <w:tab w:val="right" w:leader="dot" w:pos="9062"/>
      </w:tabs>
      <w:spacing w:after="100"/>
    </w:pPr>
  </w:style>
  <w:style w:type="paragraph" w:styleId="Inhopg2">
    <w:name w:val="toc 2"/>
    <w:basedOn w:val="Inhopg1"/>
    <w:next w:val="Standaard"/>
    <w:uiPriority w:val="39"/>
    <w:unhideWhenUsed/>
    <w:qFormat/>
    <w:rsid w:val="00F205B9"/>
    <w:pPr>
      <w:framePr w:wrap="around"/>
      <w:tabs>
        <w:tab w:val="right" w:leader="dot" w:pos="440"/>
      </w:tabs>
      <w:ind w:left="220"/>
    </w:pPr>
  </w:style>
  <w:style w:type="paragraph" w:styleId="Inhopg3">
    <w:name w:val="toc 3"/>
    <w:basedOn w:val="Inhopg1"/>
    <w:next w:val="Standaard"/>
    <w:uiPriority w:val="39"/>
    <w:unhideWhenUsed/>
    <w:qFormat/>
    <w:rsid w:val="00AD0B10"/>
    <w:pPr>
      <w:framePr w:wrap="around"/>
      <w:ind w:left="442"/>
    </w:pPr>
  </w:style>
  <w:style w:type="character" w:styleId="Hyperlink">
    <w:name w:val="Hyperlink"/>
    <w:basedOn w:val="Standaardalinea-lettertype"/>
    <w:uiPriority w:val="99"/>
    <w:unhideWhenUsed/>
    <w:qFormat/>
    <w:rsid w:val="000C1E78"/>
    <w:rPr>
      <w:color w:val="005EBF" w:themeColor="text2" w:themeShade="BF"/>
      <w:u w:val="single"/>
    </w:rPr>
  </w:style>
  <w:style w:type="paragraph" w:customStyle="1" w:styleId="Questionstyle">
    <w:name w:val="Question style"/>
    <w:basedOn w:val="Standaard"/>
    <w:next w:val="Standaard"/>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ardalinea-lettertype"/>
    <w:link w:val="Questionstyle"/>
    <w:rsid w:val="00C5469A"/>
    <w:rPr>
      <w:b/>
      <w:color w:val="181818" w:themeColor="background1" w:themeShade="1A"/>
      <w:sz w:val="22"/>
      <w:lang w:val="en-GB"/>
    </w:rPr>
  </w:style>
  <w:style w:type="paragraph" w:customStyle="1" w:styleId="Listing2">
    <w:name w:val="Listing2"/>
    <w:basedOn w:val="Standaard"/>
    <w:link w:val="Listing2Char"/>
    <w:autoRedefine/>
    <w:rsid w:val="00DF3785"/>
  </w:style>
  <w:style w:type="character" w:customStyle="1" w:styleId="Listing2Char">
    <w:name w:val="Listing2 Char"/>
    <w:basedOn w:val="Standaardalinea-lettertype"/>
    <w:link w:val="Listing2"/>
    <w:rsid w:val="00DF3785"/>
    <w:rPr>
      <w:lang w:val="en-GB"/>
    </w:rPr>
  </w:style>
  <w:style w:type="table" w:styleId="Tabelraster">
    <w:name w:val="Table Grid"/>
    <w:basedOn w:val="Standaardtabe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B50534"/>
    <w:pPr>
      <w:spacing w:after="0" w:line="240" w:lineRule="auto"/>
    </w:pPr>
  </w:style>
  <w:style w:type="character" w:customStyle="1" w:styleId="EindnoottekstChar">
    <w:name w:val="Eindnoottekst Char"/>
    <w:basedOn w:val="Standaardalinea-lettertype"/>
    <w:link w:val="Eindnoottekst"/>
    <w:uiPriority w:val="99"/>
    <w:semiHidden/>
    <w:rsid w:val="00B50534"/>
    <w:rPr>
      <w:lang w:val="en-GB"/>
    </w:rPr>
  </w:style>
  <w:style w:type="character" w:styleId="Eindnootmarkering">
    <w:name w:val="endnote reference"/>
    <w:basedOn w:val="Standaardalinea-lettertype"/>
    <w:uiPriority w:val="99"/>
    <w:semiHidden/>
    <w:unhideWhenUsed/>
    <w:rsid w:val="00B50534"/>
    <w:rPr>
      <w:vertAlign w:val="superscript"/>
    </w:rPr>
  </w:style>
  <w:style w:type="paragraph" w:styleId="Voetnoottekst">
    <w:name w:val="footnote text"/>
    <w:basedOn w:val="Standaard"/>
    <w:link w:val="VoetnoottekstChar"/>
    <w:autoRedefine/>
    <w:uiPriority w:val="99"/>
    <w:unhideWhenUsed/>
    <w:qFormat/>
    <w:rsid w:val="007A1A9D"/>
    <w:pPr>
      <w:spacing w:after="0" w:line="240" w:lineRule="auto"/>
    </w:pPr>
    <w:rPr>
      <w:sz w:val="16"/>
    </w:rPr>
  </w:style>
  <w:style w:type="character" w:customStyle="1" w:styleId="VoetnoottekstChar">
    <w:name w:val="Voetnoottekst Char"/>
    <w:basedOn w:val="Standaardalinea-lettertype"/>
    <w:link w:val="Voetnoottekst"/>
    <w:uiPriority w:val="99"/>
    <w:rsid w:val="007A1A9D"/>
    <w:rPr>
      <w:color w:val="181818" w:themeColor="background1" w:themeShade="1A"/>
      <w:sz w:val="16"/>
      <w:lang w:val="en-GB"/>
    </w:rPr>
  </w:style>
  <w:style w:type="character" w:styleId="Voetnootmarkering">
    <w:name w:val="footnote reference"/>
    <w:basedOn w:val="Standaardalinea-lettertype"/>
    <w:uiPriority w:val="99"/>
    <w:semiHidden/>
    <w:unhideWhenUsed/>
    <w:qFormat/>
    <w:rsid w:val="00A91D91"/>
    <w:rPr>
      <w:rFonts w:asciiTheme="majorHAnsi" w:hAnsiTheme="majorHAnsi"/>
      <w:sz w:val="16"/>
      <w:vertAlign w:val="superscript"/>
    </w:rPr>
  </w:style>
  <w:style w:type="paragraph" w:customStyle="1" w:styleId="Footnote">
    <w:name w:val="Footnote"/>
    <w:basedOn w:val="Voetnoottekst"/>
    <w:link w:val="FootnoteChar"/>
    <w:qFormat/>
    <w:rsid w:val="00672C04"/>
    <w:pPr>
      <w:ind w:left="454" w:hanging="454"/>
    </w:pPr>
    <w:rPr>
      <w:lang w:val="nl-BE"/>
    </w:rPr>
  </w:style>
  <w:style w:type="character" w:customStyle="1" w:styleId="FootnoteChar">
    <w:name w:val="Footnote Char"/>
    <w:basedOn w:val="VoetnoottekstChar"/>
    <w:link w:val="Footnote"/>
    <w:rsid w:val="00672C04"/>
    <w:rPr>
      <w:color w:val="181818" w:themeColor="background1" w:themeShade="1A"/>
      <w:sz w:val="16"/>
      <w:lang w:val="en-GB"/>
    </w:rPr>
  </w:style>
  <w:style w:type="table" w:customStyle="1" w:styleId="GridTable4-Accent11">
    <w:name w:val="Grid Table 4 - Accent 11"/>
    <w:basedOn w:val="Standaardtabe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ntekst">
    <w:name w:val="Balloon Text"/>
    <w:basedOn w:val="Standaard"/>
    <w:link w:val="BallontekstChar"/>
    <w:uiPriority w:val="99"/>
    <w:semiHidden/>
    <w:unhideWhenUsed/>
    <w:rsid w:val="007151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51BF"/>
    <w:rPr>
      <w:rFonts w:ascii="Tahoma" w:hAnsi="Tahoma" w:cs="Tahoma"/>
      <w:sz w:val="16"/>
      <w:szCs w:val="16"/>
      <w:lang w:val="en-GB"/>
    </w:rPr>
  </w:style>
  <w:style w:type="paragraph" w:styleId="Inhopg4">
    <w:name w:val="toc 4"/>
    <w:basedOn w:val="Inhopg1"/>
    <w:next w:val="Standaard"/>
    <w:uiPriority w:val="39"/>
    <w:unhideWhenUsed/>
    <w:qFormat/>
    <w:rsid w:val="00F205B9"/>
    <w:pPr>
      <w:framePr w:wrap="around"/>
      <w:ind w:left="660"/>
    </w:pPr>
  </w:style>
  <w:style w:type="character" w:styleId="Verwijzingopmerking">
    <w:name w:val="annotation reference"/>
    <w:basedOn w:val="Standaardalinea-lettertype"/>
    <w:uiPriority w:val="99"/>
    <w:semiHidden/>
    <w:unhideWhenUsed/>
    <w:rsid w:val="00D33C31"/>
    <w:rPr>
      <w:sz w:val="16"/>
      <w:szCs w:val="16"/>
    </w:rPr>
  </w:style>
  <w:style w:type="paragraph" w:styleId="Tekstopmerking">
    <w:name w:val="annotation text"/>
    <w:basedOn w:val="Standaard"/>
    <w:link w:val="TekstopmerkingChar"/>
    <w:uiPriority w:val="99"/>
    <w:unhideWhenUsed/>
    <w:rsid w:val="00D33C31"/>
    <w:pPr>
      <w:spacing w:line="240" w:lineRule="auto"/>
    </w:pPr>
    <w:rPr>
      <w:sz w:val="20"/>
    </w:rPr>
  </w:style>
  <w:style w:type="character" w:customStyle="1" w:styleId="TekstopmerkingChar">
    <w:name w:val="Tekst opmerking Char"/>
    <w:basedOn w:val="Standaardalinea-lettertype"/>
    <w:link w:val="Tekstopmerking"/>
    <w:uiPriority w:val="99"/>
    <w:rsid w:val="00D33C31"/>
    <w:rPr>
      <w:lang w:val="en-GB"/>
    </w:rPr>
  </w:style>
  <w:style w:type="paragraph" w:styleId="Onderwerpvanopmerking">
    <w:name w:val="annotation subject"/>
    <w:basedOn w:val="Tekstopmerking"/>
    <w:next w:val="Tekstopmerking"/>
    <w:link w:val="OnderwerpvanopmerkingChar"/>
    <w:uiPriority w:val="99"/>
    <w:semiHidden/>
    <w:unhideWhenUsed/>
    <w:rsid w:val="00D33C31"/>
    <w:rPr>
      <w:b/>
      <w:bCs/>
    </w:rPr>
  </w:style>
  <w:style w:type="character" w:customStyle="1" w:styleId="OnderwerpvanopmerkingChar">
    <w:name w:val="Onderwerp van opmerking Char"/>
    <w:basedOn w:val="TekstopmerkingChar"/>
    <w:link w:val="Onderwerpvanopmerking"/>
    <w:uiPriority w:val="99"/>
    <w:semiHidden/>
    <w:rsid w:val="00D33C31"/>
    <w:rPr>
      <w:b/>
      <w:bCs/>
      <w:lang w:val="en-GB"/>
    </w:rPr>
  </w:style>
  <w:style w:type="character" w:styleId="Onopgelostemelding">
    <w:name w:val="Unresolved Mention"/>
    <w:basedOn w:val="Standaardalinea-lettertype"/>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Zwaar"/>
    <w:uiPriority w:val="1"/>
    <w:qFormat/>
    <w:rsid w:val="008858FE"/>
    <w:rPr>
      <w:b w:val="0"/>
      <w:bCs/>
      <w:caps/>
      <w:smallCaps w:val="0"/>
      <w:color w:val="FF0000" w:themeColor="accent6"/>
      <w:sz w:val="22"/>
    </w:rPr>
  </w:style>
  <w:style w:type="paragraph" w:customStyle="1" w:styleId="Disclaimer">
    <w:name w:val="Disclaimer"/>
    <w:basedOn w:val="Standaard"/>
    <w:qFormat/>
    <w:rsid w:val="00906D18"/>
    <w:rPr>
      <w:i/>
      <w:iCs/>
      <w:sz w:val="18"/>
      <w:szCs w:val="18"/>
    </w:rPr>
  </w:style>
  <w:style w:type="paragraph" w:customStyle="1" w:styleId="ESMAHeader">
    <w:name w:val="ESMA Header"/>
    <w:basedOn w:val="Koptekst"/>
    <w:qFormat/>
    <w:rsid w:val="00AF6B1E"/>
  </w:style>
  <w:style w:type="paragraph" w:customStyle="1" w:styleId="Pageheader">
    <w:name w:val="Page header"/>
    <w:basedOn w:val="Koptekst"/>
    <w:next w:val="Koptekst"/>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ard"/>
    <w:qFormat/>
    <w:rsid w:val="00F205B9"/>
    <w:rPr>
      <w:rFonts w:ascii="Arial" w:eastAsia="Times New Roman" w:hAnsi="Arial" w:cs="Arial"/>
      <w:sz w:val="18"/>
      <w:szCs w:val="18"/>
      <w:lang w:eastAsia="de-DE"/>
    </w:rPr>
  </w:style>
  <w:style w:type="paragraph" w:styleId="Inhopg5">
    <w:name w:val="toc 5"/>
    <w:basedOn w:val="Standaard"/>
    <w:next w:val="Standaard"/>
    <w:uiPriority w:val="39"/>
    <w:semiHidden/>
    <w:unhideWhenUsed/>
    <w:qFormat/>
    <w:rsid w:val="00F205B9"/>
    <w:pPr>
      <w:spacing w:after="100"/>
      <w:ind w:left="880"/>
    </w:pPr>
  </w:style>
  <w:style w:type="paragraph" w:styleId="Inhopg6">
    <w:name w:val="toc 6"/>
    <w:basedOn w:val="Standaard"/>
    <w:next w:val="Standaard"/>
    <w:uiPriority w:val="39"/>
    <w:semiHidden/>
    <w:unhideWhenUsed/>
    <w:qFormat/>
    <w:rsid w:val="00F205B9"/>
    <w:pPr>
      <w:spacing w:after="100"/>
      <w:ind w:left="1100"/>
    </w:pPr>
  </w:style>
  <w:style w:type="paragraph" w:styleId="Inhopg7">
    <w:name w:val="toc 7"/>
    <w:basedOn w:val="Standaard"/>
    <w:next w:val="Standaard"/>
    <w:uiPriority w:val="39"/>
    <w:semiHidden/>
    <w:unhideWhenUsed/>
    <w:qFormat/>
    <w:rsid w:val="00F205B9"/>
    <w:pPr>
      <w:spacing w:after="100"/>
      <w:ind w:left="1320"/>
    </w:pPr>
  </w:style>
  <w:style w:type="paragraph" w:styleId="Inhopg8">
    <w:name w:val="toc 8"/>
    <w:basedOn w:val="Standaard"/>
    <w:next w:val="Standaard"/>
    <w:uiPriority w:val="39"/>
    <w:semiHidden/>
    <w:unhideWhenUsed/>
    <w:qFormat/>
    <w:rsid w:val="00F205B9"/>
    <w:pPr>
      <w:spacing w:after="100"/>
      <w:ind w:left="1540"/>
    </w:pPr>
  </w:style>
  <w:style w:type="paragraph" w:styleId="Inhopg9">
    <w:name w:val="toc 9"/>
    <w:basedOn w:val="Standaard"/>
    <w:next w:val="Standaard"/>
    <w:uiPriority w:val="39"/>
    <w:semiHidden/>
    <w:unhideWhenUsed/>
    <w:qFormat/>
    <w:rsid w:val="00F205B9"/>
    <w:pPr>
      <w:spacing w:after="100"/>
      <w:ind w:left="1760"/>
    </w:pPr>
  </w:style>
  <w:style w:type="character" w:styleId="GevolgdeHyperlink">
    <w:name w:val="FollowedHyperlink"/>
    <w:basedOn w:val="Standaardalinea-lettertype"/>
    <w:uiPriority w:val="99"/>
    <w:semiHidden/>
    <w:unhideWhenUsed/>
    <w:rsid w:val="0043139E"/>
    <w:rPr>
      <w:color w:val="0174AF" w:themeColor="followedHyperlink"/>
      <w:u w:val="single"/>
    </w:rPr>
  </w:style>
  <w:style w:type="character" w:customStyle="1" w:styleId="LijstalineaChar">
    <w:name w:val="Lijstalinea Char"/>
    <w:aliases w:val="Paragraphe EI Char,Paragraphe de liste1 Char,EC Char"/>
    <w:link w:val="Lijstalinea"/>
    <w:uiPriority w:val="34"/>
    <w:locked/>
    <w:rsid w:val="00EC6066"/>
    <w:rPr>
      <w:rFonts w:asciiTheme="majorHAnsi" w:hAnsiTheme="majorHAnsi" w:cstheme="majorHAnsi"/>
      <w:color w:val="181818" w:themeColor="background1" w:themeShade="1A"/>
      <w:sz w:val="22"/>
      <w:szCs w:val="22"/>
      <w:lang w:val="pt-PT"/>
    </w:rPr>
  </w:style>
  <w:style w:type="paragraph" w:styleId="Revisi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ardalinea-lettertype"/>
    <w:rsid w:val="00061F32"/>
    <w:rPr>
      <w:rFonts w:ascii="Segoe UI" w:hAnsi="Segoe UI" w:cs="Segoe UI" w:hint="default"/>
      <w:sz w:val="18"/>
      <w:szCs w:val="18"/>
    </w:rPr>
  </w:style>
  <w:style w:type="character" w:customStyle="1" w:styleId="cf11">
    <w:name w:val="cf11"/>
    <w:basedOn w:val="Standaardalinea-lettertype"/>
    <w:rsid w:val="00061F32"/>
    <w:rPr>
      <w:rFonts w:ascii="Segoe UI" w:hAnsi="Segoe UI" w:cs="Segoe UI" w:hint="default"/>
      <w:color w:val="333333"/>
      <w:sz w:val="18"/>
      <w:szCs w:val="18"/>
      <w:shd w:val="clear" w:color="auto" w:fill="FFFFFF"/>
    </w:rPr>
  </w:style>
  <w:style w:type="character" w:styleId="Vermelding">
    <w:name w:val="Mention"/>
    <w:basedOn w:val="Standaardalinea-lettertype"/>
    <w:uiPriority w:val="99"/>
    <w:unhideWhenUsed/>
    <w:rsid w:val="00251F26"/>
    <w:rPr>
      <w:color w:val="2B579A"/>
      <w:shd w:val="clear" w:color="auto" w:fill="E1DFDD"/>
    </w:rPr>
  </w:style>
  <w:style w:type="character" w:styleId="Tekstvantijdelijkeaanduiding">
    <w:name w:val="Placeholder Text"/>
    <w:basedOn w:val="Standaardalinea-lettertype"/>
    <w:uiPriority w:val="99"/>
    <w:semiHidden/>
    <w:rsid w:val="00635BCA"/>
    <w:rPr>
      <w:color w:val="808080"/>
    </w:rPr>
  </w:style>
  <w:style w:type="paragraph" w:customStyle="1" w:styleId="para">
    <w:name w:val="para"/>
    <w:basedOn w:val="Lijstalinea"/>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Standaardalinea-lettertype"/>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kstvantijdelijkeaanduiding"/>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Tekstvantijdelijkeaanduiding"/>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3579DB"/>
    <w:rsid w:val="004D67E0"/>
    <w:rsid w:val="004E4CF9"/>
    <w:rsid w:val="005D66AB"/>
    <w:rsid w:val="006D3543"/>
    <w:rsid w:val="006D4CFA"/>
    <w:rsid w:val="00813189"/>
    <w:rsid w:val="008222A0"/>
    <w:rsid w:val="00836D47"/>
    <w:rsid w:val="00982D57"/>
    <w:rsid w:val="00993537"/>
    <w:rsid w:val="009B6B9C"/>
    <w:rsid w:val="009C0B17"/>
    <w:rsid w:val="00B22006"/>
    <w:rsid w:val="00B46CAE"/>
    <w:rsid w:val="00D40353"/>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267</Value>
      <Value>282</Value>
      <Value>1042</Value>
      <Value>50</Value>
    </TaxCatchAll>
    <_dlc_DocId xmlns="d0fb0f98-34f9-4d57-9559-eb8efd17aa5e">ESMA74-1103241886-1094</_dlc_DocId>
    <_dlc_DocIdUrl xmlns="d0fb0f98-34f9-4d57-9559-eb8efd17aa5e">
      <Url>https://securitiesandmarketsauth.sharepoint.com/sites/sherpa-trdu/_layouts/15/DocIdRedir.aspx?ID=ESMA74-1103241886-1094</Url>
      <Description>ESMA74-1103241886-1094</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Technical Advice</TermName>
          <TermId xmlns="http://schemas.microsoft.com/office/infopath/2007/PartnerControls">c84c1b51-5e45-4443-98ed-256626262106</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B2E39D2582128A48B571D0EA19AF2162" ma:contentTypeVersion="25" ma:contentTypeDescription="" ma:contentTypeScope="" ma:versionID="fcac9e44e85299b0237e481aeb71eb81">
  <xsd:schema xmlns:xsd="http://www.w3.org/2001/XMLSchema" xmlns:xs="http://www.w3.org/2001/XMLSchema" xmlns:p="http://schemas.microsoft.com/office/2006/metadata/properties" xmlns:ns2="d0fb0f98-34f9-4d57-9559-eb8efd17aa5e" xmlns:ns3="31cd2e30-85b0-4a67-ba52-2e1ab097a1d0" targetNamespace="http://schemas.microsoft.com/office/2006/metadata/properties" ma:root="true" ma:fieldsID="6ff363f4b973be23fe759f1090d88343" ns2:_="" ns3:_="">
    <xsd:import namespace="d0fb0f98-34f9-4d57-9559-eb8efd17aa5e"/>
    <xsd:import namespace="31cd2e30-85b0-4a67-ba52-2e1ab097a1d0"/>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d2e30-85b0-4a67-ba52-2e1ab097a1d0"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CC1D51A4-B8B5-4036-AADB-524FBF40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31cd2e30-85b0-4a67-ba52-2e1ab097a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3507</Words>
  <Characters>19293</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Tom Rood</cp:lastModifiedBy>
  <cp:revision>7</cp:revision>
  <cp:lastPrinted>2023-09-09T00:53:00Z</cp:lastPrinted>
  <dcterms:created xsi:type="dcterms:W3CDTF">2025-02-12T13:01:00Z</dcterms:created>
  <dcterms:modified xsi:type="dcterms:W3CDTF">2025-02-12T13:05:00Z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0x0101008D9E5D2C101BA04B85C7EB08C6516E400600B2E39D2582128A48B571D0EA19AF2162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9acc7b14-f522-4eb9-ad77-9f478f5094c1</vt:lpwstr>
  </property>
  <property fmtid="{D5CDD505-2E9C-101B-9397-08002B2CF9AE}" pid="8" name="Topic">
    <vt:lpwstr>267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vt:lpwstr>
  </property>
  <property fmtid="{D5CDD505-2E9C-101B-9397-08002B2CF9AE}" pid="14" name="SubTopic">
    <vt:lpwstr>1042</vt:lpwstr>
  </property>
</Properties>
</file>