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77777777" w:rsidR="004E60D2" w:rsidRPr="00252134" w:rsidRDefault="004E60D2" w:rsidP="004E60D2">
      <w:pPr>
        <w:pStyle w:val="Sous-titre"/>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 xml:space="preserve">Conditions of the </w:t>
      </w:r>
      <w:r w:rsidRPr="00840209">
        <w:t>Active Account Requirement</w:t>
      </w:r>
      <w:r w:rsidRPr="00840209">
        <w:rPr>
          <w:b w:val="0"/>
          <w:bCs w:val="0"/>
          <w:noProof/>
          <w:lang w:eastAsia="ja-JP"/>
        </w:rPr>
        <mc:AlternateContent>
          <mc:Choice Requires="wps">
            <w:drawing>
              <wp:anchor distT="0" distB="0" distL="114300" distR="114300" simplePos="0" relativeHeight="251658241"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A649F" id="Freeform: Shape 1" o:spid="_x0000_s1026" style="position:absolute;margin-left:-.45pt;margin-top:5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61B9ACE7" w:rsidR="00F574D0" w:rsidRPr="009D6E99" w:rsidRDefault="004E60D2" w:rsidP="004E60D2">
      <w:pPr>
        <w:pStyle w:val="Sous-titre"/>
      </w:pPr>
      <w:r>
        <w:lastRenderedPageBreak/>
        <w:t xml:space="preserve"> </w:t>
      </w:r>
      <w:bookmarkStart w:id="4" w:name="_Toc280628648"/>
      <w:bookmarkEnd w:id="1"/>
      <w:bookmarkEnd w:id="2"/>
      <w:bookmarkEnd w:id="3"/>
      <w:r w:rsidR="00F574D0"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phedeliste"/>
        <w:numPr>
          <w:ilvl w:val="0"/>
          <w:numId w:val="35"/>
        </w:numPr>
        <w:contextualSpacing w:val="0"/>
      </w:pPr>
      <w:r w:rsidRPr="005B6B12">
        <w:t>respond to the question stated;</w:t>
      </w:r>
    </w:p>
    <w:p w14:paraId="73161343" w14:textId="77777777" w:rsidR="00E70E2E" w:rsidRPr="005B6B12" w:rsidRDefault="00E70E2E" w:rsidP="00E43387">
      <w:pPr>
        <w:pStyle w:val="Paragraphedelist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phedeliste"/>
        <w:numPr>
          <w:ilvl w:val="0"/>
          <w:numId w:val="35"/>
        </w:numPr>
        <w:contextualSpacing w:val="0"/>
      </w:pPr>
      <w:r w:rsidRPr="005B6B12">
        <w:t>contain a clear rationale; and</w:t>
      </w:r>
    </w:p>
    <w:p w14:paraId="30D73002" w14:textId="77777777" w:rsidR="00E70E2E" w:rsidRPr="005B6B12" w:rsidRDefault="00E70E2E" w:rsidP="00E43387">
      <w:pPr>
        <w:pStyle w:val="Paragraphedeliste"/>
        <w:numPr>
          <w:ilvl w:val="0"/>
          <w:numId w:val="35"/>
        </w:numPr>
        <w:contextualSpacing w:val="0"/>
      </w:pPr>
      <w:r w:rsidRPr="005B6B12">
        <w:t>describe any alternatives ESMA should consider.</w:t>
      </w:r>
    </w:p>
    <w:p w14:paraId="4A599464" w14:textId="3F46E7B7" w:rsidR="00E70E2E" w:rsidRDefault="00E70E2E" w:rsidP="00E70E2E">
      <w:pPr>
        <w:rPr>
          <w:b/>
        </w:rPr>
      </w:pPr>
      <w:r w:rsidRPr="005B6B12">
        <w:t xml:space="preserve">ESMA will consider all comments </w:t>
      </w:r>
      <w:r w:rsidRPr="009E1C55">
        <w:t xml:space="preserve">received by </w:t>
      </w:r>
      <w:r w:rsidR="004E60D2">
        <w:rPr>
          <w:b/>
        </w:rPr>
        <w:t>27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phedelist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13AE18C" w:rsidR="009D6E99" w:rsidRPr="00863BFD" w:rsidRDefault="009D6E99" w:rsidP="00E43387">
      <w:pPr>
        <w:pStyle w:val="Paragraphedeliste"/>
        <w:numPr>
          <w:ilvl w:val="0"/>
          <w:numId w:val="35"/>
        </w:numPr>
        <w:contextualSpacing w:val="0"/>
      </w:pPr>
      <w:r w:rsidRPr="00863BFD">
        <w:t>Please do not remove tags of the type &lt;ESMA_QUESTION</w:t>
      </w:r>
      <w:r w:rsidR="00C05202">
        <w:t>_</w:t>
      </w:r>
      <w:r w:rsidR="004E60D2">
        <w:t>AAR</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phedeliste"/>
        <w:numPr>
          <w:ilvl w:val="0"/>
          <w:numId w:val="35"/>
        </w:numPr>
        <w:contextualSpacing w:val="0"/>
      </w:pPr>
      <w:r w:rsidRPr="00863BFD">
        <w:t>If you do not wish to respond to a given question, please do not delete it but simply leave the text “TYPE YOUR TEXT HERE” between the tags.</w:t>
      </w:r>
    </w:p>
    <w:p w14:paraId="399C1605" w14:textId="6419EF36" w:rsidR="009D6E99" w:rsidRDefault="009D6E99" w:rsidP="00E43387">
      <w:pPr>
        <w:pStyle w:val="Paragraphedelist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bookmarkStart w:id="5" w:name="_GoBack"/>
      <w:r w:rsidRPr="00863BFD">
        <w:t>ESMA_</w:t>
      </w:r>
      <w:r w:rsidR="004E60D2">
        <w:t>AAR</w:t>
      </w:r>
      <w:r w:rsidRPr="00863BFD">
        <w:t>_nameofrespondent</w:t>
      </w:r>
      <w:bookmarkEnd w:id="5"/>
      <w:r w:rsidRPr="00863BFD">
        <w:t xml:space="preserve">. </w:t>
      </w:r>
    </w:p>
    <w:p w14:paraId="115A7ABF" w14:textId="1196D22E" w:rsidR="009D6E99" w:rsidRDefault="009D6E99" w:rsidP="009D6E99">
      <w:pPr>
        <w:pStyle w:val="Paragraphedelist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4E60D2">
        <w:t>AAR</w:t>
      </w:r>
      <w:r>
        <w:t>_</w:t>
      </w:r>
      <w:r w:rsidRPr="00863BFD">
        <w:t>ABCD.</w:t>
      </w:r>
    </w:p>
    <w:p w14:paraId="175B3887" w14:textId="22A43A3A" w:rsidR="009D6E99" w:rsidRDefault="009D6E99" w:rsidP="00E43387">
      <w:pPr>
        <w:pStyle w:val="Paragraphedelist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Lienhypertext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Lienhypertext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Lienhypertexte"/>
        </w:rPr>
        <w:t>‘</w:t>
      </w:r>
      <w:hyperlink r:id="rId23" w:history="1">
        <w:r>
          <w:rPr>
            <w:rStyle w:val="Lienhypertexte"/>
          </w:rPr>
          <w:t>Data protection</w:t>
        </w:r>
      </w:hyperlink>
      <w:r>
        <w:rPr>
          <w:rStyle w:val="Lienhypertext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6" w:name="_Toc335141334"/>
    </w:p>
    <w:p w14:paraId="6CA781B8" w14:textId="77777777" w:rsidR="00332304" w:rsidRDefault="00332304" w:rsidP="00F716D4">
      <w:pPr>
        <w:rPr>
          <w:lang w:eastAsia="en-GB"/>
        </w:rPr>
      </w:pPr>
      <w:bookmarkStart w:id="7" w:name="_Toc335141335"/>
      <w:bookmarkEnd w:id="6"/>
    </w:p>
    <w:bookmarkEnd w:id="7"/>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re1"/>
      </w:pPr>
      <w:bookmarkStart w:id="8"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xtedelespacerserv"/>
            </w:rPr>
            <w:id w:val="651570699"/>
            <w:text/>
          </w:sdtPr>
          <w:sdtEndPr>
            <w:rPr>
              <w:rStyle w:val="Textedelespacerserv"/>
            </w:rPr>
          </w:sdtEndPr>
          <w:sdtContent>
            <w:tc>
              <w:tcPr>
                <w:tcW w:w="5595" w:type="dxa"/>
                <w:shd w:val="clear" w:color="auto" w:fill="auto"/>
                <w:vAlign w:val="center"/>
              </w:tcPr>
              <w:p w14:paraId="633DB1B6" w14:textId="23A0DA1D" w:rsidR="00C2682A" w:rsidRPr="00104E00" w:rsidRDefault="008322B2" w:rsidP="008322B2">
                <w:pPr>
                  <w:jc w:val="left"/>
                  <w:rPr>
                    <w:rStyle w:val="Textedelespacerserv"/>
                  </w:rPr>
                </w:pPr>
                <w:r>
                  <w:rPr>
                    <w:rStyle w:val="Textedelespacerserv"/>
                  </w:rPr>
                  <w:t>Crédit Agricole CIB</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0F9F3E2" w:rsidR="00C2682A" w:rsidRPr="00104E00" w:rsidRDefault="00A25514"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322B2">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152A720" w:rsidR="00C2682A" w:rsidRPr="00104E00" w:rsidRDefault="008322B2" w:rsidP="00104E00">
                <w:pPr>
                  <w:jc w:val="left"/>
                </w:pPr>
                <w:r>
                  <w:t>France</w:t>
                </w:r>
              </w:p>
            </w:tc>
          </w:sdtContent>
        </w:sdt>
      </w:tr>
      <w:permEnd w:id="1727412903"/>
    </w:tbl>
    <w:p w14:paraId="398E9C9E" w14:textId="10C9CC3D" w:rsidR="00C2682A" w:rsidRDefault="00C2682A" w:rsidP="00F716D4"/>
    <w:p w14:paraId="7F986E69" w14:textId="77777777" w:rsidR="00FA4100" w:rsidRDefault="00BB1973" w:rsidP="00FA4100">
      <w:pPr>
        <w:pStyle w:val="Titre1"/>
      </w:pPr>
      <w:r>
        <w:t>Questions</w:t>
      </w:r>
      <w:bookmarkStart w:id="9" w:name="_Hlk124780170"/>
    </w:p>
    <w:bookmarkEnd w:id="8"/>
    <w:bookmarkEnd w:id="9"/>
    <w:p w14:paraId="1EC367CD" w14:textId="16908F92" w:rsidR="00E619AB" w:rsidRPr="00B25E0D" w:rsidRDefault="00E619AB" w:rsidP="0029493B">
      <w:pPr>
        <w:pStyle w:val="aNEW-Level4"/>
      </w:pPr>
    </w:p>
    <w:p w14:paraId="457A0AF9" w14:textId="259F27DE" w:rsidR="004E60D2" w:rsidRPr="00965354" w:rsidRDefault="004E60D2" w:rsidP="004E60D2">
      <w:pPr>
        <w:pStyle w:val="Questionstyle"/>
      </w:pPr>
      <w:r>
        <w:t>A</w:t>
      </w:r>
      <w:r w:rsidRPr="00AB611E">
        <w:t>re there any aspects of the AAR scope on which ESMA has based its quantitative analysis and its policy choices that ESMA should consider detailing further</w:t>
      </w:r>
      <w:r w:rsidRPr="00B408D4">
        <w:rPr>
          <w:rFonts w:ascii="Segoe UI" w:hAnsi="Segoe UI" w:cs="Segoe UI"/>
          <w:i/>
          <w:iCs/>
          <w:color w:val="181818"/>
          <w:sz w:val="18"/>
          <w:szCs w:val="18"/>
        </w:rPr>
        <w:t>?</w:t>
      </w:r>
    </w:p>
    <w:p w14:paraId="1F1D5D7D" w14:textId="77777777" w:rsidR="006B5DF1" w:rsidRDefault="006B5DF1" w:rsidP="006B5DF1"/>
    <w:p w14:paraId="3C453C7F" w14:textId="6327CB83" w:rsidR="006B5DF1" w:rsidRDefault="006B5DF1" w:rsidP="006B5DF1">
      <w:pPr>
        <w:spacing w:after="0"/>
      </w:pPr>
      <w:r>
        <w:t>&lt;ESMA_QUESTION_</w:t>
      </w:r>
      <w:r w:rsidR="004E60D2">
        <w:t>AAR</w:t>
      </w:r>
      <w:r>
        <w:t>_01&gt;</w:t>
      </w:r>
    </w:p>
    <w:p w14:paraId="084E4092" w14:textId="77777777" w:rsidR="008322B2" w:rsidRDefault="008322B2" w:rsidP="008322B2">
      <w:r>
        <w:t xml:space="preserve">Overall, the frame proposed by ESMA to determine the scope of products and counterparties subject to the active account matches the corresponding requirements of the level 1 text. However, further clarification would be welcome regarding the application of both the operational conditions of the AAR and the representativeness condition for counterparties that are part of a group. According to Article 7a(1) of EMIR 3, a counterparty becomes subject to the obligation to hold an active account and clear a representative number of trades in it where that counterparty is or becomes subject to the clearing obligation. However, paragraph 2 of article 7a provides that a counterparty belonging to a group subject to consolidated supervision in the Union should consider all derivatives that are cleared by the counterparty or by other entities within the group to which the counterparty belongs. As multiple counterparties belonging to the same group could be subject to the clearing obligation, a literal application of the provisions cited above could trigger an obligation to hold an active account by several counterparties belonging to the same group relating to the same subcategories of derivatives as the calculation would be the same for all. We appreciate ESMA’s clarification in paragraph 40 that “the obligation to hold an active account with trades representative of the group activity could be fulfilled by one entity of the group”. However, such a clarification embedded in the Level 2 text would be welcomed as it would hold legal value and dissipate any difference in interpretation among NCAs when exercising their supervisory duties with regard to this matter. It is our understanding that the active account obligation and the subsequent reporting obligations could be fulfilled by one entity within the group, to avoid duplicating calculations and an excessive pressure on small subsidiaries’ clearing activity. Such a clarification </w:t>
      </w:r>
      <w:r>
        <w:lastRenderedPageBreak/>
        <w:t>would also allow counterparties other than the one fulfilling the AAR within a group to avoid uncertainty when submitting a notification to their NCAs on their obligations towards the AAR.</w:t>
      </w:r>
    </w:p>
    <w:p w14:paraId="3D0FD809" w14:textId="77777777" w:rsidR="008322B2" w:rsidRDefault="008322B2" w:rsidP="008322B2">
      <w:r>
        <w:t>Another area where ESMA’s clarification would be welcome is the calculation for the sake of fulfilling the obligations under article 7a(4), where we understand that only cleared trades and relevant derivative contracts should count. We also understand that the calculations should be done at the class level rather than on aggregate.</w:t>
      </w:r>
    </w:p>
    <w:p w14:paraId="62CCD8E6" w14:textId="7AFE2076" w:rsidR="006B5DF1" w:rsidRDefault="006B5DF1" w:rsidP="006B5DF1">
      <w:pPr>
        <w:spacing w:after="0"/>
      </w:pPr>
      <w:r>
        <w:t>&lt;ESMA_QUESTION_</w:t>
      </w:r>
      <w:r w:rsidR="004E60D2">
        <w:t>AAR</w:t>
      </w:r>
      <w:r>
        <w:t>_01&gt;</w:t>
      </w:r>
    </w:p>
    <w:p w14:paraId="215F51B6" w14:textId="77777777" w:rsidR="006B5DF1" w:rsidRDefault="006B5DF1" w:rsidP="006B5DF1"/>
    <w:p w14:paraId="6E58CC4E" w14:textId="77777777" w:rsidR="006B5DF1" w:rsidRPr="006B5DF1" w:rsidRDefault="006B5DF1" w:rsidP="006B5DF1"/>
    <w:p w14:paraId="72BC789E" w14:textId="62A0E0F0" w:rsidR="004E60D2" w:rsidRDefault="004E60D2" w:rsidP="004E60D2">
      <w:pPr>
        <w:pStyle w:val="Questionstyle"/>
      </w:pPr>
      <w:r>
        <w:t xml:space="preserve">Do you agree with the above approach for condition </w:t>
      </w:r>
      <w:r w:rsidRPr="00024BA7">
        <w:t>(</w:t>
      </w:r>
      <w:r>
        <w:t>a)? Are there other requirements that ESMA should consider for meeting condition (a)?</w:t>
      </w:r>
    </w:p>
    <w:p w14:paraId="7FADE892" w14:textId="77777777" w:rsidR="006B5DF1" w:rsidRDefault="006B5DF1" w:rsidP="006B5DF1"/>
    <w:p w14:paraId="7CB7DC30" w14:textId="6F75236D" w:rsidR="006B5DF1" w:rsidRDefault="006B5DF1" w:rsidP="006B5DF1">
      <w:pPr>
        <w:spacing w:after="0"/>
      </w:pPr>
      <w:r>
        <w:t>&lt;ESMA_QUESTION_</w:t>
      </w:r>
      <w:r w:rsidR="004E60D2">
        <w:t>AAR</w:t>
      </w:r>
      <w:r>
        <w:t>_</w:t>
      </w:r>
      <w:r w:rsidR="003E7313">
        <w:t>02</w:t>
      </w:r>
      <w:r>
        <w:t>&gt;</w:t>
      </w:r>
    </w:p>
    <w:p w14:paraId="3845AAFF" w14:textId="77777777" w:rsidR="008322B2" w:rsidRDefault="008322B2" w:rsidP="008322B2">
      <w:r>
        <w:t>Overall, we agree with ESMA’s approach for condition (a). It would however be helpful to ensure that the reference to sufficient financial resources, cash and collateral accounts in paragraph (c) of article 1 matches the same reference in article 37 of EMIR, and does not create additional obligations relating to the participation in a CCP.</w:t>
      </w:r>
    </w:p>
    <w:p w14:paraId="3F6C042F" w14:textId="68583C34" w:rsidR="006B5DF1" w:rsidRDefault="006B5DF1" w:rsidP="006B5DF1">
      <w:pPr>
        <w:spacing w:after="0"/>
      </w:pPr>
      <w:r>
        <w:t>&lt;ESMA_QUESTION_</w:t>
      </w:r>
      <w:r w:rsidR="004E60D2">
        <w:t>AAR</w:t>
      </w:r>
      <w:r>
        <w:t>_</w:t>
      </w:r>
      <w:r w:rsidR="003E7313">
        <w:t>02</w:t>
      </w:r>
      <w:r>
        <w:t>&gt;</w:t>
      </w:r>
    </w:p>
    <w:p w14:paraId="5C99C845" w14:textId="77777777" w:rsidR="006B5DF1" w:rsidRDefault="006B5DF1" w:rsidP="006B5DF1"/>
    <w:p w14:paraId="5D13008F" w14:textId="77777777" w:rsidR="006B5DF1" w:rsidRPr="006B5DF1" w:rsidRDefault="006B5DF1" w:rsidP="006B5DF1"/>
    <w:p w14:paraId="1456BEFD" w14:textId="40C2A5B9" w:rsidR="004E60D2" w:rsidRDefault="004E60D2" w:rsidP="004E60D2">
      <w:pPr>
        <w:pStyle w:val="Questionstyle"/>
      </w:pPr>
      <w:r>
        <w:t xml:space="preserve">Do you agree with the above approach for conditions </w:t>
      </w:r>
      <w:r w:rsidRPr="00024BA7">
        <w:t>(</w:t>
      </w:r>
      <w:r>
        <w:t xml:space="preserve">b) and </w:t>
      </w:r>
      <w:r w:rsidRPr="00024BA7">
        <w:t>(</w:t>
      </w:r>
      <w:r>
        <w:t>c)?</w:t>
      </w:r>
    </w:p>
    <w:p w14:paraId="29B4AF4E" w14:textId="77777777" w:rsidR="006B5DF1" w:rsidRDefault="006B5DF1" w:rsidP="006B5DF1"/>
    <w:p w14:paraId="3DFB978C" w14:textId="5A11AAE5" w:rsidR="006B5DF1" w:rsidRDefault="006B5DF1" w:rsidP="006B5DF1">
      <w:pPr>
        <w:spacing w:after="0"/>
      </w:pPr>
      <w:r>
        <w:t>&lt;ESMA_QUESTION_</w:t>
      </w:r>
      <w:r w:rsidR="004E60D2">
        <w:t>AAR</w:t>
      </w:r>
      <w:r>
        <w:t>_</w:t>
      </w:r>
      <w:r w:rsidR="003E7313">
        <w:t>03</w:t>
      </w:r>
      <w:r>
        <w:t>&gt;</w:t>
      </w:r>
    </w:p>
    <w:p w14:paraId="395D66E7" w14:textId="77777777" w:rsidR="008322B2" w:rsidRDefault="008322B2" w:rsidP="008322B2">
      <w:r>
        <w:t>The approach developed by ESMA for conditions (b) and (c) presents us with several challenges. While we can commit to the requirements in Article 2(1)(a) to set up internal systems to monitor our exposures and arrangements to support a large flow of transactions, such a flow cannot result from the transfer of positions held in a clearing service of substantial systemic importance. As we are going to explain further in the response to question 4, a transfer of positions from a CCP to another is not technically doable, and in the case that concerns us directly, a coordinated transfer through offsetting transactions reflecting would come at a prohibitive cost due to the scale of the positions held at third country tier 2 clearing services. While we understand that this requirement reflects a similar wording used in article 7a(3)(b) of the EMIR 3 text, we want to insist that should this obligation remain as such, our internal arrangements will highlight and share with our supervisors our assessment of the legal and operational barriers to the transfer of positions from tier 2 CCPs. We therefore would welcome ESMA’s clarification that such barriers will not lead to a risk of non-compliance with our obligations towards operational conditions (b) and (c).</w:t>
      </w:r>
    </w:p>
    <w:p w14:paraId="4F417ECA" w14:textId="77777777" w:rsidR="008322B2" w:rsidRDefault="008322B2" w:rsidP="008322B2">
      <w:r>
        <w:lastRenderedPageBreak/>
        <w:t>Furthermore, and with regard to the requirement in article 2(1)(c) to obtain a signed written statement from the authorised CCP, we would welcome assurances from ESMA that where a clearing member fulfils the necessary conditions relating to their operational capacity, such written statement will be provided by the CCP free of charge, as it is directly resulting from a regulatory requirement.</w:t>
      </w:r>
    </w:p>
    <w:p w14:paraId="0F52A7AB" w14:textId="14C21445" w:rsidR="006B5DF1" w:rsidRDefault="006B5DF1" w:rsidP="006B5DF1">
      <w:pPr>
        <w:spacing w:after="0"/>
      </w:pPr>
      <w:r>
        <w:t>&lt;ESMA_QUESTION_</w:t>
      </w:r>
      <w:r w:rsidR="004E60D2">
        <w:t>AAR</w:t>
      </w:r>
      <w:r>
        <w:t>_</w:t>
      </w:r>
      <w:r w:rsidR="003E7313">
        <w:t>03</w:t>
      </w:r>
      <w:r>
        <w:t>&gt;</w:t>
      </w:r>
    </w:p>
    <w:p w14:paraId="4928DFF2" w14:textId="77777777" w:rsidR="006B5DF1" w:rsidRDefault="006B5DF1" w:rsidP="006B5DF1"/>
    <w:p w14:paraId="46E3A872" w14:textId="77777777" w:rsidR="006B5DF1" w:rsidRPr="006B5DF1" w:rsidRDefault="006B5DF1" w:rsidP="006B5DF1"/>
    <w:p w14:paraId="27A42220" w14:textId="041C5ECA" w:rsidR="004E60D2" w:rsidRDefault="004E60D2" w:rsidP="004E60D2">
      <w:pPr>
        <w:pStyle w:val="Questionstyle"/>
        <w:rPr>
          <w:lang w:val="en-US"/>
        </w:rPr>
      </w:pPr>
      <w:r w:rsidRPr="7F525ACF">
        <w:rPr>
          <w:lang w:val="en-US"/>
        </w:rPr>
        <w:t xml:space="preserve">Do </w:t>
      </w:r>
      <w:r>
        <w:rPr>
          <w:lang w:val="en-US"/>
        </w:rPr>
        <w:t xml:space="preserve">you agree with the </w:t>
      </w:r>
      <w:r w:rsidRPr="7F525ACF">
        <w:rPr>
          <w:lang w:val="en-US"/>
        </w:rPr>
        <w:t xml:space="preserve">proposed </w:t>
      </w:r>
      <w:r w:rsidRPr="00024BA7">
        <w:rPr>
          <w:lang w:val="en-US"/>
        </w:rPr>
        <w:t>approach</w:t>
      </w:r>
      <w:r w:rsidRPr="7F525ACF">
        <w:rPr>
          <w:lang w:val="en-US"/>
        </w:rPr>
        <w:t xml:space="preserve"> for </w:t>
      </w:r>
      <w:r>
        <w:rPr>
          <w:lang w:val="en-US"/>
        </w:rPr>
        <w:t xml:space="preserve">the annual </w:t>
      </w:r>
      <w:r w:rsidRPr="7F525ACF">
        <w:rPr>
          <w:lang w:val="en-US"/>
        </w:rPr>
        <w:t xml:space="preserve">stress-testing conditions </w:t>
      </w:r>
      <w:r w:rsidRPr="00024BA7">
        <w:rPr>
          <w:lang w:val="en-US"/>
        </w:rPr>
        <w:t>(</w:t>
      </w:r>
      <w:r w:rsidRPr="7F525ACF">
        <w:rPr>
          <w:lang w:val="en-US"/>
        </w:rPr>
        <w:t xml:space="preserve">a), </w:t>
      </w:r>
      <w:r w:rsidRPr="00024BA7">
        <w:rPr>
          <w:lang w:val="en-US"/>
        </w:rPr>
        <w:t>(</w:t>
      </w:r>
      <w:r w:rsidRPr="7F525ACF">
        <w:rPr>
          <w:lang w:val="en-US"/>
        </w:rPr>
        <w:t xml:space="preserve">b) and </w:t>
      </w:r>
      <w:r w:rsidRPr="00024BA7">
        <w:rPr>
          <w:lang w:val="en-US"/>
        </w:rPr>
        <w:t>(</w:t>
      </w:r>
      <w:r w:rsidRPr="7F525ACF">
        <w:rPr>
          <w:lang w:val="en-US"/>
        </w:rPr>
        <w:t>c)</w:t>
      </w:r>
      <w:r>
        <w:rPr>
          <w:lang w:val="en-US"/>
        </w:rPr>
        <w:t xml:space="preserve">? </w:t>
      </w:r>
    </w:p>
    <w:p w14:paraId="7BBB58D3" w14:textId="77777777" w:rsidR="006B5DF1" w:rsidRPr="004E60D2" w:rsidRDefault="006B5DF1" w:rsidP="006B5DF1">
      <w:pPr>
        <w:rPr>
          <w:lang w:val="en-US"/>
        </w:rPr>
      </w:pPr>
    </w:p>
    <w:p w14:paraId="47B452E7" w14:textId="609D6B18" w:rsidR="006B5DF1" w:rsidRDefault="006B5DF1" w:rsidP="006B5DF1">
      <w:pPr>
        <w:spacing w:after="0"/>
      </w:pPr>
      <w:r>
        <w:t>&lt;ESMA_QUESTION_</w:t>
      </w:r>
      <w:r w:rsidR="004E60D2">
        <w:t>AAR</w:t>
      </w:r>
      <w:r>
        <w:t>_</w:t>
      </w:r>
      <w:r w:rsidR="003E7313">
        <w:t>04</w:t>
      </w:r>
      <w:r>
        <w:t>&gt;</w:t>
      </w:r>
    </w:p>
    <w:p w14:paraId="3D44D5D2" w14:textId="77777777" w:rsidR="00D726A7" w:rsidRDefault="00D726A7" w:rsidP="00D726A7">
      <w:r>
        <w:t xml:space="preserve">The approach for the annual stress-testing of the three operational conditions hail different challenges. Whereas a common concern between the three conditions is the willingness of the authorised CCP to cooperate with the regulatory challenge without imposing additional fees on its clearing members to perform the tests required and provide the corresponding written statements, a bigger economic and operational concern arises for the stress-testing of condition (b). As pointed out in the response to question 3, it is technically impossible to transfer positions from tier 2 third country clearing services to an authorised CCP in the EU. When clearing members are required to perform tests for an increase in “outstanding and new clearing activity” of up to 85% of the total outstanding of their clearing activity, the rationale behind a test of such a scale that goes beyond the requirements of EMIR appears to be the testing of a scenario where EU clearing members lose their access to a third-country tier 2 clearing service, be it because the concerned CCP is at risk of default or for another reason. Should such a situation arise, EU clearing members would not close-out and relocate their outstanding individual transactions in the EU, but would rather initiate global set-off transactions to cover their global risk towards the tier 2 CCP. Additionally, as of today, and according to subsequent assessments from both ESMA and the EU Commission, most of the liquidity in the relevant EUR and PLN denominated derivatives is generated by non-EU counterparties. In this context, finding counterparties willing to trade positions at such a scale would either bear a prohibitive cost or be impossible, especially if we are faced with a scenario where the Third-country tier 2 CCP is at risk of default. Finally, the offsetting transactions would still be referencing the tier 2 CCP, generating a basis that would incur additional heavy costs on the EU counterparties attempting to close out their positions. While we understand ESMA’s concern and willingness to prepare for a scenario where EU clearing members would lose access to tier 2 clearing services offering EUR denominated derivatives, we believe that responding to this scenario should not be a condition to assess clearing members’ efforts to relocate their new trades in the EU. As CACIB has always consistently pleaded with policymakers and supervisors, in order to obtain a realistic and constructive path to relocate EUR clearing in the EU, a clear distinction should be drawn between outstanding positions and new trades. Throughout the consultation paper, it seems like some aspects of the AAR, especially those related to the operational condition </w:t>
      </w:r>
      <w:r>
        <w:lastRenderedPageBreak/>
        <w:t>(b), maintain a confusion between the relocation of new flows and the transfer of outstanding positions.</w:t>
      </w:r>
    </w:p>
    <w:p w14:paraId="2283DD66" w14:textId="4E4B76D2" w:rsidR="006B5DF1" w:rsidRDefault="006B5DF1" w:rsidP="006B5DF1">
      <w:pPr>
        <w:spacing w:after="0"/>
      </w:pPr>
      <w:r>
        <w:t>&lt;ESMA_QUESTION_</w:t>
      </w:r>
      <w:r w:rsidR="004E60D2">
        <w:t>AAR</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6E2F0B8B" w:rsidR="0029493B" w:rsidRDefault="004E60D2" w:rsidP="006B5DF1">
      <w:pPr>
        <w:pStyle w:val="Questionstyle"/>
      </w:pPr>
      <w:r>
        <w:rPr>
          <w:lang w:val="en-US"/>
        </w:rPr>
        <w:t xml:space="preserve">Do you agree with the differentiated frequency for the stress-testing depending on the counterparties’ clearing activities? </w:t>
      </w:r>
      <w:r w:rsidRPr="00BD5B4A">
        <w:rPr>
          <w:lang w:val="en-US"/>
        </w:rPr>
        <w:t xml:space="preserve">Would you suggest any other way to take into account the proportionality principle? </w:t>
      </w:r>
    </w:p>
    <w:p w14:paraId="01ED954E" w14:textId="77777777" w:rsidR="006B5DF1" w:rsidRDefault="006B5DF1" w:rsidP="006B5DF1"/>
    <w:p w14:paraId="48F7A2C7" w14:textId="496FDFBE" w:rsidR="006B5DF1" w:rsidRDefault="006B5DF1" w:rsidP="006B5DF1">
      <w:pPr>
        <w:spacing w:after="0"/>
      </w:pPr>
      <w:r>
        <w:t>&lt;ESMA_QUESTION_</w:t>
      </w:r>
      <w:r w:rsidR="004E60D2">
        <w:t>AAR</w:t>
      </w:r>
      <w:r>
        <w:t>_</w:t>
      </w:r>
      <w:r w:rsidR="003E7313">
        <w:t>05</w:t>
      </w:r>
      <w:r>
        <w:t>&gt;</w:t>
      </w:r>
    </w:p>
    <w:p w14:paraId="0E10A364" w14:textId="77777777" w:rsidR="00D726A7" w:rsidRDefault="00D726A7" w:rsidP="00D726A7">
      <w:r>
        <w:t>We agree with the principle of differentiating frequency for the stress-testing depending on the importance of the clearing activity on the relevant derivatives. However, we take issue with the confusing use of the term “clearing activity” in the RTS. As clarified in the response to question 4, we strongly believe that a clear distinction should be drawn between outstanding positions and new trades. Throughout the proposed RTS, ESMA uses the term clearing activity indistinctively to mean “outstanding and new clearing activity and new clearing activity”. In some instances, the term “clearing activity” is used with no precision as to whether it includes outstanding positions. We assess that there is no prior definition of this term in the level 1 text of EMIR, and that it is mainly used in the EMIR 3 level 1 text in article 7d to refer to the reporting on “clearing activity” in tier 2 CCPs. We believe that a clarification from ESMA that this term only refers to new transactions would be welcome, as it would avoid installing a confusion in the level 2 text that could be subject to different interpretations later on.</w:t>
      </w:r>
    </w:p>
    <w:p w14:paraId="48B86851" w14:textId="3F653379" w:rsidR="006B5DF1" w:rsidRDefault="006B5DF1" w:rsidP="006B5DF1">
      <w:pPr>
        <w:spacing w:after="0"/>
      </w:pPr>
      <w:r>
        <w:t>&lt;ESMA_QUESTION_</w:t>
      </w:r>
      <w:r w:rsidR="004E60D2">
        <w:t>AAR</w:t>
      </w:r>
      <w:r>
        <w:t>_</w:t>
      </w:r>
      <w:r w:rsidR="003E7313">
        <w:t>05</w:t>
      </w:r>
      <w:r>
        <w:t>&gt;</w:t>
      </w:r>
    </w:p>
    <w:p w14:paraId="29A935B1" w14:textId="77777777" w:rsidR="006B5DF1" w:rsidRDefault="006B5DF1" w:rsidP="006B5DF1"/>
    <w:p w14:paraId="7BEC8725" w14:textId="77777777" w:rsidR="006B5DF1" w:rsidRPr="006B5DF1" w:rsidRDefault="006B5DF1" w:rsidP="006B5DF1"/>
    <w:p w14:paraId="583C4144" w14:textId="0C969902" w:rsidR="004E60D2" w:rsidRPr="002239E7" w:rsidRDefault="004E60D2" w:rsidP="004E60D2">
      <w:pPr>
        <w:pStyle w:val="Questionstyle"/>
        <w:rPr>
          <w:rFonts w:eastAsia="Calibri"/>
          <w:lang w:eastAsia="en-GB"/>
        </w:rPr>
      </w:pPr>
      <w:r>
        <w:t xml:space="preserve">Do you agree with the proposed classes of derivatives for EUR OTC IRD? </w:t>
      </w:r>
    </w:p>
    <w:p w14:paraId="577A82F6" w14:textId="77777777" w:rsidR="006B5DF1" w:rsidRDefault="006B5DF1" w:rsidP="006B5DF1"/>
    <w:p w14:paraId="2AFE7DFE" w14:textId="15E4FF26" w:rsidR="006B5DF1" w:rsidRDefault="006B5DF1" w:rsidP="006B5DF1">
      <w:pPr>
        <w:spacing w:after="0"/>
      </w:pPr>
      <w:r>
        <w:t>&lt;ESMA_QUESTION_</w:t>
      </w:r>
      <w:r w:rsidR="004E60D2">
        <w:t>AAR</w:t>
      </w:r>
      <w:r>
        <w:t>_</w:t>
      </w:r>
      <w:r w:rsidR="003E7313">
        <w:t>0</w:t>
      </w:r>
      <w:r>
        <w:t>6&gt;</w:t>
      </w:r>
    </w:p>
    <w:p w14:paraId="2583674C" w14:textId="77777777" w:rsidR="00D726A7" w:rsidRPr="00DA6FD9" w:rsidRDefault="00D726A7" w:rsidP="00D726A7">
      <w:r>
        <w:t>We believe that ESMA’s approach to proposing the classes of derivatives was clear and rational, as it reflects the existing classes subject to the clearing obligation.</w:t>
      </w:r>
    </w:p>
    <w:p w14:paraId="708B068B" w14:textId="31DE5546" w:rsidR="006B5DF1" w:rsidRDefault="006B5DF1" w:rsidP="006B5DF1">
      <w:pPr>
        <w:spacing w:after="0"/>
      </w:pPr>
      <w:r>
        <w:t>&lt;ESMA_QUESTION_</w:t>
      </w:r>
      <w:r w:rsidR="004E60D2">
        <w:t>AAR</w:t>
      </w:r>
      <w:r>
        <w:t>_</w:t>
      </w:r>
      <w:r w:rsidR="003E7313">
        <w:t>0</w:t>
      </w:r>
      <w:r>
        <w:t>6&gt;</w:t>
      </w:r>
    </w:p>
    <w:p w14:paraId="7FD3C941" w14:textId="77777777" w:rsidR="006B5DF1" w:rsidRDefault="006B5DF1" w:rsidP="006B5DF1"/>
    <w:p w14:paraId="016A0644" w14:textId="77777777" w:rsidR="006B5DF1" w:rsidRPr="006B5DF1" w:rsidRDefault="006B5DF1" w:rsidP="006B5DF1"/>
    <w:p w14:paraId="13854EA3" w14:textId="070D7B08" w:rsidR="004E60D2" w:rsidRPr="002239E7" w:rsidRDefault="004E60D2" w:rsidP="004E60D2">
      <w:pPr>
        <w:pStyle w:val="Questionstyle"/>
        <w:rPr>
          <w:rFonts w:eastAsia="Calibri"/>
          <w:lang w:eastAsia="en-GB"/>
        </w:rPr>
      </w:pPr>
      <w:r>
        <w:t xml:space="preserve">Do you agree with the proposed classes of derivatives for PLN OTC IRD? </w:t>
      </w:r>
    </w:p>
    <w:p w14:paraId="35FD33F8" w14:textId="77777777" w:rsidR="006B5DF1" w:rsidRDefault="006B5DF1" w:rsidP="006B5DF1"/>
    <w:p w14:paraId="74B36119" w14:textId="1CDF6E01" w:rsidR="006B5DF1" w:rsidRDefault="006B5DF1" w:rsidP="006B5DF1">
      <w:pPr>
        <w:spacing w:after="0"/>
      </w:pPr>
      <w:r>
        <w:t>&lt;ESMA_QUESTION_</w:t>
      </w:r>
      <w:r w:rsidR="004E60D2">
        <w:t>AAR</w:t>
      </w:r>
      <w:r>
        <w:t>_</w:t>
      </w:r>
      <w:r w:rsidR="003E7313">
        <w:t>07</w:t>
      </w:r>
      <w:r>
        <w:t>&gt;</w:t>
      </w:r>
    </w:p>
    <w:p w14:paraId="5DBDD297" w14:textId="77777777" w:rsidR="00D726A7" w:rsidRPr="00DA6FD9" w:rsidRDefault="00D726A7" w:rsidP="00D726A7">
      <w:r>
        <w:t>We believe that ESMA’s approach to proposing the classes of derivatives was clear and rational, as it reflects the existing classes subject to the clearing obligation.</w:t>
      </w:r>
    </w:p>
    <w:p w14:paraId="5BA096DE" w14:textId="0C0F95FC" w:rsidR="006B5DF1" w:rsidRDefault="006B5DF1" w:rsidP="006B5DF1">
      <w:pPr>
        <w:spacing w:after="0"/>
      </w:pPr>
      <w:r>
        <w:t>&lt;ESMA_QUESTION_</w:t>
      </w:r>
      <w:r w:rsidR="004E60D2">
        <w:t>AAR</w:t>
      </w:r>
      <w:r>
        <w:t>_</w:t>
      </w:r>
      <w:r w:rsidR="003E7313">
        <w:t>07</w:t>
      </w:r>
      <w:r>
        <w:t>&gt;</w:t>
      </w:r>
    </w:p>
    <w:p w14:paraId="481C662D" w14:textId="77777777" w:rsidR="006B5DF1" w:rsidRDefault="006B5DF1" w:rsidP="006B5DF1"/>
    <w:p w14:paraId="0B9297A3" w14:textId="77777777" w:rsidR="006B5DF1" w:rsidRPr="006B5DF1" w:rsidRDefault="006B5DF1" w:rsidP="006B5DF1"/>
    <w:p w14:paraId="3EFBECF1" w14:textId="1D0D697A" w:rsidR="004E60D2" w:rsidRPr="002239E7" w:rsidRDefault="004E60D2" w:rsidP="004E60D2">
      <w:pPr>
        <w:pStyle w:val="Questionstyle"/>
        <w:rPr>
          <w:rFonts w:eastAsia="Calibri"/>
          <w:lang w:eastAsia="en-GB"/>
        </w:rPr>
      </w:pPr>
      <w:r>
        <w:t xml:space="preserve">Do you agree with the proposed classes of derivatives for EUR STIR? </w:t>
      </w:r>
    </w:p>
    <w:p w14:paraId="71F7B27B" w14:textId="77777777" w:rsidR="006B5DF1" w:rsidRDefault="006B5DF1" w:rsidP="006B5DF1"/>
    <w:p w14:paraId="3367C427" w14:textId="1CEB3FA2" w:rsidR="006B5DF1" w:rsidRDefault="006B5DF1" w:rsidP="006B5DF1">
      <w:pPr>
        <w:spacing w:after="0"/>
      </w:pPr>
      <w:r>
        <w:t>&lt;ESMA_QUESTION_</w:t>
      </w:r>
      <w:r w:rsidR="004E60D2">
        <w:t>AAR</w:t>
      </w:r>
      <w:r>
        <w:t>_</w:t>
      </w:r>
      <w:r w:rsidR="003E7313">
        <w:t>08</w:t>
      </w:r>
      <w:r>
        <w:t>&gt;</w:t>
      </w:r>
    </w:p>
    <w:p w14:paraId="34BD39A9" w14:textId="77777777" w:rsidR="00D726A7" w:rsidRPr="00DA6FD9" w:rsidRDefault="00D726A7" w:rsidP="00D726A7">
      <w:r>
        <w:t>We appreciate ESMA’s proportionate approach to proposing classes of derivatives for EUR STIR. We agree with the proposed classes.</w:t>
      </w:r>
    </w:p>
    <w:p w14:paraId="67DBB5A7" w14:textId="5865AAFB" w:rsidR="006B5DF1" w:rsidRDefault="006B5DF1" w:rsidP="006B5DF1">
      <w:pPr>
        <w:spacing w:after="0"/>
      </w:pPr>
      <w:r>
        <w:t>&lt;ESMA_QUESTION_</w:t>
      </w:r>
      <w:r w:rsidR="004E60D2">
        <w:t>AAR</w:t>
      </w:r>
      <w:r>
        <w:t>_</w:t>
      </w:r>
      <w:r w:rsidR="003E7313">
        <w:t>08</w:t>
      </w:r>
      <w:r>
        <w:t>&gt;</w:t>
      </w:r>
    </w:p>
    <w:p w14:paraId="453A8C03" w14:textId="77777777" w:rsidR="006B5DF1" w:rsidRDefault="006B5DF1" w:rsidP="006B5DF1"/>
    <w:p w14:paraId="6F7EB131" w14:textId="77777777" w:rsidR="006B5DF1" w:rsidRPr="006B5DF1" w:rsidRDefault="006B5DF1" w:rsidP="006B5DF1"/>
    <w:p w14:paraId="5E5E6483" w14:textId="0772B42F" w:rsidR="004E60D2" w:rsidRDefault="004E60D2" w:rsidP="004E60D2">
      <w:pPr>
        <w:pStyle w:val="Questionstyle"/>
      </w:pPr>
      <w:r w:rsidRPr="2ADCFCB9">
        <w:rPr>
          <w:rFonts w:eastAsia="Arial"/>
        </w:rPr>
        <w:t xml:space="preserve">Do you agree with the proposed </w:t>
      </w:r>
      <w:r>
        <w:rPr>
          <w:rFonts w:eastAsia="Arial"/>
        </w:rPr>
        <w:t xml:space="preserve">maturity and </w:t>
      </w:r>
      <w:r w:rsidRPr="2ADCFCB9">
        <w:rPr>
          <w:rFonts w:eastAsia="Arial"/>
        </w:rPr>
        <w:t>trade size ranges for each class of derivatives in EUR OTC IRD?</w:t>
      </w:r>
    </w:p>
    <w:p w14:paraId="17BB33B8" w14:textId="77777777" w:rsidR="006B5DF1" w:rsidRDefault="006B5DF1" w:rsidP="006B5DF1"/>
    <w:p w14:paraId="25FE0CD5" w14:textId="456A37F9" w:rsidR="006B5DF1" w:rsidRDefault="006B5DF1" w:rsidP="006B5DF1">
      <w:pPr>
        <w:spacing w:after="0"/>
      </w:pPr>
      <w:r>
        <w:t>&lt;ESMA_QUESTION_</w:t>
      </w:r>
      <w:r w:rsidR="004E60D2">
        <w:t>AAR</w:t>
      </w:r>
      <w:r>
        <w:t>_</w:t>
      </w:r>
      <w:r w:rsidR="003E7313">
        <w:t>09</w:t>
      </w:r>
      <w:r>
        <w:t>&gt;</w:t>
      </w:r>
    </w:p>
    <w:p w14:paraId="13EAF6AC" w14:textId="77777777" w:rsidR="00D726A7" w:rsidRPr="00B64606" w:rsidRDefault="00D726A7" w:rsidP="00D726A7">
      <w:r>
        <w:t xml:space="preserve">We understand ESMA’s approach to maximise the number of trades to relocate in the EU for EUR OTC IRDs, these derivatives being at the core of the relocation efforts. </w:t>
      </w:r>
    </w:p>
    <w:p w14:paraId="7294A4EF" w14:textId="63DB1747" w:rsidR="006B5DF1" w:rsidRDefault="006B5DF1" w:rsidP="006B5DF1">
      <w:pPr>
        <w:spacing w:after="0"/>
      </w:pPr>
      <w:r>
        <w:t>&lt;ESMA_QUESTION_</w:t>
      </w:r>
      <w:r w:rsidR="004E60D2">
        <w:t>AAR</w:t>
      </w:r>
      <w:r>
        <w:t>_</w:t>
      </w:r>
      <w:r w:rsidR="003E7313">
        <w:t>09</w:t>
      </w:r>
      <w:r>
        <w:t>&gt;</w:t>
      </w:r>
    </w:p>
    <w:p w14:paraId="56A0F5E2" w14:textId="77777777" w:rsidR="006B5DF1" w:rsidRDefault="006B5DF1" w:rsidP="006B5DF1"/>
    <w:p w14:paraId="0F8EDBF9" w14:textId="77777777" w:rsidR="006B5DF1" w:rsidRPr="006B5DF1" w:rsidRDefault="006B5DF1" w:rsidP="006B5DF1"/>
    <w:p w14:paraId="6FE2C9CF" w14:textId="01B13B6F" w:rsidR="004E60D2" w:rsidRDefault="004E60D2" w:rsidP="004E60D2">
      <w:pPr>
        <w:pStyle w:val="Questionstyle"/>
        <w:rPr>
          <w:rFonts w:eastAsia="Arial"/>
        </w:rPr>
      </w:pPr>
      <w:r w:rsidRPr="2ADCFCB9">
        <w:rPr>
          <w:rFonts w:eastAsia="Arial"/>
        </w:rPr>
        <w:t>Do you agree with the proposed maturity and trade size ranges for each class of derivatives in PLN OTC IRD?</w:t>
      </w:r>
    </w:p>
    <w:p w14:paraId="005B41D3" w14:textId="77777777" w:rsidR="006B5DF1" w:rsidRDefault="006B5DF1" w:rsidP="006B5DF1"/>
    <w:p w14:paraId="4D938823" w14:textId="4243AD9B" w:rsidR="006B5DF1" w:rsidRDefault="006B5DF1" w:rsidP="006B5DF1">
      <w:pPr>
        <w:spacing w:after="0"/>
      </w:pPr>
      <w:r>
        <w:t>&lt;ESMA_QUESTION_</w:t>
      </w:r>
      <w:r w:rsidR="004E60D2">
        <w:t>AAR</w:t>
      </w:r>
      <w:r>
        <w:t>_</w:t>
      </w:r>
      <w:r w:rsidR="003E7313">
        <w:t>10</w:t>
      </w:r>
      <w:r>
        <w:t>&gt;</w:t>
      </w:r>
    </w:p>
    <w:p w14:paraId="6BD62104" w14:textId="6C8EC5E0" w:rsidR="006B5DF1" w:rsidRDefault="00D726A7" w:rsidP="006B5DF1">
      <w:pPr>
        <w:spacing w:after="0"/>
      </w:pPr>
      <w:r>
        <w:t>We agree with ESMA’s approach on this and appreciate its proportionality. Additionally, we hope that EU CCPs will step up to enable clearing in PLN OTC IRDs in good conditions.</w:t>
      </w:r>
      <w:r w:rsidR="006B5DF1">
        <w:t>&lt;ESMA_QUESTION_</w:t>
      </w:r>
      <w:r w:rsidR="004E60D2">
        <w:t>AAR</w:t>
      </w:r>
      <w:r w:rsidR="006B5DF1">
        <w:t>_</w:t>
      </w:r>
      <w:r w:rsidR="003E7313">
        <w:t>10</w:t>
      </w:r>
      <w:r w:rsidR="006B5DF1">
        <w:t>&gt;</w:t>
      </w:r>
    </w:p>
    <w:p w14:paraId="3154352F" w14:textId="77777777" w:rsidR="006B5DF1" w:rsidRDefault="006B5DF1" w:rsidP="006B5DF1"/>
    <w:p w14:paraId="54DCA68F" w14:textId="77777777" w:rsidR="006B5DF1" w:rsidRPr="006B5DF1" w:rsidRDefault="006B5DF1" w:rsidP="006B5DF1"/>
    <w:p w14:paraId="6B67807B" w14:textId="6A428275" w:rsidR="0029493B" w:rsidRDefault="004E60D2" w:rsidP="006B5DF1">
      <w:pPr>
        <w:pStyle w:val="Questionstyle"/>
      </w:pPr>
      <w:r w:rsidRPr="2ADCFCB9">
        <w:rPr>
          <w:rFonts w:eastAsia="Arial"/>
          <w:bCs/>
        </w:rPr>
        <w:t>Do you agree with the proposed maturity and trade size ranges for each class of derivatives in EUR STIR?</w:t>
      </w:r>
    </w:p>
    <w:p w14:paraId="72D20B90" w14:textId="77777777" w:rsidR="006B5DF1" w:rsidRDefault="006B5DF1" w:rsidP="006B5DF1"/>
    <w:p w14:paraId="349184A3" w14:textId="4A6A0BB8" w:rsidR="006B5DF1" w:rsidRDefault="006B5DF1" w:rsidP="006B5DF1">
      <w:pPr>
        <w:spacing w:after="0"/>
      </w:pPr>
      <w:r>
        <w:t>&lt;ESMA_QUESTION_</w:t>
      </w:r>
      <w:r w:rsidR="004E60D2">
        <w:t>AAR</w:t>
      </w:r>
      <w:r>
        <w:t>_</w:t>
      </w:r>
      <w:r w:rsidR="003E7313">
        <w:t>11</w:t>
      </w:r>
      <w:r>
        <w:t>&gt;</w:t>
      </w:r>
    </w:p>
    <w:p w14:paraId="155A4161" w14:textId="77777777" w:rsidR="00D726A7" w:rsidRPr="00B64606" w:rsidRDefault="00D726A7" w:rsidP="00D726A7">
      <w:r>
        <w:t xml:space="preserve">While we agree with ESMA’s approach on the trade size ranges, which addresses the specific features of this market, we believe that a different approach could be helpful regarding maturity ranges. Given the relative small size and scarce liquidity in this market along the curve, we propose to have a more panoramic approach to maturity ranges and only retain two; </w:t>
      </w:r>
      <w:r w:rsidRPr="00E406EA">
        <w:rPr>
          <w:b/>
          <w:bCs/>
        </w:rPr>
        <w:t>0 to 12 months</w:t>
      </w:r>
      <w:r>
        <w:t xml:space="preserve">, </w:t>
      </w:r>
      <w:r w:rsidRPr="00E406EA">
        <w:rPr>
          <w:b/>
          <w:bCs/>
        </w:rPr>
        <w:t>12 months and beyond</w:t>
      </w:r>
      <w:r>
        <w:rPr>
          <w:b/>
          <w:bCs/>
        </w:rPr>
        <w:t>.</w:t>
      </w:r>
    </w:p>
    <w:p w14:paraId="2E9C537F" w14:textId="675C51EE" w:rsidR="006B5DF1" w:rsidRDefault="006B5DF1" w:rsidP="006B5DF1">
      <w:pPr>
        <w:spacing w:after="0"/>
      </w:pPr>
      <w:r>
        <w:t>&lt;ESMA_QUESTION_</w:t>
      </w:r>
      <w:r w:rsidR="004E60D2">
        <w:t>AAR</w:t>
      </w:r>
      <w:r>
        <w:t>_</w:t>
      </w:r>
      <w:r w:rsidR="003E7313">
        <w:t>11</w:t>
      </w:r>
      <w:r>
        <w:t>&gt;</w:t>
      </w:r>
    </w:p>
    <w:p w14:paraId="06E5BE60" w14:textId="77777777" w:rsidR="006B5DF1" w:rsidRDefault="006B5DF1" w:rsidP="006B5DF1"/>
    <w:p w14:paraId="443C2A97" w14:textId="77777777" w:rsidR="006B5DF1" w:rsidRPr="006B5DF1" w:rsidRDefault="006B5DF1" w:rsidP="006B5DF1"/>
    <w:p w14:paraId="0EB95219" w14:textId="6119AE4B" w:rsidR="006B5DF1" w:rsidRDefault="004E60D2">
      <w:pPr>
        <w:pStyle w:val="Questionstyle"/>
      </w:pPr>
      <w:r>
        <w:t>Do you agree with the proposed number of most relevant subcategories for each clearing service of substantial systemic relevance? Do you think this should be set at a more granular level (i.e. per class of derivatives)?</w:t>
      </w:r>
    </w:p>
    <w:p w14:paraId="0BC2EC31" w14:textId="77777777" w:rsidR="004E60D2" w:rsidRPr="004E60D2" w:rsidRDefault="004E60D2" w:rsidP="004E60D2"/>
    <w:p w14:paraId="0F765C17" w14:textId="7227F423" w:rsidR="006B5DF1" w:rsidRDefault="006B5DF1" w:rsidP="006B5DF1">
      <w:pPr>
        <w:spacing w:after="0"/>
      </w:pPr>
      <w:r>
        <w:t>&lt;ESMA_QUESTION_</w:t>
      </w:r>
      <w:r w:rsidR="004E60D2">
        <w:t>AAR</w:t>
      </w:r>
      <w:r>
        <w:t>_</w:t>
      </w:r>
      <w:r w:rsidR="003E7313">
        <w:t>12</w:t>
      </w:r>
      <w:r>
        <w:t>&gt;</w:t>
      </w:r>
    </w:p>
    <w:p w14:paraId="346EA1E7" w14:textId="77777777" w:rsidR="00D726A7" w:rsidRPr="00E406EA" w:rsidRDefault="00D726A7" w:rsidP="00D726A7">
      <w:r>
        <w:t>We agree with ESMA’s proposals on the number of most relevant subcategories for each clearing service. However, if our proposal to reduce the number of maturity ranges for EUR STIR is retained, it would mechanically decrease the number of relevant subcategories for that service, which we believe is appropriate to the size of its market and its liquidity.</w:t>
      </w:r>
    </w:p>
    <w:p w14:paraId="7ECA10E7" w14:textId="4EEF4C80" w:rsidR="006B5DF1" w:rsidRDefault="006B5DF1" w:rsidP="006B5DF1">
      <w:pPr>
        <w:spacing w:after="0"/>
      </w:pPr>
      <w:r>
        <w:t>&lt;ESMA_QUESTION_</w:t>
      </w:r>
      <w:r w:rsidR="004E60D2">
        <w:t>AAR</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6BE0B375" w:rsidR="0029493B" w:rsidRDefault="004E60D2" w:rsidP="004E60D2">
      <w:pPr>
        <w:pStyle w:val="Questionstyle"/>
      </w:pPr>
      <w:r>
        <w:t>Do you agree with the proposed reference periods for EUR OTC IRD? Do you think the reference periods should be set at a more granular level (i.e. class of derivatives)?</w:t>
      </w:r>
    </w:p>
    <w:p w14:paraId="7F967882" w14:textId="77777777" w:rsidR="006B5DF1" w:rsidRDefault="006B5DF1" w:rsidP="006B5DF1"/>
    <w:p w14:paraId="267D208E" w14:textId="130D8234" w:rsidR="006B5DF1" w:rsidRDefault="006B5DF1" w:rsidP="006B5DF1">
      <w:pPr>
        <w:spacing w:after="0"/>
      </w:pPr>
      <w:r>
        <w:t>&lt;ESMA_QUESTION_</w:t>
      </w:r>
      <w:r w:rsidR="004E60D2">
        <w:t>AAR</w:t>
      </w:r>
      <w:r>
        <w:t>_</w:t>
      </w:r>
      <w:r w:rsidR="003E7313">
        <w:t>13</w:t>
      </w:r>
      <w:r>
        <w:t>&gt;</w:t>
      </w:r>
    </w:p>
    <w:p w14:paraId="56AE4628" w14:textId="77777777" w:rsidR="00D726A7" w:rsidRPr="00952E4C" w:rsidRDefault="00D726A7" w:rsidP="00D726A7">
      <w:r>
        <w:t>We agree with the proposed reference periods for EUR OTC IRDs, we believe this approach is proportional, and we do not believe it is necessary to set reference periods at a more granular level.</w:t>
      </w:r>
    </w:p>
    <w:p w14:paraId="7D6A453F" w14:textId="6793CE4D" w:rsidR="006B5DF1" w:rsidRDefault="006B5DF1" w:rsidP="006B5DF1">
      <w:pPr>
        <w:spacing w:after="0"/>
      </w:pPr>
      <w:r>
        <w:lastRenderedPageBreak/>
        <w:t>&lt;ESMA_QUESTION_</w:t>
      </w:r>
      <w:r w:rsidR="004E60D2">
        <w:t>AAR</w:t>
      </w:r>
      <w:r>
        <w:t>_</w:t>
      </w:r>
      <w:r w:rsidR="003E7313">
        <w:t>13</w:t>
      </w:r>
      <w:r>
        <w:t>&gt;</w:t>
      </w:r>
    </w:p>
    <w:p w14:paraId="14191270" w14:textId="77777777" w:rsidR="006B5DF1" w:rsidRDefault="006B5DF1" w:rsidP="006B5DF1"/>
    <w:p w14:paraId="0E18E033" w14:textId="77777777" w:rsidR="006B5DF1" w:rsidRPr="006B5DF1" w:rsidRDefault="006B5DF1" w:rsidP="006B5DF1"/>
    <w:p w14:paraId="05D32B41" w14:textId="02CA1D56" w:rsidR="006B5DF1" w:rsidRDefault="004E60D2">
      <w:pPr>
        <w:pStyle w:val="Questionstyle"/>
      </w:pPr>
      <w:r>
        <w:t>Do you agree with the proposed reference period for PLN OTC IRD? Do you think that the reference periods should be set at a more granular level (i.e. class of derivatives)?</w:t>
      </w:r>
    </w:p>
    <w:p w14:paraId="7E18DDBD" w14:textId="77777777" w:rsidR="004E60D2" w:rsidRPr="004E60D2" w:rsidRDefault="004E60D2" w:rsidP="004E60D2"/>
    <w:p w14:paraId="5172AC4C" w14:textId="3BB92EBA" w:rsidR="006B5DF1" w:rsidRDefault="006B5DF1" w:rsidP="006B5DF1">
      <w:pPr>
        <w:spacing w:after="0"/>
      </w:pPr>
      <w:r>
        <w:t>&lt;ESMA_QUESTION_</w:t>
      </w:r>
      <w:r w:rsidR="004E60D2">
        <w:t>AAR</w:t>
      </w:r>
      <w:r>
        <w:t>_</w:t>
      </w:r>
      <w:r w:rsidR="003E7313">
        <w:t>14</w:t>
      </w:r>
      <w:r>
        <w:t>&gt;</w:t>
      </w:r>
    </w:p>
    <w:p w14:paraId="3AA5CF25" w14:textId="77777777" w:rsidR="00D726A7" w:rsidRPr="007D3325" w:rsidRDefault="00D726A7" w:rsidP="00D726A7">
      <w:r>
        <w:t>We agree with ESMA’s approach on this and do not believe it is necessary to set reference periods at a more granular level.</w:t>
      </w:r>
    </w:p>
    <w:p w14:paraId="7A83D384" w14:textId="713A6681" w:rsidR="006B5DF1" w:rsidRDefault="006B5DF1" w:rsidP="006B5DF1">
      <w:pPr>
        <w:spacing w:after="0"/>
      </w:pPr>
      <w:r>
        <w:t>&lt;ESMA_QUESTION_</w:t>
      </w:r>
      <w:r w:rsidR="004E60D2">
        <w:t>AAR</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6BC1A499" w:rsidR="0029493B" w:rsidRDefault="004E60D2" w:rsidP="006B5DF1">
      <w:pPr>
        <w:pStyle w:val="Questionstyle"/>
      </w:pPr>
      <w:r>
        <w:t>Do you agree with the proposed reference periods for EUR STIR referenced in Euribor? Do you agree with the proposed reference periods for EUR STIR referenced in €STR?</w:t>
      </w:r>
    </w:p>
    <w:p w14:paraId="3BFC4064" w14:textId="77777777" w:rsidR="006B5DF1" w:rsidRDefault="006B5DF1" w:rsidP="006B5DF1"/>
    <w:p w14:paraId="761CC5DB" w14:textId="5EF0A7CD" w:rsidR="006B5DF1" w:rsidRDefault="006B5DF1" w:rsidP="006B5DF1">
      <w:pPr>
        <w:spacing w:after="0"/>
      </w:pPr>
      <w:r>
        <w:t>&lt;ESMA_QUESTION_</w:t>
      </w:r>
      <w:r w:rsidR="004E60D2">
        <w:t>AAR</w:t>
      </w:r>
      <w:r>
        <w:t>_</w:t>
      </w:r>
      <w:r w:rsidR="003E7313">
        <w:t>15</w:t>
      </w:r>
      <w:r>
        <w:t>&gt;</w:t>
      </w:r>
    </w:p>
    <w:p w14:paraId="5C84642E" w14:textId="77777777" w:rsidR="00D726A7" w:rsidRPr="00C6449C" w:rsidRDefault="00D726A7" w:rsidP="00D726A7">
      <w:r>
        <w:t xml:space="preserve">We agree with the reference period proposed for EUR STIR referenced €STR, but believe that the reference period associated with EUR STIR referenced in Euribor is too short, considering the market for these derivatives is significantly smaller than the market for EUR OTC IRDs. We believe that the reference periods for counterparties above EUR 100 billion should be aligned at 6 months for both EUR STIR referenced €STR and those referenced Euribor. </w:t>
      </w:r>
    </w:p>
    <w:p w14:paraId="3A64410A" w14:textId="45BF1F38" w:rsidR="006B5DF1" w:rsidRDefault="006B5DF1" w:rsidP="006B5DF1">
      <w:pPr>
        <w:spacing w:after="0"/>
      </w:pPr>
      <w:r>
        <w:t>&lt;ESMA_QUESTION_</w:t>
      </w:r>
      <w:r w:rsidR="004E60D2">
        <w:t>AAR</w:t>
      </w:r>
      <w:r>
        <w:t>_</w:t>
      </w:r>
      <w:r w:rsidR="003E7313">
        <w:t>15</w:t>
      </w:r>
      <w:r>
        <w:t>&gt;</w:t>
      </w:r>
    </w:p>
    <w:p w14:paraId="6EA3EFD9" w14:textId="77777777" w:rsidR="006B5DF1" w:rsidRDefault="006B5DF1" w:rsidP="006B5DF1"/>
    <w:p w14:paraId="476AC2D9" w14:textId="77777777" w:rsidR="001B4160" w:rsidRPr="006B5DF1" w:rsidRDefault="001B4160" w:rsidP="006B5DF1"/>
    <w:p w14:paraId="2A842300" w14:textId="0B456EE3" w:rsidR="0029493B" w:rsidRDefault="004E60D2" w:rsidP="006B5DF1">
      <w:pPr>
        <w:pStyle w:val="Questionstyle"/>
      </w:pPr>
      <w:r w:rsidRPr="008B7278">
        <w:t xml:space="preserve">Do </w:t>
      </w:r>
      <w:r>
        <w:t>you agree with the proposed approach for the reporting of the activity and risk exposures of the counterparty subject to the active account requirement</w:t>
      </w:r>
      <w:r w:rsidRPr="008B7278">
        <w:t>?</w:t>
      </w:r>
    </w:p>
    <w:p w14:paraId="71BBF906" w14:textId="77777777" w:rsidR="006B5DF1" w:rsidRDefault="006B5DF1" w:rsidP="006B5DF1"/>
    <w:p w14:paraId="3E4937E7" w14:textId="1733D6C6" w:rsidR="006B5DF1" w:rsidRDefault="006B5DF1" w:rsidP="006B5DF1">
      <w:pPr>
        <w:spacing w:after="0"/>
      </w:pPr>
      <w:r>
        <w:t>&lt;ESMA_QUESTION_</w:t>
      </w:r>
      <w:r w:rsidR="004E60D2">
        <w:t>AAR</w:t>
      </w:r>
      <w:r>
        <w:t>_</w:t>
      </w:r>
      <w:r w:rsidR="003E7313">
        <w:t>16</w:t>
      </w:r>
      <w:r>
        <w:t>&gt;</w:t>
      </w:r>
    </w:p>
    <w:p w14:paraId="5202E936" w14:textId="77777777" w:rsidR="00D726A7" w:rsidRPr="00E034FB" w:rsidRDefault="00D726A7" w:rsidP="00D726A7">
      <w:r>
        <w:t xml:space="preserve">We understand that ESMA’s proposal for reporting of the activity and risk exposures of counterparties subject to the active account stems from a level 1 requirement, and are aligned in principle with implementing it. However, we hope to work with ESMA and our NCA to optimise this reporting </w:t>
      </w:r>
      <w:r>
        <w:lastRenderedPageBreak/>
        <w:t>so that it does not create a new heavy operational requirement, especially at a moment where the Commission sets ambitions for a simpler regulatory framework in the EU. We are concerned with some aspects of the reporting that appear to create redundancies with the existing EMIR reporting which is already remarkably granular and detailed. We also want to ensure that the information shared with our NCAs can be used to assess the efficiency of the AAR in promoting relocation of EUR clearing in the EU. However, ESMA’s expected report on the efficiency of the AAR measures is expected no later than June 2026, when only one bi-annual report would have been submitted by counterparties. We are concerned that an assessment by ESMA based on one report would not be able to capture the progress of EU actors towards the relocation of new activity appropriately. Additionally, the changing figures regarding the most relevant subcategories both among counterparties and among semesters for each counterparty individually will lead to difficulties for ESMA to read accurately the progress of relocation in an aggregate manner, as the aggregate figures will only represent the most traded subcategories during that semester, representing 6 reference periods at a maximum. We believe that a centralised approach where ESMA and/or NCAs coordinate with the authorised CCP and the third-country tier 2 CCP to obtain relevant aggregate information on all EU counterparties would be more efficient and more relevant to ESMA’s objective to assess the efficiency of the AAR measures in relocating EUR clearing within the EU.</w:t>
      </w:r>
    </w:p>
    <w:p w14:paraId="061AC34A" w14:textId="6D45AE2E" w:rsidR="006B5DF1" w:rsidRDefault="006B5DF1" w:rsidP="006B5DF1">
      <w:pPr>
        <w:spacing w:after="0"/>
      </w:pPr>
      <w:r>
        <w:t>&lt;ESMA_QUESTION_</w:t>
      </w:r>
      <w:r w:rsidR="004E60D2">
        <w:t>AAR</w:t>
      </w:r>
      <w:r>
        <w:t>_</w:t>
      </w:r>
      <w:r w:rsidR="003E7313">
        <w:t>16</w:t>
      </w:r>
      <w:r>
        <w:t>&gt;</w:t>
      </w:r>
    </w:p>
    <w:p w14:paraId="5847AC71" w14:textId="77777777" w:rsidR="006B5DF1" w:rsidRDefault="006B5DF1" w:rsidP="006B5DF1"/>
    <w:p w14:paraId="1B524BD5" w14:textId="77777777" w:rsidR="001B4160" w:rsidRPr="006B5DF1" w:rsidRDefault="001B4160" w:rsidP="006B5DF1"/>
    <w:p w14:paraId="2A3F75F1" w14:textId="5E39FDA7" w:rsidR="0029493B" w:rsidRDefault="004E60D2" w:rsidP="006B5DF1">
      <w:pPr>
        <w:pStyle w:val="Questionstyle"/>
      </w:pPr>
      <w:r w:rsidRPr="001F3E4E">
        <w:t>Do you consider that including information on margin activity</w:t>
      </w:r>
      <w:r>
        <w:t xml:space="preserve"> </w:t>
      </w:r>
      <w:r w:rsidRPr="001F3E4E">
        <w:t>in the AAR reporting requirement would provide valuable information on the activities and risk exposures of the counterparty?</w:t>
      </w:r>
    </w:p>
    <w:p w14:paraId="64D0F61C" w14:textId="77777777" w:rsidR="006B5DF1" w:rsidRDefault="006B5DF1" w:rsidP="006B5DF1"/>
    <w:p w14:paraId="19286DDF" w14:textId="71AD1483" w:rsidR="006B5DF1" w:rsidRDefault="006B5DF1" w:rsidP="006B5DF1">
      <w:pPr>
        <w:spacing w:after="0"/>
      </w:pPr>
      <w:r>
        <w:t>&lt;ESMA_QUESTION_</w:t>
      </w:r>
      <w:r w:rsidR="004E60D2">
        <w:t>AAR</w:t>
      </w:r>
      <w:r>
        <w:t>_</w:t>
      </w:r>
      <w:r w:rsidR="003E7313">
        <w:t>17</w:t>
      </w:r>
      <w:r>
        <w:t>&gt;</w:t>
      </w:r>
    </w:p>
    <w:p w14:paraId="1041F02A" w14:textId="77777777" w:rsidR="00D726A7" w:rsidRPr="001C1C3B" w:rsidRDefault="00D726A7" w:rsidP="00D726A7">
      <w:r>
        <w:t>We believe that including information on margin activity does not add value to the assessment of counterparties’ exposures relative to the information on gross and net notional amounts, as well as the number of trades. We believe this information is sufficient to have a good view on the activities and risk exposures of EU counterparties.</w:t>
      </w:r>
    </w:p>
    <w:p w14:paraId="434B1CE3" w14:textId="40AEA46D" w:rsidR="006B5DF1" w:rsidRDefault="006B5DF1" w:rsidP="006B5DF1">
      <w:pPr>
        <w:spacing w:after="0"/>
      </w:pPr>
      <w:r>
        <w:t>&lt;ESMA_QUESTION_</w:t>
      </w:r>
      <w:r w:rsidR="004E60D2">
        <w:t>AAR</w:t>
      </w:r>
      <w:r>
        <w:t>_</w:t>
      </w:r>
      <w:r w:rsidR="003E7313">
        <w:t>17</w:t>
      </w:r>
      <w:r>
        <w:t>&gt;</w:t>
      </w:r>
    </w:p>
    <w:p w14:paraId="70765E18" w14:textId="77777777" w:rsidR="006B5DF1" w:rsidRDefault="006B5DF1" w:rsidP="006B5DF1"/>
    <w:p w14:paraId="5D751DA0" w14:textId="77777777" w:rsidR="001B4160" w:rsidRPr="006B5DF1" w:rsidRDefault="001B4160" w:rsidP="006B5DF1"/>
    <w:p w14:paraId="5F9C6834" w14:textId="3D0B136F" w:rsidR="0029493B" w:rsidRDefault="004E60D2" w:rsidP="006B5DF1">
      <w:pPr>
        <w:pStyle w:val="Questionstyle"/>
      </w:pPr>
      <w:r>
        <w:t>Do you consider that including reporting on Unique Trade Identifiers (UTIs) would provide valuable information from a supervisory perspective?</w:t>
      </w:r>
    </w:p>
    <w:p w14:paraId="05102E08" w14:textId="77777777" w:rsidR="006B5DF1" w:rsidRDefault="006B5DF1" w:rsidP="006B5DF1"/>
    <w:p w14:paraId="236C5087" w14:textId="5B0D3214" w:rsidR="006B5DF1" w:rsidRDefault="006B5DF1" w:rsidP="006B5DF1">
      <w:pPr>
        <w:spacing w:after="0"/>
      </w:pPr>
      <w:r>
        <w:t>&lt;ESMA_QUESTION_</w:t>
      </w:r>
      <w:r w:rsidR="004E60D2">
        <w:t>AAR</w:t>
      </w:r>
      <w:r>
        <w:t>_</w:t>
      </w:r>
      <w:r w:rsidR="003E7313">
        <w:t>18</w:t>
      </w:r>
      <w:r>
        <w:t>&gt;</w:t>
      </w:r>
    </w:p>
    <w:p w14:paraId="1BEE76F3" w14:textId="77777777" w:rsidR="00D726A7" w:rsidRPr="00886240" w:rsidRDefault="00D726A7" w:rsidP="00D726A7">
      <w:r>
        <w:lastRenderedPageBreak/>
        <w:t>We believe that the requirement to include UTIs unnecessarily duplicates the reporting requirements as per Article 9 of EMIR, and does not provide any added value to the supervisors for the sake of monitoring the compliance with AAR, or for the sake of assessing the efficiency of the measures in relocating EUR clearing in the EU.</w:t>
      </w:r>
    </w:p>
    <w:p w14:paraId="51F035B1" w14:textId="5443497D" w:rsidR="006B5DF1" w:rsidRDefault="006B5DF1" w:rsidP="006B5DF1">
      <w:pPr>
        <w:spacing w:after="0"/>
      </w:pPr>
      <w:r>
        <w:t>&lt;ESMA_QUESTION_</w:t>
      </w:r>
      <w:r w:rsidR="004E60D2">
        <w:t>AAR</w:t>
      </w:r>
      <w:r>
        <w:t>_</w:t>
      </w:r>
      <w:r w:rsidR="003E7313">
        <w:t>18</w:t>
      </w:r>
      <w:r>
        <w:t>&gt;</w:t>
      </w:r>
    </w:p>
    <w:p w14:paraId="3D88C6AE" w14:textId="77777777" w:rsidR="006B5DF1" w:rsidRDefault="006B5DF1" w:rsidP="006B5DF1"/>
    <w:p w14:paraId="27164489" w14:textId="77777777" w:rsidR="001B4160" w:rsidRPr="006B5DF1" w:rsidRDefault="001B4160" w:rsidP="006B5DF1"/>
    <w:p w14:paraId="01EFD49C" w14:textId="08AC3034" w:rsidR="006B5DF1" w:rsidRDefault="0029493B">
      <w:pPr>
        <w:pStyle w:val="Questionstyle"/>
      </w:pPr>
      <w:r>
        <w:t>Do</w:t>
      </w:r>
      <w:r w:rsidR="004E60D2" w:rsidRPr="004E60D2">
        <w:t xml:space="preserve"> </w:t>
      </w:r>
      <w:r w:rsidR="004E60D2">
        <w:t>you agree with the proposed approach for the reporting of the operational conditions</w:t>
      </w:r>
      <w:r w:rsidR="004E60D2" w:rsidRPr="008B7278">
        <w:t>?</w:t>
      </w:r>
    </w:p>
    <w:p w14:paraId="66AD22F0" w14:textId="77777777" w:rsidR="001B4160" w:rsidRPr="001B4160" w:rsidRDefault="001B4160" w:rsidP="001B4160"/>
    <w:p w14:paraId="5C3EF62A" w14:textId="7195045C" w:rsidR="006B5DF1" w:rsidRDefault="006B5DF1" w:rsidP="006B5DF1">
      <w:pPr>
        <w:spacing w:after="0"/>
      </w:pPr>
      <w:r>
        <w:t>&lt;ESMA_QUESTION_</w:t>
      </w:r>
      <w:r w:rsidR="004E60D2">
        <w:t>AAR</w:t>
      </w:r>
      <w:r>
        <w:t>_</w:t>
      </w:r>
      <w:r w:rsidR="003E7313">
        <w:t>19</w:t>
      </w:r>
      <w:r>
        <w:t>&gt;</w:t>
      </w:r>
    </w:p>
    <w:p w14:paraId="6F06BBB7" w14:textId="77777777" w:rsidR="00D726A7" w:rsidRPr="00B230C7" w:rsidRDefault="00D726A7" w:rsidP="00D726A7">
      <w:r>
        <w:t>While we understand the rationale behind the approach, we warn ESMA, as per our previous responses, of the risk that the authorised CCP does not fully cooperate to provide clearing members with the necessary statements certifying their compliance with the operational conditions free of charge.</w:t>
      </w:r>
    </w:p>
    <w:p w14:paraId="3AD2704A" w14:textId="1AAFE00D" w:rsidR="006B5DF1" w:rsidRDefault="006B5DF1" w:rsidP="006B5DF1">
      <w:pPr>
        <w:spacing w:after="0"/>
      </w:pPr>
      <w:r>
        <w:t>&lt;ESMA_QUESTION_</w:t>
      </w:r>
      <w:r w:rsidR="004E60D2">
        <w:t>AAR</w:t>
      </w:r>
      <w:r>
        <w:t>_</w:t>
      </w:r>
      <w:r w:rsidR="003E7313">
        <w:t>19</w:t>
      </w:r>
      <w:r>
        <w:t>&gt;</w:t>
      </w:r>
    </w:p>
    <w:p w14:paraId="11145135" w14:textId="77777777" w:rsidR="006B5DF1" w:rsidRDefault="006B5DF1" w:rsidP="006B5DF1"/>
    <w:p w14:paraId="4B8A085F" w14:textId="77777777" w:rsidR="001B4160" w:rsidRPr="006B5DF1" w:rsidRDefault="001B4160" w:rsidP="006B5DF1"/>
    <w:p w14:paraId="7F993E5C" w14:textId="684D1FEB" w:rsidR="006B5DF1" w:rsidRDefault="001B4160">
      <w:pPr>
        <w:pStyle w:val="Questionstyle"/>
      </w:pPr>
      <w:r w:rsidRPr="008B7278">
        <w:t xml:space="preserve">Do </w:t>
      </w:r>
      <w:r>
        <w:t>you agree with the proposed approach for the reporting of the representativeness obligation</w:t>
      </w:r>
      <w:r w:rsidRPr="008B7278">
        <w:t>?</w:t>
      </w:r>
    </w:p>
    <w:p w14:paraId="14DD3DA5" w14:textId="77777777" w:rsidR="001B4160" w:rsidRPr="001B4160" w:rsidRDefault="001B4160" w:rsidP="001B4160"/>
    <w:p w14:paraId="2DE9D9DE" w14:textId="0A700DF5" w:rsidR="006B5DF1" w:rsidRDefault="006B5DF1" w:rsidP="006B5DF1">
      <w:pPr>
        <w:spacing w:after="0"/>
      </w:pPr>
      <w:r>
        <w:t>&lt;ESMA_QUESTION_</w:t>
      </w:r>
      <w:r w:rsidR="004E60D2">
        <w:t>AAR</w:t>
      </w:r>
      <w:r>
        <w:t>_</w:t>
      </w:r>
      <w:r w:rsidR="003E7313">
        <w:t>20</w:t>
      </w:r>
      <w:r>
        <w:t>&gt;</w:t>
      </w:r>
    </w:p>
    <w:p w14:paraId="4286B654" w14:textId="77777777" w:rsidR="00D726A7" w:rsidRPr="00B230C7" w:rsidRDefault="00D726A7" w:rsidP="00D726A7">
      <w:r>
        <w:t>We understand ESMA’s approach and its objective, we however believe that these objectives could be achieved with a less cumbersome approach, notably by reducing the redundancies in the information required with the article 9 reporting, and ensuring the reporting does not lead to reports that are difficult to read, interpret or aggregate by supervisors, and pose at the same time heavy operational constraints on reporting entities.</w:t>
      </w:r>
    </w:p>
    <w:p w14:paraId="693695D5" w14:textId="73531578" w:rsidR="006B5DF1" w:rsidRDefault="006B5DF1" w:rsidP="006B5DF1">
      <w:pPr>
        <w:spacing w:after="0"/>
      </w:pPr>
      <w:r>
        <w:t>&lt;ESMA_QUESTION_</w:t>
      </w:r>
      <w:r w:rsidR="004E60D2">
        <w:t>AAR</w:t>
      </w:r>
      <w:r>
        <w:t>_</w:t>
      </w:r>
      <w:r w:rsidR="003E7313">
        <w:t>20</w:t>
      </w:r>
      <w:r>
        <w:t>&gt;</w:t>
      </w:r>
    </w:p>
    <w:p w14:paraId="00D929F2" w14:textId="77777777" w:rsidR="006B5DF1" w:rsidRDefault="006B5DF1" w:rsidP="006B5DF1"/>
    <w:p w14:paraId="6D0715F2" w14:textId="77777777" w:rsidR="001B4160" w:rsidRPr="006B5DF1" w:rsidRDefault="001B4160" w:rsidP="006B5DF1"/>
    <w:p w14:paraId="4BCB5EF3" w14:textId="3A3FF045" w:rsidR="006B5DF1" w:rsidRDefault="001B4160">
      <w:pPr>
        <w:pStyle w:val="Questionstyle"/>
      </w:pPr>
      <w:r w:rsidRPr="008B7278">
        <w:t xml:space="preserve">Do </w:t>
      </w:r>
      <w:r>
        <w:t>you agree with the proposed approach to standardise the reporting arrangements under the active account requirement</w:t>
      </w:r>
      <w:r w:rsidRPr="008B7278">
        <w:t>?</w:t>
      </w:r>
    </w:p>
    <w:p w14:paraId="60E0BB54" w14:textId="77777777" w:rsidR="001B4160" w:rsidRPr="001B4160" w:rsidRDefault="001B4160" w:rsidP="001B4160"/>
    <w:p w14:paraId="30A46B82" w14:textId="1B851A34" w:rsidR="006B5DF1" w:rsidRDefault="006B5DF1" w:rsidP="006B5DF1">
      <w:pPr>
        <w:spacing w:after="0"/>
      </w:pPr>
      <w:r>
        <w:lastRenderedPageBreak/>
        <w:t>&lt;ESMA_QUESTION_</w:t>
      </w:r>
      <w:r w:rsidR="004E60D2">
        <w:t>AAR</w:t>
      </w:r>
      <w:r>
        <w:t>_</w:t>
      </w:r>
      <w:r w:rsidR="003E7313">
        <w:t>21</w:t>
      </w:r>
      <w:r>
        <w:t>&gt;</w:t>
      </w:r>
    </w:p>
    <w:p w14:paraId="2EBD2BFA" w14:textId="54600B35" w:rsidR="006B5DF1" w:rsidRDefault="00D726A7" w:rsidP="006B5DF1">
      <w:pPr>
        <w:spacing w:after="0"/>
      </w:pPr>
      <w:permStart w:id="2065267156" w:edGrp="everyone"/>
      <w:r>
        <w:t xml:space="preserve"> </w:t>
      </w:r>
    </w:p>
    <w:permEnd w:id="2065267156"/>
    <w:p w14:paraId="2A4CCFD1" w14:textId="46580541" w:rsidR="006B5DF1" w:rsidRDefault="006B5DF1" w:rsidP="006B5DF1">
      <w:pPr>
        <w:spacing w:after="0"/>
      </w:pPr>
      <w:r>
        <w:t>&lt;ESMA_QUESTION_</w:t>
      </w:r>
      <w:r w:rsidR="004E60D2">
        <w:t>AAR</w:t>
      </w:r>
      <w:r>
        <w:t>_</w:t>
      </w:r>
      <w:r w:rsidR="003E7313">
        <w:t>21</w:t>
      </w:r>
      <w:r>
        <w:t>&gt;</w:t>
      </w:r>
    </w:p>
    <w:p w14:paraId="188322A6" w14:textId="77777777" w:rsidR="006B5DF1" w:rsidRPr="006B5DF1" w:rsidRDefault="006B5DF1" w:rsidP="006B5DF1"/>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0576D" w14:textId="77777777" w:rsidR="00A25514" w:rsidRDefault="00A25514" w:rsidP="00F716D4">
      <w:r>
        <w:separator/>
      </w:r>
    </w:p>
    <w:p w14:paraId="0CC6D3BB" w14:textId="77777777" w:rsidR="00A25514" w:rsidRDefault="00A25514" w:rsidP="00F716D4"/>
  </w:endnote>
  <w:endnote w:type="continuationSeparator" w:id="0">
    <w:p w14:paraId="450C5920" w14:textId="77777777" w:rsidR="00A25514" w:rsidRDefault="00A25514" w:rsidP="00F716D4">
      <w:r>
        <w:continuationSeparator/>
      </w:r>
    </w:p>
    <w:p w14:paraId="05C3F2D3" w14:textId="77777777" w:rsidR="00A25514" w:rsidRDefault="00A25514" w:rsidP="00F716D4"/>
  </w:endnote>
  <w:endnote w:type="continuationNotice" w:id="1">
    <w:p w14:paraId="4E58DE76" w14:textId="77777777" w:rsidR="00A25514" w:rsidRDefault="00A2551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A1B3" w14:textId="77777777" w:rsidR="000710C1" w:rsidRDefault="000710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BF24" w14:textId="77777777" w:rsidR="000710C1" w:rsidRDefault="000710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B4C5" w14:textId="77777777" w:rsidR="000710C1" w:rsidRDefault="000710C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0197" w14:textId="6A78506F"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r w:rsidRPr="00A8626B">
        <w:rPr>
          <w:rStyle w:val="Lienhypertexte"/>
          <w:sz w:val="15"/>
          <w:szCs w:val="15"/>
          <w:lang w:val="fr-BE"/>
        </w:rPr>
        <w:t>europa</w:t>
      </w:r>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406238">
          <w:rPr>
            <w:noProof/>
            <w:color w:val="001B4F"/>
            <w:sz w:val="15"/>
            <w:szCs w:val="15"/>
            <w:lang w:val="fr-FR"/>
          </w:rPr>
          <w:t>1</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E6B7A" w14:textId="77777777" w:rsidR="00A25514" w:rsidRDefault="00A25514" w:rsidP="00F716D4">
      <w:r>
        <w:separator/>
      </w:r>
    </w:p>
    <w:p w14:paraId="07EDEE35" w14:textId="77777777" w:rsidR="00A25514" w:rsidRDefault="00A25514" w:rsidP="00F716D4"/>
  </w:footnote>
  <w:footnote w:type="continuationSeparator" w:id="0">
    <w:p w14:paraId="758F14B9" w14:textId="77777777" w:rsidR="00A25514" w:rsidRDefault="00A25514" w:rsidP="00F716D4">
      <w:r>
        <w:continuationSeparator/>
      </w:r>
    </w:p>
    <w:p w14:paraId="0D1B061B" w14:textId="77777777" w:rsidR="00A25514" w:rsidRDefault="00A25514" w:rsidP="00F716D4"/>
  </w:footnote>
  <w:footnote w:type="continuationNotice" w:id="1">
    <w:p w14:paraId="235DE481" w14:textId="77777777" w:rsidR="00A25514" w:rsidRDefault="00A2551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972D" w14:textId="77777777" w:rsidR="000710C1" w:rsidRDefault="000710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F162" w14:textId="77777777" w:rsidR="000710C1" w:rsidRDefault="000710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BF1B" w14:textId="77777777"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lang w:eastAsia="ja-JP"/>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4E60D2">
      <w:rPr>
        <w:rStyle w:val="normaltextrun"/>
        <w:color w:val="001B4F"/>
        <w:sz w:val="16"/>
        <w:szCs w:val="16"/>
        <w:shd w:val="clear" w:color="auto" w:fill="FFFFFF"/>
      </w:rPr>
      <w:t>20 November 2024</w:t>
    </w:r>
  </w:p>
  <w:p w14:paraId="5AC1769D" w14:textId="369C96D5" w:rsidR="004E60D2" w:rsidRDefault="004E60D2" w:rsidP="000710C1">
    <w:pPr>
      <w:jc w:val="right"/>
    </w:pPr>
    <w:r>
      <w:rPr>
        <w:rStyle w:val="normaltextrun"/>
        <w:color w:val="001B4F"/>
        <w:sz w:val="16"/>
        <w:szCs w:val="16"/>
        <w:shd w:val="clear" w:color="auto" w:fill="FFFFFF"/>
      </w:rPr>
      <w:t>ESMA</w:t>
    </w:r>
    <w:r w:rsidR="000710C1" w:rsidRPr="000710C1">
      <w:rPr>
        <w:rStyle w:val="normaltextrun"/>
        <w:color w:val="001B4F"/>
        <w:sz w:val="16"/>
        <w:szCs w:val="16"/>
        <w:shd w:val="clear" w:color="auto" w:fill="FFFFFF"/>
      </w:rPr>
      <w:t>91-1505572268-3964</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lang w:eastAsia="ja-JP"/>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9"/>
  </w:num>
  <w:num w:numId="4">
    <w:abstractNumId w:val="22"/>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21"/>
  </w:num>
  <w:num w:numId="14">
    <w:abstractNumId w:val="8"/>
  </w:num>
  <w:num w:numId="15">
    <w:abstractNumId w:val="1"/>
  </w:num>
  <w:num w:numId="16">
    <w:abstractNumId w:val="12"/>
  </w:num>
  <w:num w:numId="17">
    <w:abstractNumId w:val="13"/>
  </w:num>
  <w:num w:numId="18">
    <w:abstractNumId w:val="15"/>
  </w:num>
  <w:num w:numId="19">
    <w:abstractNumId w:val="24"/>
  </w:num>
  <w:num w:numId="20">
    <w:abstractNumId w:val="33"/>
  </w:num>
  <w:num w:numId="21">
    <w:abstractNumId w:val="23"/>
  </w:num>
  <w:num w:numId="22">
    <w:abstractNumId w:val="7"/>
  </w:num>
  <w:num w:numId="23">
    <w:abstractNumId w:val="27"/>
  </w:num>
  <w:num w:numId="24">
    <w:abstractNumId w:val="26"/>
  </w:num>
  <w:num w:numId="25">
    <w:abstractNumId w:val="18"/>
  </w:num>
  <w:num w:numId="26">
    <w:abstractNumId w:val="30"/>
  </w:num>
  <w:num w:numId="27">
    <w:abstractNumId w:val="35"/>
  </w:num>
  <w:num w:numId="28">
    <w:abstractNumId w:val="5"/>
  </w:num>
  <w:num w:numId="29">
    <w:abstractNumId w:val="2"/>
  </w:num>
  <w:num w:numId="30">
    <w:abstractNumId w:val="20"/>
  </w:num>
  <w:num w:numId="31">
    <w:abstractNumId w:val="19"/>
  </w:num>
  <w:num w:numId="32">
    <w:abstractNumId w:val="32"/>
  </w:num>
  <w:num w:numId="33">
    <w:abstractNumId w:val="31"/>
  </w:num>
  <w:num w:numId="34">
    <w:abstractNumId w:val="10"/>
  </w:num>
  <w:num w:numId="35">
    <w:abstractNumId w:val="16"/>
  </w:num>
  <w:num w:numId="36">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238"/>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2B2"/>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514"/>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26A7"/>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A1A1A" w:themeColor="background1" w:themeShade="1A"/>
      <w:sz w:val="22"/>
      <w:szCs w:val="22"/>
      <w:lang w:eastAsia="en-US"/>
    </w:rPr>
  </w:style>
  <w:style w:type="character" w:customStyle="1" w:styleId="Titre8Car">
    <w:name w:val="Titre 8 Car"/>
    <w:link w:val="Titre8"/>
    <w:rsid w:val="002D6E1A"/>
    <w:rPr>
      <w:rFonts w:eastAsiaTheme="minorEastAsia" w:cs="Arial"/>
      <w:i/>
      <w:iCs/>
      <w:color w:val="1A1A1A"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A1A1A"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Emphase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79646"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customStyle="1" w:styleId="UnresolvedMention">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Policepardfau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61</Value>
      <Value>17</Value>
      <Value>10</Value>
      <Value>471</Value>
      <Value>469</Value>
    </TaxCatchAll>
    <_dlc_DocId xmlns="d0fb0f98-34f9-4d57-9559-eb8efd17aa5e">ESMA91-1505572268-3964</_dlc_DocId>
    <_dlc_DocIdUrl xmlns="d0fb0f98-34f9-4d57-9559-eb8efd17aa5e">
      <Url>https://securitiesandmarketsauth.sharepoint.com/sites/sherpa-ccp/_layouts/15/DocIdRedir.aspx?ID=ESMA91-1505572268-3964</Url>
      <Description>ESMA91-1505572268-3964</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Active Account Requirement</TermName>
          <TermId xmlns="http://schemas.microsoft.com/office/infopath/2007/PartnerControls">8cf920ee-1699-40dd-8018-0179d9e7da19</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5.xml><?xml version="1.0" encoding="utf-8"?>
<ds:datastoreItem xmlns:ds="http://schemas.openxmlformats.org/officeDocument/2006/customXml" ds:itemID="{B3935337-FF44-4093-B728-81FA0830275C}">
  <ds:schemaRefs>
    <ds:schemaRef ds:uri="http://schemas.openxmlformats.org/officeDocument/2006/bibliography"/>
  </ds:schemaRefs>
</ds:datastoreItem>
</file>

<file path=customXml/itemProps6.xml><?xml version="1.0" encoding="utf-8"?>
<ds:datastoreItem xmlns:ds="http://schemas.openxmlformats.org/officeDocument/2006/customXml" ds:itemID="{A850D268-39FE-4677-B578-BAF46322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3062</Words>
  <Characters>17459</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Reply form for the MiFID II/MiFIR Consultation Paper</vt:lpstr>
    </vt:vector>
  </TitlesOfParts>
  <Company>ESMA</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OUNJEMA, Mehdi (CA-CIB)</cp:lastModifiedBy>
  <cp:revision>2</cp:revision>
  <cp:lastPrinted>2015-02-18T20:01:00Z</cp:lastPrinted>
  <dcterms:created xsi:type="dcterms:W3CDTF">2025-01-27T19:02:00Z</dcterms:created>
  <dcterms:modified xsi:type="dcterms:W3CDTF">2025-01-27T19:02:00Z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459b19f7-74a7-4ee2-8111-ef31ab4ddeda</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ies>
</file>