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BC2D" w14:textId="6EFBA5C0" w:rsidR="00C54034" w:rsidRDefault="00C54034" w:rsidP="00F716D4">
      <w:bookmarkStart w:id="0" w:name="_Hlk124776001"/>
      <w:bookmarkStart w:id="1" w:name="_Hlk124776067"/>
      <w:bookmarkStart w:id="2" w:name="_Hlk124776338"/>
      <w:bookmarkStart w:id="3" w:name="_Hlk188607500"/>
    </w:p>
    <w:p w14:paraId="4712A2DF" w14:textId="77777777" w:rsidR="00C54034" w:rsidRDefault="00C54034" w:rsidP="00F716D4"/>
    <w:p w14:paraId="36E65717" w14:textId="77777777" w:rsidR="00F87468" w:rsidRPr="008159EE" w:rsidRDefault="00F87468" w:rsidP="00F716D4">
      <w:pPr>
        <w:rPr>
          <w:rFonts w:eastAsiaTheme="majorEastAsia"/>
          <w:b/>
          <w:bCs/>
          <w:color w:val="00379F"/>
          <w:sz w:val="56"/>
          <w:szCs w:val="56"/>
        </w:rPr>
      </w:pPr>
      <w:r w:rsidRPr="008159EE">
        <w:rPr>
          <w:rFonts w:eastAsiaTheme="majorEastAsia"/>
          <w:b/>
          <w:bCs/>
          <w:color w:val="00379F"/>
          <w:sz w:val="56"/>
          <w:szCs w:val="56"/>
        </w:rPr>
        <w:t xml:space="preserve">Reply </w:t>
      </w:r>
      <w:bookmarkStart w:id="4" w:name="_Hlk124776289"/>
      <w:r w:rsidRPr="008159EE">
        <w:rPr>
          <w:rFonts w:eastAsiaTheme="majorEastAsia"/>
          <w:b/>
          <w:bCs/>
          <w:color w:val="00379F"/>
          <w:sz w:val="56"/>
          <w:szCs w:val="56"/>
        </w:rPr>
        <w:t>form</w:t>
      </w:r>
      <w:bookmarkEnd w:id="0"/>
    </w:p>
    <w:p w14:paraId="75AB79F2" w14:textId="0DE6E3A6" w:rsidR="004E60D2" w:rsidRPr="008159EE" w:rsidRDefault="004E60D2" w:rsidP="004E60D2">
      <w:pPr>
        <w:pStyle w:val="Untertitel"/>
        <w:spacing w:after="0"/>
        <w:rPr>
          <w:b w:val="0"/>
          <w:bCs w:val="0"/>
        </w:rPr>
        <w:sectPr w:rsidR="004E60D2" w:rsidRPr="008159EE" w:rsidSect="004E60D2">
          <w:headerReference w:type="first" r:id="rId13"/>
          <w:pgSz w:w="11906" w:h="16838" w:code="9"/>
          <w:pgMar w:top="1418" w:right="1418" w:bottom="1418" w:left="1418" w:header="862" w:footer="862" w:gutter="0"/>
          <w:pgNumType w:start="0"/>
          <w:cols w:space="708"/>
          <w:titlePg/>
          <w:docGrid w:linePitch="360"/>
        </w:sectPr>
      </w:pPr>
      <w:r w:rsidRPr="008159EE">
        <w:t>Conditions of the Active Account Requirement</w:t>
      </w:r>
      <w:r w:rsidR="00D45BA5">
        <w:rPr>
          <w:noProof/>
        </w:rPr>
        <w:pict w14:anchorId="4446B1D8">
          <v:shape id="Freeform: Shape 1" o:spid="_x0000_s2050" style="position:absolute;left:0;text-align:left;margin-left:-.45pt;margin-top:53.75pt;width:596.1pt;height:76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w:r>
    </w:p>
    <w:p w14:paraId="1B9D7190" w14:textId="61B9ACE7" w:rsidR="00F574D0" w:rsidRPr="008159EE" w:rsidRDefault="004E60D2" w:rsidP="004E60D2">
      <w:pPr>
        <w:pStyle w:val="Untertitel"/>
      </w:pPr>
      <w:r w:rsidRPr="008159EE">
        <w:lastRenderedPageBreak/>
        <w:t xml:space="preserve"> </w:t>
      </w:r>
      <w:bookmarkStart w:id="5" w:name="_Toc280628648"/>
      <w:bookmarkEnd w:id="1"/>
      <w:bookmarkEnd w:id="2"/>
      <w:bookmarkEnd w:id="4"/>
      <w:r w:rsidR="00F574D0" w:rsidRPr="008159EE">
        <w:t xml:space="preserve">Responding to this paper </w:t>
      </w:r>
    </w:p>
    <w:p w14:paraId="239321DC" w14:textId="77777777" w:rsidR="00E70E2E" w:rsidRPr="008159EE" w:rsidRDefault="00E70E2E" w:rsidP="00E70E2E">
      <w:r w:rsidRPr="008159EE">
        <w:t>ESMA invites comments on all matters in the Consultation Paper and in particular on the specific questions in this reply form. Comments are most helpful if they:</w:t>
      </w:r>
    </w:p>
    <w:p w14:paraId="5E86C3E5" w14:textId="77777777" w:rsidR="00E70E2E" w:rsidRPr="008159EE" w:rsidRDefault="00E70E2E" w:rsidP="00E43387">
      <w:pPr>
        <w:pStyle w:val="Listenabsatz"/>
        <w:numPr>
          <w:ilvl w:val="0"/>
          <w:numId w:val="35"/>
        </w:numPr>
        <w:contextualSpacing w:val="0"/>
      </w:pPr>
      <w:r w:rsidRPr="008159EE">
        <w:t>respond to the question stated;</w:t>
      </w:r>
    </w:p>
    <w:p w14:paraId="73161343" w14:textId="77777777" w:rsidR="00E70E2E" w:rsidRPr="008159EE" w:rsidRDefault="00E70E2E" w:rsidP="00E43387">
      <w:pPr>
        <w:pStyle w:val="Listenabsatz"/>
        <w:numPr>
          <w:ilvl w:val="0"/>
          <w:numId w:val="35"/>
        </w:numPr>
        <w:contextualSpacing w:val="0"/>
      </w:pPr>
      <w:r w:rsidRPr="008159EE">
        <w:t>indicate the specific question to which the comment relates;</w:t>
      </w:r>
    </w:p>
    <w:p w14:paraId="30EDE0D6" w14:textId="77777777" w:rsidR="00E70E2E" w:rsidRPr="008159EE" w:rsidRDefault="00E70E2E" w:rsidP="00E43387">
      <w:pPr>
        <w:pStyle w:val="Listenabsatz"/>
        <w:numPr>
          <w:ilvl w:val="0"/>
          <w:numId w:val="35"/>
        </w:numPr>
        <w:contextualSpacing w:val="0"/>
      </w:pPr>
      <w:r w:rsidRPr="008159EE">
        <w:t>contain a clear rationale; and</w:t>
      </w:r>
    </w:p>
    <w:p w14:paraId="30D73002" w14:textId="77777777" w:rsidR="00E70E2E" w:rsidRPr="008159EE" w:rsidRDefault="00E70E2E" w:rsidP="00E43387">
      <w:pPr>
        <w:pStyle w:val="Listenabsatz"/>
        <w:numPr>
          <w:ilvl w:val="0"/>
          <w:numId w:val="35"/>
        </w:numPr>
        <w:contextualSpacing w:val="0"/>
      </w:pPr>
      <w:r w:rsidRPr="008159EE">
        <w:t>describe any alternatives ESMA should consider.</w:t>
      </w:r>
    </w:p>
    <w:p w14:paraId="4A599464" w14:textId="3F46E7B7" w:rsidR="00E70E2E" w:rsidRPr="008159EE" w:rsidRDefault="00E70E2E" w:rsidP="00E70E2E">
      <w:pPr>
        <w:rPr>
          <w:b/>
        </w:rPr>
      </w:pPr>
      <w:r w:rsidRPr="008159EE">
        <w:t xml:space="preserve">ESMA will consider all comments received by </w:t>
      </w:r>
      <w:r w:rsidR="004E60D2" w:rsidRPr="008159EE">
        <w:rPr>
          <w:b/>
        </w:rPr>
        <w:t>27</w:t>
      </w:r>
      <w:r w:rsidR="009E1C55" w:rsidRPr="008159EE">
        <w:rPr>
          <w:b/>
        </w:rPr>
        <w:t xml:space="preserve"> </w:t>
      </w:r>
      <w:r w:rsidR="002E2DC6" w:rsidRPr="008159EE">
        <w:rPr>
          <w:b/>
        </w:rPr>
        <w:t>January</w:t>
      </w:r>
      <w:r w:rsidR="009E1C55" w:rsidRPr="008159EE">
        <w:rPr>
          <w:b/>
        </w:rPr>
        <w:t xml:space="preserve"> </w:t>
      </w:r>
      <w:r w:rsidR="005A775C" w:rsidRPr="008159EE">
        <w:rPr>
          <w:b/>
        </w:rPr>
        <w:t>202</w:t>
      </w:r>
      <w:r w:rsidR="002E2DC6" w:rsidRPr="008159EE">
        <w:rPr>
          <w:b/>
        </w:rPr>
        <w:t>5</w:t>
      </w:r>
      <w:r w:rsidRPr="008159EE">
        <w:rPr>
          <w:b/>
        </w:rPr>
        <w:t xml:space="preserve">. </w:t>
      </w:r>
    </w:p>
    <w:p w14:paraId="41568876" w14:textId="77777777" w:rsidR="00F574D0" w:rsidRPr="008159EE" w:rsidRDefault="00F574D0" w:rsidP="009D6E99">
      <w:pPr>
        <w:pStyle w:val="aNew-Level33"/>
      </w:pPr>
      <w:r w:rsidRPr="008159EE">
        <w:t>Instructions</w:t>
      </w:r>
    </w:p>
    <w:p w14:paraId="62FC7F26" w14:textId="77777777" w:rsidR="009D6E99" w:rsidRPr="008159EE" w:rsidRDefault="009D6E99" w:rsidP="009D6E99">
      <w:r w:rsidRPr="008159EE">
        <w:t>In order to facilitate analysis of responses to the Consultation Paper, respondents are requested to follow the below steps when preparing and submitting their response:</w:t>
      </w:r>
    </w:p>
    <w:p w14:paraId="0BA6B4DE" w14:textId="77777777" w:rsidR="009D6E99" w:rsidRPr="008159EE" w:rsidRDefault="009D6E99" w:rsidP="00E43387">
      <w:pPr>
        <w:pStyle w:val="Listenabsatz"/>
        <w:numPr>
          <w:ilvl w:val="0"/>
          <w:numId w:val="35"/>
        </w:numPr>
        <w:contextualSpacing w:val="0"/>
      </w:pPr>
      <w:r w:rsidRPr="008159EE">
        <w:t xml:space="preserve">Insert your responses to the questions in the Consultation Paper in this reply form. </w:t>
      </w:r>
    </w:p>
    <w:p w14:paraId="15756259" w14:textId="213AE18C" w:rsidR="009D6E99" w:rsidRPr="008159EE" w:rsidRDefault="009D6E99" w:rsidP="00E43387">
      <w:pPr>
        <w:pStyle w:val="Listenabsatz"/>
        <w:numPr>
          <w:ilvl w:val="0"/>
          <w:numId w:val="35"/>
        </w:numPr>
        <w:contextualSpacing w:val="0"/>
      </w:pPr>
      <w:r w:rsidRPr="008159EE">
        <w:t>Please do not remove tags of the type &lt;ESMA_QUESTION</w:t>
      </w:r>
      <w:r w:rsidR="00C05202" w:rsidRPr="008159EE">
        <w:t>_</w:t>
      </w:r>
      <w:r w:rsidR="004E60D2" w:rsidRPr="008159EE">
        <w:t>AAR</w:t>
      </w:r>
      <w:r w:rsidR="00C05202" w:rsidRPr="008159EE">
        <w:t>_</w:t>
      </w:r>
      <w:r w:rsidRPr="008159EE">
        <w:t>1&gt;. Your response to each question has to be framed by the two tags corresponding to the question.</w:t>
      </w:r>
    </w:p>
    <w:p w14:paraId="534A9E90" w14:textId="77777777" w:rsidR="009D6E99" w:rsidRPr="008159EE" w:rsidRDefault="009D6E99" w:rsidP="00E43387">
      <w:pPr>
        <w:pStyle w:val="Listenabsatz"/>
        <w:numPr>
          <w:ilvl w:val="0"/>
          <w:numId w:val="35"/>
        </w:numPr>
        <w:contextualSpacing w:val="0"/>
      </w:pPr>
      <w:r w:rsidRPr="008159EE">
        <w:t>If you do not wish to respond to a given question, please do not delete it but simply leave the text “TYPE YOUR TEXT HERE” between the tags.</w:t>
      </w:r>
    </w:p>
    <w:p w14:paraId="399C1605" w14:textId="30CB4C5E" w:rsidR="009D6E99" w:rsidRPr="008159EE" w:rsidRDefault="009D6E99" w:rsidP="00E43387">
      <w:pPr>
        <w:pStyle w:val="Listenabsatz"/>
        <w:numPr>
          <w:ilvl w:val="0"/>
          <w:numId w:val="35"/>
        </w:numPr>
        <w:contextualSpacing w:val="0"/>
      </w:pPr>
      <w:r w:rsidRPr="008159EE">
        <w:t>When you have drafted your responses, save the reply form according to the following convention: ESMA_</w:t>
      </w:r>
      <w:r w:rsidR="004E60D2" w:rsidRPr="008159EE">
        <w:t>AAR</w:t>
      </w:r>
      <w:r w:rsidRPr="008159EE">
        <w:t>_name</w:t>
      </w:r>
      <w:r w:rsidR="0078235D" w:rsidRPr="008159EE">
        <w:t xml:space="preserve"> </w:t>
      </w:r>
      <w:r w:rsidRPr="008159EE">
        <w:t>of</w:t>
      </w:r>
      <w:r w:rsidR="0078235D" w:rsidRPr="008159EE">
        <w:t xml:space="preserve"> </w:t>
      </w:r>
      <w:r w:rsidRPr="008159EE">
        <w:t xml:space="preserve">respondent. </w:t>
      </w:r>
    </w:p>
    <w:p w14:paraId="115A7ABF" w14:textId="1196D22E" w:rsidR="009D6E99" w:rsidRPr="008159EE" w:rsidRDefault="009D6E99" w:rsidP="009D6E99">
      <w:pPr>
        <w:pStyle w:val="Listenabsatz"/>
        <w:ind w:left="360"/>
        <w:contextualSpacing w:val="0"/>
      </w:pPr>
      <w:r w:rsidRPr="008159EE">
        <w:t>For example, for a respondent named ABCD, the reply form would be saved with the following name: ESMA_</w:t>
      </w:r>
      <w:r w:rsidR="004E60D2" w:rsidRPr="008159EE">
        <w:t>AAR</w:t>
      </w:r>
      <w:r w:rsidRPr="008159EE">
        <w:t>_ABCD.</w:t>
      </w:r>
    </w:p>
    <w:p w14:paraId="175B3887" w14:textId="22A43A3A" w:rsidR="009D6E99" w:rsidRPr="008159EE" w:rsidRDefault="009D6E99" w:rsidP="00E43387">
      <w:pPr>
        <w:pStyle w:val="Listenabsatz"/>
        <w:numPr>
          <w:ilvl w:val="0"/>
          <w:numId w:val="35"/>
        </w:numPr>
        <w:contextualSpacing w:val="0"/>
      </w:pPr>
      <w:r w:rsidRPr="008159EE">
        <w:t>Upload the Word reply form containing your responses to ESMA’s website (</w:t>
      </w:r>
      <w:r w:rsidRPr="008159EE">
        <w:rPr>
          <w:b/>
          <w:bCs/>
        </w:rPr>
        <w:t>pdf documents will not be considered except for annexes</w:t>
      </w:r>
      <w:r w:rsidRPr="008159EE">
        <w:t xml:space="preserve">). All contributions should be submitted online at </w:t>
      </w:r>
      <w:hyperlink r:id="rId15" w:history="1">
        <w:r w:rsidRPr="008159EE">
          <w:rPr>
            <w:rStyle w:val="Hyperlink"/>
          </w:rPr>
          <w:t>www.esma.europa.eu</w:t>
        </w:r>
      </w:hyperlink>
      <w:r w:rsidRPr="008159EE">
        <w:t xml:space="preserve"> under the heading ‘Your input - Consultations’. </w:t>
      </w:r>
    </w:p>
    <w:p w14:paraId="5CAD07C6" w14:textId="66BCF42C" w:rsidR="009D6E99" w:rsidRPr="008159EE" w:rsidRDefault="009D6E99" w:rsidP="00F716D4">
      <w:pPr>
        <w:pStyle w:val="04BodyText"/>
      </w:pPr>
    </w:p>
    <w:p w14:paraId="0BB7D72B" w14:textId="77777777" w:rsidR="009D6E99" w:rsidRPr="008159EE" w:rsidRDefault="009D6E99" w:rsidP="00F716D4">
      <w:pPr>
        <w:pStyle w:val="04BodyText"/>
      </w:pPr>
    </w:p>
    <w:p w14:paraId="6D4B8935" w14:textId="7D7C9728" w:rsidR="009D6E99" w:rsidRPr="008159EE" w:rsidRDefault="009D6E99" w:rsidP="00F716D4">
      <w:pPr>
        <w:pStyle w:val="04BodyText"/>
      </w:pPr>
    </w:p>
    <w:p w14:paraId="25DC3693" w14:textId="77777777" w:rsidR="009D6E99" w:rsidRPr="008159EE" w:rsidRDefault="009D6E99" w:rsidP="009D6E99">
      <w:pPr>
        <w:pStyle w:val="aNew-Level33"/>
      </w:pPr>
      <w:r w:rsidRPr="008159EE">
        <w:lastRenderedPageBreak/>
        <w:t>Publication of responses</w:t>
      </w:r>
    </w:p>
    <w:p w14:paraId="0C265CA1" w14:textId="44DA5E64" w:rsidR="009D6E99" w:rsidRPr="008159EE" w:rsidRDefault="009D6E99" w:rsidP="009D6E99">
      <w:r w:rsidRPr="008159EE">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8159EE" w:rsidRDefault="009D6E99" w:rsidP="00F716D4">
      <w:pPr>
        <w:pStyle w:val="04BodyText"/>
      </w:pPr>
    </w:p>
    <w:p w14:paraId="380924F1" w14:textId="77777777" w:rsidR="009D6E99" w:rsidRPr="008159EE" w:rsidRDefault="009D6E99" w:rsidP="009D6E99">
      <w:pPr>
        <w:pStyle w:val="aNew-Level33"/>
      </w:pPr>
      <w:r w:rsidRPr="008159EE">
        <w:t>Data protection</w:t>
      </w:r>
    </w:p>
    <w:p w14:paraId="51DAF07D" w14:textId="3D1DBC3D" w:rsidR="009D6E99" w:rsidRPr="008159EE" w:rsidRDefault="009D6E99" w:rsidP="009D6E99">
      <w:pPr>
        <w:rPr>
          <w:szCs w:val="22"/>
          <w:lang w:eastAsia="en-GB"/>
        </w:rPr>
      </w:pPr>
      <w:r w:rsidRPr="008159EE">
        <w:t xml:space="preserve">Information on data protection can be found at </w:t>
      </w:r>
      <w:hyperlink r:id="rId16" w:history="1">
        <w:r w:rsidRPr="008159EE">
          <w:rPr>
            <w:rStyle w:val="Hyperlink"/>
          </w:rPr>
          <w:t>www.esma.europa.eu</w:t>
        </w:r>
      </w:hyperlink>
      <w:r w:rsidRPr="008159EE">
        <w:t xml:space="preserve"> under the </w:t>
      </w:r>
      <w:r w:rsidRPr="008159EE">
        <w:rPr>
          <w:szCs w:val="22"/>
          <w:lang w:eastAsia="en-GB"/>
        </w:rPr>
        <w:t xml:space="preserve">headings ‘Legal notice’ and </w:t>
      </w:r>
      <w:r w:rsidRPr="008159EE">
        <w:t xml:space="preserve">heading </w:t>
      </w:r>
      <w:r w:rsidRPr="008159EE">
        <w:rPr>
          <w:rStyle w:val="Hyperlink"/>
        </w:rPr>
        <w:t>‘</w:t>
      </w:r>
      <w:hyperlink r:id="rId17" w:history="1">
        <w:r w:rsidRPr="008159EE">
          <w:rPr>
            <w:rStyle w:val="Hyperlink"/>
          </w:rPr>
          <w:t>Data protection</w:t>
        </w:r>
      </w:hyperlink>
      <w:r w:rsidRPr="008159EE">
        <w:rPr>
          <w:rStyle w:val="Hyperlink"/>
        </w:rPr>
        <w:t>’</w:t>
      </w:r>
      <w:r w:rsidRPr="008159EE">
        <w:rPr>
          <w:szCs w:val="22"/>
          <w:lang w:eastAsia="en-GB"/>
        </w:rPr>
        <w:t>.</w:t>
      </w:r>
    </w:p>
    <w:p w14:paraId="054BDCA3" w14:textId="4A5C1395" w:rsidR="009D6E99" w:rsidRPr="008159EE" w:rsidRDefault="009D6E99" w:rsidP="00F716D4">
      <w:pPr>
        <w:pStyle w:val="04BodyText"/>
      </w:pPr>
    </w:p>
    <w:p w14:paraId="51B4C686" w14:textId="77777777" w:rsidR="00A3026E" w:rsidRPr="008159EE" w:rsidRDefault="00A3026E" w:rsidP="00F716D4">
      <w:pPr>
        <w:rPr>
          <w:lang w:eastAsia="en-GB"/>
        </w:rPr>
      </w:pPr>
      <w:bookmarkStart w:id="6" w:name="_Toc335141334"/>
    </w:p>
    <w:p w14:paraId="6CA781B8" w14:textId="77777777" w:rsidR="00332304" w:rsidRPr="008159EE" w:rsidRDefault="00332304" w:rsidP="00F716D4">
      <w:pPr>
        <w:rPr>
          <w:lang w:eastAsia="en-GB"/>
        </w:rPr>
      </w:pPr>
      <w:bookmarkStart w:id="7" w:name="_Toc335141335"/>
      <w:bookmarkEnd w:id="6"/>
    </w:p>
    <w:bookmarkEnd w:id="7"/>
    <w:p w14:paraId="4B8094CC" w14:textId="1ED92C6E" w:rsidR="00F87468" w:rsidRPr="008159EE" w:rsidRDefault="00F87468" w:rsidP="00F716D4">
      <w:pPr>
        <w:rPr>
          <w:lang w:eastAsia="en-GB"/>
        </w:rPr>
      </w:pPr>
    </w:p>
    <w:p w14:paraId="0C8A3508" w14:textId="2D2128CF" w:rsidR="00F87468" w:rsidRPr="008159EE" w:rsidRDefault="00F87468" w:rsidP="00F716D4">
      <w:pPr>
        <w:rPr>
          <w:lang w:eastAsia="en-GB"/>
        </w:rPr>
      </w:pPr>
    </w:p>
    <w:p w14:paraId="6C2749D0" w14:textId="3A47AEBE" w:rsidR="00F87468" w:rsidRPr="008159EE" w:rsidRDefault="00F87468" w:rsidP="00F716D4">
      <w:pPr>
        <w:rPr>
          <w:lang w:eastAsia="en-GB"/>
        </w:rPr>
      </w:pPr>
    </w:p>
    <w:p w14:paraId="6B07845D" w14:textId="1A6DDFB8" w:rsidR="00F87468" w:rsidRPr="008159EE" w:rsidRDefault="00F87468" w:rsidP="00F716D4">
      <w:pPr>
        <w:rPr>
          <w:lang w:eastAsia="en-GB"/>
        </w:rPr>
      </w:pPr>
    </w:p>
    <w:p w14:paraId="042C5A1B" w14:textId="77777777" w:rsidR="00F87468" w:rsidRPr="008159EE" w:rsidRDefault="00F87468" w:rsidP="00F716D4"/>
    <w:p w14:paraId="19C1424C" w14:textId="77777777" w:rsidR="003755C6" w:rsidRPr="008159EE" w:rsidRDefault="003755C6" w:rsidP="00F716D4"/>
    <w:bookmarkEnd w:id="5"/>
    <w:p w14:paraId="3095C284" w14:textId="77777777" w:rsidR="00C54034" w:rsidRPr="008159EE" w:rsidRDefault="00C54034" w:rsidP="00F716D4">
      <w:pPr>
        <w:sectPr w:rsidR="00C54034" w:rsidRPr="008159EE"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pPr>
    </w:p>
    <w:p w14:paraId="2E464169" w14:textId="77777777" w:rsidR="00F87897" w:rsidRPr="008159EE" w:rsidRDefault="00F87897" w:rsidP="00BB1973">
      <w:pPr>
        <w:pStyle w:val="berschrift1"/>
      </w:pPr>
      <w:bookmarkStart w:id="8" w:name="_Hlk124776172"/>
      <w:bookmarkStart w:id="9" w:name="_Hlk186468232"/>
      <w:r w:rsidRPr="008159EE">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D45BA5" w14:paraId="50D77A5E" w14:textId="77777777" w:rsidTr="00104E00">
        <w:tc>
          <w:tcPr>
            <w:tcW w:w="3929" w:type="dxa"/>
            <w:shd w:val="clear" w:color="auto" w:fill="auto"/>
            <w:vAlign w:val="center"/>
          </w:tcPr>
          <w:p w14:paraId="58482845" w14:textId="77777777" w:rsidR="00C2682A" w:rsidRPr="008159EE" w:rsidRDefault="00C2682A" w:rsidP="00104E00">
            <w:pPr>
              <w:jc w:val="left"/>
              <w:rPr>
                <w:color w:val="00379F"/>
              </w:rPr>
            </w:pPr>
            <w:permStart w:id="1306485207" w:edGrp="everyone" w:colFirst="1" w:colLast="1"/>
            <w:r w:rsidRPr="008159EE">
              <w:rPr>
                <w:color w:val="00379F"/>
              </w:rPr>
              <w:t>Name of the company / organisation</w:t>
            </w:r>
          </w:p>
        </w:tc>
        <w:sdt>
          <w:sdtPr>
            <w:rPr>
              <w:rStyle w:val="Platzhaltertext"/>
              <w:lang w:val="de-DE"/>
            </w:rPr>
            <w:id w:val="651570699"/>
            <w:text/>
          </w:sdtPr>
          <w:sdtEndPr>
            <w:rPr>
              <w:rStyle w:val="Platzhaltertext"/>
            </w:rPr>
          </w:sdtEndPr>
          <w:sdtContent>
            <w:tc>
              <w:tcPr>
                <w:tcW w:w="5595" w:type="dxa"/>
                <w:shd w:val="clear" w:color="auto" w:fill="auto"/>
                <w:vAlign w:val="center"/>
              </w:tcPr>
              <w:p w14:paraId="633DB1B6" w14:textId="23F0D1C5" w:rsidR="00C2682A" w:rsidRPr="008159EE" w:rsidRDefault="00896BD1" w:rsidP="00104E00">
                <w:pPr>
                  <w:jc w:val="left"/>
                  <w:rPr>
                    <w:rStyle w:val="Platzhaltertext"/>
                    <w:lang w:val="de-DE"/>
                  </w:rPr>
                </w:pPr>
                <w:r w:rsidRPr="008159EE">
                  <w:rPr>
                    <w:rStyle w:val="Platzhaltertext"/>
                    <w:lang w:val="de-DE"/>
                  </w:rPr>
                  <w:t xml:space="preserve">German Banking Industry </w:t>
                </w:r>
                <w:r w:rsidR="0078235D" w:rsidRPr="008159EE">
                  <w:rPr>
                    <w:rStyle w:val="Platzhaltertext"/>
                    <w:lang w:val="de-DE"/>
                  </w:rPr>
                  <w:t>Committee</w:t>
                </w:r>
                <w:r w:rsidR="00E13BD0" w:rsidRPr="008159EE">
                  <w:rPr>
                    <w:rStyle w:val="Platzhaltertext"/>
                    <w:lang w:val="de-DE"/>
                  </w:rPr>
                  <w:t xml:space="preserve"> (Deutsche Kreditwirtschaft)</w:t>
                </w:r>
              </w:p>
            </w:tc>
          </w:sdtContent>
        </w:sdt>
      </w:tr>
      <w:tr w:rsidR="00C2682A" w:rsidRPr="008159EE" w14:paraId="4FCCD8AE" w14:textId="77777777" w:rsidTr="00104E00">
        <w:tc>
          <w:tcPr>
            <w:tcW w:w="3929" w:type="dxa"/>
            <w:shd w:val="clear" w:color="auto" w:fill="auto"/>
            <w:vAlign w:val="center"/>
          </w:tcPr>
          <w:p w14:paraId="757E4D86" w14:textId="77777777" w:rsidR="00C2682A" w:rsidRPr="008159EE" w:rsidRDefault="00C2682A" w:rsidP="00104E00">
            <w:pPr>
              <w:jc w:val="left"/>
              <w:rPr>
                <w:color w:val="00379F"/>
              </w:rPr>
            </w:pPr>
            <w:permStart w:id="1273764253" w:edGrp="everyone" w:colFirst="1" w:colLast="1"/>
            <w:permEnd w:id="1306485207"/>
            <w:r w:rsidRPr="008159EE">
              <w:rPr>
                <w:color w:val="00379F"/>
              </w:rPr>
              <w:t>Activity</w:t>
            </w:r>
          </w:p>
        </w:tc>
        <w:tc>
          <w:tcPr>
            <w:tcW w:w="5595" w:type="dxa"/>
            <w:shd w:val="clear" w:color="auto" w:fill="auto"/>
            <w:vAlign w:val="center"/>
          </w:tcPr>
          <w:p w14:paraId="097104AB" w14:textId="379FE8BF" w:rsidR="00C2682A" w:rsidRPr="008159EE" w:rsidRDefault="00D45BA5"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13BD0" w:rsidRPr="008159EE">
                  <w:t>Banking sector</w:t>
                </w:r>
              </w:sdtContent>
            </w:sdt>
          </w:p>
        </w:tc>
      </w:tr>
      <w:tr w:rsidR="00C2682A" w:rsidRPr="008159EE" w14:paraId="002F17D3" w14:textId="77777777" w:rsidTr="00104E00">
        <w:tc>
          <w:tcPr>
            <w:tcW w:w="3929" w:type="dxa"/>
            <w:shd w:val="clear" w:color="auto" w:fill="auto"/>
            <w:vAlign w:val="center"/>
          </w:tcPr>
          <w:p w14:paraId="00A16CC6" w14:textId="77777777" w:rsidR="00C2682A" w:rsidRPr="008159EE" w:rsidRDefault="00C2682A" w:rsidP="00104E00">
            <w:pPr>
              <w:jc w:val="left"/>
              <w:rPr>
                <w:color w:val="00379F"/>
              </w:rPr>
            </w:pPr>
            <w:permStart w:id="366504703" w:edGrp="everyone" w:colFirst="1" w:colLast="1"/>
            <w:permEnd w:id="1273764253"/>
            <w:r w:rsidRPr="008159EE">
              <w:rPr>
                <w:color w:val="00379F"/>
              </w:rPr>
              <w:t>Are you representing an association?</w:t>
            </w:r>
          </w:p>
        </w:tc>
        <w:tc>
          <w:tcPr>
            <w:tcW w:w="5595" w:type="dxa"/>
            <w:shd w:val="clear" w:color="auto" w:fill="auto"/>
            <w:vAlign w:val="center"/>
          </w:tcPr>
          <w:p w14:paraId="4BD68813" w14:textId="5FBC8906" w:rsidR="00C2682A" w:rsidRPr="008159EE" w:rsidRDefault="00896BD1" w:rsidP="00104E00">
            <w:pPr>
              <w:jc w:val="left"/>
            </w:pPr>
            <w:r w:rsidRPr="008159EE">
              <w:rPr>
                <w:rFonts w:ascii="MS Gothic" w:eastAsia="MS Gothic" w:hAnsi="MS Gothic" w:hint="eastAsia"/>
              </w:rPr>
              <w:t>☒</w:t>
            </w:r>
          </w:p>
        </w:tc>
      </w:tr>
      <w:tr w:rsidR="00C2682A" w:rsidRPr="008159EE" w14:paraId="7E0C510F" w14:textId="77777777" w:rsidTr="00104E00">
        <w:tc>
          <w:tcPr>
            <w:tcW w:w="3929" w:type="dxa"/>
            <w:shd w:val="clear" w:color="auto" w:fill="auto"/>
            <w:vAlign w:val="center"/>
          </w:tcPr>
          <w:p w14:paraId="29B1AD34" w14:textId="77777777" w:rsidR="00C2682A" w:rsidRPr="008159EE" w:rsidRDefault="00C2682A" w:rsidP="00104E00">
            <w:pPr>
              <w:jc w:val="left"/>
              <w:rPr>
                <w:color w:val="00379F"/>
              </w:rPr>
            </w:pPr>
            <w:permStart w:id="1727412903" w:edGrp="everyone" w:colFirst="1" w:colLast="1"/>
            <w:permEnd w:id="366504703"/>
            <w:r w:rsidRPr="008159EE">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62C1F575" w:rsidR="00C2682A" w:rsidRPr="008159EE" w:rsidRDefault="00E13BD0" w:rsidP="00104E00">
                <w:pPr>
                  <w:jc w:val="left"/>
                </w:pPr>
                <w:r w:rsidRPr="008159EE">
                  <w:t>Germany</w:t>
                </w:r>
              </w:p>
            </w:tc>
          </w:sdtContent>
        </w:sdt>
      </w:tr>
      <w:permEnd w:id="1727412903"/>
    </w:tbl>
    <w:p w14:paraId="398E9C9E" w14:textId="10C9CC3D" w:rsidR="00C2682A" w:rsidRPr="008159EE" w:rsidRDefault="00C2682A" w:rsidP="00F716D4"/>
    <w:p w14:paraId="7F986E69" w14:textId="77777777" w:rsidR="00FA4100" w:rsidRPr="008159EE" w:rsidRDefault="00BB1973" w:rsidP="00FA4100">
      <w:pPr>
        <w:pStyle w:val="berschrift1"/>
      </w:pPr>
      <w:r w:rsidRPr="008159EE">
        <w:t>Questions</w:t>
      </w:r>
      <w:bookmarkStart w:id="10" w:name="_Hlk124780170"/>
    </w:p>
    <w:bookmarkEnd w:id="8"/>
    <w:bookmarkEnd w:id="10"/>
    <w:p w14:paraId="1EC367CD" w14:textId="16908F92" w:rsidR="00E619AB" w:rsidRPr="008159EE" w:rsidRDefault="00E619AB" w:rsidP="0029493B">
      <w:pPr>
        <w:pStyle w:val="aNEW-Level4"/>
      </w:pPr>
    </w:p>
    <w:p w14:paraId="457A0AF9" w14:textId="259F27DE" w:rsidR="004E60D2" w:rsidRPr="008159EE" w:rsidRDefault="004E60D2" w:rsidP="004E60D2">
      <w:pPr>
        <w:pStyle w:val="Questionstyle"/>
      </w:pPr>
      <w:r w:rsidRPr="008159EE">
        <w:t>Are there any aspects of the AAR scope on which ESMA has based its quantitative analysis and its policy choices that ESMA should consider detailing further</w:t>
      </w:r>
      <w:r w:rsidRPr="008159EE">
        <w:rPr>
          <w:rFonts w:ascii="Segoe UI" w:hAnsi="Segoe UI" w:cs="Segoe UI"/>
          <w:i/>
          <w:iCs/>
          <w:color w:val="181818"/>
          <w:sz w:val="18"/>
          <w:szCs w:val="18"/>
        </w:rPr>
        <w:t>?</w:t>
      </w:r>
    </w:p>
    <w:p w14:paraId="3C453C7F" w14:textId="6327CB83" w:rsidR="006B5DF1" w:rsidRPr="008159EE" w:rsidRDefault="006B5DF1" w:rsidP="006B5DF1">
      <w:pPr>
        <w:spacing w:after="0"/>
      </w:pPr>
      <w:r w:rsidRPr="008159EE">
        <w:t>&lt;ESMA_QUESTION_</w:t>
      </w:r>
      <w:r w:rsidR="004E60D2" w:rsidRPr="008159EE">
        <w:t>AAR</w:t>
      </w:r>
      <w:r w:rsidRPr="008159EE">
        <w:t>_01&gt;</w:t>
      </w:r>
    </w:p>
    <w:p w14:paraId="5EA29C33" w14:textId="4B3B8076" w:rsidR="00397127" w:rsidRPr="008159EE" w:rsidRDefault="00F83747" w:rsidP="006B5DF1">
      <w:pPr>
        <w:spacing w:after="0"/>
      </w:pPr>
      <w:permStart w:id="1107116594" w:edGrp="everyone"/>
      <w:r w:rsidRPr="008159EE">
        <w:t>We believe that t</w:t>
      </w:r>
      <w:r w:rsidR="00B92998" w:rsidRPr="008159EE">
        <w:t>he following issues</w:t>
      </w:r>
      <w:r w:rsidR="00BC5262" w:rsidRPr="008159EE">
        <w:t xml:space="preserve"> may</w:t>
      </w:r>
      <w:r w:rsidR="00B92998" w:rsidRPr="008159EE">
        <w:t xml:space="preserve"> merit further review to ensure </w:t>
      </w:r>
      <w:r w:rsidR="00397127" w:rsidRPr="008159EE">
        <w:t>a consistent implementation and application of the AAR</w:t>
      </w:r>
      <w:r w:rsidR="00CF18E6" w:rsidRPr="008159EE">
        <w:t xml:space="preserve"> by the addressees of the obligation</w:t>
      </w:r>
      <w:r w:rsidR="00397127" w:rsidRPr="008159EE">
        <w:t>:</w:t>
      </w:r>
    </w:p>
    <w:p w14:paraId="472EA06A" w14:textId="0EED224C" w:rsidR="006B5DF1" w:rsidRPr="008159EE" w:rsidRDefault="00397127" w:rsidP="00397127">
      <w:pPr>
        <w:pStyle w:val="Listenabsatz"/>
        <w:numPr>
          <w:ilvl w:val="0"/>
          <w:numId w:val="40"/>
        </w:numPr>
        <w:spacing w:after="0"/>
      </w:pPr>
      <w:r w:rsidRPr="008159EE">
        <w:t>Clarifications concerning the application of AAR-exemptions</w:t>
      </w:r>
      <w:r w:rsidR="00B92998" w:rsidRPr="008159EE">
        <w:t xml:space="preserve"> </w:t>
      </w:r>
      <w:r w:rsidRPr="008159EE">
        <w:t xml:space="preserve">under Art. 7a (5) </w:t>
      </w:r>
      <w:r w:rsidR="00037020" w:rsidRPr="008159EE">
        <w:t xml:space="preserve">EMIR 3.0 </w:t>
      </w:r>
      <w:r w:rsidRPr="008159EE">
        <w:t xml:space="preserve">(85% of transactions in relevant categories already cleared via an EU-CCP) and Art. 7a (4) </w:t>
      </w:r>
      <w:r w:rsidR="005D57C5" w:rsidRPr="008159EE">
        <w:t xml:space="preserve">subpara. </w:t>
      </w:r>
      <w:r w:rsidR="00D477CA" w:rsidRPr="008159EE">
        <w:t>2</w:t>
      </w:r>
      <w:r w:rsidR="002A0049" w:rsidRPr="008159EE">
        <w:t xml:space="preserve"> </w:t>
      </w:r>
      <w:r w:rsidR="00037020" w:rsidRPr="008159EE">
        <w:t>EMIR</w:t>
      </w:r>
      <w:r w:rsidR="002A0049" w:rsidRPr="008159EE">
        <w:t xml:space="preserve"> </w:t>
      </w:r>
      <w:r w:rsidR="00037020" w:rsidRPr="008159EE">
        <w:t>3.0</w:t>
      </w:r>
      <w:r w:rsidRPr="008159EE">
        <w:t xml:space="preserve"> (notional clearing volume outstanding of less than EUR 6 billion)</w:t>
      </w:r>
      <w:r w:rsidR="00AD30E2" w:rsidRPr="008159EE">
        <w:t xml:space="preserve">, including </w:t>
      </w:r>
      <w:r w:rsidR="00CA2B20">
        <w:t>regarding</w:t>
      </w:r>
      <w:r w:rsidR="00AD30E2" w:rsidRPr="008159EE">
        <w:t xml:space="preserve"> the interrelation between these two thresholds and the coordination of the calculation methods.</w:t>
      </w:r>
      <w:r w:rsidR="00CF18E6" w:rsidRPr="008159EE">
        <w:t xml:space="preserve"> </w:t>
      </w:r>
    </w:p>
    <w:p w14:paraId="1D9C5A59" w14:textId="3A496E9D" w:rsidR="00AD30E2" w:rsidRPr="008159EE" w:rsidRDefault="00AD30E2" w:rsidP="00AD30E2">
      <w:pPr>
        <w:pStyle w:val="Listenabsatz"/>
        <w:numPr>
          <w:ilvl w:val="0"/>
          <w:numId w:val="40"/>
        </w:numPr>
        <w:spacing w:after="0"/>
      </w:pPr>
      <w:r w:rsidRPr="008159EE">
        <w:t>Clarifications concerning the scope of the obligations under Art. 7</w:t>
      </w:r>
      <w:r w:rsidR="00F83747" w:rsidRPr="008159EE">
        <w:t>a</w:t>
      </w:r>
      <w:r w:rsidRPr="008159EE">
        <w:t xml:space="preserve"> (3) (d)</w:t>
      </w:r>
      <w:r w:rsidR="00113E4B" w:rsidRPr="008159EE">
        <w:t xml:space="preserve"> </w:t>
      </w:r>
      <w:r w:rsidR="00037020" w:rsidRPr="008159EE">
        <w:t>EMIR 3.0</w:t>
      </w:r>
      <w:r w:rsidRPr="008159EE">
        <w:t xml:space="preserve"> (representativeness requirement) of entities falling under the exemption under Art. 7</w:t>
      </w:r>
      <w:r w:rsidR="00F83747" w:rsidRPr="008159EE">
        <w:t>a</w:t>
      </w:r>
      <w:r w:rsidRPr="008159EE">
        <w:t xml:space="preserve"> (5)</w:t>
      </w:r>
      <w:r w:rsidR="00254E2A" w:rsidRPr="008159EE">
        <w:t xml:space="preserve"> (85% threshold)</w:t>
      </w:r>
      <w:r w:rsidRPr="008159EE">
        <w:t>: Specifically</w:t>
      </w:r>
      <w:r w:rsidR="003A32A3" w:rsidRPr="008159EE">
        <w:t>,</w:t>
      </w:r>
      <w:r w:rsidRPr="008159EE">
        <w:t xml:space="preserve"> it should be considered to limit/simplify the requirements concerning the representativeness as much as possible to further incentivise the continuation and extension of clearing in the categories</w:t>
      </w:r>
      <w:r w:rsidR="003A32A3" w:rsidRPr="008159EE">
        <w:t xml:space="preserve"> where the threshold has been met</w:t>
      </w:r>
      <w:r w:rsidRPr="008159EE">
        <w:t>.</w:t>
      </w:r>
      <w:r w:rsidR="00254E2A" w:rsidRPr="008159EE">
        <w:t xml:space="preserve"> A simplified approach appears to be particularly merited </w:t>
      </w:r>
      <w:proofErr w:type="gramStart"/>
      <w:r w:rsidR="00254E2A" w:rsidRPr="008159EE">
        <w:t>with regard to</w:t>
      </w:r>
      <w:proofErr w:type="gramEnd"/>
      <w:r w:rsidR="00254E2A" w:rsidRPr="008159EE">
        <w:t xml:space="preserve"> entities clear 85% or more of all new contracts via an EU CCP and - in the interest of proportionality - smaller entities.</w:t>
      </w:r>
    </w:p>
    <w:p w14:paraId="2B0CABF3" w14:textId="1B3BA83F" w:rsidR="006A0F47" w:rsidRPr="008159EE" w:rsidRDefault="00397127" w:rsidP="00BC5262">
      <w:pPr>
        <w:pStyle w:val="Listenabsatz"/>
        <w:numPr>
          <w:ilvl w:val="0"/>
          <w:numId w:val="40"/>
        </w:numPr>
        <w:spacing w:after="0"/>
      </w:pPr>
      <w:r w:rsidRPr="008159EE">
        <w:t xml:space="preserve">Clarifications </w:t>
      </w:r>
      <w:r w:rsidR="00CF18E6" w:rsidRPr="008159EE">
        <w:t>on how to address</w:t>
      </w:r>
      <w:r w:rsidRPr="008159EE">
        <w:t xml:space="preserve"> changes to the AAR-status</w:t>
      </w:r>
      <w:r w:rsidR="00592959" w:rsidRPr="008159EE">
        <w:t>: The repo</w:t>
      </w:r>
      <w:r w:rsidR="00CF18E6" w:rsidRPr="008159EE">
        <w:t>rt does not address the issue of potential subsequent changes to the ARR-status</w:t>
      </w:r>
      <w:r w:rsidR="00592959" w:rsidRPr="008159EE">
        <w:t xml:space="preserve">, </w:t>
      </w:r>
      <w:r w:rsidR="00CF18E6" w:rsidRPr="008159EE">
        <w:t>and</w:t>
      </w:r>
      <w:r w:rsidR="0078235D" w:rsidRPr="008159EE">
        <w:t>,</w:t>
      </w:r>
      <w:r w:rsidR="00CF18E6" w:rsidRPr="008159EE">
        <w:t xml:space="preserve"> </w:t>
      </w:r>
      <w:r w:rsidR="00592959" w:rsidRPr="008159EE">
        <w:t>in particular</w:t>
      </w:r>
      <w:r w:rsidR="0078235D" w:rsidRPr="008159EE">
        <w:t xml:space="preserve">, </w:t>
      </w:r>
      <w:r w:rsidR="00CF18E6" w:rsidRPr="008159EE">
        <w:t xml:space="preserve">does not provide </w:t>
      </w:r>
      <w:r w:rsidR="003A32A3" w:rsidRPr="008159EE">
        <w:t>for an adequate</w:t>
      </w:r>
      <w:r w:rsidR="00592959" w:rsidRPr="008159EE">
        <w:t xml:space="preserve"> transition </w:t>
      </w:r>
      <w:r w:rsidR="00CF18E6" w:rsidRPr="008159EE">
        <w:t>period following such change of status</w:t>
      </w:r>
      <w:r w:rsidR="00592959" w:rsidRPr="008159EE">
        <w:t>.</w:t>
      </w:r>
    </w:p>
    <w:p w14:paraId="6E776CB2" w14:textId="42FE4B1D" w:rsidR="006657BE" w:rsidRPr="008159EE" w:rsidRDefault="006657BE" w:rsidP="00BC5262">
      <w:pPr>
        <w:pStyle w:val="Listenabsatz"/>
        <w:numPr>
          <w:ilvl w:val="0"/>
          <w:numId w:val="40"/>
        </w:numPr>
        <w:spacing w:after="0"/>
      </w:pPr>
      <w:r w:rsidRPr="008159EE">
        <w:t>Clarifications regarding the possibility for clients to delegate AAR related reporting obligations</w:t>
      </w:r>
      <w:r w:rsidR="006160EA" w:rsidRPr="008159EE">
        <w:t xml:space="preserve"> with regard to client clearing in cases and to the extent </w:t>
      </w:r>
      <w:r w:rsidRPr="008159EE">
        <w:t>the EMIR</w:t>
      </w:r>
      <w:r w:rsidR="00AB5FAF" w:rsidRPr="008159EE">
        <w:t xml:space="preserve"> </w:t>
      </w:r>
      <w:r w:rsidRPr="008159EE">
        <w:t>reporting obligations</w:t>
      </w:r>
      <w:r w:rsidR="006160EA" w:rsidRPr="008159EE">
        <w:t xml:space="preserve"> under Art. 9 EMIR have been delegated</w:t>
      </w:r>
      <w:r w:rsidR="00AB5FAF" w:rsidRPr="008159EE">
        <w:t>.</w:t>
      </w:r>
    </w:p>
    <w:p w14:paraId="405DBB1F" w14:textId="2E254EEF" w:rsidR="00B30444" w:rsidRPr="008159EE" w:rsidRDefault="00B30444" w:rsidP="00BC5262">
      <w:pPr>
        <w:pStyle w:val="Listenabsatz"/>
        <w:numPr>
          <w:ilvl w:val="0"/>
          <w:numId w:val="40"/>
        </w:numPr>
        <w:spacing w:after="0"/>
      </w:pPr>
      <w:r w:rsidRPr="008159EE">
        <w:lastRenderedPageBreak/>
        <w:t>Clarifications regarding the application of the AAR by groups</w:t>
      </w:r>
      <w:r w:rsidR="00AD30E2" w:rsidRPr="008159EE">
        <w:t xml:space="preserve"> under consolidated supervision, specifically the ability to report </w:t>
      </w:r>
      <w:r w:rsidRPr="008159EE">
        <w:t>on behalf of group</w:t>
      </w:r>
      <w:r w:rsidR="00AD30E2" w:rsidRPr="008159EE">
        <w:t xml:space="preserve"> members</w:t>
      </w:r>
      <w:r w:rsidRPr="008159EE">
        <w:t>.</w:t>
      </w:r>
    </w:p>
    <w:p w14:paraId="323F209A" w14:textId="77777777" w:rsidR="00CA2B20" w:rsidRDefault="0083392D" w:rsidP="00CA2B20">
      <w:pPr>
        <w:pStyle w:val="Listenabsatz"/>
        <w:numPr>
          <w:ilvl w:val="0"/>
          <w:numId w:val="40"/>
        </w:numPr>
      </w:pPr>
      <w:r w:rsidRPr="008159EE">
        <w:t xml:space="preserve">Clarification regarding the relation between Art. 4a EMIR 3.0 and Art. 7a of EMIR 3.0 and, specifically that calculations for the purposes of Art. 7a </w:t>
      </w:r>
      <w:r w:rsidR="00824A29" w:rsidRPr="008159EE">
        <w:t>do not constitute a calculation for the purposes of Art. 4a EMIR 3.0</w:t>
      </w:r>
      <w:r w:rsidRPr="008159EE">
        <w:t xml:space="preserve">. </w:t>
      </w:r>
    </w:p>
    <w:p w14:paraId="6C6CBADC" w14:textId="3AD27F8C" w:rsidR="00FB6540" w:rsidRPr="008159EE" w:rsidRDefault="006A0F47" w:rsidP="00CA2B20">
      <w:pPr>
        <w:pStyle w:val="Listenabsatz"/>
        <w:numPr>
          <w:ilvl w:val="0"/>
          <w:numId w:val="40"/>
        </w:numPr>
      </w:pPr>
      <w:r w:rsidRPr="008159EE">
        <w:t xml:space="preserve">The general issue of the lack of a consistent </w:t>
      </w:r>
      <w:r w:rsidR="00F610EB" w:rsidRPr="008159EE">
        <w:t>transition/</w:t>
      </w:r>
      <w:r w:rsidRPr="008159EE">
        <w:t xml:space="preserve">implementation regime with adequate phasing-in and necessary synchronisation of the start of the application of new obligations (especially </w:t>
      </w:r>
      <w:r w:rsidR="00F610EB" w:rsidRPr="008159EE">
        <w:t xml:space="preserve">the requirements </w:t>
      </w:r>
      <w:r w:rsidRPr="008159EE">
        <w:t>under Art. 7a (3)</w:t>
      </w:r>
      <w:r w:rsidR="00037020" w:rsidRPr="008159EE">
        <w:t xml:space="preserve"> EMIR 3.0</w:t>
      </w:r>
      <w:r w:rsidR="00CA2B20">
        <w:t>)</w:t>
      </w:r>
      <w:r w:rsidRPr="008159EE">
        <w:t>.</w:t>
      </w:r>
    </w:p>
    <w:p w14:paraId="19127954" w14:textId="27C444A2" w:rsidR="00095433" w:rsidRPr="008159EE" w:rsidRDefault="00BC5262" w:rsidP="00F610EB">
      <w:pPr>
        <w:spacing w:after="0"/>
        <w:ind w:left="360"/>
      </w:pPr>
      <w:r w:rsidRPr="008159EE">
        <w:t xml:space="preserve">However, </w:t>
      </w:r>
      <w:r w:rsidR="00095433" w:rsidRPr="008159EE">
        <w:t>our central concern is that the proposal on the reporting requirements and related obligations amounts to the</w:t>
      </w:r>
      <w:r w:rsidR="004575A4" w:rsidRPr="008159EE">
        <w:t xml:space="preserve"> establishment of</w:t>
      </w:r>
      <w:r w:rsidR="006A0F47" w:rsidRPr="008159EE">
        <w:t xml:space="preserve"> a </w:t>
      </w:r>
      <w:r w:rsidR="008B3798" w:rsidRPr="008159EE">
        <w:t>complex</w:t>
      </w:r>
      <w:r w:rsidR="004575A4" w:rsidRPr="008159EE">
        <w:t xml:space="preserve">/highly detailed </w:t>
      </w:r>
      <w:r w:rsidR="006A0F47" w:rsidRPr="008159EE">
        <w:t>new AAR</w:t>
      </w:r>
      <w:r w:rsidR="004575A4" w:rsidRPr="008159EE">
        <w:t>-</w:t>
      </w:r>
      <w:r w:rsidR="006A0F47" w:rsidRPr="008159EE">
        <w:t>specific reporting and information framework</w:t>
      </w:r>
      <w:r w:rsidR="004575A4" w:rsidRPr="008159EE">
        <w:t xml:space="preserve"> (AAR-reporting regime)</w:t>
      </w:r>
      <w:r w:rsidR="006A0F47" w:rsidRPr="008159EE">
        <w:t xml:space="preserve"> in parallel to the already existing </w:t>
      </w:r>
      <w:r w:rsidR="008B3798" w:rsidRPr="008159EE">
        <w:t>EMIR</w:t>
      </w:r>
      <w:r w:rsidR="004575A4" w:rsidRPr="008159EE">
        <w:t xml:space="preserve"> TR-</w:t>
      </w:r>
      <w:r w:rsidR="006A0F47" w:rsidRPr="008159EE">
        <w:t xml:space="preserve">reporting </w:t>
      </w:r>
      <w:r w:rsidR="008B3798" w:rsidRPr="008159EE">
        <w:t xml:space="preserve">regime </w:t>
      </w:r>
      <w:proofErr w:type="gramStart"/>
      <w:r w:rsidR="008B3798" w:rsidRPr="008159EE">
        <w:t xml:space="preserve">and </w:t>
      </w:r>
      <w:r w:rsidR="00095433" w:rsidRPr="008159EE">
        <w:t>also</w:t>
      </w:r>
      <w:proofErr w:type="gramEnd"/>
      <w:r w:rsidR="00095433" w:rsidRPr="008159EE">
        <w:t xml:space="preserve"> </w:t>
      </w:r>
      <w:r w:rsidR="008B3798" w:rsidRPr="008159EE">
        <w:t>the general banking/market supervisory re</w:t>
      </w:r>
      <w:r w:rsidR="00FB6540" w:rsidRPr="008159EE">
        <w:t>views</w:t>
      </w:r>
      <w:r w:rsidR="008B3798" w:rsidRPr="008159EE">
        <w:t>.</w:t>
      </w:r>
    </w:p>
    <w:p w14:paraId="47AD47E6" w14:textId="77777777" w:rsidR="00095433" w:rsidRPr="008159EE" w:rsidRDefault="00095433" w:rsidP="00F610EB">
      <w:pPr>
        <w:spacing w:after="0"/>
        <w:ind w:left="360"/>
      </w:pPr>
    </w:p>
    <w:p w14:paraId="333ACCE0" w14:textId="17BED2DE" w:rsidR="004575A4" w:rsidRPr="008159EE" w:rsidRDefault="00FB6540" w:rsidP="00F610EB">
      <w:pPr>
        <w:spacing w:after="0"/>
        <w:ind w:left="360"/>
      </w:pPr>
      <w:r w:rsidRPr="008159EE">
        <w:t>A</w:t>
      </w:r>
      <w:r w:rsidR="008B3798" w:rsidRPr="008159EE">
        <w:t xml:space="preserve"> new</w:t>
      </w:r>
      <w:r w:rsidRPr="008159EE">
        <w:t xml:space="preserve">, </w:t>
      </w:r>
      <w:r w:rsidR="002A5332" w:rsidRPr="008159EE">
        <w:t>parallel</w:t>
      </w:r>
      <w:r w:rsidRPr="008159EE">
        <w:t xml:space="preserve"> AAR </w:t>
      </w:r>
      <w:r w:rsidR="008B3798" w:rsidRPr="008159EE">
        <w:t xml:space="preserve">reporting </w:t>
      </w:r>
      <w:r w:rsidR="004575A4" w:rsidRPr="008159EE">
        <w:t>regime</w:t>
      </w:r>
      <w:r w:rsidR="008B3798" w:rsidRPr="008159EE">
        <w:t xml:space="preserve"> will not only be partly duplicative (with the risk of</w:t>
      </w:r>
      <w:r w:rsidRPr="008159EE">
        <w:t xml:space="preserve"> producing</w:t>
      </w:r>
      <w:r w:rsidR="008B3798" w:rsidRPr="008159EE">
        <w:t xml:space="preserve"> inconsistencies) but also extremely burdensome for all market participants. It would </w:t>
      </w:r>
      <w:r w:rsidRPr="008159EE">
        <w:t xml:space="preserve">therefore </w:t>
      </w:r>
      <w:r w:rsidR="008B3798" w:rsidRPr="008159EE">
        <w:t xml:space="preserve">effectively </w:t>
      </w:r>
      <w:r w:rsidRPr="008159EE">
        <w:t>constitute</w:t>
      </w:r>
      <w:r w:rsidR="008B3798" w:rsidRPr="008159EE">
        <w:t xml:space="preserve"> a further </w:t>
      </w:r>
      <w:r w:rsidR="006160EA" w:rsidRPr="008159EE">
        <w:t xml:space="preserve">and significant </w:t>
      </w:r>
      <w:r w:rsidR="008B3798" w:rsidRPr="008159EE">
        <w:t xml:space="preserve">competitive disadvantage for </w:t>
      </w:r>
      <w:r w:rsidR="006160EA" w:rsidRPr="008159EE">
        <w:t xml:space="preserve">them </w:t>
      </w:r>
      <w:r w:rsidRPr="008159EE">
        <w:t xml:space="preserve">in the international financial </w:t>
      </w:r>
      <w:r w:rsidR="008B3798" w:rsidRPr="008159EE">
        <w:t>market</w:t>
      </w:r>
      <w:r w:rsidRPr="008159EE">
        <w:t>s.</w:t>
      </w:r>
    </w:p>
    <w:p w14:paraId="253C599A" w14:textId="77777777" w:rsidR="004575A4" w:rsidRPr="008159EE" w:rsidRDefault="004575A4" w:rsidP="00BC5262">
      <w:pPr>
        <w:spacing w:after="0"/>
        <w:ind w:left="360"/>
      </w:pPr>
    </w:p>
    <w:p w14:paraId="51365756" w14:textId="70BFDAD7" w:rsidR="00433DB5" w:rsidRPr="008159EE" w:rsidRDefault="00FB6540" w:rsidP="00BC5262">
      <w:pPr>
        <w:spacing w:after="0"/>
        <w:ind w:left="360"/>
      </w:pPr>
      <w:r w:rsidRPr="008159EE">
        <w:t xml:space="preserve">We believe that </w:t>
      </w:r>
      <w:r w:rsidR="00783839" w:rsidRPr="008159EE">
        <w:t xml:space="preserve">a </w:t>
      </w:r>
      <w:r w:rsidRPr="008159EE">
        <w:t>better,</w:t>
      </w:r>
      <w:r w:rsidR="00783839" w:rsidRPr="008159EE">
        <w:t xml:space="preserve"> </w:t>
      </w:r>
      <w:r w:rsidRPr="008159EE">
        <w:t xml:space="preserve">equally effective and simpler solution would be an approach </w:t>
      </w:r>
      <w:r w:rsidR="00783839" w:rsidRPr="008159EE">
        <w:t xml:space="preserve">which relies primarily </w:t>
      </w:r>
      <w:r w:rsidRPr="008159EE">
        <w:t xml:space="preserve">on </w:t>
      </w:r>
      <w:r w:rsidR="00783839" w:rsidRPr="008159EE">
        <w:t xml:space="preserve">data available under </w:t>
      </w:r>
      <w:r w:rsidRPr="008159EE">
        <w:t>the exi</w:t>
      </w:r>
      <w:r w:rsidR="00B50808" w:rsidRPr="008159EE">
        <w:t>s</w:t>
      </w:r>
      <w:r w:rsidRPr="008159EE">
        <w:t>ting EMIR-</w:t>
      </w:r>
      <w:r w:rsidR="004575A4" w:rsidRPr="008159EE">
        <w:t>TR-</w:t>
      </w:r>
      <w:r w:rsidRPr="008159EE">
        <w:t xml:space="preserve">reporting regime, </w:t>
      </w:r>
      <w:r w:rsidR="00783839" w:rsidRPr="008159EE">
        <w:t xml:space="preserve">and </w:t>
      </w:r>
      <w:r w:rsidR="00324A6B" w:rsidRPr="008159EE">
        <w:t>statements/</w:t>
      </w:r>
      <w:r w:rsidR="00783839" w:rsidRPr="008159EE">
        <w:t xml:space="preserve">confirmations and as well as data </w:t>
      </w:r>
      <w:r w:rsidR="006160EA" w:rsidRPr="008159EE">
        <w:t xml:space="preserve">directly </w:t>
      </w:r>
      <w:r w:rsidR="00783839" w:rsidRPr="008159EE">
        <w:t xml:space="preserve">provided </w:t>
      </w:r>
      <w:r w:rsidRPr="008159EE">
        <w:t xml:space="preserve">by the EU-CCPs (including a regular </w:t>
      </w:r>
      <w:r w:rsidR="00783839" w:rsidRPr="008159EE">
        <w:t xml:space="preserve">confirmation </w:t>
      </w:r>
      <w:r w:rsidRPr="008159EE">
        <w:t xml:space="preserve">by the </w:t>
      </w:r>
      <w:r w:rsidR="00783839" w:rsidRPr="008159EE">
        <w:t>address</w:t>
      </w:r>
      <w:r w:rsidR="006160EA" w:rsidRPr="008159EE">
        <w:t>e</w:t>
      </w:r>
      <w:r w:rsidR="00783839" w:rsidRPr="008159EE">
        <w:t xml:space="preserve">es of the AAR </w:t>
      </w:r>
      <w:r w:rsidRPr="008159EE">
        <w:t>on their implementation</w:t>
      </w:r>
      <w:r w:rsidR="00783839" w:rsidRPr="008159EE">
        <w:t xml:space="preserve"> AAR</w:t>
      </w:r>
      <w:r w:rsidRPr="008159EE">
        <w:t>)</w:t>
      </w:r>
      <w:r w:rsidR="004575A4" w:rsidRPr="008159EE">
        <w:t>.</w:t>
      </w:r>
      <w:r w:rsidR="00783839" w:rsidRPr="008159EE">
        <w:t xml:space="preserve"> </w:t>
      </w:r>
      <w:r w:rsidR="00095433" w:rsidRPr="008159EE">
        <w:t xml:space="preserve">We realise that certain elements of the reporting regime are rooted in the </w:t>
      </w:r>
      <w:r w:rsidR="00433DB5" w:rsidRPr="008159EE">
        <w:t xml:space="preserve">EMIR </w:t>
      </w:r>
      <w:r w:rsidR="00095433" w:rsidRPr="008159EE">
        <w:t xml:space="preserve">level 1 text. However, we believe that the </w:t>
      </w:r>
      <w:r w:rsidR="00433DB5" w:rsidRPr="008159EE">
        <w:t>EMIR</w:t>
      </w:r>
      <w:r w:rsidR="00095433" w:rsidRPr="008159EE">
        <w:t xml:space="preserve"> level 1 text </w:t>
      </w:r>
      <w:r w:rsidR="00433DB5" w:rsidRPr="008159EE">
        <w:t>should be</w:t>
      </w:r>
      <w:r w:rsidR="00095433" w:rsidRPr="008159EE">
        <w:t xml:space="preserve"> </w:t>
      </w:r>
      <w:r w:rsidR="00433DB5" w:rsidRPr="008159EE">
        <w:t xml:space="preserve">applied and interpreted with a view to avoid unnecessary burdens for market participants as far as possible.  </w:t>
      </w:r>
    </w:p>
    <w:p w14:paraId="040AB65A" w14:textId="77777777" w:rsidR="00FB6540" w:rsidRPr="008159EE" w:rsidRDefault="00FB6540" w:rsidP="001112FB">
      <w:pPr>
        <w:spacing w:after="0"/>
      </w:pPr>
    </w:p>
    <w:p w14:paraId="745A8F78" w14:textId="13BD0A7B" w:rsidR="00BC5262" w:rsidRPr="008159EE" w:rsidRDefault="004575A4" w:rsidP="00BC5262">
      <w:pPr>
        <w:spacing w:after="0"/>
        <w:ind w:left="360"/>
      </w:pPr>
      <w:r w:rsidRPr="008159EE">
        <w:t xml:space="preserve">For </w:t>
      </w:r>
      <w:r w:rsidR="00FB6540" w:rsidRPr="008159EE">
        <w:t>more detail</w:t>
      </w:r>
      <w:r w:rsidRPr="008159EE">
        <w:t xml:space="preserve">, see </w:t>
      </w:r>
      <w:r w:rsidR="00FB6540" w:rsidRPr="008159EE">
        <w:t>our response to Q 16.</w:t>
      </w:r>
    </w:p>
    <w:permEnd w:id="1107116594"/>
    <w:p w14:paraId="62CCD8E6" w14:textId="7AFE2076" w:rsidR="006B5DF1" w:rsidRPr="008159EE" w:rsidRDefault="006B5DF1" w:rsidP="006B5DF1">
      <w:pPr>
        <w:spacing w:after="0"/>
      </w:pPr>
      <w:r w:rsidRPr="008159EE">
        <w:t>&lt;ESMA_QUESTION_</w:t>
      </w:r>
      <w:r w:rsidR="004E60D2" w:rsidRPr="008159EE">
        <w:t>AAR</w:t>
      </w:r>
      <w:r w:rsidRPr="008159EE">
        <w:t>_01&gt;</w:t>
      </w:r>
    </w:p>
    <w:p w14:paraId="215F51B6" w14:textId="77777777" w:rsidR="006B5DF1" w:rsidRPr="008159EE" w:rsidRDefault="006B5DF1" w:rsidP="006B5DF1"/>
    <w:p w14:paraId="6E58CC4E" w14:textId="77777777" w:rsidR="006B5DF1" w:rsidRPr="008159EE" w:rsidRDefault="006B5DF1" w:rsidP="006B5DF1"/>
    <w:p w14:paraId="72BC789E" w14:textId="62A0E0F0" w:rsidR="004E60D2" w:rsidRPr="008159EE" w:rsidRDefault="004E60D2" w:rsidP="004E60D2">
      <w:pPr>
        <w:pStyle w:val="Questionstyle"/>
      </w:pPr>
      <w:r w:rsidRPr="008159EE">
        <w:t>Do you agree with the above approach for condition (a)? Are there other requirements that ESMA should consider for meeting condition (a)?</w:t>
      </w:r>
    </w:p>
    <w:p w14:paraId="7CB7DC30" w14:textId="6F75236D" w:rsidR="006B5DF1" w:rsidRPr="008159EE" w:rsidRDefault="006B5DF1" w:rsidP="006B5DF1">
      <w:pPr>
        <w:spacing w:after="0"/>
      </w:pPr>
      <w:r w:rsidRPr="008159EE">
        <w:t>&lt;ESMA_QUESTION_</w:t>
      </w:r>
      <w:r w:rsidR="004E60D2" w:rsidRPr="008159EE">
        <w:t>AAR</w:t>
      </w:r>
      <w:r w:rsidRPr="008159EE">
        <w:t>_</w:t>
      </w:r>
      <w:r w:rsidR="003E7313" w:rsidRPr="008159EE">
        <w:t>02</w:t>
      </w:r>
      <w:r w:rsidRPr="008159EE">
        <w:t>&gt;</w:t>
      </w:r>
    </w:p>
    <w:p w14:paraId="7AE202B2" w14:textId="4DA4AAC4" w:rsidR="00ED0919" w:rsidRPr="008159EE" w:rsidRDefault="00592959" w:rsidP="00521EAD">
      <w:pPr>
        <w:spacing w:after="0"/>
      </w:pPr>
      <w:bookmarkStart w:id="11" w:name="_Hlk186447010"/>
      <w:permStart w:id="731332295" w:edGrp="everyone"/>
      <w:r w:rsidRPr="008159EE">
        <w:t xml:space="preserve">While we </w:t>
      </w:r>
      <w:r w:rsidR="00CF18E6" w:rsidRPr="008159EE">
        <w:t>largely</w:t>
      </w:r>
      <w:r w:rsidRPr="008159EE">
        <w:t xml:space="preserve"> agree with the key elements identified in the report</w:t>
      </w:r>
      <w:r w:rsidR="00492A7A" w:rsidRPr="008159EE">
        <w:t xml:space="preserve"> to demonstrate functionality</w:t>
      </w:r>
      <w:r w:rsidR="00CF18E6" w:rsidRPr="008159EE">
        <w:t>,</w:t>
      </w:r>
      <w:r w:rsidRPr="008159EE">
        <w:t xml:space="preserve"> we </w:t>
      </w:r>
      <w:r w:rsidR="00CF18E6" w:rsidRPr="008159EE">
        <w:t xml:space="preserve">strongly believe that the </w:t>
      </w:r>
      <w:r w:rsidR="00ED0919" w:rsidRPr="008159EE">
        <w:t>process</w:t>
      </w:r>
      <w:r w:rsidR="00CF18E6" w:rsidRPr="008159EE">
        <w:t>es suggested</w:t>
      </w:r>
      <w:r w:rsidR="00ED0919" w:rsidRPr="008159EE">
        <w:t xml:space="preserve"> to </w:t>
      </w:r>
      <w:r w:rsidR="00E25F09" w:rsidRPr="008159EE">
        <w:t>demonstrate</w:t>
      </w:r>
      <w:r w:rsidR="00ED0919" w:rsidRPr="008159EE">
        <w:t xml:space="preserve"> compliance with </w:t>
      </w:r>
      <w:r w:rsidR="00CF18E6" w:rsidRPr="008159EE">
        <w:t xml:space="preserve">the </w:t>
      </w:r>
      <w:r w:rsidR="00ED0919" w:rsidRPr="008159EE">
        <w:t>conditions</w:t>
      </w:r>
      <w:r w:rsidR="00CF18E6" w:rsidRPr="008159EE">
        <w:t xml:space="preserve"> can and should be </w:t>
      </w:r>
      <w:r w:rsidR="00585597" w:rsidRPr="008159EE">
        <w:t xml:space="preserve">significantly </w:t>
      </w:r>
      <w:r w:rsidR="00CF18E6" w:rsidRPr="008159EE">
        <w:t>simplified</w:t>
      </w:r>
      <w:r w:rsidR="00492A7A" w:rsidRPr="008159EE">
        <w:t xml:space="preserve"> in order to avoid unnecessary, duplicative and burdensome new documentation and information requirements</w:t>
      </w:r>
      <w:r w:rsidR="003A32A3" w:rsidRPr="008159EE">
        <w:t xml:space="preserve"> (see </w:t>
      </w:r>
      <w:r w:rsidR="00B82B4B" w:rsidRPr="008159EE">
        <w:t xml:space="preserve">already </w:t>
      </w:r>
      <w:r w:rsidR="003A32A3" w:rsidRPr="008159EE">
        <w:t>our response to Q1 above as well also to Q16 below)</w:t>
      </w:r>
      <w:r w:rsidR="004A31F6" w:rsidRPr="008159EE">
        <w:t>.</w:t>
      </w:r>
    </w:p>
    <w:p w14:paraId="4C6C98BF" w14:textId="77777777" w:rsidR="00CF18E6" w:rsidRPr="008159EE" w:rsidRDefault="00CF18E6" w:rsidP="00ED0919">
      <w:pPr>
        <w:pStyle w:val="Listenabsatz"/>
        <w:spacing w:after="0"/>
        <w:ind w:left="780"/>
      </w:pPr>
    </w:p>
    <w:p w14:paraId="22FA3F52" w14:textId="07842139" w:rsidR="00CF18E6" w:rsidRPr="008159EE" w:rsidRDefault="00E25F09" w:rsidP="00521EAD">
      <w:pPr>
        <w:pStyle w:val="Listenabsatz"/>
        <w:spacing w:after="0"/>
        <w:ind w:left="0"/>
      </w:pPr>
      <w:r w:rsidRPr="008159EE">
        <w:t xml:space="preserve">The report identifies the </w:t>
      </w:r>
      <w:r w:rsidR="00CF18E6" w:rsidRPr="008159EE">
        <w:t xml:space="preserve">following as </w:t>
      </w:r>
      <w:r w:rsidRPr="008159EE">
        <w:t>k</w:t>
      </w:r>
      <w:r w:rsidR="00573309" w:rsidRPr="008159EE">
        <w:t xml:space="preserve">ey </w:t>
      </w:r>
      <w:r w:rsidR="009A3903" w:rsidRPr="008159EE">
        <w:t>components</w:t>
      </w:r>
      <w:r w:rsidR="00573309" w:rsidRPr="008159EE">
        <w:t xml:space="preserve"> </w:t>
      </w:r>
      <w:r w:rsidRPr="008159EE">
        <w:t xml:space="preserve">for demonstrating </w:t>
      </w:r>
      <w:r w:rsidR="00CF18E6" w:rsidRPr="008159EE">
        <w:t xml:space="preserve">the requisite </w:t>
      </w:r>
      <w:r w:rsidRPr="008159EE">
        <w:t>functionality: T</w:t>
      </w:r>
      <w:r w:rsidR="00573309" w:rsidRPr="008159EE">
        <w:t>he establishment of IT-connectivity</w:t>
      </w:r>
      <w:r w:rsidR="00ED2F98" w:rsidRPr="008159EE">
        <w:t>, the</w:t>
      </w:r>
      <w:r w:rsidR="00573309" w:rsidRPr="008159EE">
        <w:t xml:space="preserve"> </w:t>
      </w:r>
      <w:r w:rsidR="003A32A3" w:rsidRPr="008159EE">
        <w:t xml:space="preserve">conclusion </w:t>
      </w:r>
      <w:r w:rsidR="00CF18E6" w:rsidRPr="008159EE">
        <w:t>of the</w:t>
      </w:r>
      <w:r w:rsidR="00573309" w:rsidRPr="008159EE">
        <w:t xml:space="preserve"> legal arrangements </w:t>
      </w:r>
      <w:r w:rsidR="00ED2F98" w:rsidRPr="008159EE">
        <w:t xml:space="preserve">and the </w:t>
      </w:r>
      <w:r w:rsidR="00CF18E6" w:rsidRPr="008159EE">
        <w:t>estab</w:t>
      </w:r>
      <w:r w:rsidR="00CF18E6" w:rsidRPr="008159EE">
        <w:lastRenderedPageBreak/>
        <w:t xml:space="preserve">lishment of adequate </w:t>
      </w:r>
      <w:r w:rsidR="00ED2F98" w:rsidRPr="008159EE">
        <w:t xml:space="preserve">internal processes and policies to maintain and operate the </w:t>
      </w:r>
      <w:r w:rsidR="009A3903" w:rsidRPr="008159EE">
        <w:t>accounts established in view of the AAR</w:t>
      </w:r>
      <w:r w:rsidR="00573309" w:rsidRPr="008159EE">
        <w:t xml:space="preserve">. </w:t>
      </w:r>
    </w:p>
    <w:p w14:paraId="65BF286F" w14:textId="77777777" w:rsidR="00CF18E6" w:rsidRPr="008159EE" w:rsidRDefault="00CF18E6" w:rsidP="00ED0919">
      <w:pPr>
        <w:pStyle w:val="Listenabsatz"/>
        <w:spacing w:after="0"/>
        <w:ind w:left="780"/>
      </w:pPr>
    </w:p>
    <w:p w14:paraId="449A18E2" w14:textId="0FCA8F13" w:rsidR="0016099F" w:rsidRPr="008159EE" w:rsidRDefault="00585597" w:rsidP="00521EAD">
      <w:pPr>
        <w:spacing w:after="0"/>
      </w:pPr>
      <w:r w:rsidRPr="008159EE">
        <w:t xml:space="preserve">While these are </w:t>
      </w:r>
      <w:r w:rsidR="003A32A3" w:rsidRPr="008159EE">
        <w:t xml:space="preserve">relevant </w:t>
      </w:r>
      <w:r w:rsidRPr="008159EE">
        <w:t>components of a functional clearing account</w:t>
      </w:r>
      <w:r w:rsidR="00CA2B20">
        <w:t>,</w:t>
      </w:r>
      <w:r w:rsidRPr="008159EE">
        <w:t xml:space="preserve"> it should be recognised that most of these </w:t>
      </w:r>
      <w:r w:rsidR="00CA2B20">
        <w:t xml:space="preserve">elements </w:t>
      </w:r>
      <w:r w:rsidR="003A32A3" w:rsidRPr="008159EE">
        <w:t>are</w:t>
      </w:r>
      <w:r w:rsidRPr="008159EE">
        <w:t xml:space="preserve"> </w:t>
      </w:r>
      <w:proofErr w:type="gramStart"/>
      <w:r w:rsidR="003A32A3" w:rsidRPr="008159EE">
        <w:t>a necessary prerequisite</w:t>
      </w:r>
      <w:proofErr w:type="gramEnd"/>
      <w:r w:rsidR="003A32A3" w:rsidRPr="008159EE">
        <w:t xml:space="preserve"> for </w:t>
      </w:r>
      <w:r w:rsidRPr="008159EE">
        <w:t>the establishment</w:t>
      </w:r>
      <w:r w:rsidR="003A32A3" w:rsidRPr="008159EE">
        <w:t xml:space="preserve"> </w:t>
      </w:r>
      <w:r w:rsidRPr="008159EE">
        <w:t>of</w:t>
      </w:r>
      <w:r w:rsidR="003A32A3" w:rsidRPr="008159EE">
        <w:t xml:space="preserve"> a </w:t>
      </w:r>
      <w:r w:rsidRPr="008159EE">
        <w:t>clearing account with a CCP.</w:t>
      </w:r>
      <w:r w:rsidR="003A32A3" w:rsidRPr="008159EE">
        <w:t xml:space="preserve"> Consequently</w:t>
      </w:r>
      <w:r w:rsidR="009A51BB" w:rsidRPr="008159EE">
        <w:t>,</w:t>
      </w:r>
      <w:r w:rsidR="003A32A3" w:rsidRPr="008159EE">
        <w:t xml:space="preserve"> the existence of the clearing account already demonstrates that these elements are in place</w:t>
      </w:r>
      <w:r w:rsidR="00433DB5" w:rsidRPr="008159EE">
        <w:t>.</w:t>
      </w:r>
      <w:r w:rsidR="009A51BB" w:rsidRPr="008159EE">
        <w:t xml:space="preserve"> </w:t>
      </w:r>
    </w:p>
    <w:p w14:paraId="3A113B46" w14:textId="77777777" w:rsidR="0016099F" w:rsidRPr="008159EE" w:rsidRDefault="0016099F" w:rsidP="00521EAD">
      <w:pPr>
        <w:spacing w:after="0"/>
      </w:pPr>
    </w:p>
    <w:p w14:paraId="160A7A35" w14:textId="7DCCB86D" w:rsidR="0016099F" w:rsidRPr="008159EE" w:rsidRDefault="009A51BB" w:rsidP="00521EAD">
      <w:pPr>
        <w:spacing w:after="0"/>
      </w:pPr>
      <w:r w:rsidRPr="008159EE">
        <w:t>Where parties clear the relevant types of transactions/products on a regular basis with an EU-CCP, the requisite functionality of clearing account</w:t>
      </w:r>
      <w:r w:rsidR="0016099F" w:rsidRPr="008159EE">
        <w:t xml:space="preserve">, </w:t>
      </w:r>
      <w:r w:rsidRPr="008159EE">
        <w:t>including IT-connectivity</w:t>
      </w:r>
      <w:r w:rsidR="0016099F" w:rsidRPr="008159EE">
        <w:t xml:space="preserve"> and collateral arrangements etc.)</w:t>
      </w:r>
      <w:r w:rsidRPr="008159EE">
        <w:t xml:space="preserve"> is </w:t>
      </w:r>
      <w:r w:rsidR="0016099F" w:rsidRPr="008159EE">
        <w:t xml:space="preserve">thus </w:t>
      </w:r>
      <w:r w:rsidRPr="008159EE">
        <w:t xml:space="preserve">already objectively and comprehensively </w:t>
      </w:r>
      <w:r w:rsidR="004575A4" w:rsidRPr="008159EE">
        <w:t>demonstrated</w:t>
      </w:r>
      <w:r w:rsidRPr="008159EE">
        <w:t xml:space="preserve"> </w:t>
      </w:r>
      <w:r w:rsidR="0016099F" w:rsidRPr="008159EE">
        <w:t xml:space="preserve">by this fact. The </w:t>
      </w:r>
      <w:r w:rsidR="00E734B2" w:rsidRPr="008159EE">
        <w:t>existence</w:t>
      </w:r>
      <w:r w:rsidR="0016099F" w:rsidRPr="008159EE">
        <w:t xml:space="preserve"> of the account</w:t>
      </w:r>
      <w:r w:rsidR="00CA2B20">
        <w:t>s</w:t>
      </w:r>
      <w:r w:rsidR="0016099F" w:rsidRPr="008159EE">
        <w:t xml:space="preserve"> and </w:t>
      </w:r>
      <w:r w:rsidR="00CA2B20">
        <w:t>their</w:t>
      </w:r>
      <w:r w:rsidR="0016099F" w:rsidRPr="008159EE">
        <w:t xml:space="preserve"> use can </w:t>
      </w:r>
      <w:r w:rsidR="002A5332" w:rsidRPr="008159EE">
        <w:t xml:space="preserve">also </w:t>
      </w:r>
      <w:r w:rsidR="0016099F" w:rsidRPr="008159EE">
        <w:t>be verified (</w:t>
      </w:r>
      <w:r w:rsidRPr="008159EE">
        <w:t>an</w:t>
      </w:r>
      <w:r w:rsidR="0016099F" w:rsidRPr="008159EE">
        <w:t xml:space="preserve">d constantly </w:t>
      </w:r>
      <w:r w:rsidRPr="008159EE">
        <w:t>reviewed</w:t>
      </w:r>
      <w:r w:rsidR="0016099F" w:rsidRPr="008159EE">
        <w:t>)</w:t>
      </w:r>
      <w:r w:rsidRPr="008159EE">
        <w:t xml:space="preserve"> via </w:t>
      </w:r>
      <w:r w:rsidR="004575A4" w:rsidRPr="008159EE">
        <w:t xml:space="preserve">EMIR </w:t>
      </w:r>
      <w:r w:rsidRPr="008159EE">
        <w:t xml:space="preserve">TR-reports </w:t>
      </w:r>
      <w:r w:rsidR="002A5332" w:rsidRPr="008159EE">
        <w:t>as well as</w:t>
      </w:r>
      <w:r w:rsidRPr="008159EE">
        <w:t xml:space="preserve"> the </w:t>
      </w:r>
      <w:r w:rsidR="0016099F" w:rsidRPr="008159EE">
        <w:t>CCP-</w:t>
      </w:r>
      <w:r w:rsidR="00324A6B" w:rsidRPr="008159EE">
        <w:t>statements/confirmations</w:t>
      </w:r>
      <w:r w:rsidR="0016099F" w:rsidRPr="008159EE">
        <w:t xml:space="preserve"> proposed in Section 4.2 item 68 of the Report/ Art. 2 (1) (c) and 3 (1) (c) of the </w:t>
      </w:r>
      <w:r w:rsidR="00037020" w:rsidRPr="008159EE">
        <w:t>d</w:t>
      </w:r>
      <w:r w:rsidR="0016099F" w:rsidRPr="008159EE">
        <w:t>raft RTS</w:t>
      </w:r>
      <w:r w:rsidRPr="008159EE">
        <w:t xml:space="preserve">. </w:t>
      </w:r>
    </w:p>
    <w:p w14:paraId="5E6553F7" w14:textId="77777777" w:rsidR="0016099F" w:rsidRPr="008159EE" w:rsidRDefault="0016099F" w:rsidP="00521EAD">
      <w:pPr>
        <w:spacing w:after="0"/>
      </w:pPr>
    </w:p>
    <w:p w14:paraId="30862C37" w14:textId="5A19A08C" w:rsidR="00521EAD" w:rsidRPr="008159EE" w:rsidRDefault="009A51BB" w:rsidP="00521EAD">
      <w:pPr>
        <w:spacing w:after="0"/>
      </w:pPr>
      <w:r w:rsidRPr="008159EE">
        <w:t xml:space="preserve">The internal arrangements </w:t>
      </w:r>
      <w:r w:rsidR="0016099F" w:rsidRPr="008159EE">
        <w:t xml:space="preserve">of an institution in respect of the AAR </w:t>
      </w:r>
      <w:r w:rsidRPr="008159EE">
        <w:t>and their adequacy will</w:t>
      </w:r>
      <w:r w:rsidR="002A5332" w:rsidRPr="008159EE">
        <w:t xml:space="preserve"> </w:t>
      </w:r>
      <w:r w:rsidRPr="008159EE">
        <w:t>also be subject to regular supervisory reviews concerning compliance with EMIR by the competent supervisory authorities.</w:t>
      </w:r>
    </w:p>
    <w:p w14:paraId="6B9725E5" w14:textId="77777777" w:rsidR="009A51BB" w:rsidRPr="008159EE" w:rsidRDefault="009A51BB" w:rsidP="00521EAD">
      <w:pPr>
        <w:spacing w:after="0"/>
      </w:pPr>
    </w:p>
    <w:p w14:paraId="7D439D2D" w14:textId="25357AB8" w:rsidR="00BB1FBF" w:rsidRPr="008159EE" w:rsidRDefault="0016099F" w:rsidP="00BB1FBF">
      <w:pPr>
        <w:pStyle w:val="Listenabsatz"/>
        <w:spacing w:after="0"/>
        <w:ind w:left="0"/>
      </w:pPr>
      <w:r w:rsidRPr="008159EE">
        <w:t xml:space="preserve">Against this background, </w:t>
      </w:r>
      <w:r w:rsidR="00433DB5" w:rsidRPr="008159EE">
        <w:t xml:space="preserve">we believe that there </w:t>
      </w:r>
      <w:r w:rsidRPr="008159EE">
        <w:t xml:space="preserve">is no need to introduce a special reporting </w:t>
      </w:r>
      <w:r w:rsidR="002A5332" w:rsidRPr="008159EE">
        <w:t>regime</w:t>
      </w:r>
      <w:r w:rsidRPr="008159EE">
        <w:t xml:space="preserve"> (especially one requiring additional documentary proof and introducing an additional reporting cycle in parallel to the already existing EMIR reporting regime)</w:t>
      </w:r>
      <w:r w:rsidR="0017364A" w:rsidRPr="008159EE">
        <w:t>.</w:t>
      </w:r>
      <w:bookmarkEnd w:id="11"/>
    </w:p>
    <w:permEnd w:id="731332295"/>
    <w:p w14:paraId="3F3CFBD3" w14:textId="101B2ABF" w:rsidR="00492A7A" w:rsidRPr="008159EE" w:rsidRDefault="006B5DF1" w:rsidP="00BB1FBF">
      <w:pPr>
        <w:pStyle w:val="Listenabsatz"/>
        <w:spacing w:after="0"/>
        <w:ind w:left="0"/>
      </w:pPr>
      <w:r w:rsidRPr="008159EE">
        <w:t>&lt;ESMA_QUESTION_</w:t>
      </w:r>
      <w:r w:rsidR="004E60D2" w:rsidRPr="008159EE">
        <w:t>AAR</w:t>
      </w:r>
      <w:r w:rsidRPr="008159EE">
        <w:t>_</w:t>
      </w:r>
      <w:r w:rsidR="003E7313" w:rsidRPr="008159EE">
        <w:t>02</w:t>
      </w:r>
      <w:r w:rsidRPr="008159EE">
        <w:t>&gt;</w:t>
      </w:r>
    </w:p>
    <w:p w14:paraId="5D13008F" w14:textId="77777777" w:rsidR="006B5DF1" w:rsidRPr="008159EE" w:rsidRDefault="006B5DF1" w:rsidP="006B5DF1"/>
    <w:p w14:paraId="5C20CE16" w14:textId="77777777" w:rsidR="0078235D" w:rsidRPr="008159EE" w:rsidRDefault="0078235D" w:rsidP="006B5DF1"/>
    <w:p w14:paraId="1456BEFD" w14:textId="40C2A5B9" w:rsidR="004E60D2" w:rsidRPr="008159EE" w:rsidRDefault="004E60D2" w:rsidP="004E60D2">
      <w:pPr>
        <w:pStyle w:val="Questionstyle"/>
      </w:pPr>
      <w:r w:rsidRPr="008159EE">
        <w:t>Do you agree with the above approach for conditions (b) and (c)?</w:t>
      </w:r>
    </w:p>
    <w:p w14:paraId="3DFB978C" w14:textId="5A11AAE5" w:rsidR="006B5DF1" w:rsidRPr="008159EE" w:rsidRDefault="006B5DF1" w:rsidP="006B5DF1">
      <w:pPr>
        <w:spacing w:after="0"/>
      </w:pPr>
      <w:r w:rsidRPr="008159EE">
        <w:t>&lt;ESMA_QUESTION_</w:t>
      </w:r>
      <w:r w:rsidR="004E60D2" w:rsidRPr="008159EE">
        <w:t>AAR</w:t>
      </w:r>
      <w:r w:rsidRPr="008159EE">
        <w:t>_</w:t>
      </w:r>
      <w:r w:rsidR="003E7313" w:rsidRPr="008159EE">
        <w:t>03</w:t>
      </w:r>
      <w:r w:rsidRPr="008159EE">
        <w:t>&gt;</w:t>
      </w:r>
    </w:p>
    <w:p w14:paraId="713A10BD" w14:textId="6ABE4E62" w:rsidR="006657BE" w:rsidRPr="008159EE" w:rsidRDefault="00592959" w:rsidP="006B5DF1">
      <w:pPr>
        <w:spacing w:after="0"/>
      </w:pPr>
      <w:permStart w:id="1954616897" w:edGrp="everyone"/>
      <w:r w:rsidRPr="008159EE">
        <w:t>As in the case of the conditions a) we recognise that the report identifies</w:t>
      </w:r>
      <w:r w:rsidR="00991DEF" w:rsidRPr="008159EE">
        <w:t xml:space="preserve"> many relevant</w:t>
      </w:r>
      <w:r w:rsidRPr="008159EE">
        <w:t xml:space="preserve"> elem</w:t>
      </w:r>
      <w:r w:rsidR="00A1115B" w:rsidRPr="008159EE">
        <w:t>e</w:t>
      </w:r>
      <w:r w:rsidRPr="008159EE">
        <w:t>nt</w:t>
      </w:r>
      <w:r w:rsidR="00A1115B" w:rsidRPr="008159EE">
        <w:t>s</w:t>
      </w:r>
      <w:r w:rsidRPr="008159EE">
        <w:t xml:space="preserve"> but </w:t>
      </w:r>
      <w:r w:rsidR="006657BE" w:rsidRPr="008159EE">
        <w:t xml:space="preserve">- </w:t>
      </w:r>
      <w:r w:rsidR="0016099F" w:rsidRPr="008159EE">
        <w:t>for the reasons already stated in our responses above</w:t>
      </w:r>
      <w:r w:rsidR="006657BE" w:rsidRPr="008159EE">
        <w:t xml:space="preserve"> - we</w:t>
      </w:r>
      <w:r w:rsidR="0016099F" w:rsidRPr="008159EE">
        <w:t xml:space="preserve"> </w:t>
      </w:r>
      <w:r w:rsidRPr="008159EE">
        <w:t xml:space="preserve">see </w:t>
      </w:r>
      <w:r w:rsidR="0016099F" w:rsidRPr="008159EE">
        <w:t xml:space="preserve">no need to introduce a new reporting regime. </w:t>
      </w:r>
    </w:p>
    <w:p w14:paraId="2FE2ADBC" w14:textId="77777777" w:rsidR="006657BE" w:rsidRPr="008159EE" w:rsidRDefault="006657BE" w:rsidP="006B5DF1">
      <w:pPr>
        <w:spacing w:after="0"/>
      </w:pPr>
    </w:p>
    <w:p w14:paraId="77F1B8FD" w14:textId="4CBE82AF" w:rsidR="006B5DF1" w:rsidRPr="008159EE" w:rsidRDefault="0016099F" w:rsidP="006B5DF1">
      <w:pPr>
        <w:spacing w:after="0"/>
      </w:pPr>
      <w:r w:rsidRPr="008159EE">
        <w:t>In addition</w:t>
      </w:r>
      <w:r w:rsidR="00F403FA" w:rsidRPr="008159EE">
        <w:t>,</w:t>
      </w:r>
      <w:r w:rsidRPr="008159EE">
        <w:t xml:space="preserve"> we believe that </w:t>
      </w:r>
      <w:r w:rsidR="00F403FA" w:rsidRPr="008159EE">
        <w:t>the proposal also includes unnecessary formalities:</w:t>
      </w:r>
    </w:p>
    <w:p w14:paraId="032D0AD0" w14:textId="77777777" w:rsidR="00592959" w:rsidRDefault="00592959" w:rsidP="006B5DF1">
      <w:pPr>
        <w:spacing w:after="0"/>
      </w:pPr>
    </w:p>
    <w:p w14:paraId="7ECF9CC5" w14:textId="77777777" w:rsidR="00CA2B20" w:rsidRPr="008159EE" w:rsidRDefault="00CA2B20" w:rsidP="006B5DF1">
      <w:pPr>
        <w:spacing w:after="0"/>
      </w:pPr>
    </w:p>
    <w:p w14:paraId="0708EA34" w14:textId="0CEB72EA" w:rsidR="002866A4" w:rsidRPr="008159EE" w:rsidRDefault="0055283C" w:rsidP="0055283C">
      <w:pPr>
        <w:spacing w:after="0"/>
      </w:pPr>
      <w:r w:rsidRPr="008159EE">
        <w:t xml:space="preserve">a) </w:t>
      </w:r>
      <w:r w:rsidR="0017364A" w:rsidRPr="008159EE">
        <w:t xml:space="preserve">Systems and resources/dedicated staff </w:t>
      </w:r>
      <w:r w:rsidR="007B5249" w:rsidRPr="008159EE">
        <w:t xml:space="preserve">- </w:t>
      </w:r>
      <w:r w:rsidR="0017364A" w:rsidRPr="008159EE">
        <w:t xml:space="preserve">item </w:t>
      </w:r>
      <w:r w:rsidR="00521EAD" w:rsidRPr="008159EE">
        <w:t>62</w:t>
      </w:r>
      <w:r w:rsidR="00CC14C7" w:rsidRPr="008159EE">
        <w:t xml:space="preserve"> and </w:t>
      </w:r>
      <w:r w:rsidR="0017364A" w:rsidRPr="008159EE">
        <w:t>66</w:t>
      </w:r>
      <w:r w:rsidR="001B62BE" w:rsidRPr="008159EE">
        <w:t xml:space="preserve"> of the Report</w:t>
      </w:r>
      <w:r w:rsidR="00CC14C7" w:rsidRPr="008159EE">
        <w:t xml:space="preserve">/ Art. 2 (1) (b) </w:t>
      </w:r>
      <w:r w:rsidR="001B62BE" w:rsidRPr="008159EE">
        <w:t xml:space="preserve">of the </w:t>
      </w:r>
      <w:r w:rsidR="00037020" w:rsidRPr="008159EE">
        <w:t>d</w:t>
      </w:r>
      <w:r w:rsidR="00CC14C7" w:rsidRPr="008159EE">
        <w:t>raft RTS</w:t>
      </w:r>
      <w:r w:rsidR="0017364A" w:rsidRPr="008159EE">
        <w:t xml:space="preserve">): </w:t>
      </w:r>
    </w:p>
    <w:p w14:paraId="2CE888FC" w14:textId="77777777" w:rsidR="002866A4" w:rsidRPr="008159EE" w:rsidRDefault="002866A4" w:rsidP="0017364A">
      <w:pPr>
        <w:spacing w:after="0"/>
      </w:pPr>
    </w:p>
    <w:p w14:paraId="1A761846" w14:textId="3FA42F62" w:rsidR="00534B21" w:rsidRPr="008159EE" w:rsidRDefault="0017364A" w:rsidP="0017364A">
      <w:pPr>
        <w:spacing w:after="0"/>
      </w:pPr>
      <w:r w:rsidRPr="008159EE">
        <w:t>The requirement to dedicate adequate resources</w:t>
      </w:r>
      <w:r w:rsidR="002866A4" w:rsidRPr="008159EE">
        <w:t xml:space="preserve"> and personnel</w:t>
      </w:r>
      <w:r w:rsidRPr="008159EE">
        <w:t xml:space="preserve"> </w:t>
      </w:r>
      <w:r w:rsidR="006657BE" w:rsidRPr="008159EE">
        <w:t xml:space="preserve">does </w:t>
      </w:r>
      <w:r w:rsidRPr="008159EE">
        <w:t xml:space="preserve">not </w:t>
      </w:r>
      <w:r w:rsidR="006657BE" w:rsidRPr="008159EE">
        <w:t xml:space="preserve">need to </w:t>
      </w:r>
      <w:r w:rsidRPr="008159EE">
        <w:t xml:space="preserve">be subject to formalistic/rigid demands, especially not </w:t>
      </w:r>
      <w:r w:rsidR="002866A4" w:rsidRPr="008159EE">
        <w:t xml:space="preserve">in the form of </w:t>
      </w:r>
      <w:r w:rsidRPr="008159EE">
        <w:t xml:space="preserve">specific minimum numbers of dedicated staff: </w:t>
      </w:r>
      <w:r w:rsidR="002866A4" w:rsidRPr="008159EE">
        <w:t xml:space="preserve">The internal operational set-up will necessarily depend on the specifics of the institutions and its general operational set-up and business model. </w:t>
      </w:r>
      <w:r w:rsidR="00521EAD" w:rsidRPr="008159EE">
        <w:t>The</w:t>
      </w:r>
      <w:r w:rsidR="002866A4" w:rsidRPr="008159EE">
        <w:t xml:space="preserve"> operational </w:t>
      </w:r>
      <w:r w:rsidR="00521EAD" w:rsidRPr="008159EE">
        <w:t>set-up of an institution</w:t>
      </w:r>
      <w:r w:rsidR="002866A4" w:rsidRPr="008159EE">
        <w:t xml:space="preserve"> </w:t>
      </w:r>
      <w:r w:rsidR="00521EAD" w:rsidRPr="008159EE">
        <w:t>is</w:t>
      </w:r>
      <w:r w:rsidR="002866A4" w:rsidRPr="008159EE">
        <w:t xml:space="preserve"> already subject to regular supervisory review and therefore do</w:t>
      </w:r>
      <w:r w:rsidR="00521EAD" w:rsidRPr="008159EE">
        <w:t>es</w:t>
      </w:r>
      <w:r w:rsidR="002866A4" w:rsidRPr="008159EE">
        <w:t xml:space="preserve"> not require additional/separate </w:t>
      </w:r>
      <w:r w:rsidR="00521EAD" w:rsidRPr="008159EE">
        <w:t>r</w:t>
      </w:r>
      <w:r w:rsidR="002866A4" w:rsidRPr="008159EE">
        <w:t xml:space="preserve">ules and </w:t>
      </w:r>
      <w:r w:rsidR="00521EAD" w:rsidRPr="008159EE">
        <w:t>in</w:t>
      </w:r>
      <w:r w:rsidR="002866A4" w:rsidRPr="008159EE">
        <w:t>formation/reporting</w:t>
      </w:r>
      <w:r w:rsidR="00521EAD" w:rsidRPr="008159EE">
        <w:t xml:space="preserve"> </w:t>
      </w:r>
      <w:r w:rsidR="002866A4" w:rsidRPr="008159EE">
        <w:t xml:space="preserve">requirements. </w:t>
      </w:r>
    </w:p>
    <w:p w14:paraId="76E1B4B9" w14:textId="77777777" w:rsidR="00534B21" w:rsidRPr="008159EE" w:rsidRDefault="00534B21" w:rsidP="0017364A">
      <w:pPr>
        <w:spacing w:after="0"/>
      </w:pPr>
    </w:p>
    <w:p w14:paraId="70E59F81" w14:textId="43A841A6" w:rsidR="00CC14C7" w:rsidRPr="008159EE" w:rsidRDefault="00534B21" w:rsidP="0017364A">
      <w:pPr>
        <w:spacing w:after="0"/>
      </w:pPr>
      <w:r w:rsidRPr="008159EE">
        <w:t xml:space="preserve">Of course, institutions should, upon request, be able to name contacts and describe the set-up of the teams covering the </w:t>
      </w:r>
      <w:r w:rsidR="006657BE" w:rsidRPr="008159EE">
        <w:t xml:space="preserve">clearing </w:t>
      </w:r>
      <w:r w:rsidRPr="008159EE">
        <w:t xml:space="preserve">accounts. </w:t>
      </w:r>
    </w:p>
    <w:p w14:paraId="4E9B0675" w14:textId="77777777" w:rsidR="00B82B4B" w:rsidRPr="008159EE" w:rsidRDefault="00B82B4B" w:rsidP="0017364A">
      <w:pPr>
        <w:spacing w:after="0"/>
      </w:pPr>
    </w:p>
    <w:p w14:paraId="51351D49" w14:textId="77777777" w:rsidR="00123E08" w:rsidRPr="008159EE" w:rsidRDefault="00123E08" w:rsidP="0017364A">
      <w:pPr>
        <w:spacing w:after="0"/>
      </w:pPr>
    </w:p>
    <w:p w14:paraId="30CBDA56" w14:textId="18BA9B2B" w:rsidR="00592959" w:rsidRPr="008159EE" w:rsidRDefault="0055283C" w:rsidP="001B62BE">
      <w:pPr>
        <w:spacing w:after="0"/>
      </w:pPr>
      <w:r w:rsidRPr="008159EE">
        <w:t xml:space="preserve">b) </w:t>
      </w:r>
      <w:r w:rsidR="0017364A" w:rsidRPr="008159EE">
        <w:t>Operational capacity/d</w:t>
      </w:r>
      <w:r w:rsidR="00592959" w:rsidRPr="008159EE">
        <w:t>em</w:t>
      </w:r>
      <w:r w:rsidR="00A1115B" w:rsidRPr="008159EE">
        <w:t>o</w:t>
      </w:r>
      <w:r w:rsidR="00592959" w:rsidRPr="008159EE">
        <w:t>nstration of capability to address large flows and increase of volume</w:t>
      </w:r>
      <w:r w:rsidR="001B62BE" w:rsidRPr="008159EE">
        <w:t xml:space="preserve">: </w:t>
      </w:r>
      <w:r w:rsidR="00521EAD" w:rsidRPr="008159EE">
        <w:t xml:space="preserve">threefold </w:t>
      </w:r>
      <w:r w:rsidR="001B62BE" w:rsidRPr="008159EE">
        <w:t>/85% increase</w:t>
      </w:r>
      <w:r w:rsidR="007B5249" w:rsidRPr="008159EE">
        <w:t xml:space="preserve"> - </w:t>
      </w:r>
      <w:r w:rsidR="00521EAD" w:rsidRPr="008159EE">
        <w:t xml:space="preserve">item 67 </w:t>
      </w:r>
      <w:r w:rsidR="001B62BE" w:rsidRPr="008159EE">
        <w:t>and 82 of the Report)</w:t>
      </w:r>
      <w:r w:rsidR="00CC14C7" w:rsidRPr="008159EE">
        <w:t xml:space="preserve"> Art 2 </w:t>
      </w:r>
      <w:r w:rsidR="001B62BE" w:rsidRPr="008159EE">
        <w:t xml:space="preserve">(1) (c) and Art. 3 (1) (c) of the </w:t>
      </w:r>
      <w:r w:rsidR="00037020" w:rsidRPr="008159EE">
        <w:t>d</w:t>
      </w:r>
      <w:r w:rsidR="00CC14C7" w:rsidRPr="008159EE">
        <w:t>raft RTS</w:t>
      </w:r>
      <w:r w:rsidR="0030677E" w:rsidRPr="008159EE">
        <w:t>)</w:t>
      </w:r>
      <w:r w:rsidR="004479BE" w:rsidRPr="008159EE">
        <w:t>:</w:t>
      </w:r>
    </w:p>
    <w:p w14:paraId="2016BD4B" w14:textId="77777777" w:rsidR="001B62BE" w:rsidRPr="008159EE" w:rsidRDefault="001B62BE" w:rsidP="006B5DF1">
      <w:pPr>
        <w:spacing w:after="0"/>
      </w:pPr>
    </w:p>
    <w:p w14:paraId="4AF6CE17" w14:textId="4B15F5D4" w:rsidR="00F403FA" w:rsidRPr="008159EE" w:rsidRDefault="00CC14C7" w:rsidP="006B5DF1">
      <w:pPr>
        <w:spacing w:after="0"/>
      </w:pPr>
      <w:r w:rsidRPr="008159EE">
        <w:t xml:space="preserve">The proposed requirements regarding the operational capacities of the active account appear to </w:t>
      </w:r>
      <w:r w:rsidR="0078235D" w:rsidRPr="008159EE">
        <w:t>be</w:t>
      </w:r>
      <w:r w:rsidRPr="008159EE">
        <w:t xml:space="preserve"> based on the assumption that</w:t>
      </w:r>
      <w:r w:rsidR="00ED5C40" w:rsidRPr="008159EE">
        <w:t xml:space="preserve"> </w:t>
      </w:r>
      <w:r w:rsidR="00F403FA" w:rsidRPr="008159EE">
        <w:t xml:space="preserve">the entirety of </w:t>
      </w:r>
      <w:r w:rsidR="00ED5C40" w:rsidRPr="008159EE">
        <w:t xml:space="preserve">positions held </w:t>
      </w:r>
      <w:r w:rsidR="00F403FA" w:rsidRPr="008159EE">
        <w:t>may need to</w:t>
      </w:r>
      <w:r w:rsidR="00ED5C40" w:rsidRPr="008159EE">
        <w:t xml:space="preserve"> be transferred to an EU-CCP. However, </w:t>
      </w:r>
      <w:r w:rsidR="0055283C" w:rsidRPr="008159EE">
        <w:t>if</w:t>
      </w:r>
      <w:r w:rsidR="00ED5C40" w:rsidRPr="008159EE">
        <w:t xml:space="preserve"> EU counterparties were no longer able to clear via a non-EU CCP and maintain their already existing position at such </w:t>
      </w:r>
      <w:r w:rsidR="0030677E" w:rsidRPr="008159EE">
        <w:t>C</w:t>
      </w:r>
      <w:r w:rsidR="00ED5C40" w:rsidRPr="008159EE">
        <w:t>CP, these positions would not be transferred</w:t>
      </w:r>
      <w:r w:rsidR="00F403FA" w:rsidRPr="008159EE">
        <w:t xml:space="preserve"> as </w:t>
      </w:r>
      <w:r w:rsidR="006657BE" w:rsidRPr="008159EE">
        <w:t>a</w:t>
      </w:r>
      <w:r w:rsidR="00F403FA" w:rsidRPr="008159EE">
        <w:t xml:space="preserve"> whole</w:t>
      </w:r>
      <w:r w:rsidR="00ED5C40" w:rsidRPr="008159EE">
        <w:t xml:space="preserve">. Rather, </w:t>
      </w:r>
      <w:r w:rsidR="0030677E" w:rsidRPr="008159EE">
        <w:t xml:space="preserve">they </w:t>
      </w:r>
      <w:r w:rsidR="00ED5C40" w:rsidRPr="008159EE">
        <w:t xml:space="preserve">would </w:t>
      </w:r>
      <w:r w:rsidR="0078235D" w:rsidRPr="008159EE">
        <w:t xml:space="preserve">be </w:t>
      </w:r>
      <w:r w:rsidR="00ED5C40" w:rsidRPr="008159EE">
        <w:t xml:space="preserve">terminated and only a subset </w:t>
      </w:r>
      <w:r w:rsidR="00123E08" w:rsidRPr="008159EE">
        <w:t>thereof</w:t>
      </w:r>
      <w:r w:rsidR="00ED5C40" w:rsidRPr="008159EE">
        <w:t xml:space="preserve"> would then be re-stablished </w:t>
      </w:r>
      <w:r w:rsidR="0030677E" w:rsidRPr="008159EE">
        <w:t xml:space="preserve">in the form of </w:t>
      </w:r>
      <w:r w:rsidR="00ED5C40" w:rsidRPr="008159EE">
        <w:t>new transactions (</w:t>
      </w:r>
      <w:r w:rsidR="00F403FA" w:rsidRPr="008159EE">
        <w:t xml:space="preserve">only </w:t>
      </w:r>
      <w:r w:rsidR="0030677E" w:rsidRPr="008159EE">
        <w:t xml:space="preserve">partially </w:t>
      </w:r>
      <w:r w:rsidR="00ED5C40" w:rsidRPr="008159EE">
        <w:t>mirroring the former positions held at the non-EU CCP) with a</w:t>
      </w:r>
      <w:r w:rsidR="0078235D" w:rsidRPr="008159EE">
        <w:t>n</w:t>
      </w:r>
      <w:r w:rsidR="00ED5C40" w:rsidRPr="008159EE">
        <w:t xml:space="preserve"> EU-CCP. </w:t>
      </w:r>
    </w:p>
    <w:p w14:paraId="6FC54994" w14:textId="77777777" w:rsidR="00F403FA" w:rsidRPr="008159EE" w:rsidRDefault="00F403FA" w:rsidP="006B5DF1">
      <w:pPr>
        <w:spacing w:after="0"/>
      </w:pPr>
    </w:p>
    <w:p w14:paraId="5075DB93" w14:textId="1746D0E4" w:rsidR="00F403FA" w:rsidRPr="008159EE" w:rsidRDefault="00ED5C40" w:rsidP="006B5DF1">
      <w:pPr>
        <w:spacing w:after="0"/>
      </w:pPr>
      <w:r w:rsidRPr="008159EE">
        <w:t>This subset of mirror</w:t>
      </w:r>
      <w:r w:rsidR="006657BE" w:rsidRPr="008159EE">
        <w:t xml:space="preserve">ing </w:t>
      </w:r>
      <w:r w:rsidRPr="008159EE">
        <w:t>positions would be limited to</w:t>
      </w:r>
      <w:r w:rsidR="00BB1FBF" w:rsidRPr="008159EE">
        <w:t xml:space="preserve"> </w:t>
      </w:r>
      <w:r w:rsidR="0030677E" w:rsidRPr="008159EE">
        <w:t>positions/transactions</w:t>
      </w:r>
      <w:r w:rsidRPr="008159EE">
        <w:t xml:space="preserve"> where </w:t>
      </w:r>
      <w:r w:rsidR="0030677E" w:rsidRPr="008159EE">
        <w:t>a</w:t>
      </w:r>
      <w:r w:rsidRPr="008159EE">
        <w:t xml:space="preserve"> re-establishment </w:t>
      </w:r>
      <w:r w:rsidR="0030677E" w:rsidRPr="008159EE">
        <w:t>is</w:t>
      </w:r>
      <w:r w:rsidRPr="008159EE">
        <w:t xml:space="preserve"> </w:t>
      </w:r>
      <w:r w:rsidR="006657BE" w:rsidRPr="008159EE">
        <w:t>necessary</w:t>
      </w:r>
      <w:r w:rsidR="00123E08" w:rsidRPr="008159EE">
        <w:t xml:space="preserve">, </w:t>
      </w:r>
      <w:r w:rsidRPr="008159EE">
        <w:t xml:space="preserve">commercially reasonable and practically feasible. </w:t>
      </w:r>
    </w:p>
    <w:p w14:paraId="1D56A412" w14:textId="77777777" w:rsidR="00F403FA" w:rsidRPr="008159EE" w:rsidRDefault="00F403FA" w:rsidP="006B5DF1">
      <w:pPr>
        <w:spacing w:after="0"/>
      </w:pPr>
    </w:p>
    <w:p w14:paraId="0D3494A8" w14:textId="0A5F9627" w:rsidR="00F403FA" w:rsidRPr="008159EE" w:rsidRDefault="00ED5C40" w:rsidP="006B5DF1">
      <w:pPr>
        <w:spacing w:after="0"/>
      </w:pPr>
      <w:r w:rsidRPr="008159EE">
        <w:t>Th</w:t>
      </w:r>
      <w:r w:rsidR="00F403FA" w:rsidRPr="008159EE">
        <w:t>us</w:t>
      </w:r>
      <w:r w:rsidR="00BB1FBF" w:rsidRPr="008159EE">
        <w:t>,</w:t>
      </w:r>
      <w:r w:rsidR="00F403FA" w:rsidRPr="008159EE">
        <w:t xml:space="preserve"> the </w:t>
      </w:r>
      <w:r w:rsidRPr="008159EE">
        <w:t xml:space="preserve">subset of transferred positions will </w:t>
      </w:r>
      <w:r w:rsidR="0030677E" w:rsidRPr="008159EE">
        <w:t xml:space="preserve">constitute only a small portion of the positions </w:t>
      </w:r>
      <w:r w:rsidR="00123E08" w:rsidRPr="008159EE">
        <w:t>originally</w:t>
      </w:r>
      <w:r w:rsidR="0030677E" w:rsidRPr="008159EE">
        <w:t xml:space="preserve"> held with the non-EU CCP. The increase of the volume following such an event will therefore</w:t>
      </w:r>
      <w:r w:rsidR="006657BE" w:rsidRPr="008159EE">
        <w:t>,</w:t>
      </w:r>
      <w:r w:rsidR="0030677E" w:rsidRPr="008159EE">
        <w:t xml:space="preserve"> in all likelihood</w:t>
      </w:r>
      <w:r w:rsidR="006657BE" w:rsidRPr="008159EE">
        <w:t>,</w:t>
      </w:r>
      <w:r w:rsidR="0030677E" w:rsidRPr="008159EE">
        <w:t xml:space="preserve"> </w:t>
      </w:r>
      <w:r w:rsidR="006657BE" w:rsidRPr="008159EE">
        <w:t>significantly lower than assumed</w:t>
      </w:r>
      <w:r w:rsidR="0030677E" w:rsidRPr="008159EE">
        <w:t xml:space="preserve">. </w:t>
      </w:r>
    </w:p>
    <w:p w14:paraId="0CC9A9E7" w14:textId="77777777" w:rsidR="00F403FA" w:rsidRPr="008159EE" w:rsidRDefault="00F403FA" w:rsidP="006B5DF1">
      <w:pPr>
        <w:spacing w:after="0"/>
      </w:pPr>
    </w:p>
    <w:p w14:paraId="636167A4" w14:textId="5EFE5DF0" w:rsidR="00F403FA" w:rsidRPr="008159EE" w:rsidRDefault="0030677E" w:rsidP="00F403FA">
      <w:pPr>
        <w:spacing w:after="0"/>
      </w:pPr>
      <w:r w:rsidRPr="008159EE">
        <w:t xml:space="preserve">Consequently, the assumption of </w:t>
      </w:r>
      <w:r w:rsidR="0078235D" w:rsidRPr="008159EE">
        <w:t xml:space="preserve">a </w:t>
      </w:r>
      <w:r w:rsidRPr="008159EE">
        <w:t>threefold increase</w:t>
      </w:r>
      <w:r w:rsidR="001B62BE" w:rsidRPr="008159EE">
        <w:t xml:space="preserve"> (item 70 of the report/art. 2 (1) 8</w:t>
      </w:r>
      <w:r w:rsidR="007B5249" w:rsidRPr="008159EE">
        <w:t xml:space="preserve"> (</w:t>
      </w:r>
      <w:r w:rsidR="001B62BE" w:rsidRPr="008159EE">
        <w:t xml:space="preserve">c) of the </w:t>
      </w:r>
      <w:r w:rsidR="00037020" w:rsidRPr="008159EE">
        <w:t>d</w:t>
      </w:r>
      <w:r w:rsidR="001B62BE" w:rsidRPr="008159EE">
        <w:t xml:space="preserve">raft RTS) </w:t>
      </w:r>
      <w:r w:rsidR="006657BE" w:rsidRPr="008159EE">
        <w:t xml:space="preserve">as well as </w:t>
      </w:r>
      <w:r w:rsidR="00F403FA" w:rsidRPr="008159EE">
        <w:t xml:space="preserve">the assumption of an 85% increase of the new clearing activity for stress-testing the purposes (item 82 of the Report and Art. 3 (1) (c) of the </w:t>
      </w:r>
      <w:r w:rsidR="00037020" w:rsidRPr="008159EE">
        <w:t>d</w:t>
      </w:r>
      <w:r w:rsidR="00F403FA" w:rsidRPr="008159EE">
        <w:t xml:space="preserve">raft RTS should be reconsidered (see also response to Q4). </w:t>
      </w:r>
    </w:p>
    <w:p w14:paraId="3F5379D1" w14:textId="77777777" w:rsidR="00F403FA" w:rsidRPr="008159EE" w:rsidRDefault="00F403FA" w:rsidP="00F403FA">
      <w:pPr>
        <w:spacing w:after="0"/>
      </w:pPr>
    </w:p>
    <w:p w14:paraId="7896F1E8" w14:textId="5F66A3EA" w:rsidR="00F403FA" w:rsidRPr="008159EE" w:rsidRDefault="00F403FA" w:rsidP="00F403FA">
      <w:pPr>
        <w:spacing w:after="0"/>
      </w:pPr>
      <w:r w:rsidRPr="008159EE">
        <w:t>A more re</w:t>
      </w:r>
      <w:r w:rsidR="00E734B2" w:rsidRPr="008159EE">
        <w:t>a</w:t>
      </w:r>
      <w:r w:rsidRPr="008159EE">
        <w:t>l</w:t>
      </w:r>
      <w:r w:rsidR="00E734B2" w:rsidRPr="008159EE">
        <w:t>is</w:t>
      </w:r>
      <w:r w:rsidRPr="008159EE">
        <w:t>tic and practical approach would be the focus on one</w:t>
      </w:r>
      <w:r w:rsidR="00430C28" w:rsidRPr="008159EE">
        <w:t xml:space="preserve">, </w:t>
      </w:r>
      <w:r w:rsidRPr="008159EE">
        <w:t xml:space="preserve">significantly lower value (e.g. </w:t>
      </w:r>
      <w:r w:rsidR="00534B21" w:rsidRPr="008159EE">
        <w:t>a two-fold increase or a volume increase of 50%)</w:t>
      </w:r>
    </w:p>
    <w:p w14:paraId="05669125" w14:textId="77777777" w:rsidR="00B82B4B" w:rsidRPr="008159EE" w:rsidRDefault="00B82B4B" w:rsidP="006B5DF1">
      <w:pPr>
        <w:spacing w:after="0"/>
      </w:pPr>
    </w:p>
    <w:p w14:paraId="19CE9FF4" w14:textId="77777777" w:rsidR="00123E08" w:rsidRPr="008159EE" w:rsidRDefault="00123E08" w:rsidP="006B5DF1">
      <w:pPr>
        <w:spacing w:after="0"/>
      </w:pPr>
    </w:p>
    <w:p w14:paraId="5195504B" w14:textId="38376034" w:rsidR="00A1115B" w:rsidRPr="008159EE" w:rsidRDefault="0055283C" w:rsidP="006B5DF1">
      <w:pPr>
        <w:spacing w:after="0"/>
      </w:pPr>
      <w:r w:rsidRPr="008159EE">
        <w:t xml:space="preserve">c) </w:t>
      </w:r>
      <w:r w:rsidR="00123E08" w:rsidRPr="008159EE">
        <w:t>CCP-</w:t>
      </w:r>
      <w:r w:rsidR="00324A6B" w:rsidRPr="008159EE">
        <w:t>statements/c</w:t>
      </w:r>
      <w:r w:rsidRPr="008159EE">
        <w:t>onfirmation</w:t>
      </w:r>
      <w:r w:rsidR="00123E08" w:rsidRPr="008159EE">
        <w:t>s</w:t>
      </w:r>
      <w:r w:rsidRPr="008159EE">
        <w:t>: Formal requirements (signed/written) and correspon</w:t>
      </w:r>
      <w:r w:rsidR="0078235D" w:rsidRPr="008159EE">
        <w:t>d</w:t>
      </w:r>
      <w:r w:rsidRPr="008159EE">
        <w:t>ing obligation for CCPs</w:t>
      </w:r>
      <w:r w:rsidR="007B5249" w:rsidRPr="008159EE">
        <w:t xml:space="preserve"> – Section 4.2 item 69 and 76 of the Report / Art.</w:t>
      </w:r>
      <w:r w:rsidR="0078235D" w:rsidRPr="008159EE">
        <w:t xml:space="preserve"> </w:t>
      </w:r>
      <w:r w:rsidR="007B5249" w:rsidRPr="008159EE">
        <w:t xml:space="preserve">2 (1) (c) and Art 3 (1) (c), (4) and (5) of the </w:t>
      </w:r>
      <w:r w:rsidR="00037020" w:rsidRPr="008159EE">
        <w:t>d</w:t>
      </w:r>
      <w:r w:rsidR="007B5249" w:rsidRPr="008159EE">
        <w:t>raft RTS</w:t>
      </w:r>
      <w:r w:rsidR="004479BE" w:rsidRPr="008159EE">
        <w:t xml:space="preserve">: </w:t>
      </w:r>
    </w:p>
    <w:p w14:paraId="29B866A2" w14:textId="77777777" w:rsidR="00592959" w:rsidRPr="008159EE" w:rsidRDefault="00592959" w:rsidP="006B5DF1">
      <w:pPr>
        <w:spacing w:after="0"/>
      </w:pPr>
    </w:p>
    <w:p w14:paraId="0B8D9790" w14:textId="7DBE1F1C" w:rsidR="00054EB8" w:rsidRPr="008159EE" w:rsidRDefault="00534B21" w:rsidP="006B5DF1">
      <w:pPr>
        <w:spacing w:after="0"/>
      </w:pPr>
      <w:r w:rsidRPr="008159EE">
        <w:t>CCP-</w:t>
      </w:r>
      <w:r w:rsidR="00324A6B" w:rsidRPr="008159EE">
        <w:t>statements/</w:t>
      </w:r>
      <w:r w:rsidRPr="008159EE">
        <w:t>confirmation</w:t>
      </w:r>
      <w:r w:rsidR="00324A6B" w:rsidRPr="008159EE">
        <w:t>s</w:t>
      </w:r>
      <w:r w:rsidRPr="008159EE">
        <w:t xml:space="preserve"> (upon request of the competent supervisory authority) can be an important element in order to ascertain the functionality of clearing accounts. However, there is no need to prescribe a specific formal </w:t>
      </w:r>
      <w:r w:rsidR="00616228" w:rsidRPr="008159EE">
        <w:t>“</w:t>
      </w:r>
      <w:r w:rsidR="007B5249" w:rsidRPr="008159EE">
        <w:t>signed</w:t>
      </w:r>
      <w:r w:rsidR="00616228" w:rsidRPr="008159EE">
        <w:t>”</w:t>
      </w:r>
      <w:r w:rsidR="00123E08" w:rsidRPr="008159EE">
        <w:t xml:space="preserve"> </w:t>
      </w:r>
      <w:r w:rsidR="007B5249" w:rsidRPr="008159EE">
        <w:t>/</w:t>
      </w:r>
      <w:r w:rsidR="00123E08" w:rsidRPr="008159EE">
        <w:t xml:space="preserve"> </w:t>
      </w:r>
      <w:r w:rsidR="005D57C5" w:rsidRPr="008159EE">
        <w:t>“</w:t>
      </w:r>
      <w:r w:rsidR="007B5249" w:rsidRPr="008159EE">
        <w:t>written</w:t>
      </w:r>
      <w:r w:rsidR="00616228" w:rsidRPr="008159EE">
        <w:t>”</w:t>
      </w:r>
      <w:r w:rsidRPr="008159EE">
        <w:t xml:space="preserve"> confirmation (as this </w:t>
      </w:r>
      <w:r w:rsidR="00616228" w:rsidRPr="008159EE">
        <w:t xml:space="preserve">may </w:t>
      </w:r>
      <w:r w:rsidR="007B5249" w:rsidRPr="008159EE">
        <w:t>impl</w:t>
      </w:r>
      <w:r w:rsidR="00616228" w:rsidRPr="008159EE">
        <w:t xml:space="preserve">y </w:t>
      </w:r>
      <w:r w:rsidR="007B5249" w:rsidRPr="008159EE">
        <w:t>the need for paper/original documents</w:t>
      </w:r>
      <w:r w:rsidR="00616228" w:rsidRPr="008159EE">
        <w:t xml:space="preserve"> or even handwritten signatures</w:t>
      </w:r>
      <w:r w:rsidR="00CA4452" w:rsidRPr="008159EE">
        <w:t xml:space="preserve"> and </w:t>
      </w:r>
      <w:r w:rsidRPr="008159EE">
        <w:t xml:space="preserve">could </w:t>
      </w:r>
      <w:r w:rsidR="00CA4452" w:rsidRPr="008159EE">
        <w:t>exclude other suitable formats (</w:t>
      </w:r>
      <w:r w:rsidRPr="008159EE">
        <w:t xml:space="preserve">such as </w:t>
      </w:r>
      <w:r w:rsidR="00CA4452" w:rsidRPr="008159EE">
        <w:t>electronic formats)</w:t>
      </w:r>
      <w:r w:rsidR="00CA2B20">
        <w:t>)</w:t>
      </w:r>
      <w:r w:rsidR="007B5249" w:rsidRPr="008159EE">
        <w:t xml:space="preserve">. The </w:t>
      </w:r>
      <w:r w:rsidRPr="008159EE">
        <w:t xml:space="preserve">competent </w:t>
      </w:r>
      <w:r w:rsidR="007B5249" w:rsidRPr="008159EE">
        <w:t>supervisory authoritie</w:t>
      </w:r>
      <w:r w:rsidR="00CA4452" w:rsidRPr="008159EE">
        <w:t>s</w:t>
      </w:r>
      <w:r w:rsidR="007B5249" w:rsidRPr="008159EE">
        <w:t xml:space="preserve"> </w:t>
      </w:r>
      <w:r w:rsidR="00CA4452" w:rsidRPr="008159EE">
        <w:t>w</w:t>
      </w:r>
      <w:r w:rsidR="007B5249" w:rsidRPr="008159EE">
        <w:t>ill</w:t>
      </w:r>
      <w:r w:rsidR="00CA4452" w:rsidRPr="008159EE">
        <w:t xml:space="preserve">, </w:t>
      </w:r>
      <w:r w:rsidR="007B5249" w:rsidRPr="008159EE">
        <w:t>in any event</w:t>
      </w:r>
      <w:r w:rsidR="00CA4452" w:rsidRPr="008159EE">
        <w:t xml:space="preserve">, </w:t>
      </w:r>
      <w:r w:rsidR="007B5249" w:rsidRPr="008159EE">
        <w:t xml:space="preserve">be able </w:t>
      </w:r>
      <w:r w:rsidR="00845714" w:rsidRPr="008159EE">
        <w:t>verify</w:t>
      </w:r>
      <w:r w:rsidR="007B5249" w:rsidRPr="008159EE">
        <w:t xml:space="preserve"> the </w:t>
      </w:r>
      <w:r w:rsidR="00CA4452" w:rsidRPr="008159EE">
        <w:t>authenticity</w:t>
      </w:r>
      <w:r w:rsidR="007B5249" w:rsidRPr="008159EE">
        <w:t xml:space="preserve"> of </w:t>
      </w:r>
      <w:r w:rsidR="00324A6B" w:rsidRPr="008159EE">
        <w:t>a statement/confirmation</w:t>
      </w:r>
      <w:r w:rsidR="007B5249" w:rsidRPr="008159EE">
        <w:t xml:space="preserve">. </w:t>
      </w:r>
    </w:p>
    <w:p w14:paraId="451E31C5" w14:textId="77777777" w:rsidR="00054EB8" w:rsidRPr="008159EE" w:rsidRDefault="00054EB8" w:rsidP="006B5DF1">
      <w:pPr>
        <w:spacing w:after="0"/>
      </w:pPr>
    </w:p>
    <w:p w14:paraId="1ECCD158" w14:textId="65885E86" w:rsidR="00592959" w:rsidRPr="008159EE" w:rsidRDefault="007B5249" w:rsidP="006B5DF1">
      <w:pPr>
        <w:spacing w:after="0"/>
      </w:pPr>
      <w:r w:rsidRPr="008159EE">
        <w:lastRenderedPageBreak/>
        <w:t>In additio</w:t>
      </w:r>
      <w:r w:rsidR="00FC597A" w:rsidRPr="008159EE">
        <w:t>n, in order to ensure that clearing members and</w:t>
      </w:r>
      <w:r w:rsidR="00CA4452" w:rsidRPr="008159EE">
        <w:t>/or</w:t>
      </w:r>
      <w:r w:rsidR="00FC597A" w:rsidRPr="008159EE">
        <w:t xml:space="preserve"> clients are able </w:t>
      </w:r>
      <w:r w:rsidR="00616228" w:rsidRPr="008159EE">
        <w:t>to obtain</w:t>
      </w:r>
      <w:r w:rsidR="00CC582B" w:rsidRPr="008159EE">
        <w:t xml:space="preserve"> these</w:t>
      </w:r>
      <w:r w:rsidR="00616228" w:rsidRPr="008159EE">
        <w:t xml:space="preserve"> </w:t>
      </w:r>
      <w:r w:rsidR="00123E08" w:rsidRPr="008159EE">
        <w:t>CCP</w:t>
      </w:r>
      <w:r w:rsidR="00324A6B" w:rsidRPr="008159EE">
        <w:t>-statements/confirmations</w:t>
      </w:r>
      <w:r w:rsidR="00616228" w:rsidRPr="008159EE">
        <w:t xml:space="preserve"> </w:t>
      </w:r>
      <w:r w:rsidR="00CC582B" w:rsidRPr="008159EE">
        <w:t xml:space="preserve">(upon request of the competent supervisory authorities) </w:t>
      </w:r>
      <w:r w:rsidR="00FC597A" w:rsidRPr="008159EE">
        <w:t>CCPs</w:t>
      </w:r>
      <w:r w:rsidR="00CC582B" w:rsidRPr="008159EE">
        <w:t xml:space="preserve"> would – correspondingly - need to be subject to a formal obligation</w:t>
      </w:r>
      <w:r w:rsidR="00FC597A" w:rsidRPr="008159EE">
        <w:t xml:space="preserve"> to </w:t>
      </w:r>
      <w:r w:rsidR="00616228" w:rsidRPr="008159EE">
        <w:t>issue</w:t>
      </w:r>
      <w:r w:rsidR="00FC597A" w:rsidRPr="008159EE">
        <w:t xml:space="preserve"> such </w:t>
      </w:r>
      <w:r w:rsidR="00324A6B" w:rsidRPr="008159EE">
        <w:t>statement</w:t>
      </w:r>
      <w:r w:rsidR="00123E08" w:rsidRPr="008159EE">
        <w:t>/confirmation</w:t>
      </w:r>
      <w:r w:rsidR="00FC597A" w:rsidRPr="008159EE">
        <w:t xml:space="preserve"> </w:t>
      </w:r>
      <w:r w:rsidR="00845714" w:rsidRPr="008159EE">
        <w:t>with the required set of information</w:t>
      </w:r>
      <w:r w:rsidR="00616228" w:rsidRPr="008159EE">
        <w:t xml:space="preserve"> and in the required format</w:t>
      </w:r>
      <w:r w:rsidR="00CC582B" w:rsidRPr="008159EE">
        <w:t xml:space="preserve"> and without cost</w:t>
      </w:r>
      <w:r w:rsidR="00FC597A" w:rsidRPr="008159EE">
        <w:t>.</w:t>
      </w:r>
    </w:p>
    <w:permEnd w:id="1954616897"/>
    <w:p w14:paraId="0F52A7AB" w14:textId="14C21445" w:rsidR="006B5DF1" w:rsidRPr="008159EE" w:rsidRDefault="006B5DF1" w:rsidP="006B5DF1">
      <w:pPr>
        <w:spacing w:after="0"/>
      </w:pPr>
      <w:r w:rsidRPr="008159EE">
        <w:t>&lt;ESMA_QUESTION_</w:t>
      </w:r>
      <w:r w:rsidR="004E60D2" w:rsidRPr="008159EE">
        <w:t>AAR</w:t>
      </w:r>
      <w:r w:rsidRPr="008159EE">
        <w:t>_</w:t>
      </w:r>
      <w:r w:rsidR="003E7313" w:rsidRPr="008159EE">
        <w:t>03</w:t>
      </w:r>
      <w:r w:rsidRPr="008159EE">
        <w:t>&gt;</w:t>
      </w:r>
    </w:p>
    <w:p w14:paraId="4928DFF2" w14:textId="77777777" w:rsidR="006B5DF1" w:rsidRPr="008159EE" w:rsidRDefault="006B5DF1" w:rsidP="006B5DF1"/>
    <w:p w14:paraId="46E3A872" w14:textId="77777777" w:rsidR="006B5DF1" w:rsidRPr="008159EE" w:rsidRDefault="006B5DF1" w:rsidP="006B5DF1"/>
    <w:p w14:paraId="27A42220" w14:textId="041C5ECA" w:rsidR="004E60D2" w:rsidRPr="008159EE" w:rsidRDefault="004E60D2" w:rsidP="004E60D2">
      <w:pPr>
        <w:pStyle w:val="Questionstyle"/>
        <w:rPr>
          <w:lang w:val="en-US"/>
        </w:rPr>
      </w:pPr>
      <w:r w:rsidRPr="008159EE">
        <w:rPr>
          <w:lang w:val="en-US"/>
        </w:rPr>
        <w:t xml:space="preserve">Do you agree with the proposed approach for the annual stress-testing conditions (a), (b) and (c)? </w:t>
      </w:r>
    </w:p>
    <w:p w14:paraId="7BBB58D3" w14:textId="77777777" w:rsidR="006B5DF1" w:rsidRPr="008159EE" w:rsidRDefault="006B5DF1" w:rsidP="006B5DF1">
      <w:pPr>
        <w:rPr>
          <w:lang w:val="en-US"/>
        </w:rPr>
      </w:pPr>
    </w:p>
    <w:p w14:paraId="47B452E7" w14:textId="609D6B18" w:rsidR="006B5DF1" w:rsidRPr="008159EE" w:rsidRDefault="006B5DF1" w:rsidP="006B5DF1">
      <w:pPr>
        <w:spacing w:after="0"/>
      </w:pPr>
      <w:r w:rsidRPr="008159EE">
        <w:t>&lt;ESMA_QUESTION_</w:t>
      </w:r>
      <w:r w:rsidR="004E60D2" w:rsidRPr="008159EE">
        <w:t>AAR</w:t>
      </w:r>
      <w:r w:rsidRPr="008159EE">
        <w:t>_</w:t>
      </w:r>
      <w:r w:rsidR="003E7313" w:rsidRPr="008159EE">
        <w:t>04</w:t>
      </w:r>
      <w:r w:rsidRPr="008159EE">
        <w:t>&gt;</w:t>
      </w:r>
    </w:p>
    <w:p w14:paraId="03A5D0BE" w14:textId="66FB882B" w:rsidR="00CC582B" w:rsidRPr="008159EE" w:rsidRDefault="00CC582B" w:rsidP="006B5DF1">
      <w:pPr>
        <w:spacing w:after="0"/>
      </w:pPr>
      <w:permStart w:id="1534341782" w:edGrp="everyone"/>
      <w:r w:rsidRPr="008159EE">
        <w:t xml:space="preserve"> We believe that the proposed approach on annual stress-testing should be </w:t>
      </w:r>
      <w:r w:rsidR="0027067C" w:rsidRPr="008159EE">
        <w:t>reconsidered</w:t>
      </w:r>
      <w:r w:rsidRPr="008159EE">
        <w:t>:</w:t>
      </w:r>
    </w:p>
    <w:p w14:paraId="7D90C7B8" w14:textId="77777777" w:rsidR="00CC582B" w:rsidRPr="008159EE" w:rsidRDefault="00CC582B" w:rsidP="006B5DF1">
      <w:pPr>
        <w:spacing w:after="0"/>
      </w:pPr>
    </w:p>
    <w:p w14:paraId="1E25886E" w14:textId="43389B07" w:rsidR="00C41D64" w:rsidRPr="008159EE" w:rsidRDefault="00C41D64" w:rsidP="006B5DF1">
      <w:pPr>
        <w:spacing w:after="0"/>
      </w:pPr>
      <w:r w:rsidRPr="008159EE">
        <w:t>W</w:t>
      </w:r>
      <w:r w:rsidR="00CC582B" w:rsidRPr="008159EE">
        <w:t>e recognise that the proposal reflects the requirements under Art. 7a (</w:t>
      </w:r>
      <w:r w:rsidR="00B50808" w:rsidRPr="008159EE">
        <w:t>4</w:t>
      </w:r>
      <w:r w:rsidR="00CC582B" w:rsidRPr="008159EE">
        <w:t>) sub-pa</w:t>
      </w:r>
      <w:r w:rsidR="0027067C" w:rsidRPr="008159EE">
        <w:t>r</w:t>
      </w:r>
      <w:r w:rsidR="00CC582B" w:rsidRPr="008159EE">
        <w:t>a</w:t>
      </w:r>
      <w:r w:rsidR="00037020" w:rsidRPr="008159EE">
        <w:t xml:space="preserve"> 4 EMIR 3.0</w:t>
      </w:r>
      <w:r w:rsidR="00CC582B" w:rsidRPr="008159EE">
        <w:t xml:space="preserve"> </w:t>
      </w:r>
      <w:r w:rsidRPr="008159EE">
        <w:t xml:space="preserve">calling for </w:t>
      </w:r>
      <w:r w:rsidR="00CC582B" w:rsidRPr="008159EE">
        <w:t>annual stress-testing</w:t>
      </w:r>
      <w:r w:rsidRPr="008159EE">
        <w:t>. However, we believe that the proposal in i</w:t>
      </w:r>
      <w:r w:rsidR="004410D2" w:rsidRPr="008159EE">
        <w:t>ts</w:t>
      </w:r>
      <w:r w:rsidRPr="008159EE">
        <w:t xml:space="preserve"> current form is </w:t>
      </w:r>
      <w:r w:rsidR="004410D2" w:rsidRPr="008159EE">
        <w:t>overly</w:t>
      </w:r>
      <w:r w:rsidR="00430C28" w:rsidRPr="008159EE">
        <w:t xml:space="preserve"> </w:t>
      </w:r>
      <w:r w:rsidR="004410D2" w:rsidRPr="008159EE">
        <w:t>burdensome</w:t>
      </w:r>
      <w:r w:rsidRPr="008159EE">
        <w:t>:</w:t>
      </w:r>
    </w:p>
    <w:p w14:paraId="293E1661" w14:textId="77777777" w:rsidR="00C41D64" w:rsidRPr="008159EE" w:rsidRDefault="00C41D64" w:rsidP="006B5DF1">
      <w:pPr>
        <w:spacing w:after="0"/>
      </w:pPr>
    </w:p>
    <w:p w14:paraId="4998181F" w14:textId="3945ACBC" w:rsidR="00C41D64" w:rsidRPr="008159EE" w:rsidRDefault="00AF32C7" w:rsidP="00C41D64">
      <w:pPr>
        <w:spacing w:after="0"/>
      </w:pPr>
      <w:r w:rsidRPr="008159EE">
        <w:t>St</w:t>
      </w:r>
      <w:r w:rsidR="004410D2" w:rsidRPr="008159EE">
        <w:t xml:space="preserve">ress-testing </w:t>
      </w:r>
      <w:r w:rsidR="00123E08" w:rsidRPr="008159EE">
        <w:t xml:space="preserve">exercises are always </w:t>
      </w:r>
      <w:r w:rsidR="00430C28" w:rsidRPr="008159EE">
        <w:t>very</w:t>
      </w:r>
      <w:r w:rsidR="004410D2" w:rsidRPr="008159EE">
        <w:t xml:space="preserve"> challenging</w:t>
      </w:r>
      <w:r w:rsidR="00C41D64" w:rsidRPr="008159EE">
        <w:t xml:space="preserve"> </w:t>
      </w:r>
      <w:r w:rsidR="004410D2" w:rsidRPr="008159EE">
        <w:t xml:space="preserve">and burdensome for the affected institutions. Against this background, </w:t>
      </w:r>
      <w:r w:rsidRPr="008159EE">
        <w:t>the proposed</w:t>
      </w:r>
      <w:r w:rsidR="004410D2" w:rsidRPr="008159EE">
        <w:t xml:space="preserve"> annual stress testing-cycle (let-alone a 6-month cycle) </w:t>
      </w:r>
      <w:r w:rsidRPr="008159EE">
        <w:t xml:space="preserve">is very aggressive. </w:t>
      </w:r>
    </w:p>
    <w:p w14:paraId="5595FFFA" w14:textId="77777777" w:rsidR="00AF32C7" w:rsidRPr="008159EE" w:rsidRDefault="00AF32C7" w:rsidP="006B5DF1">
      <w:pPr>
        <w:spacing w:after="0"/>
      </w:pPr>
    </w:p>
    <w:p w14:paraId="3E197438" w14:textId="53F33C2A" w:rsidR="00AF32C7" w:rsidRPr="008159EE" w:rsidRDefault="00AF32C7" w:rsidP="006B5DF1">
      <w:pPr>
        <w:spacing w:after="0"/>
      </w:pPr>
      <w:r w:rsidRPr="008159EE">
        <w:t xml:space="preserve">Moreover, </w:t>
      </w:r>
      <w:r w:rsidR="0027067C" w:rsidRPr="008159EE">
        <w:t xml:space="preserve">CCPs already </w:t>
      </w:r>
      <w:r w:rsidRPr="008159EE">
        <w:t xml:space="preserve">conduct their own </w:t>
      </w:r>
      <w:r w:rsidR="0027067C" w:rsidRPr="008159EE">
        <w:t xml:space="preserve">regular </w:t>
      </w:r>
      <w:r w:rsidRPr="008159EE">
        <w:t xml:space="preserve">and complex </w:t>
      </w:r>
      <w:r w:rsidR="0027067C" w:rsidRPr="008159EE">
        <w:t>stress-tests (</w:t>
      </w:r>
      <w:r w:rsidR="00F610EB" w:rsidRPr="008159EE">
        <w:t>“</w:t>
      </w:r>
      <w:r w:rsidR="0027067C" w:rsidRPr="008159EE">
        <w:t>fire-drills</w:t>
      </w:r>
      <w:r w:rsidR="00F610EB" w:rsidRPr="008159EE">
        <w:t xml:space="preserve">” - </w:t>
      </w:r>
      <w:r w:rsidRPr="008159EE">
        <w:t>however,</w:t>
      </w:r>
      <w:r w:rsidR="00F610EB" w:rsidRPr="008159EE">
        <w:t xml:space="preserve"> usually</w:t>
      </w:r>
      <w:r w:rsidRPr="008159EE">
        <w:t xml:space="preserve"> with </w:t>
      </w:r>
      <w:r w:rsidR="00F610EB" w:rsidRPr="008159EE">
        <w:t>longer intervals)</w:t>
      </w:r>
      <w:r w:rsidRPr="008159EE">
        <w:t>.</w:t>
      </w:r>
    </w:p>
    <w:p w14:paraId="3B5D97D3" w14:textId="77777777" w:rsidR="00AF32C7" w:rsidRPr="008159EE" w:rsidRDefault="00AF32C7" w:rsidP="006B5DF1">
      <w:pPr>
        <w:spacing w:after="0"/>
      </w:pPr>
    </w:p>
    <w:p w14:paraId="4604B80A" w14:textId="6DA02785" w:rsidR="00CC582B" w:rsidRPr="008159EE" w:rsidRDefault="00E734B2" w:rsidP="006B5DF1">
      <w:pPr>
        <w:spacing w:after="0"/>
      </w:pPr>
      <w:r w:rsidRPr="008159EE">
        <w:t>Separate</w:t>
      </w:r>
      <w:r w:rsidR="00AF32C7" w:rsidRPr="008159EE">
        <w:t>, a</w:t>
      </w:r>
      <w:r w:rsidR="0027067C" w:rsidRPr="008159EE">
        <w:t>dditional – annual– stress-testing exercise</w:t>
      </w:r>
      <w:r w:rsidR="00FF0BDC" w:rsidRPr="008159EE">
        <w:t xml:space="preserve">s for AAR-purposes </w:t>
      </w:r>
      <w:r w:rsidR="00AB5FAF" w:rsidRPr="008159EE">
        <w:t xml:space="preserve">– especially if including the participation of clients - </w:t>
      </w:r>
      <w:r w:rsidR="00FF0BDC" w:rsidRPr="008159EE">
        <w:t xml:space="preserve">would </w:t>
      </w:r>
      <w:r w:rsidR="0027067C" w:rsidRPr="008159EE">
        <w:t xml:space="preserve">therefore be extremely </w:t>
      </w:r>
      <w:r w:rsidR="00FF0BDC" w:rsidRPr="008159EE">
        <w:t>challenging</w:t>
      </w:r>
      <w:r w:rsidR="0027067C" w:rsidRPr="008159EE">
        <w:t xml:space="preserve"> for all affected parties and significantly impact their </w:t>
      </w:r>
      <w:r w:rsidR="00F610EB" w:rsidRPr="008159EE">
        <w:t xml:space="preserve">day-to-day </w:t>
      </w:r>
      <w:r w:rsidR="0027067C" w:rsidRPr="008159EE">
        <w:t>business operations.</w:t>
      </w:r>
    </w:p>
    <w:p w14:paraId="4FD7FC02" w14:textId="77777777" w:rsidR="0027067C" w:rsidRPr="008159EE" w:rsidRDefault="0027067C" w:rsidP="006B5DF1">
      <w:pPr>
        <w:spacing w:after="0"/>
      </w:pPr>
    </w:p>
    <w:p w14:paraId="1699F621" w14:textId="3418FA33" w:rsidR="00AF32C7" w:rsidRPr="008159EE" w:rsidRDefault="00AF32C7" w:rsidP="006B5DF1">
      <w:pPr>
        <w:spacing w:after="0"/>
      </w:pPr>
      <w:r w:rsidRPr="008159EE">
        <w:t>The burdens imposed by the stress-testing requirement thus need to be minimised as much as possible. To this end</w:t>
      </w:r>
      <w:r w:rsidR="00430C28" w:rsidRPr="008159EE">
        <w:t xml:space="preserve"> the following </w:t>
      </w:r>
      <w:r w:rsidR="00D317E1" w:rsidRPr="008159EE">
        <w:t>c</w:t>
      </w:r>
      <w:r w:rsidR="00430C28" w:rsidRPr="008159EE">
        <w:t>ould be considered</w:t>
      </w:r>
      <w:r w:rsidRPr="008159EE">
        <w:t>:</w:t>
      </w:r>
    </w:p>
    <w:p w14:paraId="38589864" w14:textId="3D434B1F" w:rsidR="0059409C" w:rsidRPr="008159EE" w:rsidRDefault="00430C28" w:rsidP="00AF32C7">
      <w:pPr>
        <w:pStyle w:val="Listenabsatz"/>
        <w:numPr>
          <w:ilvl w:val="0"/>
          <w:numId w:val="41"/>
        </w:numPr>
        <w:spacing w:after="0"/>
      </w:pPr>
      <w:r w:rsidRPr="008159EE">
        <w:t>Strict limitation of t</w:t>
      </w:r>
      <w:r w:rsidR="00702278" w:rsidRPr="008159EE">
        <w:t>he scope of the stress-tests to the functionality of the active-accounts</w:t>
      </w:r>
      <w:r w:rsidR="00AB5FAF" w:rsidRPr="008159EE">
        <w:t xml:space="preserve"> with a primary focus on the CCP and the clearing members</w:t>
      </w:r>
    </w:p>
    <w:p w14:paraId="5A0C1F76" w14:textId="63E6FEEC" w:rsidR="00D317E1" w:rsidRPr="008159EE" w:rsidRDefault="00D317E1" w:rsidP="00AB5FAF">
      <w:pPr>
        <w:pStyle w:val="Listenabsatz"/>
        <w:numPr>
          <w:ilvl w:val="0"/>
          <w:numId w:val="41"/>
        </w:numPr>
        <w:spacing w:after="0"/>
      </w:pPr>
      <w:r w:rsidRPr="008159EE">
        <w:t>Differentiation between stress testing on CCP/clearing member level on the one hand and clients on the other.</w:t>
      </w:r>
    </w:p>
    <w:p w14:paraId="043A14A5" w14:textId="635CD030" w:rsidR="00430C28" w:rsidRPr="008159EE" w:rsidRDefault="00D317E1" w:rsidP="00AB5FAF">
      <w:pPr>
        <w:pStyle w:val="Listenabsatz"/>
        <w:numPr>
          <w:ilvl w:val="0"/>
          <w:numId w:val="41"/>
        </w:numPr>
        <w:spacing w:after="0"/>
      </w:pPr>
      <w:r w:rsidRPr="008159EE">
        <w:t>For CCPs and clearing members: I</w:t>
      </w:r>
      <w:r w:rsidR="00BB1FBF" w:rsidRPr="008159EE">
        <w:t>ntegration</w:t>
      </w:r>
      <w:r w:rsidR="00430C28" w:rsidRPr="008159EE">
        <w:t xml:space="preserve"> and </w:t>
      </w:r>
      <w:r w:rsidR="00FF0BDC" w:rsidRPr="008159EE">
        <w:t>synchronis</w:t>
      </w:r>
      <w:r w:rsidR="00430C28" w:rsidRPr="008159EE">
        <w:t>ation of the AAR-stress tests</w:t>
      </w:r>
      <w:r w:rsidR="0027067C" w:rsidRPr="008159EE">
        <w:t xml:space="preserve"> </w:t>
      </w:r>
      <w:r w:rsidR="00FF0BDC" w:rsidRPr="008159EE">
        <w:t>with</w:t>
      </w:r>
      <w:r w:rsidR="0027067C" w:rsidRPr="008159EE">
        <w:t xml:space="preserve"> CCP stress testing exercise</w:t>
      </w:r>
      <w:r w:rsidR="00FF0BDC" w:rsidRPr="008159EE">
        <w:t>s and cycles</w:t>
      </w:r>
      <w:r w:rsidRPr="008159EE">
        <w:t xml:space="preserve"> and </w:t>
      </w:r>
      <w:r w:rsidR="00F35758" w:rsidRPr="008159EE">
        <w:t>a primary focus on</w:t>
      </w:r>
      <w:r w:rsidRPr="008159EE">
        <w:t xml:space="preserve"> CCP-</w:t>
      </w:r>
      <w:r w:rsidR="00324A6B" w:rsidRPr="008159EE">
        <w:t>statements/</w:t>
      </w:r>
      <w:r w:rsidRPr="008159EE">
        <w:t>confirmations</w:t>
      </w:r>
      <w:r w:rsidR="00281ED0" w:rsidRPr="008159EE">
        <w:t>.</w:t>
      </w:r>
    </w:p>
    <w:p w14:paraId="6EF09572" w14:textId="797ADF9F" w:rsidR="00AB5FAF" w:rsidRPr="008159EE" w:rsidRDefault="00AB5FAF" w:rsidP="00AB5FAF">
      <w:pPr>
        <w:pStyle w:val="Listenabsatz"/>
        <w:numPr>
          <w:ilvl w:val="0"/>
          <w:numId w:val="41"/>
        </w:numPr>
        <w:spacing w:after="0"/>
      </w:pPr>
      <w:r w:rsidRPr="008159EE">
        <w:t xml:space="preserve">For clients: Adoption of a simplified approach </w:t>
      </w:r>
      <w:r w:rsidR="00D317E1" w:rsidRPr="008159EE">
        <w:t>focusing on the basic functionality of the accounts and relying on statements</w:t>
      </w:r>
      <w:r w:rsidR="00324A6B" w:rsidRPr="008159EE">
        <w:t xml:space="preserve">/confirmations </w:t>
      </w:r>
      <w:r w:rsidR="00D317E1" w:rsidRPr="008159EE">
        <w:t>(which may be delegated to/provided by the relevant clearing member(s)</w:t>
      </w:r>
      <w:r w:rsidR="002A0049" w:rsidRPr="008159EE">
        <w:t>).</w:t>
      </w:r>
    </w:p>
    <w:p w14:paraId="710C684F" w14:textId="5BC39BD9" w:rsidR="00281ED0" w:rsidRPr="008159EE" w:rsidRDefault="00AB5FAF" w:rsidP="00430C28">
      <w:pPr>
        <w:pStyle w:val="Listenabsatz"/>
        <w:numPr>
          <w:ilvl w:val="0"/>
          <w:numId w:val="41"/>
        </w:numPr>
        <w:spacing w:after="0"/>
      </w:pPr>
      <w:r w:rsidRPr="008159EE">
        <w:lastRenderedPageBreak/>
        <w:t>Frequency, s</w:t>
      </w:r>
      <w:r w:rsidR="0059409C" w:rsidRPr="008159EE">
        <w:t>cope and depth of the stress-test</w:t>
      </w:r>
      <w:r w:rsidR="00430C28" w:rsidRPr="008159EE">
        <w:t xml:space="preserve">: Providing for two </w:t>
      </w:r>
      <w:r w:rsidRPr="008159EE">
        <w:t xml:space="preserve">separate </w:t>
      </w:r>
      <w:r w:rsidR="00430C28" w:rsidRPr="008159EE">
        <w:t xml:space="preserve">test cycles in the form of </w:t>
      </w:r>
      <w:r w:rsidR="00281ED0" w:rsidRPr="008159EE">
        <w:t xml:space="preserve">an annual </w:t>
      </w:r>
      <w:r w:rsidR="00D317E1" w:rsidRPr="008159EE">
        <w:t>general/</w:t>
      </w:r>
      <w:r w:rsidR="00281ED0" w:rsidRPr="008159EE">
        <w:t>simplified test and more comprehensive test</w:t>
      </w:r>
      <w:r w:rsidR="00D317E1" w:rsidRPr="008159EE">
        <w:t>s</w:t>
      </w:r>
      <w:r w:rsidR="00281ED0" w:rsidRPr="008159EE">
        <w:t xml:space="preserve"> </w:t>
      </w:r>
      <w:r w:rsidRPr="008159EE">
        <w:t>at longer intervals</w:t>
      </w:r>
      <w:r w:rsidR="00430C28" w:rsidRPr="008159EE">
        <w:t>.</w:t>
      </w:r>
      <w:r w:rsidRPr="008159EE">
        <w:t xml:space="preserve"> With a view to ensuring proportionality, the scope and depth of the tests could - in both cycles – be </w:t>
      </w:r>
      <w:r w:rsidR="004B205D" w:rsidRPr="008159EE">
        <w:t xml:space="preserve">further </w:t>
      </w:r>
      <w:r w:rsidRPr="008159EE">
        <w:t>adjusted</w:t>
      </w:r>
      <w:r w:rsidR="00F35758" w:rsidRPr="008159EE">
        <w:t>/simplified</w:t>
      </w:r>
      <w:r w:rsidR="004B205D" w:rsidRPr="008159EE">
        <w:t xml:space="preserve"> according to the status/type of the involved entities.  </w:t>
      </w:r>
      <w:r w:rsidRPr="008159EE">
        <w:t xml:space="preserve"> </w:t>
      </w:r>
    </w:p>
    <w:p w14:paraId="476D384E" w14:textId="77777777" w:rsidR="00AB5FAF" w:rsidRPr="008159EE" w:rsidRDefault="00AB5FAF" w:rsidP="006B5DF1">
      <w:pPr>
        <w:spacing w:after="0"/>
      </w:pPr>
    </w:p>
    <w:p w14:paraId="326D4319" w14:textId="1BC552F1" w:rsidR="00845714" w:rsidRPr="008159EE" w:rsidRDefault="0074428F" w:rsidP="006B5DF1">
      <w:pPr>
        <w:spacing w:after="0"/>
      </w:pPr>
      <w:r w:rsidRPr="008159EE">
        <w:t xml:space="preserve">As to the </w:t>
      </w:r>
      <w:r w:rsidR="00281ED0" w:rsidRPr="008159EE">
        <w:t>proposed simulation of an 85% increase of clearing activities</w:t>
      </w:r>
      <w:r w:rsidRPr="008159EE">
        <w:t>, f</w:t>
      </w:r>
      <w:r w:rsidR="00CA4452" w:rsidRPr="008159EE">
        <w:t xml:space="preserve">or the reasons </w:t>
      </w:r>
      <w:r w:rsidRPr="008159EE">
        <w:t xml:space="preserve">already </w:t>
      </w:r>
      <w:r w:rsidR="00CA4452" w:rsidRPr="008159EE">
        <w:t>stated in our response to Q3</w:t>
      </w:r>
      <w:r w:rsidR="002A5332" w:rsidRPr="008159EE">
        <w:t>,</w:t>
      </w:r>
      <w:r w:rsidR="00CA4452" w:rsidRPr="008159EE">
        <w:t xml:space="preserve"> we beli</w:t>
      </w:r>
      <w:r w:rsidR="00845714" w:rsidRPr="008159EE">
        <w:t>e</w:t>
      </w:r>
      <w:r w:rsidR="00CA4452" w:rsidRPr="008159EE">
        <w:t xml:space="preserve">ve that </w:t>
      </w:r>
      <w:r w:rsidR="004B205D" w:rsidRPr="008159EE">
        <w:t>tests should apply lower values</w:t>
      </w:r>
      <w:r w:rsidR="00281ED0" w:rsidRPr="008159EE">
        <w:t xml:space="preserve">.  </w:t>
      </w:r>
      <w:r w:rsidR="00845714" w:rsidRPr="008159EE">
        <w:t xml:space="preserve"> </w:t>
      </w:r>
    </w:p>
    <w:p w14:paraId="0A55AB3D" w14:textId="77777777" w:rsidR="0074428F" w:rsidRPr="008159EE" w:rsidRDefault="0074428F" w:rsidP="006B5DF1">
      <w:pPr>
        <w:spacing w:after="0"/>
      </w:pPr>
    </w:p>
    <w:p w14:paraId="75351B81" w14:textId="2F488A25" w:rsidR="00845714" w:rsidRPr="008159EE" w:rsidRDefault="00702278" w:rsidP="006B5DF1">
      <w:pPr>
        <w:spacing w:after="0"/>
      </w:pPr>
      <w:r w:rsidRPr="008159EE">
        <w:t>The comments in our</w:t>
      </w:r>
      <w:r w:rsidR="00845714" w:rsidRPr="008159EE">
        <w:t xml:space="preserve"> response to Q 3 regarding </w:t>
      </w:r>
      <w:r w:rsidRPr="008159EE">
        <w:t>unnecessarily</w:t>
      </w:r>
      <w:r w:rsidR="00845714" w:rsidRPr="008159EE">
        <w:t xml:space="preserve"> </w:t>
      </w:r>
      <w:r w:rsidR="00F35758" w:rsidRPr="008159EE">
        <w:t>rigid</w:t>
      </w:r>
      <w:r w:rsidR="00845714" w:rsidRPr="008159EE">
        <w:t xml:space="preserve"> </w:t>
      </w:r>
      <w:r w:rsidRPr="008159EE">
        <w:t xml:space="preserve">format </w:t>
      </w:r>
      <w:r w:rsidR="00845714" w:rsidRPr="008159EE">
        <w:t>requirements</w:t>
      </w:r>
      <w:r w:rsidRPr="008159EE">
        <w:t xml:space="preserve"> and the need to impose corresponding obligations on CCP to issue </w:t>
      </w:r>
      <w:r w:rsidR="00324A6B" w:rsidRPr="008159EE">
        <w:t>statements</w:t>
      </w:r>
      <w:r w:rsidR="00430C28" w:rsidRPr="008159EE">
        <w:t>/</w:t>
      </w:r>
      <w:r w:rsidR="00324A6B" w:rsidRPr="008159EE">
        <w:t>confirmations</w:t>
      </w:r>
      <w:r w:rsidRPr="008159EE">
        <w:t xml:space="preserve"> apply correspondingly to the </w:t>
      </w:r>
      <w:r w:rsidR="00F610EB" w:rsidRPr="008159EE">
        <w:t xml:space="preserve">requirements concerning the </w:t>
      </w:r>
      <w:r w:rsidRPr="008159EE">
        <w:t xml:space="preserve">format </w:t>
      </w:r>
      <w:r w:rsidR="00F610EB" w:rsidRPr="008159EE">
        <w:t>of</w:t>
      </w:r>
      <w:r w:rsidRPr="008159EE">
        <w:t xml:space="preserve"> the </w:t>
      </w:r>
      <w:r w:rsidR="00324A6B" w:rsidRPr="008159EE">
        <w:t xml:space="preserve">statements/confirmations </w:t>
      </w:r>
      <w:r w:rsidRPr="008159EE">
        <w:t>mentioned in Art. 3 (4) and (5) of the draft RTS</w:t>
      </w:r>
      <w:r w:rsidR="00F610EB" w:rsidRPr="008159EE">
        <w:t xml:space="preserve"> (need for “written” documents)</w:t>
      </w:r>
      <w:r w:rsidRPr="008159EE">
        <w:t>.</w:t>
      </w:r>
    </w:p>
    <w:permEnd w:id="1534341782"/>
    <w:p w14:paraId="2283DD66" w14:textId="4E4B76D2" w:rsidR="006B5DF1" w:rsidRPr="008159EE" w:rsidRDefault="006B5DF1" w:rsidP="006B5DF1">
      <w:pPr>
        <w:spacing w:after="0"/>
      </w:pPr>
      <w:r w:rsidRPr="008159EE">
        <w:t>&lt;ESMA_QUESTION_</w:t>
      </w:r>
      <w:r w:rsidR="004E60D2" w:rsidRPr="008159EE">
        <w:t>AAR</w:t>
      </w:r>
      <w:r w:rsidRPr="008159EE">
        <w:t>_</w:t>
      </w:r>
      <w:r w:rsidR="003E7313" w:rsidRPr="008159EE">
        <w:t>04</w:t>
      </w:r>
      <w:r w:rsidRPr="008159EE">
        <w:t>&gt;</w:t>
      </w:r>
    </w:p>
    <w:p w14:paraId="34F3233E" w14:textId="77777777" w:rsidR="006B5DF1" w:rsidRPr="008159EE" w:rsidRDefault="006B5DF1" w:rsidP="006B5DF1"/>
    <w:p w14:paraId="6D9CE08C" w14:textId="77777777" w:rsidR="006B5DF1" w:rsidRPr="008159EE" w:rsidRDefault="006B5DF1" w:rsidP="006B5DF1"/>
    <w:p w14:paraId="3ADFA03D" w14:textId="6E2F0B8B" w:rsidR="0029493B" w:rsidRPr="008159EE" w:rsidRDefault="004E60D2" w:rsidP="006B5DF1">
      <w:pPr>
        <w:pStyle w:val="Questionstyle"/>
      </w:pPr>
      <w:r w:rsidRPr="008159EE">
        <w:rPr>
          <w:lang w:val="en-US"/>
        </w:rPr>
        <w:t xml:space="preserve">Do you agree with the differentiated frequency for the stress-testing depending on the counterparties’ clearing activities? Would you suggest any other way to take into account the proportionality principle? </w:t>
      </w:r>
    </w:p>
    <w:p w14:paraId="01ED954E" w14:textId="77777777" w:rsidR="006B5DF1" w:rsidRPr="008159EE" w:rsidRDefault="006B5DF1" w:rsidP="006B5DF1"/>
    <w:p w14:paraId="48F7A2C7" w14:textId="496FDFBE" w:rsidR="006B5DF1" w:rsidRPr="008159EE" w:rsidRDefault="006B5DF1" w:rsidP="006B5DF1">
      <w:pPr>
        <w:spacing w:after="0"/>
      </w:pPr>
      <w:r w:rsidRPr="008159EE">
        <w:t>&lt;ESMA_QUESTION_</w:t>
      </w:r>
      <w:r w:rsidR="004E60D2" w:rsidRPr="008159EE">
        <w:t>AAR</w:t>
      </w:r>
      <w:r w:rsidRPr="008159EE">
        <w:t>_</w:t>
      </w:r>
      <w:r w:rsidR="003E7313" w:rsidRPr="008159EE">
        <w:t>05</w:t>
      </w:r>
      <w:r w:rsidRPr="008159EE">
        <w:t>&gt;</w:t>
      </w:r>
    </w:p>
    <w:p w14:paraId="0082DEA8" w14:textId="229DAAB8" w:rsidR="00B20D49" w:rsidRPr="008159EE" w:rsidRDefault="0059409C" w:rsidP="006B5DF1">
      <w:pPr>
        <w:spacing w:after="0"/>
      </w:pPr>
      <w:permStart w:id="911233410" w:edGrp="everyone"/>
      <w:r w:rsidRPr="008159EE">
        <w:t>As already indicated in our response to Q4, we</w:t>
      </w:r>
      <w:r w:rsidR="00845714" w:rsidRPr="008159EE">
        <w:t xml:space="preserve"> believe that </w:t>
      </w:r>
      <w:r w:rsidRPr="008159EE">
        <w:t xml:space="preserve">an annual </w:t>
      </w:r>
      <w:r w:rsidR="00845714" w:rsidRPr="008159EE">
        <w:t xml:space="preserve">stress-testing </w:t>
      </w:r>
      <w:r w:rsidRPr="008159EE">
        <w:t xml:space="preserve">cycle (let-alone a six-month cycle) is already </w:t>
      </w:r>
      <w:r w:rsidR="00F610EB" w:rsidRPr="008159EE">
        <w:t>very challenging</w:t>
      </w:r>
      <w:r w:rsidR="00BB1FBF" w:rsidRPr="008159EE">
        <w:t>,</w:t>
      </w:r>
      <w:r w:rsidRPr="008159EE">
        <w:t xml:space="preserve"> and that AAR-stress testing should </w:t>
      </w:r>
      <w:r w:rsidR="00F35758" w:rsidRPr="008159EE">
        <w:t xml:space="preserve">therefore </w:t>
      </w:r>
      <w:r w:rsidRPr="008159EE">
        <w:t>be limited to one test per year</w:t>
      </w:r>
      <w:r w:rsidR="00F35758" w:rsidRPr="008159EE">
        <w:t xml:space="preserve"> required under the level 1 text</w:t>
      </w:r>
      <w:r w:rsidR="00BB1FBF" w:rsidRPr="008159EE">
        <w:t>.</w:t>
      </w:r>
    </w:p>
    <w:permEnd w:id="911233410"/>
    <w:p w14:paraId="48B86851" w14:textId="3F653379" w:rsidR="006B5DF1" w:rsidRPr="008159EE" w:rsidRDefault="006B5DF1" w:rsidP="006B5DF1">
      <w:pPr>
        <w:spacing w:after="0"/>
      </w:pPr>
      <w:r w:rsidRPr="008159EE">
        <w:t>&lt;ESMA_QUESTION_</w:t>
      </w:r>
      <w:r w:rsidR="004E60D2" w:rsidRPr="008159EE">
        <w:t>AAR</w:t>
      </w:r>
      <w:r w:rsidRPr="008159EE">
        <w:t>_</w:t>
      </w:r>
      <w:r w:rsidR="003E7313" w:rsidRPr="008159EE">
        <w:t>05</w:t>
      </w:r>
      <w:r w:rsidRPr="008159EE">
        <w:t>&gt;</w:t>
      </w:r>
    </w:p>
    <w:p w14:paraId="29A935B1" w14:textId="77777777" w:rsidR="006B5DF1" w:rsidRPr="008159EE" w:rsidRDefault="006B5DF1" w:rsidP="006B5DF1"/>
    <w:p w14:paraId="7BEC8725" w14:textId="77777777" w:rsidR="006B5DF1" w:rsidRPr="008159EE" w:rsidRDefault="006B5DF1" w:rsidP="006B5DF1"/>
    <w:p w14:paraId="583C4144" w14:textId="0C969902" w:rsidR="004E60D2" w:rsidRPr="008159EE" w:rsidRDefault="004E60D2" w:rsidP="004E60D2">
      <w:pPr>
        <w:pStyle w:val="Questionstyle"/>
        <w:rPr>
          <w:rFonts w:eastAsia="Calibri"/>
          <w:lang w:eastAsia="en-GB"/>
        </w:rPr>
      </w:pPr>
      <w:r w:rsidRPr="008159EE">
        <w:t xml:space="preserve">Do you agree with the proposed classes of derivatives for EUR OTC IRD? </w:t>
      </w:r>
    </w:p>
    <w:p w14:paraId="577A82F6" w14:textId="77777777" w:rsidR="006B5DF1" w:rsidRPr="008159EE" w:rsidRDefault="006B5DF1" w:rsidP="006B5DF1"/>
    <w:p w14:paraId="2AFE7DFE" w14:textId="15E4FF26" w:rsidR="006B5DF1" w:rsidRPr="008159EE" w:rsidRDefault="006B5DF1" w:rsidP="006B5DF1">
      <w:pPr>
        <w:spacing w:after="0"/>
      </w:pPr>
      <w:r w:rsidRPr="008159EE">
        <w:t>&lt;ESMA_QUESTION_</w:t>
      </w:r>
      <w:r w:rsidR="004E60D2" w:rsidRPr="008159EE">
        <w:t>AAR</w:t>
      </w:r>
      <w:r w:rsidRPr="008159EE">
        <w:t>_</w:t>
      </w:r>
      <w:r w:rsidR="003E7313" w:rsidRPr="008159EE">
        <w:t>0</w:t>
      </w:r>
      <w:r w:rsidRPr="008159EE">
        <w:t>6&gt;</w:t>
      </w:r>
    </w:p>
    <w:p w14:paraId="003446C1" w14:textId="23642167" w:rsidR="006B5DF1" w:rsidRPr="008159EE" w:rsidRDefault="004464CD" w:rsidP="006B5DF1">
      <w:pPr>
        <w:spacing w:after="0"/>
      </w:pPr>
      <w:permStart w:id="387008066" w:edGrp="everyone"/>
      <w:r w:rsidRPr="008159EE">
        <w:t>We generally agree with</w:t>
      </w:r>
      <w:r w:rsidR="00B20D49" w:rsidRPr="008159EE">
        <w:t xml:space="preserve"> proposed division of classes in Annex </w:t>
      </w:r>
      <w:r w:rsidR="006C09BD" w:rsidRPr="008159EE">
        <w:t xml:space="preserve">I </w:t>
      </w:r>
      <w:r w:rsidR="00B20D49" w:rsidRPr="008159EE">
        <w:t xml:space="preserve">Table </w:t>
      </w:r>
      <w:r w:rsidR="006C09BD" w:rsidRPr="008159EE">
        <w:t>1</w:t>
      </w:r>
      <w:r w:rsidR="00B20D49" w:rsidRPr="008159EE">
        <w:t xml:space="preserve"> to </w:t>
      </w:r>
      <w:r w:rsidR="006C09BD" w:rsidRPr="008159EE">
        <w:t>3</w:t>
      </w:r>
      <w:r w:rsidR="00B20D49" w:rsidRPr="008159EE">
        <w:t xml:space="preserve"> for cleared EUR interest rate derivatives transactions</w:t>
      </w:r>
      <w:r w:rsidRPr="008159EE">
        <w:t>, however, it should be considered to further reduce the overall complexity and burdens for market participants by eliminating one or two sub-categories. This would not affect the overall effectiveness of the AAR but greatly reduce the operational burdens.</w:t>
      </w:r>
    </w:p>
    <w:permEnd w:id="387008066"/>
    <w:p w14:paraId="708B068B" w14:textId="31DE5546" w:rsidR="006B5DF1" w:rsidRPr="008159EE" w:rsidRDefault="006B5DF1" w:rsidP="006B5DF1">
      <w:pPr>
        <w:spacing w:after="0"/>
      </w:pPr>
      <w:r w:rsidRPr="008159EE">
        <w:t>&lt;ESMA_QUESTION_</w:t>
      </w:r>
      <w:r w:rsidR="004E60D2" w:rsidRPr="008159EE">
        <w:t>AAR</w:t>
      </w:r>
      <w:r w:rsidRPr="008159EE">
        <w:t>_</w:t>
      </w:r>
      <w:r w:rsidR="003E7313" w:rsidRPr="008159EE">
        <w:t>0</w:t>
      </w:r>
      <w:r w:rsidRPr="008159EE">
        <w:t>6&gt;</w:t>
      </w:r>
    </w:p>
    <w:p w14:paraId="7FD3C941" w14:textId="77777777" w:rsidR="006B5DF1" w:rsidRPr="008159EE" w:rsidRDefault="006B5DF1" w:rsidP="006B5DF1"/>
    <w:p w14:paraId="016A0644" w14:textId="77777777" w:rsidR="006B5DF1" w:rsidRPr="008159EE" w:rsidRDefault="006B5DF1" w:rsidP="006B5DF1"/>
    <w:p w14:paraId="13854EA3" w14:textId="070D7B08" w:rsidR="004E60D2" w:rsidRPr="008159EE" w:rsidRDefault="004E60D2" w:rsidP="004E60D2">
      <w:pPr>
        <w:pStyle w:val="Questionstyle"/>
        <w:rPr>
          <w:rFonts w:eastAsia="Calibri"/>
          <w:lang w:eastAsia="en-GB"/>
        </w:rPr>
      </w:pPr>
      <w:r w:rsidRPr="008159EE">
        <w:lastRenderedPageBreak/>
        <w:t xml:space="preserve">Do you agree with the proposed classes of derivatives for PLN OTC IRD? </w:t>
      </w:r>
    </w:p>
    <w:p w14:paraId="35FD33F8" w14:textId="77777777" w:rsidR="006B5DF1" w:rsidRPr="008159EE" w:rsidRDefault="006B5DF1" w:rsidP="006B5DF1"/>
    <w:p w14:paraId="74B36119" w14:textId="1CDF6E01" w:rsidR="006B5DF1" w:rsidRPr="008159EE" w:rsidRDefault="006B5DF1" w:rsidP="006B5DF1">
      <w:pPr>
        <w:spacing w:after="0"/>
      </w:pPr>
      <w:r w:rsidRPr="008159EE">
        <w:t>&lt;ESMA_QUESTION_</w:t>
      </w:r>
      <w:r w:rsidR="004E60D2" w:rsidRPr="008159EE">
        <w:t>AAR</w:t>
      </w:r>
      <w:r w:rsidRPr="008159EE">
        <w:t>_</w:t>
      </w:r>
      <w:r w:rsidR="003E7313" w:rsidRPr="008159EE">
        <w:t>07</w:t>
      </w:r>
      <w:r w:rsidRPr="008159EE">
        <w:t>&gt;</w:t>
      </w:r>
    </w:p>
    <w:p w14:paraId="4BF8D9E4" w14:textId="24CBED27" w:rsidR="00E13BD0" w:rsidRPr="008159EE" w:rsidRDefault="00B20D49" w:rsidP="006B5DF1">
      <w:pPr>
        <w:spacing w:after="0"/>
      </w:pPr>
      <w:permStart w:id="147727742" w:edGrp="everyone"/>
      <w:r w:rsidRPr="008159EE">
        <w:t xml:space="preserve">We agree with the proposed </w:t>
      </w:r>
      <w:r w:rsidR="006C09BD" w:rsidRPr="008159EE">
        <w:t>approach to</w:t>
      </w:r>
      <w:r w:rsidRPr="008159EE">
        <w:t xml:space="preserve"> </w:t>
      </w:r>
      <w:r w:rsidR="006C09BD" w:rsidRPr="008159EE">
        <w:t>cleared PLN interest rate derivatives transactions as set out in</w:t>
      </w:r>
      <w:r w:rsidRPr="008159EE">
        <w:t xml:space="preserve"> Annex Table </w:t>
      </w:r>
      <w:r w:rsidR="006C09BD" w:rsidRPr="008159EE">
        <w:t>4 and 5</w:t>
      </w:r>
      <w:r w:rsidRPr="008159EE">
        <w:t xml:space="preserve"> </w:t>
      </w:r>
      <w:r w:rsidR="006C09BD" w:rsidRPr="008159EE">
        <w:t>as this approach reflects the fact</w:t>
      </w:r>
      <w:r w:rsidRPr="008159EE">
        <w:t xml:space="preserve"> that the liquidity of the market in PLN OTC IRD </w:t>
      </w:r>
      <w:r w:rsidR="006C09BD" w:rsidRPr="008159EE">
        <w:t>is very likely to remain</w:t>
      </w:r>
      <w:r w:rsidRPr="008159EE">
        <w:t xml:space="preserve"> very limited and that there is clear risk that the extension of the AAR to these transactions</w:t>
      </w:r>
      <w:r w:rsidR="006C09BD" w:rsidRPr="008159EE">
        <w:t xml:space="preserve">/products </w:t>
      </w:r>
      <w:r w:rsidRPr="008159EE">
        <w:t>can have unintended negative consequences for European market participants</w:t>
      </w:r>
      <w:r w:rsidR="006C09BD" w:rsidRPr="008159EE">
        <w:t>.</w:t>
      </w:r>
    </w:p>
    <w:permEnd w:id="147727742"/>
    <w:p w14:paraId="5BA096DE" w14:textId="7FC88DE7" w:rsidR="006B5DF1" w:rsidRPr="008159EE" w:rsidRDefault="006B5DF1" w:rsidP="006B5DF1">
      <w:pPr>
        <w:spacing w:after="0"/>
      </w:pPr>
      <w:r w:rsidRPr="008159EE">
        <w:t>&lt;ESMA_QUESTION_</w:t>
      </w:r>
      <w:r w:rsidR="004E60D2" w:rsidRPr="008159EE">
        <w:t>AAR</w:t>
      </w:r>
      <w:r w:rsidRPr="008159EE">
        <w:t>_</w:t>
      </w:r>
      <w:r w:rsidR="003E7313" w:rsidRPr="008159EE">
        <w:t>07</w:t>
      </w:r>
      <w:r w:rsidRPr="008159EE">
        <w:t>&gt;</w:t>
      </w:r>
    </w:p>
    <w:p w14:paraId="481C662D" w14:textId="77777777" w:rsidR="006B5DF1" w:rsidRPr="008159EE" w:rsidRDefault="006B5DF1" w:rsidP="006B5DF1"/>
    <w:p w14:paraId="0B9297A3" w14:textId="77777777" w:rsidR="006B5DF1" w:rsidRPr="008159EE" w:rsidRDefault="006B5DF1" w:rsidP="006B5DF1"/>
    <w:p w14:paraId="3EFBECF1" w14:textId="1D0D697A" w:rsidR="004E60D2" w:rsidRPr="008159EE" w:rsidRDefault="004E60D2" w:rsidP="004E60D2">
      <w:pPr>
        <w:pStyle w:val="Questionstyle"/>
        <w:rPr>
          <w:rFonts w:eastAsia="Calibri"/>
          <w:lang w:eastAsia="en-GB"/>
        </w:rPr>
      </w:pPr>
      <w:r w:rsidRPr="008159EE">
        <w:t xml:space="preserve">Do you agree with the proposed classes of derivatives for EUR STIR? </w:t>
      </w:r>
    </w:p>
    <w:p w14:paraId="71F7B27B" w14:textId="77777777" w:rsidR="006B5DF1" w:rsidRPr="008159EE" w:rsidRDefault="006B5DF1" w:rsidP="006B5DF1"/>
    <w:p w14:paraId="3367C427" w14:textId="1CEB3FA2" w:rsidR="006B5DF1" w:rsidRPr="008159EE" w:rsidRDefault="006B5DF1" w:rsidP="006B5DF1">
      <w:pPr>
        <w:spacing w:after="0"/>
      </w:pPr>
      <w:r w:rsidRPr="008159EE">
        <w:t>&lt;ESMA_QUESTION_</w:t>
      </w:r>
      <w:r w:rsidR="004E60D2" w:rsidRPr="008159EE">
        <w:t>AAR</w:t>
      </w:r>
      <w:r w:rsidRPr="008159EE">
        <w:t>_</w:t>
      </w:r>
      <w:r w:rsidR="003E7313" w:rsidRPr="008159EE">
        <w:t>08</w:t>
      </w:r>
      <w:r w:rsidRPr="008159EE">
        <w:t>&gt;</w:t>
      </w:r>
    </w:p>
    <w:p w14:paraId="2EDCCE1B" w14:textId="5E991365" w:rsidR="006B5DF1" w:rsidRPr="008159EE" w:rsidRDefault="006C09BD" w:rsidP="006B5DF1">
      <w:pPr>
        <w:spacing w:after="0"/>
      </w:pPr>
      <w:permStart w:id="1395752143" w:edGrp="everyone"/>
      <w:r w:rsidRPr="008159EE">
        <w:t xml:space="preserve"> We </w:t>
      </w:r>
      <w:r w:rsidR="001056D3" w:rsidRPr="008159EE">
        <w:t xml:space="preserve">also </w:t>
      </w:r>
      <w:r w:rsidR="00F610EB" w:rsidRPr="008159EE">
        <w:t xml:space="preserve">generally </w:t>
      </w:r>
      <w:r w:rsidRPr="008159EE">
        <w:t xml:space="preserve">agree with the proposed approach to cleared EUR STIRs set out in Annex I Table 6 to 8 as this approach </w:t>
      </w:r>
      <w:r w:rsidR="001056D3" w:rsidRPr="008159EE">
        <w:t xml:space="preserve">again </w:t>
      </w:r>
      <w:r w:rsidRPr="008159EE">
        <w:t>reflects the fact that the</w:t>
      </w:r>
      <w:r w:rsidR="001056D3" w:rsidRPr="008159EE">
        <w:t xml:space="preserve"> limited</w:t>
      </w:r>
      <w:r w:rsidRPr="008159EE">
        <w:t xml:space="preserve"> liquidity </w:t>
      </w:r>
      <w:r w:rsidR="001056D3" w:rsidRPr="008159EE">
        <w:t>in this market.</w:t>
      </w:r>
    </w:p>
    <w:permEnd w:id="1395752143"/>
    <w:p w14:paraId="67DBB5A7" w14:textId="5865AAFB" w:rsidR="006B5DF1" w:rsidRPr="008159EE" w:rsidRDefault="006B5DF1" w:rsidP="006B5DF1">
      <w:pPr>
        <w:spacing w:after="0"/>
      </w:pPr>
      <w:r w:rsidRPr="008159EE">
        <w:t>&lt;ESMA_QUESTION_</w:t>
      </w:r>
      <w:r w:rsidR="004E60D2" w:rsidRPr="008159EE">
        <w:t>AAR</w:t>
      </w:r>
      <w:r w:rsidRPr="008159EE">
        <w:t>_</w:t>
      </w:r>
      <w:r w:rsidR="003E7313" w:rsidRPr="008159EE">
        <w:t>08</w:t>
      </w:r>
      <w:r w:rsidRPr="008159EE">
        <w:t>&gt;</w:t>
      </w:r>
    </w:p>
    <w:p w14:paraId="453A8C03" w14:textId="77777777" w:rsidR="006B5DF1" w:rsidRPr="008159EE" w:rsidRDefault="006B5DF1" w:rsidP="006B5DF1"/>
    <w:p w14:paraId="6F7EB131" w14:textId="77777777" w:rsidR="006B5DF1" w:rsidRPr="008159EE" w:rsidRDefault="006B5DF1" w:rsidP="006B5DF1"/>
    <w:p w14:paraId="5E5E6483" w14:textId="0772B42F" w:rsidR="004E60D2" w:rsidRPr="008159EE" w:rsidRDefault="004E60D2" w:rsidP="004E60D2">
      <w:pPr>
        <w:pStyle w:val="Questionstyle"/>
      </w:pPr>
      <w:r w:rsidRPr="008159EE">
        <w:rPr>
          <w:rFonts w:eastAsia="Arial"/>
        </w:rPr>
        <w:t>Do you agree with the proposed maturity and trade size ranges for each class of derivatives in EUR OTC IRD?</w:t>
      </w:r>
    </w:p>
    <w:p w14:paraId="17BB33B8" w14:textId="77777777" w:rsidR="006B5DF1" w:rsidRPr="008159EE" w:rsidRDefault="006B5DF1" w:rsidP="006B5DF1"/>
    <w:p w14:paraId="25FE0CD5" w14:textId="456A37F9" w:rsidR="006B5DF1" w:rsidRPr="008159EE" w:rsidRDefault="006B5DF1" w:rsidP="006B5DF1">
      <w:pPr>
        <w:spacing w:after="0"/>
      </w:pPr>
      <w:r w:rsidRPr="008159EE">
        <w:t>&lt;ESMA_QUESTION_</w:t>
      </w:r>
      <w:r w:rsidR="004E60D2" w:rsidRPr="008159EE">
        <w:t>AAR</w:t>
      </w:r>
      <w:r w:rsidRPr="008159EE">
        <w:t>_</w:t>
      </w:r>
      <w:r w:rsidR="003E7313" w:rsidRPr="008159EE">
        <w:t>09</w:t>
      </w:r>
      <w:r w:rsidRPr="008159EE">
        <w:t>&gt;</w:t>
      </w:r>
    </w:p>
    <w:p w14:paraId="1E3F044C" w14:textId="401280F8" w:rsidR="006B5DF1" w:rsidRPr="008159EE" w:rsidRDefault="004464CD" w:rsidP="006B5DF1">
      <w:pPr>
        <w:spacing w:after="0"/>
      </w:pPr>
      <w:permStart w:id="1354110368" w:edGrp="everyone"/>
      <w:r w:rsidRPr="008159EE">
        <w:t xml:space="preserve">Generally: </w:t>
      </w:r>
      <w:r w:rsidR="001056D3" w:rsidRPr="008159EE">
        <w:t>Yes – see our response to Q6</w:t>
      </w:r>
      <w:r w:rsidRPr="008159EE">
        <w:t xml:space="preserve"> (room for further reduction of complexity)</w:t>
      </w:r>
      <w:r w:rsidR="001056D3" w:rsidRPr="008159EE">
        <w:t>.</w:t>
      </w:r>
    </w:p>
    <w:permEnd w:id="1354110368"/>
    <w:p w14:paraId="7294A4EF" w14:textId="63DB1747" w:rsidR="006B5DF1" w:rsidRPr="008159EE" w:rsidRDefault="006B5DF1" w:rsidP="006B5DF1">
      <w:pPr>
        <w:spacing w:after="0"/>
      </w:pPr>
      <w:r w:rsidRPr="008159EE">
        <w:t>&lt;ESMA_QUESTION_</w:t>
      </w:r>
      <w:r w:rsidR="004E60D2" w:rsidRPr="008159EE">
        <w:t>AAR</w:t>
      </w:r>
      <w:r w:rsidRPr="008159EE">
        <w:t>_</w:t>
      </w:r>
      <w:r w:rsidR="003E7313" w:rsidRPr="008159EE">
        <w:t>09</w:t>
      </w:r>
      <w:r w:rsidRPr="008159EE">
        <w:t>&gt;</w:t>
      </w:r>
    </w:p>
    <w:p w14:paraId="56A0F5E2" w14:textId="77777777" w:rsidR="006B5DF1" w:rsidRPr="008159EE" w:rsidRDefault="006B5DF1" w:rsidP="006B5DF1"/>
    <w:p w14:paraId="0F8EDBF9" w14:textId="77777777" w:rsidR="006B5DF1" w:rsidRPr="008159EE" w:rsidRDefault="006B5DF1" w:rsidP="006B5DF1"/>
    <w:p w14:paraId="6FE2C9CF" w14:textId="01B13B6F" w:rsidR="004E60D2" w:rsidRPr="008159EE" w:rsidRDefault="004E60D2" w:rsidP="004E60D2">
      <w:pPr>
        <w:pStyle w:val="Questionstyle"/>
        <w:rPr>
          <w:rFonts w:eastAsia="Arial"/>
        </w:rPr>
      </w:pPr>
      <w:r w:rsidRPr="008159EE">
        <w:rPr>
          <w:rFonts w:eastAsia="Arial"/>
        </w:rPr>
        <w:t>Do you agree with the proposed maturity and trade size ranges for each class of derivatives in PLN OTC IRD?</w:t>
      </w:r>
    </w:p>
    <w:p w14:paraId="005B41D3" w14:textId="77777777" w:rsidR="006B5DF1" w:rsidRPr="008159EE" w:rsidRDefault="006B5DF1" w:rsidP="006B5DF1"/>
    <w:p w14:paraId="4D938823" w14:textId="4243AD9B" w:rsidR="006B5DF1" w:rsidRPr="008159EE" w:rsidRDefault="006B5DF1" w:rsidP="006B5DF1">
      <w:pPr>
        <w:spacing w:after="0"/>
      </w:pPr>
      <w:r w:rsidRPr="008159EE">
        <w:t>&lt;ESMA_QUESTION_</w:t>
      </w:r>
      <w:r w:rsidR="004E60D2" w:rsidRPr="008159EE">
        <w:t>AAR</w:t>
      </w:r>
      <w:r w:rsidRPr="008159EE">
        <w:t>_</w:t>
      </w:r>
      <w:r w:rsidR="003E7313" w:rsidRPr="008159EE">
        <w:t>10</w:t>
      </w:r>
      <w:r w:rsidRPr="008159EE">
        <w:t>&gt;</w:t>
      </w:r>
    </w:p>
    <w:p w14:paraId="2FDA7C0F" w14:textId="0FAB23AD" w:rsidR="006B5DF1" w:rsidRPr="008159EE" w:rsidRDefault="001056D3" w:rsidP="006B5DF1">
      <w:pPr>
        <w:spacing w:after="0"/>
      </w:pPr>
      <w:permStart w:id="791629733" w:edGrp="everyone"/>
      <w:r w:rsidRPr="008159EE">
        <w:t>See our response to Q7.</w:t>
      </w:r>
    </w:p>
    <w:permEnd w:id="791629733"/>
    <w:p w14:paraId="6BD62104" w14:textId="62EA9D82" w:rsidR="006B5DF1" w:rsidRPr="008159EE" w:rsidRDefault="006B5DF1" w:rsidP="006B5DF1">
      <w:pPr>
        <w:spacing w:after="0"/>
      </w:pPr>
      <w:r w:rsidRPr="008159EE">
        <w:t>&lt;ESMA_QUESTION_</w:t>
      </w:r>
      <w:r w:rsidR="004E60D2" w:rsidRPr="008159EE">
        <w:t>AAR</w:t>
      </w:r>
      <w:r w:rsidRPr="008159EE">
        <w:t>_</w:t>
      </w:r>
      <w:r w:rsidR="003E7313" w:rsidRPr="008159EE">
        <w:t>10</w:t>
      </w:r>
      <w:r w:rsidRPr="008159EE">
        <w:t>&gt;</w:t>
      </w:r>
    </w:p>
    <w:p w14:paraId="3154352F" w14:textId="77777777" w:rsidR="006B5DF1" w:rsidRPr="008159EE" w:rsidRDefault="006B5DF1" w:rsidP="006B5DF1"/>
    <w:p w14:paraId="54DCA68F" w14:textId="77777777" w:rsidR="006B5DF1" w:rsidRPr="008159EE" w:rsidRDefault="006B5DF1" w:rsidP="006B5DF1"/>
    <w:p w14:paraId="6B67807B" w14:textId="6A428275" w:rsidR="0029493B" w:rsidRPr="008159EE" w:rsidRDefault="004E60D2" w:rsidP="006B5DF1">
      <w:pPr>
        <w:pStyle w:val="Questionstyle"/>
      </w:pPr>
      <w:r w:rsidRPr="008159EE">
        <w:rPr>
          <w:rFonts w:eastAsia="Arial"/>
          <w:bCs/>
        </w:rPr>
        <w:t>Do you agree with the proposed maturity and trade size ranges for each class of derivatives in EUR STIR?</w:t>
      </w:r>
    </w:p>
    <w:p w14:paraId="72D20B90" w14:textId="77777777" w:rsidR="006B5DF1" w:rsidRPr="008159EE" w:rsidRDefault="006B5DF1" w:rsidP="006B5DF1"/>
    <w:p w14:paraId="349184A3" w14:textId="4A6A0BB8" w:rsidR="006B5DF1" w:rsidRPr="008159EE" w:rsidRDefault="006B5DF1" w:rsidP="006B5DF1">
      <w:pPr>
        <w:spacing w:after="0"/>
      </w:pPr>
      <w:r w:rsidRPr="008159EE">
        <w:t>&lt;ESMA_QUESTION_</w:t>
      </w:r>
      <w:r w:rsidR="004E60D2" w:rsidRPr="008159EE">
        <w:t>AAR</w:t>
      </w:r>
      <w:r w:rsidRPr="008159EE">
        <w:t>_</w:t>
      </w:r>
      <w:r w:rsidR="003E7313" w:rsidRPr="008159EE">
        <w:t>11</w:t>
      </w:r>
      <w:r w:rsidRPr="008159EE">
        <w:t>&gt;</w:t>
      </w:r>
    </w:p>
    <w:p w14:paraId="6AED9158" w14:textId="4D896D58" w:rsidR="003B1688" w:rsidRPr="008159EE" w:rsidRDefault="003B1688" w:rsidP="003B1688">
      <w:pPr>
        <w:spacing w:after="0"/>
      </w:pPr>
      <w:permStart w:id="1475742058" w:edGrp="everyone"/>
      <w:r w:rsidRPr="008159EE">
        <w:t>We believe that the complexity could be further reduced by limiting the number of maturity-ranges for Euribor-STIR and €STR-STIR in each case from currently four down to two.</w:t>
      </w:r>
    </w:p>
    <w:permEnd w:id="1475742058"/>
    <w:p w14:paraId="2E9C537F" w14:textId="76C4A1FB" w:rsidR="006B5DF1" w:rsidRPr="008159EE" w:rsidRDefault="006B5DF1" w:rsidP="003B1688">
      <w:pPr>
        <w:spacing w:after="0"/>
      </w:pPr>
      <w:r w:rsidRPr="008159EE">
        <w:t>&lt;ESMA_QUESTION_</w:t>
      </w:r>
      <w:r w:rsidR="004E60D2" w:rsidRPr="008159EE">
        <w:t>AAR</w:t>
      </w:r>
      <w:r w:rsidRPr="008159EE">
        <w:t>_</w:t>
      </w:r>
      <w:r w:rsidR="003E7313" w:rsidRPr="008159EE">
        <w:t>11</w:t>
      </w:r>
      <w:r w:rsidRPr="008159EE">
        <w:t>&gt;</w:t>
      </w:r>
    </w:p>
    <w:p w14:paraId="06E5BE60" w14:textId="77777777" w:rsidR="006B5DF1" w:rsidRPr="008159EE" w:rsidRDefault="006B5DF1" w:rsidP="006B5DF1"/>
    <w:p w14:paraId="443C2A97" w14:textId="77777777" w:rsidR="006B5DF1" w:rsidRPr="008159EE" w:rsidRDefault="006B5DF1" w:rsidP="006B5DF1"/>
    <w:p w14:paraId="0EB95219" w14:textId="6119AE4B" w:rsidR="006B5DF1" w:rsidRPr="008159EE" w:rsidRDefault="004E60D2">
      <w:pPr>
        <w:pStyle w:val="Questionstyle"/>
      </w:pPr>
      <w:r w:rsidRPr="008159EE">
        <w:t>Do you agree with the proposed number of most relevant subcategories for each clearing service of substantial systemic relevance? Do you think this should be set at a more granular level (i.e. per class of derivatives)?</w:t>
      </w:r>
    </w:p>
    <w:p w14:paraId="0BC2EC31" w14:textId="77777777" w:rsidR="004E60D2" w:rsidRPr="008159EE" w:rsidRDefault="004E60D2" w:rsidP="004E60D2"/>
    <w:p w14:paraId="0F765C17" w14:textId="7227F423" w:rsidR="006B5DF1" w:rsidRPr="008159EE" w:rsidRDefault="006B5DF1" w:rsidP="006B5DF1">
      <w:pPr>
        <w:spacing w:after="0"/>
      </w:pPr>
      <w:r w:rsidRPr="008159EE">
        <w:t>&lt;ESMA_QUESTION_</w:t>
      </w:r>
      <w:r w:rsidR="004E60D2" w:rsidRPr="008159EE">
        <w:t>AAR</w:t>
      </w:r>
      <w:r w:rsidRPr="008159EE">
        <w:t>_</w:t>
      </w:r>
      <w:r w:rsidR="003E7313" w:rsidRPr="008159EE">
        <w:t>12</w:t>
      </w:r>
      <w:r w:rsidRPr="008159EE">
        <w:t>&gt;</w:t>
      </w:r>
    </w:p>
    <w:p w14:paraId="0CBB79F8" w14:textId="66CBD8E3" w:rsidR="003B1688" w:rsidRPr="008159EE" w:rsidRDefault="003B1688" w:rsidP="006B5DF1">
      <w:pPr>
        <w:spacing w:after="0"/>
      </w:pPr>
      <w:permStart w:id="368387494" w:edGrp="everyone"/>
      <w:r w:rsidRPr="008159EE">
        <w:t xml:space="preserve"> In view of our response to Q 11 (further </w:t>
      </w:r>
      <w:r w:rsidR="004464CD" w:rsidRPr="008159EE">
        <w:t xml:space="preserve">complexity </w:t>
      </w:r>
      <w:r w:rsidRPr="008159EE">
        <w:t xml:space="preserve">reduction </w:t>
      </w:r>
      <w:r w:rsidR="004464CD" w:rsidRPr="008159EE">
        <w:t>by limiting the number of maturity-ranges for Euribor-STIR and €STR-STIR from four to two</w:t>
      </w:r>
      <w:r w:rsidRPr="008159EE">
        <w:t xml:space="preserve">) we do not see a </w:t>
      </w:r>
      <w:r w:rsidR="001056D3" w:rsidRPr="008159EE">
        <w:t xml:space="preserve">need for further granularity:  </w:t>
      </w:r>
    </w:p>
    <w:p w14:paraId="0B35E7F3" w14:textId="77777777" w:rsidR="003B1688" w:rsidRPr="008159EE" w:rsidRDefault="003B1688" w:rsidP="006B5DF1">
      <w:pPr>
        <w:spacing w:after="0"/>
      </w:pPr>
    </w:p>
    <w:p w14:paraId="491A25F2" w14:textId="01BC6498" w:rsidR="00054EB8" w:rsidRPr="008159EE" w:rsidRDefault="001056D3" w:rsidP="006B5DF1">
      <w:pPr>
        <w:spacing w:after="0"/>
      </w:pPr>
      <w:r w:rsidRPr="008159EE">
        <w:t xml:space="preserve">A more granular approach would significantly increase the complexities and could cause unintended consequences (e.g. the </w:t>
      </w:r>
      <w:r w:rsidR="0078235D" w:rsidRPr="008159EE">
        <w:t>nee</w:t>
      </w:r>
      <w:r w:rsidRPr="008159EE">
        <w:t xml:space="preserve">d to </w:t>
      </w:r>
      <w:proofErr w:type="gramStart"/>
      <w:r w:rsidRPr="008159EE">
        <w:t>enter into</w:t>
      </w:r>
      <w:proofErr w:type="gramEnd"/>
      <w:r w:rsidRPr="008159EE">
        <w:t xml:space="preserve"> transactions in a </w:t>
      </w:r>
      <w:r w:rsidR="0078235D" w:rsidRPr="008159EE">
        <w:t>sub</w:t>
      </w:r>
      <w:r w:rsidRPr="008159EE">
        <w:t xml:space="preserve">category where there is little liquidity and where it may be difficult to </w:t>
      </w:r>
      <w:r w:rsidR="0078235D" w:rsidRPr="008159EE">
        <w:t>identify</w:t>
      </w:r>
      <w:r w:rsidRPr="008159EE">
        <w:t xml:space="preserve"> a sufficient number of suitable </w:t>
      </w:r>
      <w:r w:rsidR="0078235D" w:rsidRPr="008159EE">
        <w:t xml:space="preserve">commercially induced </w:t>
      </w:r>
      <w:r w:rsidRPr="008159EE">
        <w:t>transactions (which then may cause the need to enter into transactions without commercial basis (pro-forma transactions)</w:t>
      </w:r>
      <w:r w:rsidR="00CA2B20">
        <w:t>)</w:t>
      </w:r>
      <w:r w:rsidRPr="008159EE">
        <w:t xml:space="preserve">. </w:t>
      </w:r>
    </w:p>
    <w:p w14:paraId="2F203764" w14:textId="77777777" w:rsidR="00054EB8" w:rsidRPr="008159EE" w:rsidRDefault="00054EB8" w:rsidP="006B5DF1">
      <w:pPr>
        <w:spacing w:after="0"/>
      </w:pPr>
    </w:p>
    <w:p w14:paraId="0EBB0AE5" w14:textId="7B206121" w:rsidR="0097184A" w:rsidRPr="008159EE" w:rsidRDefault="0097184A" w:rsidP="006B5DF1">
      <w:pPr>
        <w:spacing w:after="0"/>
      </w:pPr>
      <w:r w:rsidRPr="008159EE">
        <w:t>T</w:t>
      </w:r>
      <w:r w:rsidR="00FC3212" w:rsidRPr="008159EE">
        <w:t xml:space="preserve">he impact of the AAR may </w:t>
      </w:r>
      <w:r w:rsidRPr="008159EE">
        <w:t xml:space="preserve">also </w:t>
      </w:r>
      <w:r w:rsidR="00FC3212" w:rsidRPr="008159EE">
        <w:t xml:space="preserve">change market behaviour and could affect the current distribution of </w:t>
      </w:r>
      <w:r w:rsidR="0078235D" w:rsidRPr="008159EE">
        <w:t>liquidity</w:t>
      </w:r>
      <w:r w:rsidR="00FC3212" w:rsidRPr="008159EE">
        <w:t xml:space="preserve"> across the subcategories</w:t>
      </w:r>
      <w:r w:rsidRPr="008159EE">
        <w:t>.</w:t>
      </w:r>
    </w:p>
    <w:permEnd w:id="368387494"/>
    <w:p w14:paraId="7ECA10E7" w14:textId="4EEF4C80" w:rsidR="006B5DF1" w:rsidRPr="008159EE" w:rsidRDefault="006B5DF1" w:rsidP="006B5DF1">
      <w:pPr>
        <w:spacing w:after="0"/>
      </w:pPr>
      <w:r w:rsidRPr="008159EE">
        <w:t>&lt;ESMA_QUESTION_</w:t>
      </w:r>
      <w:r w:rsidR="004E60D2" w:rsidRPr="008159EE">
        <w:t>AAR</w:t>
      </w:r>
      <w:r w:rsidRPr="008159EE">
        <w:t>_</w:t>
      </w:r>
      <w:r w:rsidR="003E7313" w:rsidRPr="008159EE">
        <w:t>12</w:t>
      </w:r>
      <w:r w:rsidRPr="008159EE">
        <w:t>&gt;</w:t>
      </w:r>
    </w:p>
    <w:p w14:paraId="72912EE8" w14:textId="77777777" w:rsidR="006B5DF1" w:rsidRPr="008159EE" w:rsidRDefault="006B5DF1" w:rsidP="006B5DF1"/>
    <w:p w14:paraId="0853AF7C" w14:textId="77777777" w:rsidR="006B5DF1" w:rsidRPr="008159EE" w:rsidRDefault="006B5DF1" w:rsidP="006B5DF1"/>
    <w:p w14:paraId="5D976D73" w14:textId="6BE0B375" w:rsidR="0029493B" w:rsidRPr="008159EE" w:rsidRDefault="004E60D2" w:rsidP="004E60D2">
      <w:pPr>
        <w:pStyle w:val="Questionstyle"/>
      </w:pPr>
      <w:r w:rsidRPr="008159EE">
        <w:t>Do you agree with the proposed reference periods for EUR OTC IRD? Do you think the reference periods should be set at a more granular level (i.e. class of derivatives)?</w:t>
      </w:r>
    </w:p>
    <w:p w14:paraId="7F967882" w14:textId="77777777" w:rsidR="006B5DF1" w:rsidRPr="008159EE" w:rsidRDefault="006B5DF1" w:rsidP="006B5DF1"/>
    <w:p w14:paraId="267D208E" w14:textId="130D8234" w:rsidR="006B5DF1" w:rsidRPr="008159EE" w:rsidRDefault="006B5DF1" w:rsidP="006B5DF1">
      <w:pPr>
        <w:spacing w:after="0"/>
      </w:pPr>
      <w:r w:rsidRPr="008159EE">
        <w:t>&lt;ESMA_QUESTION_</w:t>
      </w:r>
      <w:r w:rsidR="004E60D2" w:rsidRPr="008159EE">
        <w:t>AAR</w:t>
      </w:r>
      <w:r w:rsidRPr="008159EE">
        <w:t>_</w:t>
      </w:r>
      <w:r w:rsidR="003E7313" w:rsidRPr="008159EE">
        <w:t>13</w:t>
      </w:r>
      <w:r w:rsidRPr="008159EE">
        <w:t>&gt;</w:t>
      </w:r>
    </w:p>
    <w:p w14:paraId="127E268A" w14:textId="31BA0B43" w:rsidR="00FC3212" w:rsidRPr="008159EE" w:rsidRDefault="0097184A" w:rsidP="006B5DF1">
      <w:pPr>
        <w:spacing w:after="0"/>
      </w:pPr>
      <w:bookmarkStart w:id="12" w:name="_Hlk188441026"/>
      <w:permStart w:id="1298809498" w:edGrp="everyone"/>
      <w:r w:rsidRPr="008159EE">
        <w:lastRenderedPageBreak/>
        <w:t>While we generally agree with the</w:t>
      </w:r>
      <w:r w:rsidR="005D57C5" w:rsidRPr="008159EE">
        <w:t xml:space="preserve"> proposed </w:t>
      </w:r>
      <w:r w:rsidRPr="008159EE">
        <w:t>reference periods</w:t>
      </w:r>
      <w:r w:rsidR="005D57C5" w:rsidRPr="008159EE">
        <w:t>,</w:t>
      </w:r>
      <w:r w:rsidRPr="008159EE">
        <w:t xml:space="preserve"> </w:t>
      </w:r>
      <w:r w:rsidR="00037020" w:rsidRPr="008159EE">
        <w:t>we believe</w:t>
      </w:r>
      <w:r w:rsidRPr="008159EE">
        <w:t xml:space="preserve"> that the inter</w:t>
      </w:r>
      <w:r w:rsidR="00D477CA" w:rsidRPr="008159EE">
        <w:t>action</w:t>
      </w:r>
      <w:r w:rsidRPr="008159EE">
        <w:t xml:space="preserve"> between the</w:t>
      </w:r>
      <w:r w:rsidR="00D64825" w:rsidRPr="008159EE">
        <w:t xml:space="preserve"> observation period under</w:t>
      </w:r>
      <w:r w:rsidRPr="008159EE">
        <w:t xml:space="preserve"> Art. 7a (4) subpara. 5 </w:t>
      </w:r>
      <w:r w:rsidR="00037020" w:rsidRPr="008159EE">
        <w:t xml:space="preserve">EMIR 3.0 </w:t>
      </w:r>
      <w:r w:rsidR="00D64825" w:rsidRPr="008159EE">
        <w:t xml:space="preserve">(annual/ preceding 12 months) </w:t>
      </w:r>
      <w:r w:rsidR="00037020" w:rsidRPr="008159EE">
        <w:t>o</w:t>
      </w:r>
      <w:r w:rsidR="00D64825" w:rsidRPr="008159EE">
        <w:t xml:space="preserve">n the one hand and the </w:t>
      </w:r>
      <w:r w:rsidR="00037020" w:rsidRPr="008159EE">
        <w:t>1-month (and also the 6-monh)</w:t>
      </w:r>
      <w:r w:rsidR="00D64825" w:rsidRPr="008159EE">
        <w:t xml:space="preserve"> reference period proposed </w:t>
      </w:r>
      <w:r w:rsidR="00037020" w:rsidRPr="008159EE">
        <w:t xml:space="preserve">under Art. 4 (3) of the draft RTS </w:t>
      </w:r>
      <w:r w:rsidR="00D477CA" w:rsidRPr="008159EE">
        <w:t xml:space="preserve">on the other may need to be reviewed or clarified: These two separate, unsynchronised observation cycles </w:t>
      </w:r>
      <w:r w:rsidR="00037020" w:rsidRPr="008159EE">
        <w:t xml:space="preserve">may cause practical challenges </w:t>
      </w:r>
      <w:r w:rsidR="00D477CA" w:rsidRPr="008159EE">
        <w:t xml:space="preserve">to market participants since </w:t>
      </w:r>
      <w:r w:rsidR="00037020" w:rsidRPr="008159EE">
        <w:t xml:space="preserve">the composition of portfolios </w:t>
      </w:r>
      <w:r w:rsidR="00D477CA" w:rsidRPr="008159EE">
        <w:t xml:space="preserve">to be </w:t>
      </w:r>
      <w:r w:rsidR="00037020" w:rsidRPr="008159EE">
        <w:t xml:space="preserve">observed on a monthly basis may significantly </w:t>
      </w:r>
      <w:r w:rsidR="00D477CA" w:rsidRPr="008159EE">
        <w:t>vary</w:t>
      </w:r>
      <w:r w:rsidR="00037020" w:rsidRPr="008159EE">
        <w:t xml:space="preserve"> during the 12 months observation period prescribed by  Art. 7a (4) subpara. 5 EMIR 3.0</w:t>
      </w:r>
      <w:r w:rsidR="00D477CA" w:rsidRPr="008159EE">
        <w:t>.</w:t>
      </w:r>
      <w:r w:rsidR="001F3FBA" w:rsidRPr="008159EE">
        <w:t xml:space="preserve"> We believe that the 12-month observation period is the more relevant one of those two and a focus on this period would significantly facilitate reporting for market participants and </w:t>
      </w:r>
      <w:r w:rsidR="00CA2B20">
        <w:t xml:space="preserve">would also be helpful </w:t>
      </w:r>
      <w:r w:rsidR="001F3FBA" w:rsidRPr="008159EE">
        <w:t xml:space="preserve">for </w:t>
      </w:r>
      <w:r w:rsidR="00CA2B20">
        <w:t xml:space="preserve">the </w:t>
      </w:r>
      <w:r w:rsidR="001F3FBA" w:rsidRPr="008159EE">
        <w:t>supervisory authorities reviewing the data.</w:t>
      </w:r>
    </w:p>
    <w:bookmarkEnd w:id="12"/>
    <w:permEnd w:id="1298809498"/>
    <w:p w14:paraId="7D6A453F" w14:textId="6CE7C504" w:rsidR="006B5DF1" w:rsidRPr="008159EE" w:rsidRDefault="006B5DF1" w:rsidP="006B5DF1">
      <w:pPr>
        <w:spacing w:after="0"/>
      </w:pPr>
      <w:r w:rsidRPr="008159EE">
        <w:t>&lt;ESMA_QUESTION_</w:t>
      </w:r>
      <w:r w:rsidR="004E60D2" w:rsidRPr="008159EE">
        <w:t>AAR</w:t>
      </w:r>
      <w:r w:rsidRPr="008159EE">
        <w:t>_</w:t>
      </w:r>
      <w:r w:rsidR="003E7313" w:rsidRPr="008159EE">
        <w:t>13</w:t>
      </w:r>
      <w:r w:rsidRPr="008159EE">
        <w:t>&gt;</w:t>
      </w:r>
    </w:p>
    <w:p w14:paraId="14191270" w14:textId="77777777" w:rsidR="006B5DF1" w:rsidRPr="008159EE" w:rsidRDefault="006B5DF1" w:rsidP="006B5DF1"/>
    <w:p w14:paraId="0E18E033" w14:textId="77777777" w:rsidR="006B5DF1" w:rsidRPr="008159EE" w:rsidRDefault="006B5DF1" w:rsidP="006B5DF1"/>
    <w:p w14:paraId="05D32B41" w14:textId="02CA1D56" w:rsidR="006B5DF1" w:rsidRPr="008159EE" w:rsidRDefault="004E60D2">
      <w:pPr>
        <w:pStyle w:val="Questionstyle"/>
      </w:pPr>
      <w:r w:rsidRPr="008159EE">
        <w:t>Do you agree with the proposed reference period for PLN OTC IRD? Do you think that the reference periods should be set at a more granular level (i.e. class of derivatives)?</w:t>
      </w:r>
    </w:p>
    <w:p w14:paraId="7E18DDBD" w14:textId="77777777" w:rsidR="004E60D2" w:rsidRPr="008159EE" w:rsidRDefault="004E60D2" w:rsidP="004E60D2"/>
    <w:p w14:paraId="5172AC4C" w14:textId="3BB92EBA" w:rsidR="006B5DF1" w:rsidRPr="008159EE" w:rsidRDefault="006B5DF1" w:rsidP="006B5DF1">
      <w:pPr>
        <w:spacing w:after="0"/>
      </w:pPr>
      <w:r w:rsidRPr="008159EE">
        <w:t>&lt;ESMA_QUESTION_</w:t>
      </w:r>
      <w:r w:rsidR="004E60D2" w:rsidRPr="008159EE">
        <w:t>AAR</w:t>
      </w:r>
      <w:r w:rsidRPr="008159EE">
        <w:t>_</w:t>
      </w:r>
      <w:r w:rsidR="003E7313" w:rsidRPr="008159EE">
        <w:t>14</w:t>
      </w:r>
      <w:r w:rsidRPr="008159EE">
        <w:t>&gt;</w:t>
      </w:r>
    </w:p>
    <w:p w14:paraId="3748AF8F" w14:textId="51227746" w:rsidR="006B5DF1" w:rsidRPr="008159EE" w:rsidRDefault="0075211B" w:rsidP="006B5DF1">
      <w:pPr>
        <w:spacing w:after="0"/>
      </w:pPr>
      <w:permStart w:id="1859999702" w:edGrp="everyone"/>
      <w:r w:rsidRPr="008159EE">
        <w:t>We agree with the approach to PLN OTC IRD, and, in particular, do not see a need for more granularity.</w:t>
      </w:r>
    </w:p>
    <w:permEnd w:id="1859999702"/>
    <w:p w14:paraId="7A83D384" w14:textId="713A6681" w:rsidR="006B5DF1" w:rsidRPr="008159EE" w:rsidRDefault="006B5DF1" w:rsidP="006B5DF1">
      <w:pPr>
        <w:spacing w:after="0"/>
      </w:pPr>
      <w:r w:rsidRPr="008159EE">
        <w:t>&lt;ESMA_QUESTION_</w:t>
      </w:r>
      <w:r w:rsidR="004E60D2" w:rsidRPr="008159EE">
        <w:t>AAR</w:t>
      </w:r>
      <w:r w:rsidRPr="008159EE">
        <w:t>_</w:t>
      </w:r>
      <w:r w:rsidR="003E7313" w:rsidRPr="008159EE">
        <w:t>14</w:t>
      </w:r>
      <w:r w:rsidRPr="008159EE">
        <w:t>&gt;</w:t>
      </w:r>
    </w:p>
    <w:p w14:paraId="55A012FE" w14:textId="77777777" w:rsidR="006B5DF1" w:rsidRPr="008159EE" w:rsidRDefault="006B5DF1" w:rsidP="006B5DF1"/>
    <w:p w14:paraId="620205AB" w14:textId="77777777" w:rsidR="006B5DF1" w:rsidRPr="008159EE" w:rsidRDefault="006B5DF1" w:rsidP="006B5DF1"/>
    <w:p w14:paraId="08651FDD" w14:textId="6BC1A499" w:rsidR="0029493B" w:rsidRPr="008159EE" w:rsidRDefault="004E60D2" w:rsidP="006B5DF1">
      <w:pPr>
        <w:pStyle w:val="Questionstyle"/>
      </w:pPr>
      <w:r w:rsidRPr="008159EE">
        <w:t>Do you agree with the proposed reference periods for EUR STIR referenced in Euribor? Do you agree with the proposed reference periods for EUR STIR referenced in €STR?</w:t>
      </w:r>
    </w:p>
    <w:p w14:paraId="3BFC4064" w14:textId="77777777" w:rsidR="006B5DF1" w:rsidRPr="008159EE" w:rsidRDefault="006B5DF1" w:rsidP="006B5DF1"/>
    <w:p w14:paraId="761CC5DB" w14:textId="5EF0A7CD" w:rsidR="006B5DF1" w:rsidRPr="008159EE" w:rsidRDefault="006B5DF1" w:rsidP="006B5DF1">
      <w:pPr>
        <w:spacing w:after="0"/>
      </w:pPr>
      <w:r w:rsidRPr="008159EE">
        <w:t>&lt;ESMA_QUESTION_</w:t>
      </w:r>
      <w:r w:rsidR="004E60D2" w:rsidRPr="008159EE">
        <w:t>AAR</w:t>
      </w:r>
      <w:r w:rsidRPr="008159EE">
        <w:t>_</w:t>
      </w:r>
      <w:r w:rsidR="003E7313" w:rsidRPr="008159EE">
        <w:t>15</w:t>
      </w:r>
      <w:r w:rsidRPr="008159EE">
        <w:t>&gt;</w:t>
      </w:r>
    </w:p>
    <w:p w14:paraId="48DF5247" w14:textId="373344CE" w:rsidR="006B5DF1" w:rsidRPr="008159EE" w:rsidRDefault="00FC3212" w:rsidP="006B5DF1">
      <w:pPr>
        <w:spacing w:after="0"/>
      </w:pPr>
      <w:permStart w:id="1859985972" w:edGrp="everyone"/>
      <w:r w:rsidRPr="008159EE">
        <w:t xml:space="preserve"> We largely agree with the proposal. However, it should be taken into consideration that </w:t>
      </w:r>
      <w:r w:rsidR="00055BDD" w:rsidRPr="008159EE">
        <w:t xml:space="preserve">the </w:t>
      </w:r>
      <w:r w:rsidRPr="008159EE">
        <w:t>EU</w:t>
      </w:r>
      <w:r w:rsidR="003B1688" w:rsidRPr="008159EE">
        <w:t>R</w:t>
      </w:r>
      <w:r w:rsidRPr="008159EE">
        <w:t xml:space="preserve">-Euribor </w:t>
      </w:r>
      <w:r w:rsidR="003B1688" w:rsidRPr="008159EE">
        <w:t xml:space="preserve">STIR </w:t>
      </w:r>
      <w:r w:rsidRPr="008159EE">
        <w:t xml:space="preserve">market at EUREX is less liquid than the €STR-market. This could best be addressed </w:t>
      </w:r>
      <w:r w:rsidR="00776492" w:rsidRPr="008159EE">
        <w:t xml:space="preserve">by aligning the </w:t>
      </w:r>
      <w:r w:rsidRPr="008159EE">
        <w:t>reference periods</w:t>
      </w:r>
      <w:r w:rsidR="00776492" w:rsidRPr="008159EE">
        <w:t xml:space="preserve"> in both cases to 6 and 12 months</w:t>
      </w:r>
      <w:r w:rsidR="003B1688" w:rsidRPr="008159EE">
        <w:t xml:space="preserve"> and limiting the number of maturity ranges (see our response to Q12</w:t>
      </w:r>
      <w:r w:rsidR="00BB1FBF" w:rsidRPr="008159EE">
        <w:t>).</w:t>
      </w:r>
    </w:p>
    <w:permEnd w:id="1859985972"/>
    <w:p w14:paraId="3A64410A" w14:textId="45BF1F38" w:rsidR="006B5DF1" w:rsidRPr="008159EE" w:rsidRDefault="006B5DF1" w:rsidP="006B5DF1">
      <w:pPr>
        <w:spacing w:after="0"/>
      </w:pPr>
      <w:r w:rsidRPr="008159EE">
        <w:t>&lt;ESMA_QUESTION_</w:t>
      </w:r>
      <w:r w:rsidR="004E60D2" w:rsidRPr="008159EE">
        <w:t>AAR</w:t>
      </w:r>
      <w:r w:rsidRPr="008159EE">
        <w:t>_</w:t>
      </w:r>
      <w:r w:rsidR="003E7313" w:rsidRPr="008159EE">
        <w:t>15</w:t>
      </w:r>
      <w:r w:rsidRPr="008159EE">
        <w:t>&gt;</w:t>
      </w:r>
    </w:p>
    <w:p w14:paraId="6EA3EFD9" w14:textId="77777777" w:rsidR="006B5DF1" w:rsidRPr="008159EE" w:rsidRDefault="006B5DF1" w:rsidP="006B5DF1"/>
    <w:p w14:paraId="476AC2D9" w14:textId="77777777" w:rsidR="001B4160" w:rsidRPr="008159EE" w:rsidRDefault="001B4160" w:rsidP="006B5DF1"/>
    <w:p w14:paraId="2A842300" w14:textId="0B456EE3" w:rsidR="0029493B" w:rsidRPr="008159EE" w:rsidRDefault="004E60D2" w:rsidP="006B5DF1">
      <w:pPr>
        <w:pStyle w:val="Questionstyle"/>
      </w:pPr>
      <w:r w:rsidRPr="008159EE">
        <w:t>Do you agree with the proposed approach for the reporting of the activity and risk exposures of the counterparty subject to the active account requirement?</w:t>
      </w:r>
    </w:p>
    <w:p w14:paraId="71BBF906" w14:textId="77777777" w:rsidR="006B5DF1" w:rsidRPr="008159EE" w:rsidRDefault="006B5DF1" w:rsidP="006B5DF1"/>
    <w:p w14:paraId="3E4937E7" w14:textId="1733D6C6" w:rsidR="006B5DF1" w:rsidRPr="008159EE" w:rsidRDefault="006B5DF1" w:rsidP="006B5DF1">
      <w:pPr>
        <w:spacing w:after="0"/>
      </w:pPr>
      <w:r w:rsidRPr="008159EE">
        <w:t>&lt;ESMA_QUESTION_</w:t>
      </w:r>
      <w:r w:rsidR="004E60D2" w:rsidRPr="008159EE">
        <w:t>AAR</w:t>
      </w:r>
      <w:r w:rsidRPr="008159EE">
        <w:t>_</w:t>
      </w:r>
      <w:r w:rsidR="003E7313" w:rsidRPr="008159EE">
        <w:t>16</w:t>
      </w:r>
      <w:r w:rsidRPr="008159EE">
        <w:t>&gt;</w:t>
      </w:r>
    </w:p>
    <w:p w14:paraId="30A0F876" w14:textId="15A888AA" w:rsidR="003B1688" w:rsidRPr="008159EE" w:rsidRDefault="00776492" w:rsidP="006B5DF1">
      <w:pPr>
        <w:spacing w:after="0"/>
      </w:pPr>
      <w:permStart w:id="1850953902" w:edGrp="everyone"/>
      <w:r w:rsidRPr="008159EE">
        <w:t xml:space="preserve">No: </w:t>
      </w:r>
      <w:r w:rsidR="003B1688" w:rsidRPr="008159EE">
        <w:t>As already indicated in our response to Q1</w:t>
      </w:r>
      <w:r w:rsidR="004575A4" w:rsidRPr="008159EE">
        <w:t xml:space="preserve"> and 2</w:t>
      </w:r>
      <w:r w:rsidRPr="008159EE">
        <w:t>, we strongly believe that a</w:t>
      </w:r>
      <w:r w:rsidR="00CF0228" w:rsidRPr="008159EE">
        <w:t>l</w:t>
      </w:r>
      <w:r w:rsidRPr="008159EE">
        <w:t xml:space="preserve">l reporting requirements under Art. 7 to 10 </w:t>
      </w:r>
      <w:r w:rsidR="003B1688" w:rsidRPr="008159EE">
        <w:t>of the draft RTS establishing a completely new detailed and complex reporting regime in parallel to t</w:t>
      </w:r>
      <w:r w:rsidR="004333BB" w:rsidRPr="008159EE">
        <w:t>h</w:t>
      </w:r>
      <w:r w:rsidR="003B1688" w:rsidRPr="008159EE">
        <w:t xml:space="preserve">e already existing EMIR-reporting regime </w:t>
      </w:r>
      <w:r w:rsidRPr="008159EE">
        <w:t>should be re</w:t>
      </w:r>
      <w:r w:rsidR="003B1688" w:rsidRPr="008159EE">
        <w:t>considered.</w:t>
      </w:r>
    </w:p>
    <w:p w14:paraId="1771AC94" w14:textId="77777777" w:rsidR="003B1688" w:rsidRPr="008159EE" w:rsidRDefault="003B1688" w:rsidP="006B5DF1">
      <w:pPr>
        <w:spacing w:after="0"/>
      </w:pPr>
    </w:p>
    <w:p w14:paraId="1E09355D" w14:textId="77777777" w:rsidR="004333BB" w:rsidRPr="008159EE" w:rsidRDefault="003B1688" w:rsidP="006B5DF1">
      <w:pPr>
        <w:spacing w:after="0"/>
      </w:pPr>
      <w:r w:rsidRPr="008159EE">
        <w:t xml:space="preserve">A simpler yet equally effective approach would be a system based </w:t>
      </w:r>
      <w:r w:rsidR="004333BB" w:rsidRPr="008159EE">
        <w:t>the following elements:</w:t>
      </w:r>
    </w:p>
    <w:p w14:paraId="19157BA3" w14:textId="6B7FF7EB" w:rsidR="004333BB" w:rsidRPr="008159EE" w:rsidRDefault="00540404" w:rsidP="004333BB">
      <w:pPr>
        <w:pStyle w:val="Listenabsatz"/>
        <w:numPr>
          <w:ilvl w:val="0"/>
          <w:numId w:val="42"/>
        </w:numPr>
        <w:spacing w:after="0"/>
      </w:pPr>
      <w:r>
        <w:t>R</w:t>
      </w:r>
      <w:r w:rsidR="003B1688" w:rsidRPr="008159EE">
        <w:t>egular (annual) statement</w:t>
      </w:r>
      <w:r>
        <w:t>s</w:t>
      </w:r>
      <w:r w:rsidR="003B1688" w:rsidRPr="008159EE">
        <w:t>/report</w:t>
      </w:r>
      <w:r>
        <w:t>s</w:t>
      </w:r>
      <w:r w:rsidR="003B1688" w:rsidRPr="008159EE">
        <w:t xml:space="preserve"> by </w:t>
      </w:r>
      <w:r>
        <w:t>the</w:t>
      </w:r>
      <w:r w:rsidR="003B1688" w:rsidRPr="008159EE">
        <w:t xml:space="preserve"> addressee</w:t>
      </w:r>
      <w:r>
        <w:t>s</w:t>
      </w:r>
      <w:r w:rsidR="003B1688" w:rsidRPr="008159EE">
        <w:t xml:space="preserve"> of the AAR obligations on </w:t>
      </w:r>
      <w:r>
        <w:t>their</w:t>
      </w:r>
      <w:r w:rsidR="003B1688" w:rsidRPr="008159EE">
        <w:t xml:space="preserve"> status and implementation of the AAR</w:t>
      </w:r>
      <w:r>
        <w:t>.</w:t>
      </w:r>
    </w:p>
    <w:p w14:paraId="1C156D9E" w14:textId="2756E9A9" w:rsidR="004333BB" w:rsidRPr="008159EE" w:rsidRDefault="00324A6B" w:rsidP="004333BB">
      <w:pPr>
        <w:pStyle w:val="Listenabsatz"/>
        <w:numPr>
          <w:ilvl w:val="0"/>
          <w:numId w:val="42"/>
        </w:numPr>
        <w:spacing w:after="0"/>
      </w:pPr>
      <w:r w:rsidRPr="008159EE">
        <w:t>CCP-s</w:t>
      </w:r>
      <w:r w:rsidR="004333BB" w:rsidRPr="008159EE">
        <w:t>tatements/</w:t>
      </w:r>
      <w:r w:rsidRPr="008159EE">
        <w:t>confirmations</w:t>
      </w:r>
      <w:r w:rsidR="004333BB" w:rsidRPr="008159EE">
        <w:t xml:space="preserve"> on the functionality of the accounts held with the CCP (as envisaged in </w:t>
      </w:r>
      <w:r w:rsidR="004575A4" w:rsidRPr="008159EE">
        <w:t xml:space="preserve">Art. 2 (1) (c) and Art. 3 (1) (c) of </w:t>
      </w:r>
      <w:r w:rsidR="004333BB" w:rsidRPr="008159EE">
        <w:t>the draft RTS)</w:t>
      </w:r>
      <w:r w:rsidR="00540404">
        <w:t>.</w:t>
      </w:r>
      <w:r w:rsidR="004333BB" w:rsidRPr="008159EE">
        <w:t xml:space="preserve"> </w:t>
      </w:r>
    </w:p>
    <w:p w14:paraId="664DEAC1" w14:textId="2E5F783B" w:rsidR="004333BB" w:rsidRPr="008159EE" w:rsidRDefault="004333BB" w:rsidP="004333BB">
      <w:pPr>
        <w:pStyle w:val="Listenabsatz"/>
        <w:numPr>
          <w:ilvl w:val="0"/>
          <w:numId w:val="42"/>
        </w:numPr>
        <w:spacing w:after="0"/>
      </w:pPr>
      <w:r w:rsidRPr="008159EE">
        <w:t>EMIR TR-reports (allowing competent supervisory authorities to verify/review the clearing activities of the market participants at any time)</w:t>
      </w:r>
      <w:r w:rsidR="00540404">
        <w:t>.</w:t>
      </w:r>
    </w:p>
    <w:p w14:paraId="6005CBF7" w14:textId="1F944E85" w:rsidR="004333BB" w:rsidRPr="008159EE" w:rsidRDefault="004333BB" w:rsidP="00430F41">
      <w:pPr>
        <w:pStyle w:val="Listenabsatz"/>
        <w:numPr>
          <w:ilvl w:val="0"/>
          <w:numId w:val="42"/>
        </w:numPr>
        <w:spacing w:after="0"/>
      </w:pPr>
      <w:r w:rsidRPr="008159EE">
        <w:t>Regular reviews of the competent supervisory authorities of the implementation of the AAR (as a part of the general supervisory reviews)</w:t>
      </w:r>
      <w:r w:rsidR="00540404">
        <w:t>.</w:t>
      </w:r>
    </w:p>
    <w:p w14:paraId="3E400196" w14:textId="77777777" w:rsidR="004333BB" w:rsidRPr="008159EE" w:rsidRDefault="004333BB" w:rsidP="006B5DF1">
      <w:pPr>
        <w:spacing w:after="0"/>
      </w:pPr>
    </w:p>
    <w:p w14:paraId="4BD5B72E" w14:textId="77777777" w:rsidR="00540404" w:rsidRDefault="004333BB" w:rsidP="006B5DF1">
      <w:pPr>
        <w:spacing w:after="0"/>
      </w:pPr>
      <w:r w:rsidRPr="008159EE">
        <w:t xml:space="preserve">Should a new separate reporting framework be established despite the concerns raised </w:t>
      </w:r>
      <w:r w:rsidR="00E734B2" w:rsidRPr="008159EE">
        <w:t>against</w:t>
      </w:r>
      <w:r w:rsidRPr="008159EE">
        <w:t xml:space="preserve"> such new parallel reporting framework, it should at the least be simplified as much as </w:t>
      </w:r>
      <w:r w:rsidR="004575A4" w:rsidRPr="008159EE">
        <w:t>possible</w:t>
      </w:r>
      <w:r w:rsidRPr="008159EE">
        <w:t xml:space="preserve">. </w:t>
      </w:r>
    </w:p>
    <w:p w14:paraId="3D9A2EAD" w14:textId="77777777" w:rsidR="00540404" w:rsidRDefault="00540404" w:rsidP="006B5DF1">
      <w:pPr>
        <w:spacing w:after="0"/>
      </w:pPr>
    </w:p>
    <w:p w14:paraId="10FAE6D0" w14:textId="60E14829" w:rsidR="004333BB" w:rsidRPr="008159EE" w:rsidRDefault="004333BB" w:rsidP="006B5DF1">
      <w:pPr>
        <w:spacing w:after="0"/>
      </w:pPr>
      <w:r w:rsidRPr="008159EE">
        <w:t>This should include the following:</w:t>
      </w:r>
    </w:p>
    <w:p w14:paraId="6F72FE61" w14:textId="77044AB1" w:rsidR="004333BB" w:rsidRPr="008159EE" w:rsidRDefault="004333BB" w:rsidP="00540404">
      <w:pPr>
        <w:pStyle w:val="Listenabsatz"/>
        <w:numPr>
          <w:ilvl w:val="0"/>
          <w:numId w:val="40"/>
        </w:numPr>
        <w:spacing w:after="0"/>
      </w:pPr>
      <w:r w:rsidRPr="008159EE">
        <w:t>Reduction of granularity ad degree of detail: Reporting details should at l</w:t>
      </w:r>
      <w:r w:rsidR="00E734B2" w:rsidRPr="008159EE">
        <w:t>e</w:t>
      </w:r>
      <w:r w:rsidRPr="008159EE">
        <w:t xml:space="preserve">ast be limited to information which cannot be </w:t>
      </w:r>
      <w:r w:rsidR="00D45BA5">
        <w:t>obtained</w:t>
      </w:r>
      <w:r w:rsidRPr="008159EE">
        <w:t xml:space="preserve"> from EMIR TR-reports or other existing regulatory reports or CCP-statements/c</w:t>
      </w:r>
      <w:r w:rsidR="00324A6B" w:rsidRPr="008159EE">
        <w:t>onfirmations</w:t>
      </w:r>
      <w:r w:rsidR="00E734B2" w:rsidRPr="008159EE">
        <w:t>. Reporting should especially not cover margin activity/collateral (see also our response to Q17)</w:t>
      </w:r>
      <w:r w:rsidR="004719E2">
        <w:t>.</w:t>
      </w:r>
      <w:r w:rsidRPr="008159EE">
        <w:t xml:space="preserve"> </w:t>
      </w:r>
    </w:p>
    <w:p w14:paraId="38FA36F9" w14:textId="658F05B4" w:rsidR="00E734B2" w:rsidRPr="008159EE" w:rsidRDefault="004333BB" w:rsidP="00540404">
      <w:pPr>
        <w:pStyle w:val="Listenabsatz"/>
        <w:numPr>
          <w:ilvl w:val="0"/>
          <w:numId w:val="40"/>
        </w:numPr>
        <w:spacing w:after="0"/>
      </w:pPr>
      <w:r w:rsidRPr="008159EE">
        <w:t>Significant extension of the reporting intervals:</w:t>
      </w:r>
      <w:r w:rsidR="00E734B2" w:rsidRPr="008159EE">
        <w:t xml:space="preserve"> The currently proposed</w:t>
      </w:r>
      <w:r w:rsidRPr="008159EE">
        <w:t xml:space="preserve"> intervals of six months (based on Art. 7b (1) </w:t>
      </w:r>
      <w:r w:rsidR="00D477CA" w:rsidRPr="008159EE">
        <w:t>EMIR 3.0</w:t>
      </w:r>
      <w:r w:rsidRPr="008159EE">
        <w:t xml:space="preserve">) </w:t>
      </w:r>
      <w:r w:rsidR="00E734B2" w:rsidRPr="008159EE">
        <w:t xml:space="preserve">are to short and </w:t>
      </w:r>
      <w:r w:rsidRPr="008159EE">
        <w:t>may already tax the ability of the supervisory authorities to fully analyse the information and where required, clarify the situation.</w:t>
      </w:r>
      <w:r w:rsidR="00E734B2" w:rsidRPr="008159EE">
        <w:t xml:space="preserve"> These intervals should be extended to at least two years.</w:t>
      </w:r>
    </w:p>
    <w:p w14:paraId="4029E317" w14:textId="1D34B486" w:rsidR="00CF0228" w:rsidRPr="008159EE" w:rsidRDefault="00E734B2" w:rsidP="00540404">
      <w:pPr>
        <w:pStyle w:val="Listenabsatz"/>
        <w:numPr>
          <w:ilvl w:val="0"/>
          <w:numId w:val="40"/>
        </w:numPr>
        <w:spacing w:after="0"/>
      </w:pPr>
      <w:r w:rsidRPr="008159EE">
        <w:t>Sufficient lead-time for any new reporting framework: The implementation of the operational and technical framework for a new reporting regime will take time: All effected parties would therefore need sufficient lead-time to implement the necessary changes.</w:t>
      </w:r>
    </w:p>
    <w:p w14:paraId="74DFDA98" w14:textId="77777777" w:rsidR="00D477CA" w:rsidRPr="008159EE" w:rsidRDefault="00D477CA" w:rsidP="006B5DF1">
      <w:pPr>
        <w:spacing w:after="0"/>
      </w:pPr>
    </w:p>
    <w:p w14:paraId="76DDA2AF" w14:textId="0DF375BB" w:rsidR="001F3FBA" w:rsidRPr="008159EE" w:rsidRDefault="00D477CA" w:rsidP="006B5DF1">
      <w:pPr>
        <w:spacing w:after="0"/>
      </w:pPr>
      <w:r w:rsidRPr="008159EE">
        <w:t>In addition</w:t>
      </w:r>
      <w:r w:rsidR="001F3FBA" w:rsidRPr="008159EE">
        <w:t>,</w:t>
      </w:r>
      <w:r w:rsidRPr="008159EE">
        <w:t xml:space="preserve"> we note that</w:t>
      </w:r>
      <w:r w:rsidR="001F3FBA" w:rsidRPr="008159EE">
        <w:t xml:space="preserve"> the</w:t>
      </w:r>
      <w:r w:rsidRPr="008159EE">
        <w:t xml:space="preserve"> draft RTS </w:t>
      </w:r>
      <w:r w:rsidR="00BA0EB2" w:rsidRPr="008159EE">
        <w:t>proposes to require the reporting of data which is not</w:t>
      </w:r>
      <w:r w:rsidR="001F3FBA" w:rsidRPr="008159EE">
        <w:t xml:space="preserve"> </w:t>
      </w:r>
      <w:r w:rsidR="00BA0EB2" w:rsidRPr="008159EE">
        <w:t xml:space="preserve">directly related </w:t>
      </w:r>
      <w:r w:rsidR="001F3FBA" w:rsidRPr="008159EE">
        <w:t>to the AAR and thus not necessary</w:t>
      </w:r>
      <w:r w:rsidR="00BA0EB2" w:rsidRPr="008159EE">
        <w:t>, in particular data concerning</w:t>
      </w:r>
      <w:r w:rsidR="005D57C5" w:rsidRPr="008159EE">
        <w:t>:</w:t>
      </w:r>
      <w:r w:rsidR="00BA0EB2" w:rsidRPr="008159EE">
        <w:t xml:space="preserve"> </w:t>
      </w:r>
    </w:p>
    <w:p w14:paraId="447FC791" w14:textId="002F5796" w:rsidR="001F3FBA" w:rsidRPr="008159EE" w:rsidRDefault="001F3FBA" w:rsidP="001F3FBA">
      <w:pPr>
        <w:pStyle w:val="Listenabsatz"/>
        <w:numPr>
          <w:ilvl w:val="0"/>
          <w:numId w:val="40"/>
        </w:numPr>
        <w:spacing w:after="0"/>
      </w:pPr>
      <w:r w:rsidRPr="008159EE">
        <w:t xml:space="preserve">initial and variation margin – Art. 7 (1) of the draft RTS/Annex II Table 2 </w:t>
      </w:r>
    </w:p>
    <w:p w14:paraId="008FE430" w14:textId="47835A87" w:rsidR="00D477CA" w:rsidRPr="008159EE" w:rsidRDefault="00BA0EB2" w:rsidP="001112FB">
      <w:pPr>
        <w:pStyle w:val="Listenabsatz"/>
        <w:numPr>
          <w:ilvl w:val="0"/>
          <w:numId w:val="40"/>
        </w:numPr>
        <w:spacing w:after="0"/>
      </w:pPr>
      <w:r w:rsidRPr="008159EE">
        <w:t>client clearing services – Art. 7 (1) of the draft RTS/Annex II Table 3</w:t>
      </w:r>
      <w:r w:rsidR="001F3FBA" w:rsidRPr="008159EE">
        <w:t>.</w:t>
      </w:r>
    </w:p>
    <w:permEnd w:id="1850953902"/>
    <w:p w14:paraId="061AC34A" w14:textId="6D45AE2E" w:rsidR="006B5DF1" w:rsidRPr="008159EE" w:rsidRDefault="006B5DF1" w:rsidP="006B5DF1">
      <w:pPr>
        <w:spacing w:after="0"/>
      </w:pPr>
      <w:r w:rsidRPr="008159EE">
        <w:t>&lt;ESMA_QUESTION_</w:t>
      </w:r>
      <w:r w:rsidR="004E60D2" w:rsidRPr="008159EE">
        <w:t>AAR</w:t>
      </w:r>
      <w:r w:rsidRPr="008159EE">
        <w:t>_</w:t>
      </w:r>
      <w:r w:rsidR="003E7313" w:rsidRPr="008159EE">
        <w:t>16</w:t>
      </w:r>
      <w:r w:rsidRPr="008159EE">
        <w:t>&gt;</w:t>
      </w:r>
    </w:p>
    <w:p w14:paraId="5847AC71" w14:textId="77777777" w:rsidR="006B5DF1" w:rsidRPr="008159EE" w:rsidRDefault="006B5DF1" w:rsidP="006B5DF1"/>
    <w:p w14:paraId="1B524BD5" w14:textId="77777777" w:rsidR="001B4160" w:rsidRPr="008159EE" w:rsidRDefault="001B4160" w:rsidP="006B5DF1"/>
    <w:p w14:paraId="2A3F75F1" w14:textId="5E39FDA7" w:rsidR="0029493B" w:rsidRPr="008159EE" w:rsidRDefault="004E60D2" w:rsidP="006B5DF1">
      <w:pPr>
        <w:pStyle w:val="Questionstyle"/>
      </w:pPr>
      <w:r w:rsidRPr="008159EE">
        <w:t>Do you consider that including information on margin activity in the AAR reporting requirement would provide valuable information on the activities and risk exposures of the counterparty?</w:t>
      </w:r>
    </w:p>
    <w:p w14:paraId="64D0F61C" w14:textId="77777777" w:rsidR="006B5DF1" w:rsidRPr="008159EE" w:rsidRDefault="006B5DF1" w:rsidP="006B5DF1"/>
    <w:p w14:paraId="19286DDF" w14:textId="71AD1483" w:rsidR="006B5DF1" w:rsidRPr="008159EE" w:rsidRDefault="006B5DF1" w:rsidP="006B5DF1">
      <w:pPr>
        <w:spacing w:after="0"/>
      </w:pPr>
      <w:r w:rsidRPr="008159EE">
        <w:t>&lt;ESMA_QUESTION_</w:t>
      </w:r>
      <w:r w:rsidR="004E60D2" w:rsidRPr="008159EE">
        <w:t>AAR</w:t>
      </w:r>
      <w:r w:rsidRPr="008159EE">
        <w:t>_</w:t>
      </w:r>
      <w:r w:rsidR="003E7313" w:rsidRPr="008159EE">
        <w:t>17</w:t>
      </w:r>
      <w:r w:rsidRPr="008159EE">
        <w:t>&gt;</w:t>
      </w:r>
    </w:p>
    <w:p w14:paraId="3F0BD084" w14:textId="513AA07A" w:rsidR="006B5DF1" w:rsidRPr="008159EE" w:rsidRDefault="005A1746" w:rsidP="006B5DF1">
      <w:pPr>
        <w:spacing w:after="0"/>
      </w:pPr>
      <w:permStart w:id="938018820" w:edGrp="everyone"/>
      <w:r w:rsidRPr="008159EE">
        <w:t xml:space="preserve">No. </w:t>
      </w:r>
      <w:r w:rsidR="001F3FBA" w:rsidRPr="008159EE">
        <w:t>As already mentioned in our response to Q16, w</w:t>
      </w:r>
      <w:r w:rsidRPr="008159EE">
        <w:t>e believe that</w:t>
      </w:r>
      <w:r w:rsidR="008159EE">
        <w:t xml:space="preserve"> the reporting</w:t>
      </w:r>
      <w:r w:rsidR="001F3FBA" w:rsidRPr="008159EE">
        <w:t xml:space="preserve"> of margin </w:t>
      </w:r>
      <w:r w:rsidR="008159EE">
        <w:t xml:space="preserve">activity </w:t>
      </w:r>
      <w:r w:rsidR="001F3FBA" w:rsidRPr="008159EE">
        <w:t xml:space="preserve">related </w:t>
      </w:r>
      <w:r w:rsidRPr="008159EE">
        <w:t xml:space="preserve">information on a continuous basis </w:t>
      </w:r>
      <w:r w:rsidR="008159EE">
        <w:t>should</w:t>
      </w:r>
      <w:r w:rsidR="008919AF" w:rsidRPr="008159EE">
        <w:t xml:space="preserve"> not </w:t>
      </w:r>
      <w:r w:rsidR="008159EE">
        <w:t xml:space="preserve">be </w:t>
      </w:r>
      <w:r w:rsidR="008919AF" w:rsidRPr="008159EE">
        <w:t xml:space="preserve">required </w:t>
      </w:r>
      <w:r w:rsidRPr="008159EE">
        <w:t xml:space="preserve">and will not provide helpful information </w:t>
      </w:r>
      <w:r w:rsidR="008919AF" w:rsidRPr="008159EE">
        <w:t xml:space="preserve">since </w:t>
      </w:r>
      <w:r w:rsidRPr="008159EE">
        <w:t>the margins posted are portfolio related.</w:t>
      </w:r>
    </w:p>
    <w:permEnd w:id="938018820"/>
    <w:p w14:paraId="434B1CE3" w14:textId="40AEA46D" w:rsidR="006B5DF1" w:rsidRPr="008159EE" w:rsidRDefault="006B5DF1" w:rsidP="006B5DF1">
      <w:pPr>
        <w:spacing w:after="0"/>
      </w:pPr>
      <w:r w:rsidRPr="008159EE">
        <w:t>&lt;ESMA_QUESTION_</w:t>
      </w:r>
      <w:r w:rsidR="004E60D2" w:rsidRPr="008159EE">
        <w:t>AAR</w:t>
      </w:r>
      <w:r w:rsidRPr="008159EE">
        <w:t>_</w:t>
      </w:r>
      <w:r w:rsidR="003E7313" w:rsidRPr="008159EE">
        <w:t>17</w:t>
      </w:r>
      <w:r w:rsidRPr="008159EE">
        <w:t>&gt;</w:t>
      </w:r>
    </w:p>
    <w:p w14:paraId="70765E18" w14:textId="77777777" w:rsidR="006B5DF1" w:rsidRPr="008159EE" w:rsidRDefault="006B5DF1" w:rsidP="006B5DF1"/>
    <w:p w14:paraId="5D751DA0" w14:textId="77777777" w:rsidR="001B4160" w:rsidRPr="008159EE" w:rsidRDefault="001B4160" w:rsidP="006B5DF1"/>
    <w:p w14:paraId="5F9C6834" w14:textId="3D0B136F" w:rsidR="0029493B" w:rsidRPr="008159EE" w:rsidRDefault="004E60D2" w:rsidP="006B5DF1">
      <w:pPr>
        <w:pStyle w:val="Questionstyle"/>
      </w:pPr>
      <w:r w:rsidRPr="008159EE">
        <w:t>Do you consider that including reporting on Unique Trade Identifiers (UTIs) would provide valuable information from a supervisory perspective?</w:t>
      </w:r>
    </w:p>
    <w:p w14:paraId="05102E08" w14:textId="77777777" w:rsidR="006B5DF1" w:rsidRPr="008159EE" w:rsidRDefault="006B5DF1" w:rsidP="006B5DF1"/>
    <w:p w14:paraId="236C5087" w14:textId="5B0D3214" w:rsidR="006B5DF1" w:rsidRPr="008159EE" w:rsidRDefault="006B5DF1" w:rsidP="006B5DF1">
      <w:pPr>
        <w:spacing w:after="0"/>
      </w:pPr>
      <w:r w:rsidRPr="008159EE">
        <w:t>&lt;ESMA_QUESTION_</w:t>
      </w:r>
      <w:r w:rsidR="004E60D2" w:rsidRPr="008159EE">
        <w:t>AAR</w:t>
      </w:r>
      <w:r w:rsidRPr="008159EE">
        <w:t>_</w:t>
      </w:r>
      <w:r w:rsidR="003E7313" w:rsidRPr="008159EE">
        <w:t>18</w:t>
      </w:r>
      <w:r w:rsidRPr="008159EE">
        <w:t>&gt;</w:t>
      </w:r>
    </w:p>
    <w:p w14:paraId="1BA89A0F" w14:textId="67D86EBA" w:rsidR="005A1746" w:rsidRPr="008159EE" w:rsidRDefault="00E734B2" w:rsidP="006B5DF1">
      <w:pPr>
        <w:spacing w:after="0"/>
      </w:pPr>
      <w:permStart w:id="1092633402" w:edGrp="everyone"/>
      <w:r w:rsidRPr="008159EE">
        <w:t>No</w:t>
      </w:r>
      <w:r w:rsidR="005A1746" w:rsidRPr="008159EE">
        <w:t>.</w:t>
      </w:r>
      <w:r w:rsidRPr="008159EE">
        <w:t xml:space="preserve"> Transaction related information can, in any event, be </w:t>
      </w:r>
      <w:r w:rsidR="00AD78A3" w:rsidRPr="008159EE">
        <w:t>obtained</w:t>
      </w:r>
      <w:r w:rsidR="00B82B4B" w:rsidRPr="008159EE">
        <w:t xml:space="preserve"> </w:t>
      </w:r>
      <w:r w:rsidRPr="008159EE">
        <w:t>from TR-reports.</w:t>
      </w:r>
    </w:p>
    <w:permEnd w:id="1092633402"/>
    <w:p w14:paraId="51F035B1" w14:textId="5443497D" w:rsidR="006B5DF1" w:rsidRPr="008159EE" w:rsidRDefault="006B5DF1" w:rsidP="006B5DF1">
      <w:pPr>
        <w:spacing w:after="0"/>
      </w:pPr>
      <w:r w:rsidRPr="008159EE">
        <w:t>&lt;ESMA_QUESTION_</w:t>
      </w:r>
      <w:r w:rsidR="004E60D2" w:rsidRPr="008159EE">
        <w:t>AAR</w:t>
      </w:r>
      <w:r w:rsidRPr="008159EE">
        <w:t>_</w:t>
      </w:r>
      <w:r w:rsidR="003E7313" w:rsidRPr="008159EE">
        <w:t>18</w:t>
      </w:r>
      <w:r w:rsidRPr="008159EE">
        <w:t>&gt;</w:t>
      </w:r>
    </w:p>
    <w:p w14:paraId="3D88C6AE" w14:textId="77777777" w:rsidR="006B5DF1" w:rsidRPr="008159EE" w:rsidRDefault="006B5DF1" w:rsidP="006B5DF1"/>
    <w:p w14:paraId="27164489" w14:textId="77777777" w:rsidR="001B4160" w:rsidRPr="008159EE" w:rsidRDefault="001B4160" w:rsidP="006B5DF1"/>
    <w:p w14:paraId="01EFD49C" w14:textId="08AC3034" w:rsidR="006B5DF1" w:rsidRPr="008159EE" w:rsidRDefault="0029493B">
      <w:pPr>
        <w:pStyle w:val="Questionstyle"/>
      </w:pPr>
      <w:r w:rsidRPr="008159EE">
        <w:t>Do</w:t>
      </w:r>
      <w:r w:rsidR="004E60D2" w:rsidRPr="008159EE">
        <w:t xml:space="preserve"> you agree with the proposed approach for the reporting of the operational conditions?</w:t>
      </w:r>
    </w:p>
    <w:p w14:paraId="66AD22F0" w14:textId="77777777" w:rsidR="001B4160" w:rsidRPr="008159EE" w:rsidRDefault="001B4160" w:rsidP="001B4160"/>
    <w:p w14:paraId="5C3EF62A" w14:textId="7195045C" w:rsidR="006B5DF1" w:rsidRPr="008159EE" w:rsidRDefault="006B5DF1" w:rsidP="006B5DF1">
      <w:pPr>
        <w:spacing w:after="0"/>
      </w:pPr>
      <w:r w:rsidRPr="008159EE">
        <w:t>&lt;ESMA_QUESTION_</w:t>
      </w:r>
      <w:r w:rsidR="004E60D2" w:rsidRPr="008159EE">
        <w:t>AAR</w:t>
      </w:r>
      <w:r w:rsidRPr="008159EE">
        <w:t>_</w:t>
      </w:r>
      <w:r w:rsidR="003E7313" w:rsidRPr="008159EE">
        <w:t>19</w:t>
      </w:r>
      <w:r w:rsidRPr="008159EE">
        <w:t>&gt;</w:t>
      </w:r>
    </w:p>
    <w:p w14:paraId="7F280A2B" w14:textId="26CA5A83" w:rsidR="0078235D" w:rsidRPr="008159EE" w:rsidRDefault="005A1746" w:rsidP="006B5DF1">
      <w:pPr>
        <w:spacing w:after="0"/>
      </w:pPr>
      <w:permStart w:id="1566987131" w:edGrp="everyone"/>
      <w:r w:rsidRPr="008159EE">
        <w:t>As already addressed in our response</w:t>
      </w:r>
      <w:r w:rsidR="0075211B" w:rsidRPr="008159EE">
        <w:t>s</w:t>
      </w:r>
      <w:r w:rsidRPr="008159EE">
        <w:t xml:space="preserve"> to Q</w:t>
      </w:r>
      <w:r w:rsidR="004575A4" w:rsidRPr="008159EE">
        <w:t>1</w:t>
      </w:r>
      <w:r w:rsidR="00E734B2" w:rsidRPr="008159EE">
        <w:t xml:space="preserve"> and Q16</w:t>
      </w:r>
      <w:r w:rsidRPr="008159EE">
        <w:t xml:space="preserve"> above we do not see</w:t>
      </w:r>
      <w:r w:rsidR="0078235D" w:rsidRPr="008159EE">
        <w:t xml:space="preserve"> a</w:t>
      </w:r>
      <w:r w:rsidRPr="008159EE">
        <w:t xml:space="preserve"> need for reporting on the operational conditions</w:t>
      </w:r>
      <w:r w:rsidR="00E734B2" w:rsidRPr="008159EE">
        <w:t>, especially</w:t>
      </w:r>
      <w:r w:rsidRPr="008159EE">
        <w:t xml:space="preserve"> </w:t>
      </w:r>
      <w:r w:rsidR="00E734B2" w:rsidRPr="008159EE">
        <w:t xml:space="preserve">not </w:t>
      </w:r>
      <w:r w:rsidRPr="008159EE">
        <w:t xml:space="preserve">with the </w:t>
      </w:r>
      <w:r w:rsidR="004575A4" w:rsidRPr="008159EE">
        <w:t xml:space="preserve">proposed </w:t>
      </w:r>
      <w:r w:rsidRPr="008159EE">
        <w:t xml:space="preserve">level of detail. </w:t>
      </w:r>
      <w:proofErr w:type="gramStart"/>
      <w:r w:rsidRPr="008159EE">
        <w:t>In particular, we</w:t>
      </w:r>
      <w:proofErr w:type="gramEnd"/>
      <w:r w:rsidRPr="008159EE">
        <w:t xml:space="preserve"> do not see any need for reporting</w:t>
      </w:r>
      <w:r w:rsidR="0078235D" w:rsidRPr="008159EE">
        <w:t xml:space="preserve"> information </w:t>
      </w:r>
      <w:r w:rsidRPr="008159EE">
        <w:t xml:space="preserve">on </w:t>
      </w:r>
      <w:r w:rsidR="004575A4" w:rsidRPr="008159EE">
        <w:t xml:space="preserve">margin activity and </w:t>
      </w:r>
      <w:r w:rsidRPr="008159EE">
        <w:t>the collateral</w:t>
      </w:r>
      <w:r w:rsidR="0078235D" w:rsidRPr="008159EE">
        <w:t>isation</w:t>
      </w:r>
      <w:r w:rsidRPr="008159EE">
        <w:t xml:space="preserve"> set-up or any</w:t>
      </w:r>
      <w:r w:rsidR="004575A4" w:rsidRPr="008159EE">
        <w:t xml:space="preserve"> other</w:t>
      </w:r>
      <w:r w:rsidR="008919AF" w:rsidRPr="008159EE">
        <w:t xml:space="preserve"> transaction related</w:t>
      </w:r>
      <w:r w:rsidR="004575A4" w:rsidRPr="008159EE">
        <w:t xml:space="preserve"> </w:t>
      </w:r>
      <w:r w:rsidRPr="008159EE">
        <w:t xml:space="preserve">information which can be </w:t>
      </w:r>
      <w:r w:rsidR="00540404">
        <w:t>obtained</w:t>
      </w:r>
      <w:r w:rsidRPr="008159EE">
        <w:t xml:space="preserve"> from TR- reports. </w:t>
      </w:r>
    </w:p>
    <w:p w14:paraId="2EF7016F" w14:textId="77777777" w:rsidR="0078235D" w:rsidRPr="008159EE" w:rsidRDefault="0078235D" w:rsidP="006B5DF1">
      <w:pPr>
        <w:spacing w:after="0"/>
      </w:pPr>
    </w:p>
    <w:p w14:paraId="64CDEFFF" w14:textId="047BE639" w:rsidR="00BB1FBF" w:rsidRPr="008159EE" w:rsidRDefault="005A1746" w:rsidP="006B5DF1">
      <w:pPr>
        <w:spacing w:after="0"/>
      </w:pPr>
      <w:r w:rsidRPr="008159EE">
        <w:t>We further refer to our comments in our response to Q2 regarding the fact that the functionality and activen</w:t>
      </w:r>
      <w:r w:rsidR="0078235D" w:rsidRPr="008159EE">
        <w:t>e</w:t>
      </w:r>
      <w:r w:rsidRPr="008159EE">
        <w:t>ss of a clearing account is conclusively demonstr</w:t>
      </w:r>
      <w:r w:rsidR="0078235D" w:rsidRPr="008159EE">
        <w:t>at</w:t>
      </w:r>
      <w:r w:rsidRPr="008159EE">
        <w:t>ed via the TR</w:t>
      </w:r>
      <w:r w:rsidR="0078235D" w:rsidRPr="008159EE">
        <w:t>-</w:t>
      </w:r>
      <w:r w:rsidRPr="008159EE">
        <w:t>reports and the CCP</w:t>
      </w:r>
      <w:r w:rsidR="008159EE">
        <w:t>-</w:t>
      </w:r>
      <w:r w:rsidR="00324A6B" w:rsidRPr="008159EE">
        <w:t>statements/confirmations</w:t>
      </w:r>
      <w:r w:rsidRPr="008159EE">
        <w:t>.</w:t>
      </w:r>
    </w:p>
    <w:permEnd w:id="1566987131"/>
    <w:p w14:paraId="3AD2704A" w14:textId="59F69C10" w:rsidR="006B5DF1" w:rsidRPr="008159EE" w:rsidRDefault="006B5DF1" w:rsidP="006B5DF1">
      <w:pPr>
        <w:spacing w:after="0"/>
      </w:pPr>
      <w:r w:rsidRPr="008159EE">
        <w:t>&lt;ESMA_QUESTION_</w:t>
      </w:r>
      <w:r w:rsidR="004E60D2" w:rsidRPr="008159EE">
        <w:t>AAR</w:t>
      </w:r>
      <w:r w:rsidRPr="008159EE">
        <w:t>_</w:t>
      </w:r>
      <w:r w:rsidR="003E7313" w:rsidRPr="008159EE">
        <w:t>19</w:t>
      </w:r>
      <w:r w:rsidRPr="008159EE">
        <w:t>&gt;</w:t>
      </w:r>
    </w:p>
    <w:p w14:paraId="11145135" w14:textId="77777777" w:rsidR="006B5DF1" w:rsidRPr="008159EE" w:rsidRDefault="006B5DF1" w:rsidP="006B5DF1"/>
    <w:p w14:paraId="4B8A085F" w14:textId="77777777" w:rsidR="001B4160" w:rsidRPr="008159EE" w:rsidRDefault="001B4160" w:rsidP="006B5DF1"/>
    <w:p w14:paraId="7F993E5C" w14:textId="684D1FEB" w:rsidR="006B5DF1" w:rsidRPr="008159EE" w:rsidRDefault="001B4160">
      <w:pPr>
        <w:pStyle w:val="Questionstyle"/>
      </w:pPr>
      <w:r w:rsidRPr="008159EE">
        <w:t>Do you agree with the proposed approach for the reporting of the representativeness obligation?</w:t>
      </w:r>
    </w:p>
    <w:p w14:paraId="14DD3DA5" w14:textId="77777777" w:rsidR="001B4160" w:rsidRPr="008159EE" w:rsidRDefault="001B4160" w:rsidP="001B4160"/>
    <w:p w14:paraId="2DE9D9DE" w14:textId="0A700DF5" w:rsidR="006B5DF1" w:rsidRPr="008159EE" w:rsidRDefault="006B5DF1" w:rsidP="006B5DF1">
      <w:pPr>
        <w:spacing w:after="0"/>
      </w:pPr>
      <w:r w:rsidRPr="008159EE">
        <w:t>&lt;ESMA_QUESTION_</w:t>
      </w:r>
      <w:r w:rsidR="004E60D2" w:rsidRPr="008159EE">
        <w:t>AAR</w:t>
      </w:r>
      <w:r w:rsidRPr="008159EE">
        <w:t>_</w:t>
      </w:r>
      <w:r w:rsidR="003E7313" w:rsidRPr="008159EE">
        <w:t>20</w:t>
      </w:r>
      <w:r w:rsidRPr="008159EE">
        <w:t>&gt;</w:t>
      </w:r>
    </w:p>
    <w:p w14:paraId="6BC0AE82" w14:textId="640D6CE1" w:rsidR="00816F5B" w:rsidRPr="008159EE" w:rsidRDefault="0078235D" w:rsidP="0075211B">
      <w:pPr>
        <w:spacing w:after="0"/>
      </w:pPr>
      <w:permStart w:id="1381705258" w:edGrp="everyone"/>
      <w:r w:rsidRPr="008159EE">
        <w:lastRenderedPageBreak/>
        <w:t xml:space="preserve"> See our response</w:t>
      </w:r>
      <w:r w:rsidR="0075211B" w:rsidRPr="008159EE">
        <w:t>s</w:t>
      </w:r>
      <w:r w:rsidRPr="008159EE">
        <w:t xml:space="preserve"> to </w:t>
      </w:r>
      <w:r w:rsidR="0075211B" w:rsidRPr="008159EE">
        <w:t xml:space="preserve">Q16 and </w:t>
      </w:r>
      <w:r w:rsidRPr="008159EE">
        <w:t>Q19.</w:t>
      </w:r>
      <w:r w:rsidR="00816F5B" w:rsidRPr="008159EE">
        <w:t xml:space="preserve"> </w:t>
      </w:r>
    </w:p>
    <w:permEnd w:id="1381705258"/>
    <w:p w14:paraId="693695D5" w14:textId="73531578" w:rsidR="006B5DF1" w:rsidRPr="008159EE" w:rsidRDefault="006B5DF1" w:rsidP="006B5DF1">
      <w:pPr>
        <w:spacing w:after="0"/>
      </w:pPr>
      <w:r w:rsidRPr="008159EE">
        <w:t>&lt;ESMA_QUESTION_</w:t>
      </w:r>
      <w:r w:rsidR="004E60D2" w:rsidRPr="008159EE">
        <w:t>AAR</w:t>
      </w:r>
      <w:r w:rsidRPr="008159EE">
        <w:t>_</w:t>
      </w:r>
      <w:r w:rsidR="003E7313" w:rsidRPr="008159EE">
        <w:t>20</w:t>
      </w:r>
      <w:r w:rsidRPr="008159EE">
        <w:t>&gt;</w:t>
      </w:r>
    </w:p>
    <w:p w14:paraId="00D929F2" w14:textId="77777777" w:rsidR="006B5DF1" w:rsidRPr="008159EE" w:rsidRDefault="006B5DF1" w:rsidP="006B5DF1"/>
    <w:p w14:paraId="6D0715F2" w14:textId="77777777" w:rsidR="001B4160" w:rsidRPr="008159EE" w:rsidRDefault="001B4160" w:rsidP="006B5DF1"/>
    <w:p w14:paraId="4BCB5EF3" w14:textId="3A3FF045" w:rsidR="006B5DF1" w:rsidRPr="008159EE" w:rsidRDefault="001B4160">
      <w:pPr>
        <w:pStyle w:val="Questionstyle"/>
      </w:pPr>
      <w:r w:rsidRPr="008159EE">
        <w:t>Do you agree with the proposed approach to standardise the reporting arrangements under the active account requirement?</w:t>
      </w:r>
    </w:p>
    <w:p w14:paraId="60E0BB54" w14:textId="77777777" w:rsidR="001B4160" w:rsidRPr="008159EE" w:rsidRDefault="001B4160" w:rsidP="001B4160"/>
    <w:p w14:paraId="30A46B82" w14:textId="1B851A34" w:rsidR="006B5DF1" w:rsidRPr="008159EE" w:rsidRDefault="006B5DF1" w:rsidP="006B5DF1">
      <w:pPr>
        <w:spacing w:after="0"/>
      </w:pPr>
      <w:r w:rsidRPr="008159EE">
        <w:t>&lt;ESMA_QUESTION_</w:t>
      </w:r>
      <w:r w:rsidR="004E60D2" w:rsidRPr="008159EE">
        <w:t>AAR</w:t>
      </w:r>
      <w:r w:rsidRPr="008159EE">
        <w:t>_</w:t>
      </w:r>
      <w:r w:rsidR="003E7313" w:rsidRPr="008159EE">
        <w:t>21</w:t>
      </w:r>
      <w:r w:rsidRPr="008159EE">
        <w:t>&gt;</w:t>
      </w:r>
    </w:p>
    <w:p w14:paraId="2EBD2BFA" w14:textId="0645B311" w:rsidR="006B5DF1" w:rsidRPr="008159EE" w:rsidRDefault="0075211B" w:rsidP="006B5DF1">
      <w:pPr>
        <w:spacing w:after="0"/>
      </w:pPr>
      <w:permStart w:id="2065267156" w:edGrp="everyone"/>
      <w:r w:rsidRPr="008159EE">
        <w:t>As to our general concerns regarding the establishment of an additional, comprehensive AAR-reporting regime in parallel to the already existing EMIR reporting framework, s</w:t>
      </w:r>
      <w:r w:rsidR="0078235D" w:rsidRPr="008159EE">
        <w:t>ee our response</w:t>
      </w:r>
      <w:r w:rsidRPr="008159EE">
        <w:t>s</w:t>
      </w:r>
      <w:r w:rsidR="0078235D" w:rsidRPr="008159EE">
        <w:t xml:space="preserve"> to Q</w:t>
      </w:r>
      <w:r w:rsidR="004575A4" w:rsidRPr="008159EE">
        <w:t>1, Q</w:t>
      </w:r>
      <w:r w:rsidR="00E734B2" w:rsidRPr="008159EE">
        <w:t xml:space="preserve">16, </w:t>
      </w:r>
      <w:r w:rsidR="004575A4" w:rsidRPr="008159EE">
        <w:t>Q</w:t>
      </w:r>
      <w:r w:rsidR="0078235D" w:rsidRPr="008159EE">
        <w:t>19.</w:t>
      </w:r>
    </w:p>
    <w:p w14:paraId="3C83B3CF" w14:textId="77777777" w:rsidR="0075211B" w:rsidRPr="008159EE" w:rsidRDefault="0075211B" w:rsidP="006B5DF1">
      <w:pPr>
        <w:spacing w:after="0"/>
      </w:pPr>
    </w:p>
    <w:p w14:paraId="7E196BC2" w14:textId="77777777" w:rsidR="0075211B" w:rsidRPr="008159EE" w:rsidRDefault="0075211B" w:rsidP="0075211B">
      <w:pPr>
        <w:spacing w:after="0"/>
      </w:pPr>
      <w:r w:rsidRPr="008159EE">
        <w:t>If and to the extent a new/parallel AAR reporting flow is to be established, we believe that the formats should indeed be standardised by means of ESMA guidelines in the interest of consistency and efficiency.</w:t>
      </w:r>
    </w:p>
    <w:p w14:paraId="3047E05F" w14:textId="77777777" w:rsidR="0075211B" w:rsidRPr="008159EE" w:rsidRDefault="0075211B" w:rsidP="0075211B">
      <w:pPr>
        <w:spacing w:after="0"/>
      </w:pPr>
    </w:p>
    <w:p w14:paraId="50776FC2" w14:textId="4096DA9B" w:rsidR="0075211B" w:rsidRPr="008159EE" w:rsidRDefault="0075211B" w:rsidP="0075211B">
      <w:pPr>
        <w:spacing w:after="0"/>
      </w:pPr>
      <w:r w:rsidRPr="008159EE">
        <w:t>Reporting (to the extent required) can and should only commence when these standards/ are set and subject to a sufficiently long preparatory implementation phase in advance of the start date</w:t>
      </w:r>
      <w:r w:rsidR="008159EE">
        <w:t xml:space="preserve">. </w:t>
      </w:r>
      <w:r w:rsidRPr="008159EE">
        <w:t>The address</w:t>
      </w:r>
      <w:r w:rsidR="00BE6FCF" w:rsidRPr="008159EE">
        <w:t>e</w:t>
      </w:r>
      <w:r w:rsidRPr="008159EE">
        <w:t>es of the AAR obligations and any related reporting requirements should</w:t>
      </w:r>
      <w:proofErr w:type="gramStart"/>
      <w:r w:rsidRPr="008159EE">
        <w:t>, in particular, not</w:t>
      </w:r>
      <w:proofErr w:type="gramEnd"/>
      <w:r w:rsidRPr="008159EE">
        <w:t xml:space="preserve"> be expected to establish any preliminary individual reporting processes which then shortly thereafter would have to be replaced by / adapted to the ESMA standards.</w:t>
      </w:r>
    </w:p>
    <w:p w14:paraId="110737C0" w14:textId="77777777" w:rsidR="0075211B" w:rsidRPr="008159EE" w:rsidRDefault="0075211B" w:rsidP="0075211B">
      <w:pPr>
        <w:spacing w:after="0"/>
      </w:pPr>
    </w:p>
    <w:p w14:paraId="5CF28528" w14:textId="77777777" w:rsidR="0075211B" w:rsidRPr="008159EE" w:rsidRDefault="0075211B" w:rsidP="0075211B">
      <w:pPr>
        <w:spacing w:after="0"/>
      </w:pPr>
      <w:r w:rsidRPr="008159EE">
        <w:t>As to the reporting dates and related details, we believe that the following should be considered:</w:t>
      </w:r>
    </w:p>
    <w:p w14:paraId="5EEB4983" w14:textId="40FE7C9D" w:rsidR="0075211B" w:rsidRPr="008159EE" w:rsidRDefault="0075211B" w:rsidP="0075211B">
      <w:pPr>
        <w:pStyle w:val="Listenabsatz"/>
        <w:numPr>
          <w:ilvl w:val="0"/>
          <w:numId w:val="40"/>
        </w:numPr>
        <w:spacing w:after="0"/>
      </w:pPr>
      <w:r w:rsidRPr="008159EE">
        <w:t>The reporting dates for the semi-annual reports should be as flexible as possible. In particular,</w:t>
      </w:r>
      <w:r w:rsidR="00BE6FCF" w:rsidRPr="008159EE">
        <w:t xml:space="preserve"> </w:t>
      </w:r>
      <w:r w:rsidRPr="008159EE">
        <w:t>it should be ensured that these do not fall on or are too close to bank holidays. This could be resolved by providing for reporting windows instead of setting specific dates.</w:t>
      </w:r>
    </w:p>
    <w:p w14:paraId="3FE44A98" w14:textId="77777777" w:rsidR="008D2E3D" w:rsidRPr="008159EE" w:rsidRDefault="0075211B" w:rsidP="0075211B">
      <w:pPr>
        <w:pStyle w:val="Listenabsatz"/>
        <w:numPr>
          <w:ilvl w:val="0"/>
          <w:numId w:val="40"/>
        </w:numPr>
        <w:spacing w:after="0"/>
      </w:pPr>
      <w:r w:rsidRPr="008159EE">
        <w:t>The period between the reporting date and end of the reference period the report relates to has to be long enough to allow the processing of the required data.</w:t>
      </w:r>
    </w:p>
    <w:p w14:paraId="2D9E12EA" w14:textId="77777777" w:rsidR="008D2E3D" w:rsidRPr="008159EE" w:rsidRDefault="0075211B" w:rsidP="0075211B">
      <w:pPr>
        <w:pStyle w:val="Listenabsatz"/>
        <w:numPr>
          <w:ilvl w:val="0"/>
          <w:numId w:val="40"/>
        </w:numPr>
        <w:spacing w:after="0"/>
      </w:pPr>
      <w:r w:rsidRPr="008159EE">
        <w:t xml:space="preserve">The reporting window (or dates) and relevant reference periods should be aligned with the relevant calculation periods under the draft RTS and EMIR 3.0. </w:t>
      </w:r>
    </w:p>
    <w:p w14:paraId="50A4CD86" w14:textId="24485CB9" w:rsidR="0075211B" w:rsidRPr="008159EE" w:rsidRDefault="0075211B" w:rsidP="0075211B">
      <w:pPr>
        <w:pStyle w:val="Listenabsatz"/>
        <w:numPr>
          <w:ilvl w:val="0"/>
          <w:numId w:val="40"/>
        </w:numPr>
        <w:spacing w:after="0"/>
      </w:pPr>
      <w:r w:rsidRPr="008159EE">
        <w:t>The scope of semi-annual reports should be limited to the relevant preceding 6-month reference period</w:t>
      </w:r>
      <w:r w:rsidR="008D2E3D" w:rsidRPr="008159EE">
        <w:t>.</w:t>
      </w:r>
    </w:p>
    <w:permEnd w:id="2065267156"/>
    <w:p w14:paraId="2A4CCFD1" w14:textId="46580541" w:rsidR="006B5DF1" w:rsidRDefault="006B5DF1" w:rsidP="006B5DF1">
      <w:pPr>
        <w:spacing w:after="0"/>
      </w:pPr>
      <w:r w:rsidRPr="008159EE">
        <w:t>&lt;ESMA_QUESTION_</w:t>
      </w:r>
      <w:r w:rsidR="004E60D2" w:rsidRPr="008159EE">
        <w:t>AAR</w:t>
      </w:r>
      <w:r w:rsidRPr="008159EE">
        <w:t>_</w:t>
      </w:r>
      <w:r w:rsidR="003E7313" w:rsidRPr="008159EE">
        <w:t>21</w:t>
      </w:r>
      <w:r w:rsidRPr="008159EE">
        <w:t>&gt;</w:t>
      </w:r>
    </w:p>
    <w:bookmarkEnd w:id="9"/>
    <w:bookmarkEnd w:id="3"/>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4D59E" w14:textId="77777777" w:rsidR="007B5EBF" w:rsidRDefault="007B5EBF" w:rsidP="00F716D4">
      <w:r>
        <w:separator/>
      </w:r>
    </w:p>
    <w:p w14:paraId="5563E623" w14:textId="77777777" w:rsidR="007B5EBF" w:rsidRDefault="007B5EBF" w:rsidP="00F716D4"/>
  </w:endnote>
  <w:endnote w:type="continuationSeparator" w:id="0">
    <w:p w14:paraId="0A8A58D5" w14:textId="77777777" w:rsidR="007B5EBF" w:rsidRDefault="007B5EBF" w:rsidP="00F716D4">
      <w:r>
        <w:continuationSeparator/>
      </w:r>
    </w:p>
    <w:p w14:paraId="787EA730" w14:textId="77777777" w:rsidR="007B5EBF" w:rsidRDefault="007B5EBF" w:rsidP="00F716D4"/>
  </w:endnote>
  <w:endnote w:type="continuationNotice" w:id="1">
    <w:p w14:paraId="22F3D9FD" w14:textId="77777777" w:rsidR="007B5EBF" w:rsidRDefault="007B5EBF"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88C45" w14:textId="77777777" w:rsidR="007B5EBF" w:rsidRDefault="007B5EBF" w:rsidP="00F716D4">
      <w:r>
        <w:separator/>
      </w:r>
    </w:p>
    <w:p w14:paraId="432A2482" w14:textId="77777777" w:rsidR="007B5EBF" w:rsidRDefault="007B5EBF" w:rsidP="00F716D4"/>
  </w:footnote>
  <w:footnote w:type="continuationSeparator" w:id="0">
    <w:p w14:paraId="77220254" w14:textId="77777777" w:rsidR="007B5EBF" w:rsidRDefault="007B5EBF" w:rsidP="00F716D4">
      <w:r>
        <w:continuationSeparator/>
      </w:r>
    </w:p>
    <w:p w14:paraId="6EC03FC8" w14:textId="77777777" w:rsidR="007B5EBF" w:rsidRDefault="007B5EBF" w:rsidP="00F716D4"/>
  </w:footnote>
  <w:footnote w:type="continuationNotice" w:id="1">
    <w:p w14:paraId="3D8D2A00" w14:textId="77777777" w:rsidR="007B5EBF" w:rsidRDefault="007B5EBF"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BF1B" w14:textId="77777777"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95296442"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4E60D2">
      <w:rPr>
        <w:rStyle w:val="normaltextrun"/>
        <w:color w:val="001B4F"/>
        <w:sz w:val="16"/>
        <w:szCs w:val="16"/>
        <w:shd w:val="clear" w:color="auto" w:fill="FFFFFF"/>
      </w:rPr>
      <w:t>20 November 2024</w:t>
    </w:r>
  </w:p>
  <w:p w14:paraId="5AC1769D" w14:textId="369C96D5" w:rsidR="004E60D2" w:rsidRDefault="004E60D2" w:rsidP="000710C1">
    <w:pPr>
      <w:jc w:val="right"/>
    </w:pPr>
    <w:r>
      <w:rPr>
        <w:rStyle w:val="normaltextrun"/>
        <w:color w:val="001B4F"/>
        <w:sz w:val="16"/>
        <w:szCs w:val="16"/>
        <w:shd w:val="clear" w:color="auto" w:fill="FFFFFF"/>
      </w:rPr>
      <w:t>ESMA</w:t>
    </w:r>
    <w:r w:rsidR="000710C1" w:rsidRPr="000710C1">
      <w:rPr>
        <w:rStyle w:val="normaltextrun"/>
        <w:color w:val="001B4F"/>
        <w:sz w:val="16"/>
        <w:szCs w:val="16"/>
        <w:shd w:val="clear" w:color="auto" w:fill="FFFFFF"/>
      </w:rPr>
      <w:t>91-1505572268-3964</w:t>
    </w:r>
  </w:p>
  <w:p w14:paraId="4AF05B1F" w14:textId="77777777" w:rsidR="004E60D2" w:rsidRDefault="004E60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697986350"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B30CFA"/>
    <w:multiLevelType w:val="hybridMultilevel"/>
    <w:tmpl w:val="80244B14"/>
    <w:lvl w:ilvl="0" w:tplc="BD9A6998">
      <w:start w:val="2"/>
      <w:numFmt w:val="bullet"/>
      <w:lvlText w:val="-"/>
      <w:lvlJc w:val="left"/>
      <w:pPr>
        <w:ind w:left="720" w:hanging="360"/>
      </w:pPr>
      <w:rPr>
        <w:rFonts w:ascii="Arial" w:eastAsiaTheme="min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E95A2F"/>
    <w:multiLevelType w:val="hybridMultilevel"/>
    <w:tmpl w:val="A364CFA6"/>
    <w:lvl w:ilvl="0" w:tplc="4E403D8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FA81863"/>
    <w:multiLevelType w:val="hybridMultilevel"/>
    <w:tmpl w:val="A03ED1EC"/>
    <w:lvl w:ilvl="0" w:tplc="888CEDB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66D4DD3"/>
    <w:multiLevelType w:val="hybridMultilevel"/>
    <w:tmpl w:val="8EBADD60"/>
    <w:lvl w:ilvl="0" w:tplc="981A8D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4" w15:restartNumberingAfterBreak="0">
    <w:nsid w:val="682C34EE"/>
    <w:multiLevelType w:val="hybridMultilevel"/>
    <w:tmpl w:val="86F01C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937D22"/>
    <w:multiLevelType w:val="hybridMultilevel"/>
    <w:tmpl w:val="35B23D7C"/>
    <w:lvl w:ilvl="0" w:tplc="56020A02">
      <w:start w:val="1"/>
      <w:numFmt w:val="decimal"/>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2" w15:restartNumberingAfterBreak="0">
    <w:nsid w:val="7FEF56C0"/>
    <w:multiLevelType w:val="hybridMultilevel"/>
    <w:tmpl w:val="3CD65192"/>
    <w:lvl w:ilvl="0" w:tplc="E674947E">
      <w:start w:val="1"/>
      <w:numFmt w:val="decimal"/>
      <w:pStyle w:val="berschrift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6"/>
  </w:num>
  <w:num w:numId="2" w16cid:durableId="1769932826">
    <w:abstractNumId w:val="19"/>
  </w:num>
  <w:num w:numId="3" w16cid:durableId="550074866">
    <w:abstractNumId w:val="11"/>
  </w:num>
  <w:num w:numId="4" w16cid:durableId="1881627233">
    <w:abstractNumId w:val="25"/>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3"/>
  </w:num>
  <w:num w:numId="9" w16cid:durableId="1008846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9"/>
  </w:num>
  <w:num w:numId="12" w16cid:durableId="1500659627">
    <w:abstractNumId w:val="32"/>
  </w:num>
  <w:num w:numId="13" w16cid:durableId="1879658227">
    <w:abstractNumId w:val="23"/>
  </w:num>
  <w:num w:numId="14" w16cid:durableId="1495758855">
    <w:abstractNumId w:val="10"/>
  </w:num>
  <w:num w:numId="15" w16cid:durableId="1186556611">
    <w:abstractNumId w:val="1"/>
  </w:num>
  <w:num w:numId="16" w16cid:durableId="679087124">
    <w:abstractNumId w:val="14"/>
  </w:num>
  <w:num w:numId="17" w16cid:durableId="1695498691">
    <w:abstractNumId w:val="15"/>
  </w:num>
  <w:num w:numId="18" w16cid:durableId="1042363640">
    <w:abstractNumId w:val="17"/>
  </w:num>
  <w:num w:numId="19" w16cid:durableId="820345968">
    <w:abstractNumId w:val="28"/>
  </w:num>
  <w:num w:numId="20" w16cid:durableId="1805388212">
    <w:abstractNumId w:val="38"/>
  </w:num>
  <w:num w:numId="21" w16cid:durableId="538709007">
    <w:abstractNumId w:val="26"/>
  </w:num>
  <w:num w:numId="22" w16cid:durableId="104540172">
    <w:abstractNumId w:val="9"/>
  </w:num>
  <w:num w:numId="23" w16cid:durableId="1824349076">
    <w:abstractNumId w:val="31"/>
  </w:num>
  <w:num w:numId="24" w16cid:durableId="672032853">
    <w:abstractNumId w:val="30"/>
  </w:num>
  <w:num w:numId="25" w16cid:durableId="48917541">
    <w:abstractNumId w:val="20"/>
  </w:num>
  <w:num w:numId="26" w16cid:durableId="978925443">
    <w:abstractNumId w:val="35"/>
  </w:num>
  <w:num w:numId="27" w16cid:durableId="1036613928">
    <w:abstractNumId w:val="41"/>
  </w:num>
  <w:num w:numId="28" w16cid:durableId="872039349">
    <w:abstractNumId w:val="7"/>
  </w:num>
  <w:num w:numId="29" w16cid:durableId="924530660">
    <w:abstractNumId w:val="3"/>
  </w:num>
  <w:num w:numId="30" w16cid:durableId="419180233">
    <w:abstractNumId w:val="22"/>
  </w:num>
  <w:num w:numId="31" w16cid:durableId="276761337">
    <w:abstractNumId w:val="21"/>
  </w:num>
  <w:num w:numId="32" w16cid:durableId="1166238383">
    <w:abstractNumId w:val="37"/>
  </w:num>
  <w:num w:numId="33" w16cid:durableId="2076850202">
    <w:abstractNumId w:val="36"/>
  </w:num>
  <w:num w:numId="34" w16cid:durableId="469176496">
    <w:abstractNumId w:val="12"/>
  </w:num>
  <w:num w:numId="35" w16cid:durableId="674843309">
    <w:abstractNumId w:val="18"/>
  </w:num>
  <w:num w:numId="36" w16cid:durableId="1954971501">
    <w:abstractNumId w:val="42"/>
  </w:num>
  <w:num w:numId="37" w16cid:durableId="1049114598">
    <w:abstractNumId w:val="34"/>
  </w:num>
  <w:num w:numId="38" w16cid:durableId="177624001">
    <w:abstractNumId w:val="27"/>
  </w:num>
  <w:num w:numId="39" w16cid:durableId="1183856954">
    <w:abstractNumId w:val="39"/>
  </w:num>
  <w:num w:numId="40" w16cid:durableId="688413494">
    <w:abstractNumId w:val="2"/>
  </w:num>
  <w:num w:numId="41" w16cid:durableId="139351087">
    <w:abstractNumId w:val="24"/>
  </w:num>
  <w:num w:numId="42" w16cid:durableId="1630937674">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37020"/>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4EB8"/>
    <w:rsid w:val="00055BDD"/>
    <w:rsid w:val="000569D7"/>
    <w:rsid w:val="000576D7"/>
    <w:rsid w:val="00060F72"/>
    <w:rsid w:val="000616E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5433"/>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56D3"/>
    <w:rsid w:val="001072DD"/>
    <w:rsid w:val="001101E8"/>
    <w:rsid w:val="00110D7A"/>
    <w:rsid w:val="001112FB"/>
    <w:rsid w:val="00111464"/>
    <w:rsid w:val="0011167D"/>
    <w:rsid w:val="00112892"/>
    <w:rsid w:val="00112E48"/>
    <w:rsid w:val="001130EA"/>
    <w:rsid w:val="001138E8"/>
    <w:rsid w:val="00113E4B"/>
    <w:rsid w:val="00114259"/>
    <w:rsid w:val="001168B2"/>
    <w:rsid w:val="00117C20"/>
    <w:rsid w:val="00120F0E"/>
    <w:rsid w:val="00121A5D"/>
    <w:rsid w:val="00121BED"/>
    <w:rsid w:val="00123D39"/>
    <w:rsid w:val="00123E08"/>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99F"/>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64A"/>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2BE"/>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53F"/>
    <w:rsid w:val="001F3996"/>
    <w:rsid w:val="001F3FBA"/>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4E2A"/>
    <w:rsid w:val="002551A4"/>
    <w:rsid w:val="002559F3"/>
    <w:rsid w:val="00256DFE"/>
    <w:rsid w:val="00257D6F"/>
    <w:rsid w:val="00261D56"/>
    <w:rsid w:val="00261FD3"/>
    <w:rsid w:val="00263505"/>
    <w:rsid w:val="00264077"/>
    <w:rsid w:val="00266B9A"/>
    <w:rsid w:val="0027067C"/>
    <w:rsid w:val="00270E54"/>
    <w:rsid w:val="00273633"/>
    <w:rsid w:val="00273681"/>
    <w:rsid w:val="00275176"/>
    <w:rsid w:val="002754B5"/>
    <w:rsid w:val="00275A6D"/>
    <w:rsid w:val="002764C5"/>
    <w:rsid w:val="00276A5A"/>
    <w:rsid w:val="00276AB7"/>
    <w:rsid w:val="002772AE"/>
    <w:rsid w:val="00280613"/>
    <w:rsid w:val="002819C4"/>
    <w:rsid w:val="00281ED0"/>
    <w:rsid w:val="0028274D"/>
    <w:rsid w:val="00282B96"/>
    <w:rsid w:val="002833D6"/>
    <w:rsid w:val="00283F51"/>
    <w:rsid w:val="00286064"/>
    <w:rsid w:val="002866A4"/>
    <w:rsid w:val="002867B1"/>
    <w:rsid w:val="002868FC"/>
    <w:rsid w:val="00287BBB"/>
    <w:rsid w:val="00287E3B"/>
    <w:rsid w:val="00290638"/>
    <w:rsid w:val="00291763"/>
    <w:rsid w:val="00291D80"/>
    <w:rsid w:val="00292E82"/>
    <w:rsid w:val="00293156"/>
    <w:rsid w:val="00293BE7"/>
    <w:rsid w:val="00293D78"/>
    <w:rsid w:val="002946DC"/>
    <w:rsid w:val="0029493B"/>
    <w:rsid w:val="002A0049"/>
    <w:rsid w:val="002A0C82"/>
    <w:rsid w:val="002A0CD8"/>
    <w:rsid w:val="002A13EB"/>
    <w:rsid w:val="002A35EF"/>
    <w:rsid w:val="002A3DE0"/>
    <w:rsid w:val="002A40EA"/>
    <w:rsid w:val="002A41CA"/>
    <w:rsid w:val="002A46E8"/>
    <w:rsid w:val="002A491C"/>
    <w:rsid w:val="002A4C8E"/>
    <w:rsid w:val="002A5332"/>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3D77"/>
    <w:rsid w:val="00304A71"/>
    <w:rsid w:val="003057A4"/>
    <w:rsid w:val="003066C8"/>
    <w:rsid w:val="0030677E"/>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A6B"/>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97127"/>
    <w:rsid w:val="003A32A3"/>
    <w:rsid w:val="003A51C5"/>
    <w:rsid w:val="003A5A73"/>
    <w:rsid w:val="003A5DAC"/>
    <w:rsid w:val="003A6591"/>
    <w:rsid w:val="003A6E9A"/>
    <w:rsid w:val="003B08C8"/>
    <w:rsid w:val="003B1688"/>
    <w:rsid w:val="003B2567"/>
    <w:rsid w:val="003B2CD4"/>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0C28"/>
    <w:rsid w:val="00430F41"/>
    <w:rsid w:val="0043173B"/>
    <w:rsid w:val="00431B0A"/>
    <w:rsid w:val="00431DA4"/>
    <w:rsid w:val="00432A91"/>
    <w:rsid w:val="004332A4"/>
    <w:rsid w:val="004333BB"/>
    <w:rsid w:val="00433DB5"/>
    <w:rsid w:val="0043453F"/>
    <w:rsid w:val="00434A74"/>
    <w:rsid w:val="004350F4"/>
    <w:rsid w:val="00437929"/>
    <w:rsid w:val="00437A4A"/>
    <w:rsid w:val="00440541"/>
    <w:rsid w:val="004410D2"/>
    <w:rsid w:val="0044162D"/>
    <w:rsid w:val="0044277A"/>
    <w:rsid w:val="004434EF"/>
    <w:rsid w:val="004456DC"/>
    <w:rsid w:val="004463D2"/>
    <w:rsid w:val="004464CD"/>
    <w:rsid w:val="004479BE"/>
    <w:rsid w:val="00447FBE"/>
    <w:rsid w:val="0045021A"/>
    <w:rsid w:val="0045035E"/>
    <w:rsid w:val="0045175A"/>
    <w:rsid w:val="00451ED9"/>
    <w:rsid w:val="00452180"/>
    <w:rsid w:val="00453072"/>
    <w:rsid w:val="004539F8"/>
    <w:rsid w:val="00453F26"/>
    <w:rsid w:val="0045503F"/>
    <w:rsid w:val="00455273"/>
    <w:rsid w:val="004575A4"/>
    <w:rsid w:val="00460905"/>
    <w:rsid w:val="00461E35"/>
    <w:rsid w:val="004621DB"/>
    <w:rsid w:val="004634A7"/>
    <w:rsid w:val="00463787"/>
    <w:rsid w:val="00466926"/>
    <w:rsid w:val="00466FDA"/>
    <w:rsid w:val="004671D0"/>
    <w:rsid w:val="004674D1"/>
    <w:rsid w:val="00470773"/>
    <w:rsid w:val="004719E2"/>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955"/>
    <w:rsid w:val="00487A32"/>
    <w:rsid w:val="00487A91"/>
    <w:rsid w:val="004901E5"/>
    <w:rsid w:val="0049027D"/>
    <w:rsid w:val="004903D4"/>
    <w:rsid w:val="0049052B"/>
    <w:rsid w:val="00492457"/>
    <w:rsid w:val="004924A8"/>
    <w:rsid w:val="00492A7A"/>
    <w:rsid w:val="004934BA"/>
    <w:rsid w:val="004934E9"/>
    <w:rsid w:val="00494737"/>
    <w:rsid w:val="00494C9E"/>
    <w:rsid w:val="00494D5C"/>
    <w:rsid w:val="00495A6A"/>
    <w:rsid w:val="004964F6"/>
    <w:rsid w:val="00496821"/>
    <w:rsid w:val="00497750"/>
    <w:rsid w:val="00497B44"/>
    <w:rsid w:val="004A00E5"/>
    <w:rsid w:val="004A01A7"/>
    <w:rsid w:val="004A0D09"/>
    <w:rsid w:val="004A116E"/>
    <w:rsid w:val="004A31F6"/>
    <w:rsid w:val="004A357F"/>
    <w:rsid w:val="004A3DAD"/>
    <w:rsid w:val="004B0335"/>
    <w:rsid w:val="004B0F1C"/>
    <w:rsid w:val="004B1E61"/>
    <w:rsid w:val="004B205D"/>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68B"/>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1EAD"/>
    <w:rsid w:val="00522B01"/>
    <w:rsid w:val="00522F44"/>
    <w:rsid w:val="0052360A"/>
    <w:rsid w:val="005242BA"/>
    <w:rsid w:val="005243B8"/>
    <w:rsid w:val="005252DD"/>
    <w:rsid w:val="00530A8D"/>
    <w:rsid w:val="00531C6D"/>
    <w:rsid w:val="00532EF4"/>
    <w:rsid w:val="005347CE"/>
    <w:rsid w:val="00534B21"/>
    <w:rsid w:val="00535477"/>
    <w:rsid w:val="00535DEA"/>
    <w:rsid w:val="0053723A"/>
    <w:rsid w:val="00537636"/>
    <w:rsid w:val="00537B1D"/>
    <w:rsid w:val="00540191"/>
    <w:rsid w:val="00540404"/>
    <w:rsid w:val="00540A2A"/>
    <w:rsid w:val="00541F27"/>
    <w:rsid w:val="00542297"/>
    <w:rsid w:val="005424BC"/>
    <w:rsid w:val="00542A28"/>
    <w:rsid w:val="005441D4"/>
    <w:rsid w:val="0054672D"/>
    <w:rsid w:val="00550F4E"/>
    <w:rsid w:val="00551E98"/>
    <w:rsid w:val="0055283C"/>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309"/>
    <w:rsid w:val="00573569"/>
    <w:rsid w:val="00573871"/>
    <w:rsid w:val="0057389E"/>
    <w:rsid w:val="00574A6C"/>
    <w:rsid w:val="005765C0"/>
    <w:rsid w:val="005778DE"/>
    <w:rsid w:val="00580B3F"/>
    <w:rsid w:val="005825F2"/>
    <w:rsid w:val="0058344D"/>
    <w:rsid w:val="00583885"/>
    <w:rsid w:val="00585597"/>
    <w:rsid w:val="005860AF"/>
    <w:rsid w:val="00587F1D"/>
    <w:rsid w:val="00590348"/>
    <w:rsid w:val="00591161"/>
    <w:rsid w:val="00592318"/>
    <w:rsid w:val="00592959"/>
    <w:rsid w:val="00593133"/>
    <w:rsid w:val="0059409C"/>
    <w:rsid w:val="0059575D"/>
    <w:rsid w:val="00596825"/>
    <w:rsid w:val="005A06A0"/>
    <w:rsid w:val="005A150A"/>
    <w:rsid w:val="005A1746"/>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3762"/>
    <w:rsid w:val="005D4A86"/>
    <w:rsid w:val="005D4F78"/>
    <w:rsid w:val="005D57C5"/>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0EA"/>
    <w:rsid w:val="00616228"/>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57BE"/>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875DC"/>
    <w:rsid w:val="00690F0E"/>
    <w:rsid w:val="006911C0"/>
    <w:rsid w:val="00691B7C"/>
    <w:rsid w:val="00692ADF"/>
    <w:rsid w:val="00694B73"/>
    <w:rsid w:val="00694DF2"/>
    <w:rsid w:val="00695F80"/>
    <w:rsid w:val="006966CD"/>
    <w:rsid w:val="00696735"/>
    <w:rsid w:val="0069780E"/>
    <w:rsid w:val="006A0F47"/>
    <w:rsid w:val="006A2CA2"/>
    <w:rsid w:val="006B2D40"/>
    <w:rsid w:val="006B34DF"/>
    <w:rsid w:val="006B39B2"/>
    <w:rsid w:val="006B3AF9"/>
    <w:rsid w:val="006B45A0"/>
    <w:rsid w:val="006B5668"/>
    <w:rsid w:val="006B5DF1"/>
    <w:rsid w:val="006B5F71"/>
    <w:rsid w:val="006B6E44"/>
    <w:rsid w:val="006B7059"/>
    <w:rsid w:val="006B7287"/>
    <w:rsid w:val="006B7F2E"/>
    <w:rsid w:val="006C09BD"/>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278"/>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428F"/>
    <w:rsid w:val="0074509E"/>
    <w:rsid w:val="00745B9F"/>
    <w:rsid w:val="0074726F"/>
    <w:rsid w:val="0075211B"/>
    <w:rsid w:val="00752D4F"/>
    <w:rsid w:val="0075409F"/>
    <w:rsid w:val="0075525A"/>
    <w:rsid w:val="00755609"/>
    <w:rsid w:val="00755986"/>
    <w:rsid w:val="00755C86"/>
    <w:rsid w:val="00755E19"/>
    <w:rsid w:val="0075621E"/>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6492"/>
    <w:rsid w:val="00777046"/>
    <w:rsid w:val="007770DA"/>
    <w:rsid w:val="007805B9"/>
    <w:rsid w:val="00780C3A"/>
    <w:rsid w:val="0078235D"/>
    <w:rsid w:val="007834A1"/>
    <w:rsid w:val="00783839"/>
    <w:rsid w:val="00791EB4"/>
    <w:rsid w:val="007928F1"/>
    <w:rsid w:val="00792B19"/>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249"/>
    <w:rsid w:val="007B5EBF"/>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21"/>
    <w:rsid w:val="00805D9F"/>
    <w:rsid w:val="00807A4D"/>
    <w:rsid w:val="00807F30"/>
    <w:rsid w:val="008103DC"/>
    <w:rsid w:val="0081119F"/>
    <w:rsid w:val="0081134D"/>
    <w:rsid w:val="00811EDA"/>
    <w:rsid w:val="00812403"/>
    <w:rsid w:val="00812FD7"/>
    <w:rsid w:val="008159EE"/>
    <w:rsid w:val="00816F5B"/>
    <w:rsid w:val="00820623"/>
    <w:rsid w:val="00821747"/>
    <w:rsid w:val="008229A3"/>
    <w:rsid w:val="00822DFB"/>
    <w:rsid w:val="00822F64"/>
    <w:rsid w:val="00824A29"/>
    <w:rsid w:val="008253A6"/>
    <w:rsid w:val="008255D2"/>
    <w:rsid w:val="00825A6B"/>
    <w:rsid w:val="00825C50"/>
    <w:rsid w:val="00826577"/>
    <w:rsid w:val="00827439"/>
    <w:rsid w:val="00827C79"/>
    <w:rsid w:val="00827C9D"/>
    <w:rsid w:val="0083003F"/>
    <w:rsid w:val="00831077"/>
    <w:rsid w:val="00831A4A"/>
    <w:rsid w:val="00832134"/>
    <w:rsid w:val="0083219E"/>
    <w:rsid w:val="008324B3"/>
    <w:rsid w:val="0083392D"/>
    <w:rsid w:val="0083497C"/>
    <w:rsid w:val="008352A6"/>
    <w:rsid w:val="00835B5B"/>
    <w:rsid w:val="00835CC2"/>
    <w:rsid w:val="008367AE"/>
    <w:rsid w:val="00836E50"/>
    <w:rsid w:val="00840477"/>
    <w:rsid w:val="0084121D"/>
    <w:rsid w:val="008418E3"/>
    <w:rsid w:val="008419C1"/>
    <w:rsid w:val="00844515"/>
    <w:rsid w:val="0084465A"/>
    <w:rsid w:val="00844DFF"/>
    <w:rsid w:val="00845714"/>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9AF"/>
    <w:rsid w:val="008922E8"/>
    <w:rsid w:val="00893916"/>
    <w:rsid w:val="0089442C"/>
    <w:rsid w:val="00895818"/>
    <w:rsid w:val="00896BD1"/>
    <w:rsid w:val="008A2585"/>
    <w:rsid w:val="008A2718"/>
    <w:rsid w:val="008A4CF6"/>
    <w:rsid w:val="008A4E42"/>
    <w:rsid w:val="008A51AA"/>
    <w:rsid w:val="008A6A12"/>
    <w:rsid w:val="008B0DC6"/>
    <w:rsid w:val="008B2B9E"/>
    <w:rsid w:val="008B31F5"/>
    <w:rsid w:val="008B3798"/>
    <w:rsid w:val="008B4C79"/>
    <w:rsid w:val="008B5D2D"/>
    <w:rsid w:val="008B6361"/>
    <w:rsid w:val="008C0320"/>
    <w:rsid w:val="008C2A81"/>
    <w:rsid w:val="008C3863"/>
    <w:rsid w:val="008C3B6B"/>
    <w:rsid w:val="008C4BDC"/>
    <w:rsid w:val="008C50FF"/>
    <w:rsid w:val="008C5435"/>
    <w:rsid w:val="008C6BD1"/>
    <w:rsid w:val="008D2DB5"/>
    <w:rsid w:val="008D2E3D"/>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1E80"/>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84A"/>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18D1"/>
    <w:rsid w:val="00991DEF"/>
    <w:rsid w:val="009923E7"/>
    <w:rsid w:val="00992697"/>
    <w:rsid w:val="00992D4E"/>
    <w:rsid w:val="009934BB"/>
    <w:rsid w:val="00994621"/>
    <w:rsid w:val="009947FF"/>
    <w:rsid w:val="0099544B"/>
    <w:rsid w:val="009A07A6"/>
    <w:rsid w:val="009A0D56"/>
    <w:rsid w:val="009A31B9"/>
    <w:rsid w:val="009A3903"/>
    <w:rsid w:val="009A4D4F"/>
    <w:rsid w:val="009A51BB"/>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15B"/>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029B"/>
    <w:rsid w:val="00A91361"/>
    <w:rsid w:val="00A91682"/>
    <w:rsid w:val="00A92125"/>
    <w:rsid w:val="00A92E4A"/>
    <w:rsid w:val="00A958CA"/>
    <w:rsid w:val="00A966B6"/>
    <w:rsid w:val="00A96B46"/>
    <w:rsid w:val="00AA003B"/>
    <w:rsid w:val="00AA016B"/>
    <w:rsid w:val="00AA15DD"/>
    <w:rsid w:val="00AA1C09"/>
    <w:rsid w:val="00AA2F67"/>
    <w:rsid w:val="00AA3569"/>
    <w:rsid w:val="00AA3D7E"/>
    <w:rsid w:val="00AA5F4C"/>
    <w:rsid w:val="00AA615C"/>
    <w:rsid w:val="00AA6276"/>
    <w:rsid w:val="00AA6711"/>
    <w:rsid w:val="00AB2AEC"/>
    <w:rsid w:val="00AB2DC1"/>
    <w:rsid w:val="00AB3102"/>
    <w:rsid w:val="00AB3D9A"/>
    <w:rsid w:val="00AB4824"/>
    <w:rsid w:val="00AB4B1D"/>
    <w:rsid w:val="00AB5FAF"/>
    <w:rsid w:val="00AB6B5E"/>
    <w:rsid w:val="00AC047F"/>
    <w:rsid w:val="00AC0DB2"/>
    <w:rsid w:val="00AC0F93"/>
    <w:rsid w:val="00AC3934"/>
    <w:rsid w:val="00AC50C8"/>
    <w:rsid w:val="00AC5581"/>
    <w:rsid w:val="00AC56AD"/>
    <w:rsid w:val="00AC61BE"/>
    <w:rsid w:val="00AC7E8A"/>
    <w:rsid w:val="00AD0C8A"/>
    <w:rsid w:val="00AD0CB4"/>
    <w:rsid w:val="00AD1FF2"/>
    <w:rsid w:val="00AD25D2"/>
    <w:rsid w:val="00AD2A21"/>
    <w:rsid w:val="00AD30E2"/>
    <w:rsid w:val="00AD3B43"/>
    <w:rsid w:val="00AD4FF2"/>
    <w:rsid w:val="00AD506C"/>
    <w:rsid w:val="00AD6BE5"/>
    <w:rsid w:val="00AD6D3A"/>
    <w:rsid w:val="00AD783E"/>
    <w:rsid w:val="00AD78A3"/>
    <w:rsid w:val="00AE1393"/>
    <w:rsid w:val="00AE2A0A"/>
    <w:rsid w:val="00AE3BC6"/>
    <w:rsid w:val="00AE4D4F"/>
    <w:rsid w:val="00AE627C"/>
    <w:rsid w:val="00AE62B0"/>
    <w:rsid w:val="00AE68A2"/>
    <w:rsid w:val="00AF0029"/>
    <w:rsid w:val="00AF0354"/>
    <w:rsid w:val="00AF1236"/>
    <w:rsid w:val="00AF32C7"/>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0D49"/>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444"/>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080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283"/>
    <w:rsid w:val="00B6439A"/>
    <w:rsid w:val="00B6443B"/>
    <w:rsid w:val="00B6517B"/>
    <w:rsid w:val="00B658A2"/>
    <w:rsid w:val="00B65CD4"/>
    <w:rsid w:val="00B65E71"/>
    <w:rsid w:val="00B66C26"/>
    <w:rsid w:val="00B67829"/>
    <w:rsid w:val="00B71FB3"/>
    <w:rsid w:val="00B73492"/>
    <w:rsid w:val="00B750D9"/>
    <w:rsid w:val="00B7512A"/>
    <w:rsid w:val="00B76548"/>
    <w:rsid w:val="00B76BED"/>
    <w:rsid w:val="00B7740F"/>
    <w:rsid w:val="00B806E6"/>
    <w:rsid w:val="00B82B4B"/>
    <w:rsid w:val="00B82DC1"/>
    <w:rsid w:val="00B835D5"/>
    <w:rsid w:val="00B84028"/>
    <w:rsid w:val="00B84307"/>
    <w:rsid w:val="00B8430D"/>
    <w:rsid w:val="00B85661"/>
    <w:rsid w:val="00B85C8A"/>
    <w:rsid w:val="00B86FBD"/>
    <w:rsid w:val="00B90C16"/>
    <w:rsid w:val="00B91B86"/>
    <w:rsid w:val="00B927CA"/>
    <w:rsid w:val="00B928AE"/>
    <w:rsid w:val="00B92998"/>
    <w:rsid w:val="00B93CDA"/>
    <w:rsid w:val="00B942E9"/>
    <w:rsid w:val="00B9433A"/>
    <w:rsid w:val="00B948EE"/>
    <w:rsid w:val="00B94BF3"/>
    <w:rsid w:val="00B94F90"/>
    <w:rsid w:val="00B95DC5"/>
    <w:rsid w:val="00B96E28"/>
    <w:rsid w:val="00B97E34"/>
    <w:rsid w:val="00B97FEF"/>
    <w:rsid w:val="00BA0EB2"/>
    <w:rsid w:val="00BA1354"/>
    <w:rsid w:val="00BA24F8"/>
    <w:rsid w:val="00BA31AA"/>
    <w:rsid w:val="00BA45D8"/>
    <w:rsid w:val="00BA5828"/>
    <w:rsid w:val="00BA64B3"/>
    <w:rsid w:val="00BA754A"/>
    <w:rsid w:val="00BA7820"/>
    <w:rsid w:val="00BA794C"/>
    <w:rsid w:val="00BB09FB"/>
    <w:rsid w:val="00BB1973"/>
    <w:rsid w:val="00BB1FBF"/>
    <w:rsid w:val="00BB238D"/>
    <w:rsid w:val="00BB37CC"/>
    <w:rsid w:val="00BB48C4"/>
    <w:rsid w:val="00BB6907"/>
    <w:rsid w:val="00BB7A20"/>
    <w:rsid w:val="00BC15B1"/>
    <w:rsid w:val="00BC3C06"/>
    <w:rsid w:val="00BC4E8B"/>
    <w:rsid w:val="00BC5262"/>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6FCF"/>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1D64"/>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2B20"/>
    <w:rsid w:val="00CA3584"/>
    <w:rsid w:val="00CA4452"/>
    <w:rsid w:val="00CA44F3"/>
    <w:rsid w:val="00CA503E"/>
    <w:rsid w:val="00CA582C"/>
    <w:rsid w:val="00CA6077"/>
    <w:rsid w:val="00CA715B"/>
    <w:rsid w:val="00CA7988"/>
    <w:rsid w:val="00CA7BA2"/>
    <w:rsid w:val="00CB0B78"/>
    <w:rsid w:val="00CB12A5"/>
    <w:rsid w:val="00CB15CD"/>
    <w:rsid w:val="00CB17FA"/>
    <w:rsid w:val="00CB23D8"/>
    <w:rsid w:val="00CB2ED9"/>
    <w:rsid w:val="00CB36A5"/>
    <w:rsid w:val="00CB56B4"/>
    <w:rsid w:val="00CB7286"/>
    <w:rsid w:val="00CB7947"/>
    <w:rsid w:val="00CC14C7"/>
    <w:rsid w:val="00CC1783"/>
    <w:rsid w:val="00CC3B46"/>
    <w:rsid w:val="00CC3D8B"/>
    <w:rsid w:val="00CC4E27"/>
    <w:rsid w:val="00CC570C"/>
    <w:rsid w:val="00CC582B"/>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0228"/>
    <w:rsid w:val="00CF18E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644"/>
    <w:rsid w:val="00D13AB0"/>
    <w:rsid w:val="00D1519E"/>
    <w:rsid w:val="00D152B7"/>
    <w:rsid w:val="00D16EDC"/>
    <w:rsid w:val="00D17FDE"/>
    <w:rsid w:val="00D201CB"/>
    <w:rsid w:val="00D22786"/>
    <w:rsid w:val="00D228B4"/>
    <w:rsid w:val="00D25AC4"/>
    <w:rsid w:val="00D305F6"/>
    <w:rsid w:val="00D30B25"/>
    <w:rsid w:val="00D3175A"/>
    <w:rsid w:val="00D317E1"/>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4E58"/>
    <w:rsid w:val="00D4556D"/>
    <w:rsid w:val="00D45BA5"/>
    <w:rsid w:val="00D477CA"/>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4825"/>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3B1"/>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39EB"/>
    <w:rsid w:val="00E04548"/>
    <w:rsid w:val="00E0484E"/>
    <w:rsid w:val="00E063F8"/>
    <w:rsid w:val="00E114D6"/>
    <w:rsid w:val="00E1166E"/>
    <w:rsid w:val="00E11DBD"/>
    <w:rsid w:val="00E13211"/>
    <w:rsid w:val="00E13BD0"/>
    <w:rsid w:val="00E16FB5"/>
    <w:rsid w:val="00E179D6"/>
    <w:rsid w:val="00E21407"/>
    <w:rsid w:val="00E22668"/>
    <w:rsid w:val="00E227D3"/>
    <w:rsid w:val="00E22BFF"/>
    <w:rsid w:val="00E22CB0"/>
    <w:rsid w:val="00E23798"/>
    <w:rsid w:val="00E2585D"/>
    <w:rsid w:val="00E25DBD"/>
    <w:rsid w:val="00E25F09"/>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4B2"/>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B6D50"/>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0919"/>
    <w:rsid w:val="00ED19D7"/>
    <w:rsid w:val="00ED2167"/>
    <w:rsid w:val="00ED2F98"/>
    <w:rsid w:val="00ED351E"/>
    <w:rsid w:val="00ED4B27"/>
    <w:rsid w:val="00ED543C"/>
    <w:rsid w:val="00ED5C40"/>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5758"/>
    <w:rsid w:val="00F377CD"/>
    <w:rsid w:val="00F403FA"/>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0EB"/>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3747"/>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6540"/>
    <w:rsid w:val="00FB7A97"/>
    <w:rsid w:val="00FC1601"/>
    <w:rsid w:val="00FC1B9B"/>
    <w:rsid w:val="00FC318D"/>
    <w:rsid w:val="00FC3212"/>
    <w:rsid w:val="00FC36CF"/>
    <w:rsid w:val="00FC40BC"/>
    <w:rsid w:val="00FC41FC"/>
    <w:rsid w:val="00FC4F6E"/>
    <w:rsid w:val="00FC506C"/>
    <w:rsid w:val="00FC578C"/>
    <w:rsid w:val="00FC597A"/>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0BDC"/>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2d4491,#283583"/>
    </o:shapedefaults>
    <o:shapelayout v:ext="edit">
      <o:idmap v:ext="edit" data="2"/>
    </o:shapelayout>
  </w:shapeDefaults>
  <w:decimalSymbol w:val=","/>
  <w:listSeparator w:val=";"/>
  <w14:docId w14:val="58C3B7DE"/>
  <w15:docId w15:val="{322E88FD-08B0-409A-A4C9-2990804D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75211B"/>
    <w:pPr>
      <w:spacing w:after="250" w:line="276" w:lineRule="auto"/>
      <w:jc w:val="both"/>
    </w:pPr>
    <w:rPr>
      <w:rFonts w:ascii="Arial" w:eastAsiaTheme="minorEastAsia" w:hAnsi="Arial" w:cs="Arial"/>
      <w:color w:val="1A1A1A" w:themeColor="background1" w:themeShade="1A"/>
      <w:sz w:val="22"/>
      <w:lang w:eastAsia="en-US"/>
    </w:rPr>
  </w:style>
  <w:style w:type="paragraph" w:styleId="berschrift1">
    <w:name w:val="heading 1"/>
    <w:basedOn w:val="Standard"/>
    <w:next w:val="Standard"/>
    <w:link w:val="berschrift1Zchn"/>
    <w:qFormat/>
    <w:locked/>
    <w:rsid w:val="00BB1973"/>
    <w:pPr>
      <w:keepNext/>
      <w:numPr>
        <w:numId w:val="36"/>
      </w:numPr>
      <w:spacing w:before="240" w:after="60" w:line="360" w:lineRule="auto"/>
      <w:outlineLvl w:val="0"/>
    </w:pPr>
    <w:rPr>
      <w:b/>
      <w:bCs/>
      <w:color w:val="00379F"/>
      <w:kern w:val="32"/>
      <w:sz w:val="28"/>
      <w:szCs w:val="28"/>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2"/>
      </w:numPr>
      <w:spacing w:before="200"/>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qFormat/>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style>
  <w:style w:type="character" w:customStyle="1" w:styleId="KommentartextZchn">
    <w:name w:val="Kommentartext Zchn"/>
    <w:link w:val="Kommentartext"/>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Normal Nivel 1,List Paragraph Main,List first level,List Paragraph_Sections"/>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styleId="Verzeichnis4">
    <w:name w:val="toc 4"/>
    <w:basedOn w:val="Standard"/>
    <w:next w:val="Standard"/>
    <w:autoRedefine/>
    <w:uiPriority w:val="39"/>
    <w:unhideWhenUsed/>
    <w:locked/>
    <w:rsid w:val="00F377CD"/>
    <w:pPr>
      <w:spacing w:after="100"/>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7"/>
      </w:numPr>
      <w:spacing w:after="240"/>
    </w:pPr>
    <w:rPr>
      <w:rFonts w:ascii="Times New Roman" w:hAnsi="Times New Roman"/>
      <w:sz w:val="24"/>
      <w:lang w:eastAsia="en-GB"/>
    </w:rPr>
  </w:style>
  <w:style w:type="character" w:customStyle="1" w:styleId="TextkrperZchn">
    <w:name w:val="Textkörper Zchn"/>
    <w:link w:val="Textkrper"/>
    <w:rsid w:val="00AA016B"/>
    <w:rPr>
      <w:rFonts w:eastAsiaTheme="minorEastAsia" w:cs="Arial"/>
      <w:color w:val="1A1A1A" w:themeColor="background1" w:themeShade="1A"/>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rFonts w:eastAsiaTheme="minorEastAsia" w:cs="Arial"/>
      <w:b/>
      <w:bCs/>
      <w:color w:val="1A1A1A" w:themeColor="background1" w:themeShade="1A"/>
      <w:sz w:val="22"/>
      <w:szCs w:val="22"/>
      <w:lang w:eastAsia="en-US"/>
    </w:rPr>
  </w:style>
  <w:style w:type="character" w:customStyle="1" w:styleId="berschrift8Zchn">
    <w:name w:val="Überschrift 8 Zchn"/>
    <w:link w:val="berschrift8"/>
    <w:rsid w:val="002D6E1A"/>
    <w:rPr>
      <w:rFonts w:eastAsiaTheme="minorEastAsia" w:cs="Arial"/>
      <w:i/>
      <w:iCs/>
      <w:color w:val="1A1A1A" w:themeColor="background1" w:themeShade="1A"/>
      <w:sz w:val="22"/>
      <w:lang w:eastAsia="en-US"/>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8"/>
      </w:numPr>
      <w:spacing w:before="120" w:after="120"/>
      <w:ind w:left="360" w:hanging="360"/>
    </w:pPr>
    <w:rPr>
      <w:rFonts w:ascii="Times New Roman" w:hAnsi="Times New Roman"/>
      <w:sz w:val="24"/>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pPr>
    <w:rPr>
      <w:rFonts w:eastAsia="Calibri"/>
      <w:lang w:eastAsia="en-GB"/>
    </w:rPr>
  </w:style>
  <w:style w:type="paragraph" w:customStyle="1" w:styleId="Tiret1">
    <w:name w:val="Tiret 1"/>
    <w:basedOn w:val="Standard"/>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pPr>
    <w:rPr>
      <w:b/>
      <w:u w:val="single"/>
    </w:rPr>
  </w:style>
  <w:style w:type="paragraph" w:customStyle="1" w:styleId="Bullet">
    <w:name w:val="Bullet"/>
    <w:basedOn w:val="Standard"/>
    <w:locked/>
    <w:rsid w:val="002D6E1A"/>
    <w:pPr>
      <w:numPr>
        <w:numId w:val="10"/>
      </w:numPr>
      <w:tabs>
        <w:tab w:val="left" w:pos="708"/>
      </w:tabs>
      <w:spacing w:before="120" w:after="120"/>
    </w:pPr>
    <w:rPr>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eastAsiaTheme="minorEastAsia" w:hAnsi="Arial" w:cs="Arial"/>
      <w:b/>
      <w:color w:val="1A1A1A" w:themeColor="background1" w:themeShade="1A"/>
      <w:sz w:val="22"/>
      <w:lang w:eastAsia="en-US"/>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line="340" w:lineRule="exact"/>
      <w:ind w:left="397" w:hanging="397"/>
    </w:pPr>
    <w:rPr>
      <w:b/>
      <w:caps/>
      <w:color w:val="2D4190"/>
      <w:sz w:val="28"/>
      <w:lang w:val="de-DE"/>
    </w:rPr>
  </w:style>
  <w:style w:type="paragraph" w:customStyle="1" w:styleId="04RunningText">
    <w:name w:val="04_Running Text"/>
    <w:basedOn w:val="Standard"/>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ind w:left="284" w:hanging="284"/>
    </w:pPr>
    <w:rPr>
      <w:rFonts w:eastAsia="Calibri"/>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lang w:val="de-DE"/>
    </w:rPr>
  </w:style>
  <w:style w:type="paragraph" w:customStyle="1" w:styleId="Considrant">
    <w:name w:val="Considérant"/>
    <w:basedOn w:val="Standard"/>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Standard"/>
    <w:next w:val="Standard"/>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Standard"/>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Standard"/>
    <w:rsid w:val="000D2D0B"/>
  </w:style>
  <w:style w:type="paragraph" w:customStyle="1" w:styleId="Sbuchead">
    <w:name w:val="Sbuchead"/>
    <w:basedOn w:val="Standard"/>
    <w:locked/>
    <w:rsid w:val="000D2D0B"/>
    <w:pPr>
      <w:spacing w:after="360"/>
    </w:pPr>
    <w:rPr>
      <w:rFonts w:ascii="Times New Roman" w:hAnsi="Times New Roman"/>
      <w:b/>
      <w:caps/>
      <w:sz w:val="24"/>
      <w:lang w:eastAsia="en-GB"/>
    </w:rPr>
  </w:style>
  <w:style w:type="paragraph" w:customStyle="1" w:styleId="Applicationdirecte">
    <w:name w:val="Application directe"/>
    <w:basedOn w:val="Standard"/>
    <w:next w:val="Fait"/>
    <w:locked/>
    <w:rsid w:val="000D2D0B"/>
    <w:pPr>
      <w:spacing w:before="480" w:after="120"/>
    </w:pPr>
    <w:rPr>
      <w:rFonts w:ascii="Times New Roman" w:hAnsi="Times New Roman"/>
      <w:sz w:val="24"/>
    </w:rPr>
  </w:style>
  <w:style w:type="paragraph" w:customStyle="1" w:styleId="Fait">
    <w:name w:val="Fait à"/>
    <w:basedOn w:val="Standard"/>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Standard"/>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rPr>
  </w:style>
  <w:style w:type="paragraph" w:customStyle="1" w:styleId="HeaderLandscape">
    <w:name w:val="HeaderLandscape"/>
    <w:basedOn w:val="Standard"/>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Standard"/>
    <w:locked/>
    <w:rsid w:val="000D2D0B"/>
    <w:pPr>
      <w:spacing w:before="120" w:after="120"/>
      <w:ind w:left="850"/>
    </w:pPr>
    <w:rPr>
      <w:rFonts w:ascii="Times New Roman" w:hAnsi="Times New Roman"/>
      <w:sz w:val="24"/>
    </w:rPr>
  </w:style>
  <w:style w:type="paragraph" w:customStyle="1" w:styleId="Text2">
    <w:name w:val="Text 2"/>
    <w:basedOn w:val="Standard"/>
    <w:locked/>
    <w:rsid w:val="000D2D0B"/>
    <w:pPr>
      <w:spacing w:before="120" w:after="120"/>
      <w:ind w:left="1417"/>
    </w:pPr>
    <w:rPr>
      <w:rFonts w:ascii="Times New Roman" w:hAnsi="Times New Roman"/>
      <w:sz w:val="24"/>
    </w:rPr>
  </w:style>
  <w:style w:type="paragraph" w:customStyle="1" w:styleId="Text3">
    <w:name w:val="Text 3"/>
    <w:basedOn w:val="Standard"/>
    <w:locked/>
    <w:rsid w:val="000D2D0B"/>
    <w:pPr>
      <w:spacing w:before="120" w:after="120"/>
      <w:ind w:left="1984"/>
    </w:pPr>
    <w:rPr>
      <w:rFonts w:ascii="Times New Roman" w:hAnsi="Times New Roman"/>
      <w:sz w:val="24"/>
    </w:rPr>
  </w:style>
  <w:style w:type="paragraph" w:customStyle="1" w:styleId="Text4">
    <w:name w:val="Text 4"/>
    <w:basedOn w:val="Standard"/>
    <w:locked/>
    <w:rsid w:val="000D2D0B"/>
    <w:pPr>
      <w:spacing w:before="120" w:after="120"/>
      <w:ind w:left="2551"/>
    </w:pPr>
    <w:rPr>
      <w:rFonts w:ascii="Times New Roman" w:hAnsi="Times New Roman"/>
      <w:sz w:val="24"/>
    </w:rPr>
  </w:style>
  <w:style w:type="paragraph" w:customStyle="1" w:styleId="NormalCentered">
    <w:name w:val="Normal Centered"/>
    <w:basedOn w:val="Standard"/>
    <w:rsid w:val="000D2D0B"/>
    <w:pPr>
      <w:spacing w:before="120" w:after="120"/>
      <w:jc w:val="center"/>
    </w:pPr>
    <w:rPr>
      <w:rFonts w:ascii="Times New Roman" w:hAnsi="Times New Roman"/>
      <w:sz w:val="24"/>
    </w:rPr>
  </w:style>
  <w:style w:type="paragraph" w:customStyle="1" w:styleId="NormalLeft">
    <w:name w:val="Normal Left"/>
    <w:basedOn w:val="Standard"/>
    <w:rsid w:val="000D2D0B"/>
    <w:pPr>
      <w:spacing w:before="120" w:after="120"/>
    </w:pPr>
    <w:rPr>
      <w:rFonts w:ascii="Times New Roman" w:hAnsi="Times New Roman"/>
      <w:sz w:val="24"/>
    </w:rPr>
  </w:style>
  <w:style w:type="paragraph" w:customStyle="1" w:styleId="NormalRight">
    <w:name w:val="Normal Right"/>
    <w:basedOn w:val="Standard"/>
    <w:rsid w:val="000D2D0B"/>
    <w:pPr>
      <w:spacing w:before="120" w:after="120"/>
      <w:jc w:val="right"/>
    </w:pPr>
    <w:rPr>
      <w:rFonts w:ascii="Times New Roman" w:hAnsi="Times New Roman"/>
      <w:sz w:val="24"/>
    </w:rPr>
  </w:style>
  <w:style w:type="paragraph" w:customStyle="1" w:styleId="QuotedText">
    <w:name w:val="Quoted Text"/>
    <w:basedOn w:val="Standard"/>
    <w:locked/>
    <w:rsid w:val="000D2D0B"/>
    <w:pPr>
      <w:spacing w:before="120" w:after="120"/>
      <w:ind w:left="1417"/>
    </w:pPr>
    <w:rPr>
      <w:rFonts w:ascii="Times New Roman" w:hAnsi="Times New Roman"/>
      <w:sz w:val="24"/>
    </w:rPr>
  </w:style>
  <w:style w:type="paragraph" w:customStyle="1" w:styleId="Point0">
    <w:name w:val="Point 0"/>
    <w:basedOn w:val="Standard"/>
    <w:locked/>
    <w:rsid w:val="000D2D0B"/>
    <w:pPr>
      <w:spacing w:before="120" w:after="120"/>
      <w:ind w:left="850" w:hanging="850"/>
    </w:pPr>
    <w:rPr>
      <w:rFonts w:ascii="Times New Roman" w:hAnsi="Times New Roman"/>
      <w:sz w:val="24"/>
    </w:rPr>
  </w:style>
  <w:style w:type="paragraph" w:customStyle="1" w:styleId="Point1">
    <w:name w:val="Point 1"/>
    <w:basedOn w:val="Standard"/>
    <w:locked/>
    <w:rsid w:val="000D2D0B"/>
    <w:pPr>
      <w:spacing w:before="120" w:after="120"/>
      <w:ind w:left="1417" w:hanging="567"/>
    </w:pPr>
    <w:rPr>
      <w:rFonts w:ascii="Times New Roman" w:hAnsi="Times New Roman"/>
      <w:sz w:val="24"/>
    </w:rPr>
  </w:style>
  <w:style w:type="paragraph" w:customStyle="1" w:styleId="Point2">
    <w:name w:val="Point 2"/>
    <w:basedOn w:val="Standard"/>
    <w:locked/>
    <w:rsid w:val="000D2D0B"/>
    <w:pPr>
      <w:spacing w:before="120" w:after="120"/>
      <w:ind w:left="1984" w:hanging="567"/>
    </w:pPr>
    <w:rPr>
      <w:rFonts w:ascii="Times New Roman" w:hAnsi="Times New Roman"/>
      <w:sz w:val="24"/>
    </w:rPr>
  </w:style>
  <w:style w:type="paragraph" w:customStyle="1" w:styleId="Point3">
    <w:name w:val="Point 3"/>
    <w:basedOn w:val="Standard"/>
    <w:locked/>
    <w:rsid w:val="000D2D0B"/>
    <w:pPr>
      <w:spacing w:before="120" w:after="120"/>
      <w:ind w:left="2551" w:hanging="567"/>
    </w:pPr>
    <w:rPr>
      <w:rFonts w:ascii="Times New Roman" w:hAnsi="Times New Roman"/>
      <w:sz w:val="24"/>
    </w:rPr>
  </w:style>
  <w:style w:type="paragraph" w:customStyle="1" w:styleId="Point4">
    <w:name w:val="Point 4"/>
    <w:basedOn w:val="Standard"/>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Standard"/>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Standard"/>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Standard"/>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Standard"/>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Standard"/>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Standard"/>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Standard"/>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Standard"/>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Standard"/>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Standard"/>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Standard"/>
    <w:next w:val="Text1"/>
    <w:locked/>
    <w:rsid w:val="000D2D0B"/>
    <w:pPr>
      <w:numPr>
        <w:numId w:val="20"/>
      </w:numPr>
      <w:spacing w:before="120" w:after="120"/>
    </w:pPr>
    <w:rPr>
      <w:rFonts w:ascii="Times New Roman" w:hAnsi="Times New Roman"/>
      <w:sz w:val="24"/>
    </w:rPr>
  </w:style>
  <w:style w:type="paragraph" w:customStyle="1" w:styleId="NumPar2">
    <w:name w:val="NumPar 2"/>
    <w:basedOn w:val="Standard"/>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Standard"/>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Standard"/>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Standard"/>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Standard"/>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Standard"/>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Standard"/>
    <w:locked/>
    <w:rsid w:val="000D2D0B"/>
    <w:pPr>
      <w:spacing w:before="120" w:after="120"/>
      <w:ind w:left="1417" w:hanging="567"/>
    </w:pPr>
    <w:rPr>
      <w:rFonts w:ascii="Times New Roman" w:hAnsi="Times New Roman"/>
      <w:sz w:val="24"/>
    </w:rPr>
  </w:style>
  <w:style w:type="paragraph" w:customStyle="1" w:styleId="ManualHeading1">
    <w:name w:val="Manual Heading 1"/>
    <w:basedOn w:val="Standard"/>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Standard"/>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Standard"/>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Standard"/>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7"/>
      </w:numPr>
      <w:spacing w:before="120" w:after="120"/>
    </w:pPr>
    <w:rPr>
      <w:rFonts w:ascii="Times New Roman" w:hAnsi="Times New Roman"/>
      <w:sz w:val="24"/>
    </w:rPr>
  </w:style>
  <w:style w:type="paragraph" w:customStyle="1" w:styleId="Point1number">
    <w:name w:val="Point 1 (number)"/>
    <w:basedOn w:val="Standard"/>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Standard"/>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Standard"/>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Standard"/>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Standard"/>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Standard"/>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Standard"/>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Standard"/>
    <w:locked/>
    <w:rsid w:val="000D2D0B"/>
    <w:pPr>
      <w:numPr>
        <w:ilvl w:val="8"/>
        <w:numId w:val="27"/>
      </w:numPr>
      <w:spacing w:before="120" w:after="120"/>
    </w:pPr>
    <w:rPr>
      <w:rFonts w:ascii="Times New Roman" w:hAnsi="Times New Roman"/>
      <w:sz w:val="24"/>
    </w:rPr>
  </w:style>
  <w:style w:type="paragraph" w:customStyle="1" w:styleId="Bullet0">
    <w:name w:val="Bullet 0"/>
    <w:basedOn w:val="Standard"/>
    <w:locked/>
    <w:rsid w:val="000D2D0B"/>
    <w:pPr>
      <w:numPr>
        <w:numId w:val="21"/>
      </w:numPr>
      <w:spacing w:before="120" w:after="120"/>
    </w:pPr>
    <w:rPr>
      <w:rFonts w:ascii="Times New Roman" w:hAnsi="Times New Roman"/>
      <w:sz w:val="24"/>
    </w:rPr>
  </w:style>
  <w:style w:type="paragraph" w:customStyle="1" w:styleId="Bullet1">
    <w:name w:val="Bullet 1"/>
    <w:basedOn w:val="Standard"/>
    <w:locked/>
    <w:rsid w:val="000D2D0B"/>
    <w:pPr>
      <w:numPr>
        <w:numId w:val="22"/>
      </w:numPr>
      <w:spacing w:before="120" w:after="120"/>
    </w:pPr>
    <w:rPr>
      <w:rFonts w:ascii="Times New Roman" w:hAnsi="Times New Roman"/>
      <w:sz w:val="24"/>
    </w:rPr>
  </w:style>
  <w:style w:type="paragraph" w:customStyle="1" w:styleId="Bullet2">
    <w:name w:val="Bullet 2"/>
    <w:basedOn w:val="Standard"/>
    <w:locked/>
    <w:rsid w:val="000D2D0B"/>
    <w:pPr>
      <w:numPr>
        <w:numId w:val="23"/>
      </w:numPr>
      <w:spacing w:before="120" w:after="120"/>
    </w:pPr>
    <w:rPr>
      <w:rFonts w:ascii="Times New Roman" w:hAnsi="Times New Roman"/>
      <w:sz w:val="24"/>
    </w:rPr>
  </w:style>
  <w:style w:type="paragraph" w:customStyle="1" w:styleId="Bullet3">
    <w:name w:val="Bullet 3"/>
    <w:basedOn w:val="Standard"/>
    <w:locked/>
    <w:rsid w:val="000D2D0B"/>
    <w:pPr>
      <w:numPr>
        <w:numId w:val="24"/>
      </w:numPr>
      <w:spacing w:before="120" w:after="120"/>
    </w:pPr>
    <w:rPr>
      <w:rFonts w:ascii="Times New Roman" w:hAnsi="Times New Roman"/>
      <w:sz w:val="24"/>
    </w:rPr>
  </w:style>
  <w:style w:type="paragraph" w:customStyle="1" w:styleId="Bullet4">
    <w:name w:val="Bullet 4"/>
    <w:basedOn w:val="Standard"/>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Standard"/>
    <w:next w:val="Standard"/>
    <w:locked/>
    <w:rsid w:val="000D2D0B"/>
    <w:pPr>
      <w:keepNext/>
      <w:spacing w:before="480" w:after="120"/>
    </w:pPr>
    <w:rPr>
      <w:rFonts w:ascii="Times New Roman" w:hAnsi="Times New Roman"/>
      <w:sz w:val="24"/>
      <w:u w:val="single"/>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rPr>
  </w:style>
  <w:style w:type="paragraph" w:customStyle="1" w:styleId="Confidentialit">
    <w:name w:val="Confidentialité"/>
    <w:basedOn w:val="Standard"/>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Standard"/>
    <w:next w:val="Standard"/>
    <w:locked/>
    <w:rsid w:val="000D2D0B"/>
    <w:pPr>
      <w:spacing w:after="240"/>
    </w:pPr>
    <w:rPr>
      <w:rFonts w:ascii="Times New Roman" w:hAnsi="Times New Roman"/>
      <w:sz w:val="24"/>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rPr>
  </w:style>
  <w:style w:type="paragraph" w:customStyle="1" w:styleId="Emission">
    <w:name w:val="Emission"/>
    <w:basedOn w:val="Standard"/>
    <w:next w:val="Rfrenceinstitutionnelle"/>
    <w:locked/>
    <w:rsid w:val="000D2D0B"/>
    <w:pPr>
      <w:ind w:left="5103"/>
    </w:pPr>
    <w:rPr>
      <w:rFonts w:ascii="Times New Roman" w:hAnsi="Times New Roman"/>
      <w:sz w:val="24"/>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Standard"/>
    <w:next w:val="Standard"/>
    <w:locked/>
    <w:rsid w:val="000D2D0B"/>
    <w:pPr>
      <w:keepNext/>
      <w:spacing w:before="600" w:after="120"/>
    </w:pPr>
    <w:rPr>
      <w:rFonts w:ascii="Times New Roman" w:hAnsi="Times New Roman"/>
      <w:sz w:val="24"/>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Standard"/>
    <w:locked/>
    <w:rsid w:val="000D2D0B"/>
    <w:pPr>
      <w:spacing w:before="120" w:after="120"/>
      <w:ind w:left="709" w:hanging="709"/>
    </w:pPr>
    <w:rPr>
      <w:rFonts w:ascii="Times New Roman" w:hAnsi="Times New Roman"/>
      <w:sz w:val="24"/>
    </w:rPr>
  </w:style>
  <w:style w:type="paragraph" w:customStyle="1" w:styleId="Nomdelinstitution">
    <w:name w:val="Nom de l'institution"/>
    <w:basedOn w:val="Standard"/>
    <w:next w:val="Emission"/>
    <w:locked/>
    <w:rsid w:val="000D2D0B"/>
    <w:rPr>
      <w:sz w:val="24"/>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rPr>
  </w:style>
  <w:style w:type="paragraph" w:customStyle="1" w:styleId="Sous-titreobjet">
    <w:name w:val="Sous-titre objet"/>
    <w:basedOn w:val="Standard"/>
    <w:locked/>
    <w:rsid w:val="000D2D0B"/>
    <w:pPr>
      <w:jc w:val="center"/>
    </w:pPr>
    <w:rPr>
      <w:rFonts w:ascii="Times New Roman" w:hAnsi="Times New Roman"/>
      <w:b/>
      <w:sz w:val="24"/>
    </w:rPr>
  </w:style>
  <w:style w:type="paragraph" w:customStyle="1" w:styleId="Statut">
    <w:name w:val="Statut"/>
    <w:basedOn w:val="Standard"/>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Standard"/>
    <w:next w:val="Standard"/>
    <w:locked/>
    <w:rsid w:val="000D2D0B"/>
    <w:pPr>
      <w:spacing w:before="120" w:after="120"/>
    </w:pPr>
    <w:rPr>
      <w:rFonts w:ascii="Times New Roman" w:hAnsi="Times New Roman"/>
      <w:i/>
      <w:caps/>
      <w:sz w:val="24"/>
    </w:rPr>
  </w:style>
  <w:style w:type="paragraph" w:customStyle="1" w:styleId="Pagedecouverture">
    <w:name w:val="Page de couverture"/>
    <w:basedOn w:val="Standard"/>
    <w:next w:val="Standard"/>
    <w:locked/>
    <w:rsid w:val="000D2D0B"/>
    <w:pPr>
      <w:spacing w:before="120" w:after="120"/>
    </w:pPr>
    <w:rPr>
      <w:rFonts w:ascii="Times New Roman" w:hAnsi="Times New Roman"/>
      <w:sz w:val="24"/>
    </w:rPr>
  </w:style>
  <w:style w:type="paragraph" w:customStyle="1" w:styleId="Supertitre">
    <w:name w:val="Supertitre"/>
    <w:basedOn w:val="Standard"/>
    <w:next w:val="Standard"/>
    <w:locked/>
    <w:rsid w:val="000D2D0B"/>
    <w:pPr>
      <w:spacing w:after="600"/>
      <w:jc w:val="center"/>
    </w:pPr>
    <w:rPr>
      <w:rFonts w:ascii="Times New Roman" w:hAnsi="Times New Roman"/>
      <w:b/>
      <w:sz w:val="24"/>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rPr>
  </w:style>
  <w:style w:type="paragraph" w:customStyle="1" w:styleId="Rfrencecroise">
    <w:name w:val="Référence croisée"/>
    <w:basedOn w:val="Standard"/>
    <w:locked/>
    <w:rsid w:val="000D2D0B"/>
    <w:pPr>
      <w:jc w:val="center"/>
    </w:pPr>
    <w:rPr>
      <w:rFonts w:ascii="Times New Roman" w:hAnsi="Times New Roman"/>
      <w:sz w:val="24"/>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rPr>
  </w:style>
  <w:style w:type="paragraph" w:styleId="Listennummer2">
    <w:name w:val="List Number 2"/>
    <w:basedOn w:val="Standard"/>
    <w:locked/>
    <w:rsid w:val="000D2D0B"/>
    <w:pPr>
      <w:tabs>
        <w:tab w:val="num" w:pos="643"/>
      </w:tabs>
      <w:spacing w:before="120" w:after="120"/>
      <w:ind w:left="643" w:hanging="360"/>
    </w:pPr>
    <w:rPr>
      <w:rFonts w:ascii="Times New Roman" w:hAnsi="Times New Roman"/>
      <w:sz w:val="24"/>
    </w:rPr>
  </w:style>
  <w:style w:type="paragraph" w:styleId="Listennummer3">
    <w:name w:val="List Number 3"/>
    <w:basedOn w:val="Standard"/>
    <w:locked/>
    <w:rsid w:val="000D2D0B"/>
    <w:pPr>
      <w:tabs>
        <w:tab w:val="num" w:pos="926"/>
      </w:tabs>
      <w:spacing w:before="120" w:after="120"/>
      <w:ind w:left="926" w:hanging="360"/>
    </w:pPr>
    <w:rPr>
      <w:rFonts w:ascii="Times New Roman" w:hAnsi="Times New Roman"/>
      <w:sz w:val="24"/>
    </w:rPr>
  </w:style>
  <w:style w:type="paragraph" w:styleId="Listennummer4">
    <w:name w:val="List Number 4"/>
    <w:basedOn w:val="Standard"/>
    <w:locked/>
    <w:rsid w:val="000D2D0B"/>
    <w:pPr>
      <w:tabs>
        <w:tab w:val="num" w:pos="1209"/>
        <w:tab w:val="num" w:pos="1417"/>
      </w:tabs>
      <w:spacing w:before="120" w:after="120"/>
      <w:ind w:left="1209" w:hanging="360"/>
    </w:pPr>
    <w:rPr>
      <w:rFonts w:ascii="Times New Roman" w:hAnsi="Times New Roman"/>
      <w:sz w:val="24"/>
    </w:rPr>
  </w:style>
  <w:style w:type="paragraph" w:styleId="Aufzhlungszeichen">
    <w:name w:val="List Bullet"/>
    <w:basedOn w:val="Standard"/>
    <w:locked/>
    <w:rsid w:val="000D2D0B"/>
    <w:pPr>
      <w:numPr>
        <w:numId w:val="13"/>
      </w:numPr>
      <w:tabs>
        <w:tab w:val="num" w:pos="360"/>
      </w:tabs>
      <w:spacing w:before="120" w:after="120"/>
      <w:ind w:left="360" w:hanging="360"/>
    </w:pPr>
    <w:rPr>
      <w:rFonts w:ascii="Times New Roman" w:hAnsi="Times New Roman"/>
      <w:sz w:val="24"/>
    </w:rPr>
  </w:style>
  <w:style w:type="paragraph" w:styleId="Aufzhlungszeichen2">
    <w:name w:val="List Bullet 2"/>
    <w:basedOn w:val="Standard"/>
    <w:locked/>
    <w:rsid w:val="000D2D0B"/>
    <w:pPr>
      <w:tabs>
        <w:tab w:val="num" w:pos="643"/>
        <w:tab w:val="num" w:pos="851"/>
      </w:tabs>
      <w:spacing w:before="120" w:after="120"/>
      <w:ind w:left="643" w:hanging="360"/>
    </w:pPr>
    <w:rPr>
      <w:rFonts w:ascii="Times New Roman" w:hAnsi="Times New Roman"/>
      <w:sz w:val="24"/>
    </w:rPr>
  </w:style>
  <w:style w:type="paragraph" w:styleId="Aufzhlungszeichen3">
    <w:name w:val="List Bullet 3"/>
    <w:basedOn w:val="Standard"/>
    <w:locked/>
    <w:rsid w:val="000D2D0B"/>
    <w:pPr>
      <w:numPr>
        <w:numId w:val="15"/>
      </w:numPr>
      <w:tabs>
        <w:tab w:val="num" w:pos="926"/>
      </w:tabs>
      <w:spacing w:before="120" w:after="120"/>
      <w:ind w:left="926"/>
    </w:pPr>
    <w:rPr>
      <w:rFonts w:ascii="Times New Roman" w:hAnsi="Times New Roman"/>
      <w:sz w:val="24"/>
    </w:rPr>
  </w:style>
  <w:style w:type="paragraph" w:styleId="Aufzhlungszeichen4">
    <w:name w:val="List Bullet 4"/>
    <w:basedOn w:val="Standard"/>
    <w:locked/>
    <w:rsid w:val="000D2D0B"/>
    <w:pPr>
      <w:numPr>
        <w:numId w:val="16"/>
      </w:numPr>
      <w:tabs>
        <w:tab w:val="num" w:pos="1209"/>
      </w:tabs>
      <w:spacing w:before="120" w:after="120"/>
      <w:ind w:left="1209"/>
    </w:pPr>
    <w:rPr>
      <w:rFonts w:ascii="Times New Roman" w:hAnsi="Times New Roman"/>
      <w:sz w:val="24"/>
    </w:rPr>
  </w:style>
  <w:style w:type="paragraph" w:styleId="Abbildungsverzeichnis">
    <w:name w:val="table of figures"/>
    <w:basedOn w:val="Standard"/>
    <w:next w:val="Standard"/>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pPr>
    <w:rPr>
      <w:rFonts w:ascii="Myriad Pro Light" w:hAnsi="Myriad Pro Light"/>
      <w:b/>
      <w:sz w:val="21"/>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ind w:left="284" w:hanging="284"/>
    </w:p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Standard"/>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Standard"/>
    <w:locked/>
    <w:rsid w:val="003A6E9A"/>
    <w:pPr>
      <w:keepNext/>
      <w:numPr>
        <w:numId w:val="29"/>
      </w:numPr>
      <w:spacing w:before="240"/>
      <w:outlineLvl w:val="0"/>
    </w:pPr>
    <w:rPr>
      <w:b/>
      <w:bCs/>
      <w:kern w:val="32"/>
      <w:sz w:val="28"/>
      <w:szCs w:val="28"/>
    </w:rPr>
  </w:style>
  <w:style w:type="paragraph" w:customStyle="1" w:styleId="NEW-Level1">
    <w:name w:val="NEW-Level1"/>
    <w:basedOn w:val="Standard"/>
    <w:locked/>
    <w:rsid w:val="003A6E9A"/>
    <w:pPr>
      <w:keepNext/>
      <w:numPr>
        <w:ilvl w:val="1"/>
        <w:numId w:val="29"/>
      </w:numPr>
      <w:spacing w:before="240"/>
      <w:outlineLvl w:val="0"/>
    </w:pPr>
    <w:rPr>
      <w:b/>
      <w:bCs/>
      <w:kern w:val="32"/>
      <w:sz w:val="24"/>
      <w:szCs w:val="32"/>
    </w:rPr>
  </w:style>
  <w:style w:type="paragraph" w:customStyle="1" w:styleId="NEW-Level2">
    <w:name w:val="NEW-Level2"/>
    <w:basedOn w:val="Standard"/>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Standard"/>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Standard"/>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1"/>
      </w:numPr>
      <w:spacing w:before="250"/>
    </w:pPr>
    <w:rPr>
      <w:rFonts w:cstheme="minorBidi"/>
      <w:b/>
    </w:rPr>
  </w:style>
  <w:style w:type="character" w:customStyle="1" w:styleId="CPQuestionsChar">
    <w:name w:val="CP_Questions Char"/>
    <w:basedOn w:val="Absatz-Standardschriftar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berschrift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Standard"/>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Standard"/>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Standard"/>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Standard"/>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Standard"/>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Standard"/>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Standard"/>
    <w:next w:val="Standard"/>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Absatz-Standardschriftar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Fett"/>
    <w:uiPriority w:val="1"/>
    <w:qFormat/>
    <w:rsid w:val="00F87468"/>
    <w:rPr>
      <w:b w:val="0"/>
      <w:bCs/>
      <w:caps/>
      <w:smallCaps w:val="0"/>
      <w:color w:val="F79646" w:themeColor="accent6"/>
      <w:sz w:val="22"/>
    </w:rPr>
  </w:style>
  <w:style w:type="paragraph" w:styleId="Untertitel">
    <w:name w:val="Subtitle"/>
    <w:basedOn w:val="Standard"/>
    <w:next w:val="Standard"/>
    <w:link w:val="UntertitelZchn"/>
    <w:uiPriority w:val="11"/>
    <w:qFormat/>
    <w:locked/>
    <w:rsid w:val="00E70E2E"/>
    <w:pPr>
      <w:numPr>
        <w:ilvl w:val="1"/>
      </w:numPr>
    </w:pPr>
    <w:rPr>
      <w:rFonts w:eastAsiaTheme="majorEastAsia"/>
      <w:b/>
      <w:bCs/>
      <w:sz w:val="28"/>
    </w:rPr>
  </w:style>
  <w:style w:type="character" w:customStyle="1" w:styleId="UntertitelZchn">
    <w:name w:val="Untertitel Zchn"/>
    <w:basedOn w:val="Absatz-Standardschriftart"/>
    <w:link w:val="Untertitel"/>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Standard"/>
    <w:link w:val="HeaderFootChar"/>
    <w:qFormat/>
    <w:rsid w:val="00F716D4"/>
    <w:pPr>
      <w:spacing w:after="0"/>
      <w:jc w:val="right"/>
    </w:pPr>
    <w:rPr>
      <w:color w:val="001B4F"/>
      <w:sz w:val="16"/>
      <w:szCs w:val="16"/>
    </w:rPr>
  </w:style>
  <w:style w:type="character" w:styleId="NichtaufgelsteErwhnung">
    <w:name w:val="Unresolved Mention"/>
    <w:basedOn w:val="Absatz-Standardschriftart"/>
    <w:uiPriority w:val="99"/>
    <w:semiHidden/>
    <w:unhideWhenUsed/>
    <w:rsid w:val="0034374F"/>
    <w:rPr>
      <w:color w:val="605E5C"/>
      <w:shd w:val="clear" w:color="auto" w:fill="E1DFDD"/>
    </w:rPr>
  </w:style>
  <w:style w:type="character" w:customStyle="1" w:styleId="HeaderFootChar">
    <w:name w:val="HeaderFoot Char"/>
    <w:basedOn w:val="Absatz-Standardschriftar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Standard"/>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Absatz-Standardschriftar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Absatz-Standardschriftar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86683249">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61</Value>
      <Value>17</Value>
      <Value>10</Value>
      <Value>471</Value>
      <Value>469</Value>
    </TaxCatchAll>
    <_dlc_DocId xmlns="d0fb0f98-34f9-4d57-9559-eb8efd17aa5e">ESMA91-1505572268-3964</_dlc_DocId>
    <_dlc_DocIdUrl xmlns="d0fb0f98-34f9-4d57-9559-eb8efd17aa5e">
      <Url>https://securitiesandmarketsauth.sharepoint.com/sites/sherpa-ccp/_layouts/15/DocIdRedir.aspx?ID=ESMA91-1505572268-3964</Url>
      <Description>ESMA91-1505572268-3964</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Active Account Requirement</TermName>
          <TermId xmlns="http://schemas.microsoft.com/office/infopath/2007/PartnerControls">8cf920ee-1699-40dd-8018-0179d9e7da19</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6.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6.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3746</Words>
  <Characters>23603</Characters>
  <Application>Microsoft Office Word</Application>
  <DocSecurity>0</DocSecurity>
  <Lines>196</Lines>
  <Paragraphs>54</Paragraphs>
  <ScaleCrop>false</ScaleCrop>
  <HeadingPairs>
    <vt:vector size="2" baseType="variant">
      <vt:variant>
        <vt:lpstr>Titel</vt:lpstr>
      </vt:variant>
      <vt:variant>
        <vt:i4>1</vt:i4>
      </vt:variant>
    </vt:vector>
  </HeadingPairs>
  <TitlesOfParts>
    <vt:vector size="1" baseType="lpstr">
      <vt:lpstr>Reply form for the MiFID II/MiFIR Consultation Paper</vt:lpstr>
    </vt:vector>
  </TitlesOfParts>
  <Company>ESMA</Company>
  <LinksUpToDate>false</LinksUpToDate>
  <CharactersWithSpaces>27295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dc:description/>
  <cp:lastModifiedBy>Köhling, Lambert</cp:lastModifiedBy>
  <cp:revision>6</cp:revision>
  <cp:lastPrinted>2015-02-18T20:01:00Z</cp:lastPrinted>
  <dcterms:created xsi:type="dcterms:W3CDTF">2025-01-27T10:37:00Z</dcterms:created>
  <dcterms:modified xsi:type="dcterms:W3CDTF">2025-01-27T15:53:00Z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459b19f7-74a7-4ee2-8111-ef31ab4ddeda</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ies>
</file>