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Subtitle"/>
        <w:spacing w:after="0"/>
        <w:rPr>
          <w:b w:val="0"/>
          <w:bCs w:val="0"/>
        </w:rPr>
        <w:sectPr w:rsidR="004E60D2" w:rsidRPr="00252134"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5C85BF5"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19"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2C9D1073" w14:textId="64E364AB" w:rsidR="00F574D0" w:rsidRPr="009D6E99" w:rsidRDefault="004E60D2" w:rsidP="004E60D2">
      <w:pPr>
        <w:pStyle w:val="Subtitle"/>
      </w:pPr>
      <w:r>
        <w:lastRenderedPageBreak/>
        <w:t xml:space="preserve"> </w:t>
      </w:r>
    </w:p>
    <w:p w14:paraId="41CE1D15" w14:textId="03CA8EA7" w:rsidR="00F574D0" w:rsidRPr="009D6E99" w:rsidRDefault="00F574D0" w:rsidP="004E60D2">
      <w:pPr>
        <w:pStyle w:val="Subtitle"/>
      </w:pPr>
    </w:p>
    <w:p w14:paraId="1B9D7190" w14:textId="1DEAF785" w:rsidR="00F574D0" w:rsidRPr="009D6E99" w:rsidRDefault="00F574D0" w:rsidP="004E60D2">
      <w:pPr>
        <w:pStyle w:val="Subtitle"/>
      </w:pPr>
      <w:bookmarkStart w:id="4" w:name="_Toc280628648"/>
      <w:bookmarkEnd w:id="1"/>
      <w:bookmarkEnd w:id="2"/>
      <w:bookmarkEnd w:id="3"/>
      <w:r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14:paraId="115A7ABF" w14:textId="1196D22E"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1"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2"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34531C08" w:rsidR="00C2682A" w:rsidRPr="00104E00" w:rsidRDefault="00F46DC0" w:rsidP="00104E00">
                <w:pPr>
                  <w:jc w:val="left"/>
                  <w:rPr>
                    <w:rStyle w:val="PlaceholderText"/>
                  </w:rPr>
                </w:pPr>
                <w:r>
                  <w:rPr>
                    <w:rStyle w:val="PlaceholderText"/>
                  </w:rPr>
                  <w:t>ISDA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453BECCC"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01A7C">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78BAF8B6" w:rsidR="00C2682A" w:rsidRPr="00104E00" w:rsidRDefault="00E16DE0"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70A8D727" w:rsidR="00C2682A" w:rsidRPr="00104E00" w:rsidRDefault="00E16DE0" w:rsidP="00104E00">
                <w:pPr>
                  <w:jc w:val="left"/>
                </w:pPr>
                <w:r>
                  <w:t>Global</w:t>
                </w:r>
              </w:p>
            </w:tc>
          </w:sdtContent>
        </w:sdt>
      </w:tr>
      <w:permEnd w:id="1727412903"/>
    </w:tbl>
    <w:p w14:paraId="398E9C9E" w14:textId="10C9CC3D" w:rsidR="00C2682A" w:rsidRDefault="00C2682A" w:rsidP="00F716D4"/>
    <w:p w14:paraId="65CDDD48" w14:textId="77777777" w:rsidR="009B6F66" w:rsidRDefault="009B6F66" w:rsidP="00F716D4"/>
    <w:p w14:paraId="43311F86" w14:textId="77777777" w:rsidR="009B6F66" w:rsidRDefault="009B6F66" w:rsidP="00F716D4"/>
    <w:p w14:paraId="1EC367CD" w14:textId="41E0CB59" w:rsidR="00E619AB" w:rsidRPr="00B25E0D" w:rsidRDefault="00BB1973" w:rsidP="0029493B">
      <w:pPr>
        <w:pStyle w:val="Heading1"/>
      </w:pPr>
      <w:r>
        <w:t>Questions</w:t>
      </w:r>
      <w:bookmarkEnd w:id="7"/>
    </w:p>
    <w:p w14:paraId="457A0AF9" w14:textId="259F27DE" w:rsidR="004E60D2" w:rsidRPr="00965354" w:rsidRDefault="004E60D2" w:rsidP="004E60D2">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5E09F8A1" w14:textId="20FEE953" w:rsidR="00A115CB" w:rsidRDefault="006B5DF1" w:rsidP="008871CC">
      <w:pPr>
        <w:spacing w:after="0"/>
      </w:pPr>
      <w:r>
        <w:t>&lt;ESMA_QUESTION_</w:t>
      </w:r>
      <w:r w:rsidR="004E60D2">
        <w:t>AAR</w:t>
      </w:r>
      <w:r>
        <w:t>_01&gt;</w:t>
      </w:r>
    </w:p>
    <w:p w14:paraId="1A5770F9" w14:textId="0B1920BF" w:rsidR="0081701A" w:rsidRPr="00E95B6D" w:rsidRDefault="0081701A" w:rsidP="0081701A">
      <w:r w:rsidRPr="00E95B6D">
        <w:t xml:space="preserve">We appreciate that ESMA has set out the AAR scope on which </w:t>
      </w:r>
      <w:r>
        <w:t xml:space="preserve">it </w:t>
      </w:r>
      <w:r w:rsidRPr="00E95B6D">
        <w:t>has based i</w:t>
      </w:r>
      <w:r>
        <w:t>ts</w:t>
      </w:r>
      <w:r w:rsidRPr="00E95B6D">
        <w:t xml:space="preserve"> quantitative assessment given that EMIR 3.0 Level 1 text is </w:t>
      </w:r>
      <w:r>
        <w:t>in some places</w:t>
      </w:r>
      <w:r w:rsidRPr="00E95B6D">
        <w:t xml:space="preserve"> ambiguous.</w:t>
      </w:r>
      <w:r>
        <w:t xml:space="preserve">  As set out below we believe that further clarifications/amendments are necessary regarding the methodologies for calculating the EUR 6bn, EUR 100bn, and 85% thresholds and the threshold under </w:t>
      </w:r>
      <w:r w:rsidRPr="00A248A6">
        <w:rPr>
          <w:lang w:val="en-US"/>
        </w:rPr>
        <w:t>fifth subparagraph of Article 7a (4)</w:t>
      </w:r>
      <w:r>
        <w:t>. We also suggest amendments in the Annex  the on how to codify how groups consolidated in the EU under the CRD (</w:t>
      </w:r>
      <w:r w:rsidRPr="00E95B6D">
        <w:t>Chapter 2 of Title II of Part One of Regulation (EU) No 575/2013</w:t>
      </w:r>
      <w:r>
        <w:t>)</w:t>
      </w:r>
      <w:r w:rsidRPr="00E95B6D">
        <w:t xml:space="preserve"> </w:t>
      </w:r>
      <w:r>
        <w:t xml:space="preserve">can meet the AAR.  </w:t>
      </w:r>
    </w:p>
    <w:p w14:paraId="2795B92E" w14:textId="77777777" w:rsidR="0081701A" w:rsidRPr="00E95B6D" w:rsidRDefault="0081701A" w:rsidP="0081701A">
      <w:r w:rsidRPr="00E95B6D">
        <w:t xml:space="preserve">We welcome the clarifications </w:t>
      </w:r>
      <w:r>
        <w:t xml:space="preserve">in paragraphs 16 to 33 of the CP </w:t>
      </w:r>
      <w:r w:rsidRPr="00E95B6D">
        <w:t xml:space="preserve">on the </w:t>
      </w:r>
      <w:r w:rsidRPr="002F11FA">
        <w:rPr>
          <w:b/>
          <w:bCs/>
        </w:rPr>
        <w:t xml:space="preserve">two conditions that counterparties must meet </w:t>
      </w:r>
      <w:r w:rsidRPr="00E95B6D">
        <w:t xml:space="preserve">to become subject to the AAR under EMIR Article 7a (1). We </w:t>
      </w:r>
      <w:r>
        <w:t xml:space="preserve">note </w:t>
      </w:r>
      <w:r w:rsidRPr="00E95B6D">
        <w:t xml:space="preserve">that only EUR STIR traded on </w:t>
      </w:r>
      <w:r>
        <w:t>t</w:t>
      </w:r>
      <w:r w:rsidRPr="00E95B6D">
        <w:t xml:space="preserve">hird </w:t>
      </w:r>
      <w:r>
        <w:t>c</w:t>
      </w:r>
      <w:r w:rsidRPr="00E95B6D">
        <w:t xml:space="preserve">ountry </w:t>
      </w:r>
      <w:r>
        <w:t xml:space="preserve">regulated </w:t>
      </w:r>
      <w:r w:rsidRPr="00E95B6D">
        <w:t>markets that are not considered equivalent under MiFID would be included in the clearing threshold calculations (“the two conditions”) under Article 7a (1) and</w:t>
      </w:r>
      <w:r>
        <w:t xml:space="preserve"> understand that this interpretation is carried over to</w:t>
      </w:r>
      <w:r w:rsidRPr="00E95B6D">
        <w:t xml:space="preserve"> the EUR 6bn and EUR 100bn </w:t>
      </w:r>
      <w:r>
        <w:t xml:space="preserve">threshold </w:t>
      </w:r>
      <w:r w:rsidRPr="00E95B6D">
        <w:t>calculations.</w:t>
      </w:r>
      <w:r>
        <w:t xml:space="preserve"> </w:t>
      </w:r>
    </w:p>
    <w:p w14:paraId="35EDE072" w14:textId="77777777" w:rsidR="0081701A" w:rsidRPr="00C84240" w:rsidRDefault="0081701A" w:rsidP="0081701A">
      <w:r w:rsidRPr="00E95B6D">
        <w:t xml:space="preserve">We </w:t>
      </w:r>
      <w:r>
        <w:t>note</w:t>
      </w:r>
      <w:r w:rsidRPr="00E95B6D">
        <w:t xml:space="preserve"> that, if a counterparty is subject to </w:t>
      </w:r>
      <w:r w:rsidRPr="002F11FA">
        <w:rPr>
          <w:b/>
          <w:bCs/>
        </w:rPr>
        <w:t>group consolidated supervision</w:t>
      </w:r>
      <w:r w:rsidRPr="00E95B6D">
        <w:t xml:space="preserve"> in accordance with </w:t>
      </w:r>
      <w:r>
        <w:t>the CRD, the</w:t>
      </w:r>
      <w:r w:rsidRPr="00E95B6D">
        <w:t xml:space="preserve"> counterparty should consider all derivativ</w:t>
      </w:r>
      <w:r>
        <w:t>e</w:t>
      </w:r>
      <w:r w:rsidRPr="00E95B6D">
        <w:t xml:space="preserve"> contracts that are cleared by that counterparty or other entities in the group to assess whether it is subject to the AAR and the representativeness obligation.</w:t>
      </w:r>
      <w:r>
        <w:t xml:space="preserve"> </w:t>
      </w:r>
      <w:r w:rsidRPr="00E95B6D">
        <w:t xml:space="preserve">We also </w:t>
      </w:r>
      <w:r>
        <w:t xml:space="preserve">note that </w:t>
      </w:r>
      <w:r w:rsidRPr="00E95B6D">
        <w:t xml:space="preserve">paragraph 40 </w:t>
      </w:r>
      <w:r>
        <w:t xml:space="preserve">of the CP provides </w:t>
      </w:r>
      <w:r w:rsidRPr="00E95B6D">
        <w:t xml:space="preserve">that the entities that are </w:t>
      </w:r>
      <w:r w:rsidRPr="00E95B6D">
        <w:lastRenderedPageBreak/>
        <w:t xml:space="preserve">part of a group subject to consolidation in the EU can fulfil the </w:t>
      </w:r>
      <w:r>
        <w:t>o</w:t>
      </w:r>
      <w:r w:rsidRPr="00E95B6D">
        <w:t xml:space="preserve">perational and </w:t>
      </w:r>
      <w:r>
        <w:t>r</w:t>
      </w:r>
      <w:r w:rsidRPr="00E95B6D">
        <w:t xml:space="preserve">epresentativeness conditions of the AAR through one entity in the </w:t>
      </w:r>
      <w:r>
        <w:t>g</w:t>
      </w:r>
      <w:r w:rsidRPr="00E95B6D">
        <w:t xml:space="preserve">roup (i.e. only one entity in the group would be required to </w:t>
      </w:r>
      <w:r>
        <w:t xml:space="preserve">open an account and </w:t>
      </w:r>
      <w:r w:rsidRPr="00E95B6D">
        <w:t>meet the operational and representativeness obligation</w:t>
      </w:r>
      <w:r>
        <w:t>s on behalf of the whole group)</w:t>
      </w:r>
      <w:r w:rsidRPr="00E95B6D">
        <w:t>.</w:t>
      </w:r>
      <w:r>
        <w:t xml:space="preserve"> </w:t>
      </w:r>
      <w:r w:rsidRPr="00C84240">
        <w:t xml:space="preserve">We would suggest that this is made clear by </w:t>
      </w:r>
      <w:r>
        <w:t xml:space="preserve"> a new Article 6A </w:t>
      </w:r>
      <w:r w:rsidRPr="00306726">
        <w:t>(see proposed drafting in the Annex).</w:t>
      </w:r>
    </w:p>
    <w:p w14:paraId="01C83AE0" w14:textId="77777777" w:rsidR="0081701A" w:rsidRPr="00767B4F" w:rsidRDefault="0081701A" w:rsidP="0081701A">
      <w:pPr>
        <w:rPr>
          <w:color w:val="FF0000"/>
        </w:rPr>
      </w:pPr>
      <w:r>
        <w:t xml:space="preserve">We welcome the clarification </w:t>
      </w:r>
      <w:r w:rsidRPr="24F03CF0">
        <w:t xml:space="preserve">that the </w:t>
      </w:r>
      <w:r w:rsidRPr="24F03CF0">
        <w:rPr>
          <w:b/>
          <w:bCs/>
        </w:rPr>
        <w:t xml:space="preserve">EUR 6bn exemption </w:t>
      </w:r>
      <w:r w:rsidRPr="24F03CF0">
        <w:t>should be measured in gross notional value of the aggregate month-end average position for the previous 12 months, that it applies on aggregate across all the relevant derivative contracts, is calculated at group level if the group is subject to consolidated supervision in the EU and does not include client clearing activity. We also understand that, in line with the approach outlined in section 3.2 of the CP, it excludes intragroup transactions.</w:t>
      </w:r>
      <w:r w:rsidRPr="24F03CF0">
        <w:rPr>
          <w:color w:val="FF0000"/>
        </w:rPr>
        <w:t xml:space="preserve"> </w:t>
      </w:r>
      <w:r w:rsidRPr="24F03CF0">
        <w:t>Finally, only cleared relevant derivatives products shall be included for calculations of both EUR 6bn and EUR 100</w:t>
      </w:r>
      <w:r>
        <w:t>b</w:t>
      </w:r>
      <w:r w:rsidRPr="24F03CF0">
        <w:t>n thresholds as Level 1 text refers to “</w:t>
      </w:r>
      <w:r w:rsidRPr="24F03CF0">
        <w:rPr>
          <w:i/>
          <w:iCs/>
        </w:rPr>
        <w:t>notional clearing volume outstanding</w:t>
      </w:r>
      <w:r>
        <w:t>”</w:t>
      </w:r>
      <w:r w:rsidRPr="24F03CF0">
        <w:t>.</w:t>
      </w:r>
      <w:r w:rsidRPr="24F03CF0">
        <w:rPr>
          <w:color w:val="FF0000"/>
        </w:rPr>
        <w:t xml:space="preserve"> </w:t>
      </w:r>
      <w:r w:rsidRPr="24F03CF0">
        <w:t xml:space="preserve">We would welcome clarification that the methodology for calculating the </w:t>
      </w:r>
      <w:r w:rsidRPr="24F03CF0">
        <w:rPr>
          <w:b/>
          <w:bCs/>
        </w:rPr>
        <w:t>EUR 100bn</w:t>
      </w:r>
      <w:r w:rsidRPr="24F03CF0">
        <w:t xml:space="preserve"> threshold is the same as for the EUR 6bn threshold.  We also note that the CP does not clarify what is the first 12</w:t>
      </w:r>
      <w:r>
        <w:t>-</w:t>
      </w:r>
      <w:r w:rsidRPr="24F03CF0">
        <w:t>month window that must be used for the EUR 6bn and EUR 100 bn thresholds.</w:t>
      </w:r>
    </w:p>
    <w:p w14:paraId="79876575" w14:textId="77777777" w:rsidR="0081701A" w:rsidRDefault="0081701A" w:rsidP="0081701A">
      <w:r w:rsidRPr="006555E8">
        <w:t xml:space="preserve">The exemption foreseen for </w:t>
      </w:r>
      <w:r w:rsidRPr="003C6E07">
        <w:t>counterparties clearing</w:t>
      </w:r>
      <w:r w:rsidRPr="00741AAB">
        <w:t xml:space="preserve"> at</w:t>
      </w:r>
      <w:r w:rsidRPr="006555E8">
        <w:t xml:space="preserve"> </w:t>
      </w:r>
      <w:r w:rsidRPr="006555E8">
        <w:rPr>
          <w:b/>
          <w:bCs/>
        </w:rPr>
        <w:t>least 85</w:t>
      </w:r>
      <w:r w:rsidRPr="007E0810">
        <w:rPr>
          <w:b/>
          <w:bCs/>
        </w:rPr>
        <w:t>% of</w:t>
      </w:r>
      <w:r w:rsidRPr="006555E8">
        <w:rPr>
          <w:b/>
          <w:bCs/>
        </w:rPr>
        <w:t xml:space="preserve"> their derivatives activity on an EU CCP</w:t>
      </w:r>
      <w:r w:rsidRPr="006555E8">
        <w:t xml:space="preserve"> aims at incentivising firms to clear a very high proportion of trades at EU CCPs. </w:t>
      </w:r>
      <w:r>
        <w:t xml:space="preserve">While we note that ESMA is not mandated to clarify the methodology for the 85% computation in the RTS, we have no objection to the interpretation put forward in the CP </w:t>
      </w:r>
      <w:r w:rsidRPr="00E95B6D">
        <w:t>that the 85% threshold applies on aggregate across all the relevant derivative contracts</w:t>
      </w:r>
      <w:r>
        <w:t xml:space="preserve">, and </w:t>
      </w:r>
      <w:r w:rsidRPr="00E95B6D">
        <w:t>is calculated at group level</w:t>
      </w:r>
      <w:r>
        <w:t xml:space="preserve"> if the </w:t>
      </w:r>
      <w:r w:rsidRPr="0063506D">
        <w:t>group</w:t>
      </w:r>
      <w:r>
        <w:t xml:space="preserve"> is</w:t>
      </w:r>
      <w:r w:rsidRPr="0063506D">
        <w:t xml:space="preserve"> subject to consolidated supervision in the EU</w:t>
      </w:r>
      <w:r w:rsidRPr="00E95B6D">
        <w:t xml:space="preserve"> and excludes intragroup transactions. </w:t>
      </w:r>
    </w:p>
    <w:p w14:paraId="5A4C41A6" w14:textId="77777777" w:rsidR="0081701A" w:rsidRDefault="0081701A" w:rsidP="0081701A">
      <w:r w:rsidRPr="24F03CF0">
        <w:t>However, suggesting that 85% of derivative contracts</w:t>
      </w:r>
      <w:r w:rsidRPr="24F03CF0">
        <w:rPr>
          <w:i/>
          <w:iCs/>
        </w:rPr>
        <w:t xml:space="preserve"> </w:t>
      </w:r>
      <w:r w:rsidRPr="24F03CF0">
        <w:t>be measured in gross notional value of the aggregate month-end average position for the previous 12 months (paragraph 46 of the CP) would have the unintended effect of disincentivising firms from clearing most of their trades at an EU CCP. In practice, using the 12</w:t>
      </w:r>
      <w:r>
        <w:t>-</w:t>
      </w:r>
      <w:r w:rsidRPr="24F03CF0">
        <w:t>month lookback approach will limit this provision to entities who already clear their portfolios at an EU CCP. This seems to be contrary to the stated aim of EMIR 3.0, to incentivise clearing on EU CCPs</w:t>
      </w:r>
      <w:r>
        <w:t xml:space="preserve"> where such clearing is currently taking place on non-EU CCPs</w:t>
      </w:r>
      <w:r w:rsidRPr="24F03CF0">
        <w:t>.  Most counterparties will need some time to achieve the goal of 85% clearing at an EU CCP. EMIR Level 1 text does not prescribe a lookback period for the calculation of the 85% nor empower</w:t>
      </w:r>
      <w:r>
        <w:t>s</w:t>
      </w:r>
      <w:r w:rsidRPr="24F03CF0">
        <w:t xml:space="preserve"> ESMA to specify the applicable period. </w:t>
      </w:r>
    </w:p>
    <w:p w14:paraId="3A7F6FB9" w14:textId="77777777" w:rsidR="0081701A" w:rsidRDefault="0081701A" w:rsidP="0081701A">
      <w:r>
        <w:t xml:space="preserve">If a firm is unable to </w:t>
      </w:r>
      <w:r w:rsidRPr="007728AE">
        <w:t xml:space="preserve">qualify for the exemption </w:t>
      </w:r>
      <w:r>
        <w:t xml:space="preserve">in time </w:t>
      </w:r>
      <w:r w:rsidRPr="007728AE">
        <w:t xml:space="preserve">and </w:t>
      </w:r>
      <w:r>
        <w:t>therefore</w:t>
      </w:r>
      <w:r w:rsidRPr="007728AE">
        <w:t xml:space="preserve"> ha</w:t>
      </w:r>
      <w:r>
        <w:t>s</w:t>
      </w:r>
      <w:r w:rsidRPr="007728AE">
        <w:t xml:space="preserve"> to set-up processes to meet the operational</w:t>
      </w:r>
      <w:r>
        <w:t>, stress-testing</w:t>
      </w:r>
      <w:r w:rsidRPr="007728AE">
        <w:t xml:space="preserve"> </w:t>
      </w:r>
      <w:r>
        <w:t xml:space="preserve">and reporting </w:t>
      </w:r>
      <w:r w:rsidRPr="007728AE">
        <w:t>requirements</w:t>
      </w:r>
      <w:r>
        <w:t xml:space="preserve">, it will lose all incentives to meet the 85% threshold in the future. As it will not recoup any </w:t>
      </w:r>
      <w:r w:rsidRPr="007728AE">
        <w:t>costs incurred</w:t>
      </w:r>
      <w:r>
        <w:t xml:space="preserve"> in meeting the operational and reporting requirements, it is more likely that the firm would maintain a dual clearing strategy.</w:t>
      </w:r>
    </w:p>
    <w:p w14:paraId="45EDCDB2" w14:textId="647EA59E" w:rsidR="0081701A" w:rsidRDefault="0081701A" w:rsidP="0081701A">
      <w:r w:rsidRPr="00532822">
        <w:t xml:space="preserve">We recommend that </w:t>
      </w:r>
      <w:r>
        <w:t xml:space="preserve">counterparties </w:t>
      </w:r>
      <w:r w:rsidRPr="00532822">
        <w:t>subject to the AAR and wishing to benefit from the exemption shall notify the</w:t>
      </w:r>
      <w:r>
        <w:t>ir</w:t>
      </w:r>
      <w:r w:rsidRPr="00532822">
        <w:t xml:space="preserve"> NCAs</w:t>
      </w:r>
      <w:r>
        <w:t xml:space="preserve"> </w:t>
      </w:r>
      <w:r w:rsidRPr="00532822">
        <w:t>of their intention to do so</w:t>
      </w:r>
      <w:r>
        <w:t xml:space="preserve"> as from June </w:t>
      </w:r>
      <w:r w:rsidRPr="00532822">
        <w:t xml:space="preserve">25 June </w:t>
      </w:r>
      <w:r>
        <w:t>20</w:t>
      </w:r>
      <w:r w:rsidRPr="00532822">
        <w:t xml:space="preserve">25 and would have to demonstrate over the following </w:t>
      </w:r>
      <w:r>
        <w:t>12</w:t>
      </w:r>
      <w:r w:rsidRPr="00532822">
        <w:t xml:space="preserve"> months (transitional period) that they adopt clearing on EU CCPs. Ultimately, a snapshot of their positions </w:t>
      </w:r>
      <w:r>
        <w:t>i</w:t>
      </w:r>
      <w:r w:rsidRPr="00532822">
        <w:t>n J</w:t>
      </w:r>
      <w:r>
        <w:t>une</w:t>
      </w:r>
      <w:r w:rsidRPr="00532822">
        <w:t xml:space="preserve"> 2026 will demonstrate that 85% of their clearing activity is performed at EU CCPs.</w:t>
      </w:r>
      <w:r>
        <w:t xml:space="preserve">  The </w:t>
      </w:r>
      <w:r w:rsidRPr="00776002">
        <w:t xml:space="preserve">notification </w:t>
      </w:r>
      <w:r>
        <w:t xml:space="preserve">to the NCAs </w:t>
      </w:r>
      <w:r w:rsidRPr="00776002">
        <w:t xml:space="preserve">of </w:t>
      </w:r>
      <w:r>
        <w:t xml:space="preserve">counterparties’ </w:t>
      </w:r>
      <w:r w:rsidRPr="00776002">
        <w:t>intention to benefit from the exemption could be accompanied by a commitment/written statement from the counterparties that they will reach the 85% threshold by June 2026</w:t>
      </w:r>
      <w:r>
        <w:t>.</w:t>
      </w:r>
    </w:p>
    <w:p w14:paraId="4EF8F610" w14:textId="77777777" w:rsidR="0081701A" w:rsidRDefault="0081701A" w:rsidP="0081701A">
      <w:pPr>
        <w:rPr>
          <w:lang w:val="en-US"/>
        </w:rPr>
      </w:pPr>
      <w:r>
        <w:rPr>
          <w:lang w:val="en-US"/>
        </w:rPr>
        <w:lastRenderedPageBreak/>
        <w:t>Finally, w</w:t>
      </w:r>
      <w:r w:rsidRPr="00A248A6">
        <w:rPr>
          <w:lang w:val="en-US"/>
        </w:rPr>
        <w:t xml:space="preserve">e </w:t>
      </w:r>
      <w:r>
        <w:rPr>
          <w:lang w:val="en-US"/>
        </w:rPr>
        <w:t xml:space="preserve">also recommend </w:t>
      </w:r>
      <w:r w:rsidRPr="00A248A6">
        <w:rPr>
          <w:lang w:val="en-US"/>
        </w:rPr>
        <w:t>that ESMA clarif</w:t>
      </w:r>
      <w:r>
        <w:rPr>
          <w:lang w:val="en-US"/>
        </w:rPr>
        <w:t xml:space="preserve">ies </w:t>
      </w:r>
      <w:r w:rsidRPr="006B7F2D">
        <w:rPr>
          <w:b/>
          <w:bCs/>
          <w:lang w:val="en-US"/>
        </w:rPr>
        <w:t>fifth subparagraph of Article 7a (4),</w:t>
      </w:r>
      <w:r w:rsidRPr="00A248A6">
        <w:rPr>
          <w:lang w:val="en-US"/>
        </w:rPr>
        <w:t xml:space="preserve"> in particular what trades are included in the “</w:t>
      </w:r>
      <w:r w:rsidRPr="00A248A6">
        <w:rPr>
          <w:i/>
          <w:iCs/>
          <w:lang w:val="en-US"/>
        </w:rPr>
        <w:t>counterparty’s total trades for the preceding twelve months</w:t>
      </w:r>
      <w:r w:rsidRPr="00A248A6">
        <w:rPr>
          <w:lang w:val="en-US"/>
        </w:rPr>
        <w:t xml:space="preserve">”. </w:t>
      </w:r>
      <w:r>
        <w:rPr>
          <w:lang w:val="en-US"/>
        </w:rPr>
        <w:t xml:space="preserve">We recommend that </w:t>
      </w:r>
      <w:proofErr w:type="spellStart"/>
      <w:r>
        <w:rPr>
          <w:lang w:val="en-US"/>
        </w:rPr>
        <w:t>i</w:t>
      </w:r>
      <w:proofErr w:type="spellEnd"/>
      <w:r>
        <w:rPr>
          <w:lang w:val="en-US"/>
        </w:rPr>
        <w:t xml:space="preserve">) </w:t>
      </w:r>
      <w:r w:rsidRPr="00A248A6">
        <w:rPr>
          <w:lang w:val="en-US"/>
        </w:rPr>
        <w:t xml:space="preserve">only the </w:t>
      </w:r>
      <w:r>
        <w:rPr>
          <w:lang w:val="en-US"/>
        </w:rPr>
        <w:t xml:space="preserve">cleared </w:t>
      </w:r>
      <w:r w:rsidRPr="00A248A6">
        <w:rPr>
          <w:lang w:val="en-US"/>
        </w:rPr>
        <w:t>contracts</w:t>
      </w:r>
      <w:r>
        <w:rPr>
          <w:lang w:val="en-US"/>
        </w:rPr>
        <w:t xml:space="preserve"> are included (not uncleared),  ii) only the relevant derivative contracts (not all contracts) are included  and iii) the </w:t>
      </w:r>
      <w:r w:rsidRPr="00A248A6">
        <w:rPr>
          <w:lang w:val="en-US"/>
        </w:rPr>
        <w:t>calculation</w:t>
      </w:r>
      <w:r>
        <w:rPr>
          <w:lang w:val="en-US"/>
        </w:rPr>
        <w:t xml:space="preserve">s are </w:t>
      </w:r>
      <w:r w:rsidRPr="00A248A6">
        <w:rPr>
          <w:lang w:val="en-US"/>
        </w:rPr>
        <w:t xml:space="preserve">conducted at the “class </w:t>
      </w:r>
      <w:r w:rsidRPr="006555E8">
        <w:rPr>
          <w:lang w:val="en-US"/>
        </w:rPr>
        <w:t>level” (e.g. EUR STIR referencing Euribor)</w:t>
      </w:r>
      <w:r>
        <w:rPr>
          <w:lang w:val="en-US"/>
        </w:rPr>
        <w:t xml:space="preserve"> and not on aggregate.</w:t>
      </w:r>
    </w:p>
    <w:p w14:paraId="400499D5" w14:textId="77777777" w:rsidR="0081701A" w:rsidRPr="0081701A" w:rsidRDefault="0081701A" w:rsidP="0081701A">
      <w:pPr>
        <w:pStyle w:val="NormalWeb"/>
        <w:rPr>
          <w:rFonts w:ascii="Arial" w:eastAsia="Arial" w:hAnsi="Arial"/>
          <w:b/>
          <w:sz w:val="22"/>
          <w:szCs w:val="22"/>
          <w:lang w:val="en-GB"/>
        </w:rPr>
      </w:pPr>
      <w:r w:rsidRPr="461E0549">
        <w:rPr>
          <w:rFonts w:ascii="Arial" w:eastAsia="Arial" w:hAnsi="Arial"/>
          <w:b/>
          <w:sz w:val="22"/>
          <w:szCs w:val="22"/>
          <w:lang w:val="en-GB"/>
        </w:rPr>
        <w:t xml:space="preserve">Summary of the Active Account thresholds </w:t>
      </w:r>
    </w:p>
    <w:p w14:paraId="0760F1D9" w14:textId="005204DA" w:rsidR="00595547" w:rsidRDefault="0081701A" w:rsidP="52DE60B7">
      <w:pPr>
        <w:pStyle w:val="NormalWeb"/>
        <w:spacing w:after="0" w:line="240" w:lineRule="auto"/>
        <w:rPr>
          <w:rFonts w:ascii="Arial" w:eastAsia="Arial" w:hAnsi="Arial"/>
          <w:lang w:val="en-GB"/>
        </w:rPr>
      </w:pPr>
      <w:r w:rsidRPr="461E0549">
        <w:rPr>
          <w:rFonts w:ascii="Arial" w:eastAsia="Arial" w:hAnsi="Arial"/>
          <w:sz w:val="22"/>
          <w:szCs w:val="22"/>
          <w:lang w:val="en-GB"/>
        </w:rPr>
        <w:t>We have set out in the table below our understanding of how the thresholds under Article 7a of EMIR are expected to be computed for Financial Counterparties (FC) other than funds. We have also included in red suggested amendments/clarification</w:t>
      </w:r>
      <w:r w:rsidRPr="5BB68EF6">
        <w:rPr>
          <w:rFonts w:ascii="Arial" w:eastAsia="Arial" w:hAnsi="Arial"/>
          <w:lang w:val="en-GB"/>
        </w:rPr>
        <w:t xml:space="preserve">s. </w:t>
      </w:r>
    </w:p>
    <w:p w14:paraId="61C599B1" w14:textId="4154CB70" w:rsidR="52DE60B7" w:rsidRDefault="52DE60B7" w:rsidP="52DE60B7">
      <w:pPr>
        <w:pStyle w:val="NormalWeb"/>
        <w:rPr>
          <w:lang w:val="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76"/>
        <w:gridCol w:w="1176"/>
        <w:gridCol w:w="1176"/>
        <w:gridCol w:w="1176"/>
        <w:gridCol w:w="1176"/>
        <w:gridCol w:w="1176"/>
        <w:gridCol w:w="1176"/>
        <w:gridCol w:w="1176"/>
      </w:tblGrid>
      <w:tr w:rsidR="01C15B91" w14:paraId="73770C83" w14:textId="77777777" w:rsidTr="01C15B91">
        <w:trPr>
          <w:trHeight w:val="300"/>
        </w:trPr>
        <w:tc>
          <w:tcPr>
            <w:tcW w:w="1176" w:type="dxa"/>
            <w:tcMar>
              <w:left w:w="105" w:type="dxa"/>
              <w:right w:w="105" w:type="dxa"/>
            </w:tcMar>
          </w:tcPr>
          <w:p w14:paraId="04266815" w14:textId="5975B85D"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b/>
                <w:bCs/>
                <w:sz w:val="14"/>
                <w:szCs w:val="14"/>
                <w:lang w:val="en-US"/>
              </w:rPr>
              <w:t>Description of threshold</w:t>
            </w:r>
          </w:p>
        </w:tc>
        <w:tc>
          <w:tcPr>
            <w:tcW w:w="1176" w:type="dxa"/>
            <w:tcMar>
              <w:left w:w="105" w:type="dxa"/>
              <w:right w:w="105" w:type="dxa"/>
            </w:tcMar>
          </w:tcPr>
          <w:p w14:paraId="7BC038E3" w14:textId="682341A3"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b/>
                <w:bCs/>
                <w:sz w:val="14"/>
                <w:szCs w:val="14"/>
                <w:lang w:val="en-US"/>
              </w:rPr>
              <w:t>Threshold value</w:t>
            </w:r>
          </w:p>
        </w:tc>
        <w:tc>
          <w:tcPr>
            <w:tcW w:w="1176" w:type="dxa"/>
            <w:tcMar>
              <w:left w:w="105" w:type="dxa"/>
              <w:right w:w="105" w:type="dxa"/>
            </w:tcMar>
          </w:tcPr>
          <w:p w14:paraId="2EDDBE49" w14:textId="63F0713B"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b/>
                <w:bCs/>
                <w:sz w:val="14"/>
                <w:szCs w:val="14"/>
                <w:lang w:val="en-US"/>
              </w:rPr>
              <w:t>Type derivative contracts</w:t>
            </w:r>
          </w:p>
        </w:tc>
        <w:tc>
          <w:tcPr>
            <w:tcW w:w="1176" w:type="dxa"/>
            <w:tcMar>
              <w:left w:w="105" w:type="dxa"/>
              <w:right w:w="105" w:type="dxa"/>
            </w:tcMar>
          </w:tcPr>
          <w:p w14:paraId="0A4B1AB7" w14:textId="7BC670AF"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b/>
                <w:bCs/>
                <w:sz w:val="14"/>
                <w:szCs w:val="14"/>
                <w:lang w:val="en-US"/>
              </w:rPr>
              <w:t>Calculation methodology</w:t>
            </w:r>
          </w:p>
        </w:tc>
        <w:tc>
          <w:tcPr>
            <w:tcW w:w="1176" w:type="dxa"/>
            <w:tcMar>
              <w:left w:w="105" w:type="dxa"/>
              <w:right w:w="105" w:type="dxa"/>
            </w:tcMar>
          </w:tcPr>
          <w:p w14:paraId="7A0460D2" w14:textId="1EA0EF94" w:rsidR="01C15B91" w:rsidRDefault="01C15B91" w:rsidP="01C15B91">
            <w:pPr>
              <w:spacing w:beforeAutospacing="1" w:afterAutospacing="1" w:line="240" w:lineRule="auto"/>
              <w:rPr>
                <w:rFonts w:ascii="Calibri" w:eastAsia="Calibri" w:hAnsi="Calibri" w:cs="Calibri"/>
                <w:sz w:val="14"/>
                <w:szCs w:val="14"/>
                <w:lang w:val="en-US"/>
              </w:rPr>
            </w:pPr>
          </w:p>
        </w:tc>
        <w:tc>
          <w:tcPr>
            <w:tcW w:w="1176" w:type="dxa"/>
            <w:tcMar>
              <w:left w:w="105" w:type="dxa"/>
              <w:right w:w="105" w:type="dxa"/>
            </w:tcMar>
          </w:tcPr>
          <w:p w14:paraId="0A3FF0B6" w14:textId="14972840"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b/>
                <w:bCs/>
                <w:sz w:val="14"/>
                <w:szCs w:val="14"/>
                <w:lang w:val="en-US"/>
              </w:rPr>
              <w:t>First lookback period</w:t>
            </w:r>
          </w:p>
        </w:tc>
        <w:tc>
          <w:tcPr>
            <w:tcW w:w="1176" w:type="dxa"/>
            <w:tcMar>
              <w:left w:w="105" w:type="dxa"/>
              <w:right w:w="105" w:type="dxa"/>
            </w:tcMar>
          </w:tcPr>
          <w:p w14:paraId="79F777FF" w14:textId="3F21F049"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b/>
                <w:bCs/>
                <w:sz w:val="14"/>
                <w:szCs w:val="14"/>
                <w:lang w:val="en-US"/>
              </w:rPr>
              <w:t>Client clearing activity</w:t>
            </w:r>
          </w:p>
        </w:tc>
        <w:tc>
          <w:tcPr>
            <w:tcW w:w="1176" w:type="dxa"/>
            <w:tcMar>
              <w:left w:w="105" w:type="dxa"/>
              <w:right w:w="105" w:type="dxa"/>
            </w:tcMar>
          </w:tcPr>
          <w:p w14:paraId="0D865F03" w14:textId="1AF5177B"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b/>
                <w:bCs/>
                <w:sz w:val="14"/>
                <w:szCs w:val="14"/>
                <w:lang w:val="en-US"/>
              </w:rPr>
              <w:t>Group</w:t>
            </w:r>
          </w:p>
        </w:tc>
      </w:tr>
      <w:tr w:rsidR="01C15B91" w14:paraId="2FCBDD9E" w14:textId="77777777" w:rsidTr="01C15B91">
        <w:trPr>
          <w:trHeight w:val="300"/>
        </w:trPr>
        <w:tc>
          <w:tcPr>
            <w:tcW w:w="1176" w:type="dxa"/>
            <w:vMerge w:val="restart"/>
            <w:tcMar>
              <w:left w:w="105" w:type="dxa"/>
              <w:right w:w="105" w:type="dxa"/>
            </w:tcMar>
          </w:tcPr>
          <w:p w14:paraId="79E043F6" w14:textId="72554557"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Application of AAR to FCs – condition 1*, **,***</w:t>
            </w:r>
          </w:p>
          <w:p w14:paraId="19401EB8" w14:textId="69B42B73" w:rsidR="01C15B91" w:rsidRDefault="01C15B91" w:rsidP="01C15B91">
            <w:pPr>
              <w:spacing w:beforeAutospacing="1" w:afterAutospacing="1" w:line="240" w:lineRule="auto"/>
              <w:rPr>
                <w:rFonts w:ascii="Calibri" w:eastAsia="Calibri" w:hAnsi="Calibri" w:cs="Calibri"/>
                <w:sz w:val="14"/>
                <w:szCs w:val="14"/>
              </w:rPr>
            </w:pPr>
          </w:p>
        </w:tc>
        <w:tc>
          <w:tcPr>
            <w:tcW w:w="1176" w:type="dxa"/>
            <w:tcMar>
              <w:left w:w="105" w:type="dxa"/>
              <w:right w:w="105" w:type="dxa"/>
            </w:tcMar>
          </w:tcPr>
          <w:p w14:paraId="7FF5FBC3" w14:textId="69CED8D6"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rPr>
              <w:t xml:space="preserve">EUR 1bn </w:t>
            </w:r>
            <w:proofErr w:type="spellStart"/>
            <w:r w:rsidRPr="01C15B91">
              <w:rPr>
                <w:rFonts w:ascii="Calibri" w:eastAsia="Calibri" w:hAnsi="Calibri" w:cs="Calibri"/>
                <w:sz w:val="14"/>
                <w:szCs w:val="14"/>
              </w:rPr>
              <w:t>gross</w:t>
            </w:r>
            <w:proofErr w:type="spellEnd"/>
            <w:r w:rsidRPr="01C15B91">
              <w:rPr>
                <w:rFonts w:ascii="Calibri" w:eastAsia="Calibri" w:hAnsi="Calibri" w:cs="Calibri"/>
                <w:sz w:val="14"/>
                <w:szCs w:val="14"/>
              </w:rPr>
              <w:t xml:space="preserve"> </w:t>
            </w:r>
            <w:proofErr w:type="spellStart"/>
            <w:r w:rsidRPr="01C15B91">
              <w:rPr>
                <w:rFonts w:ascii="Calibri" w:eastAsia="Calibri" w:hAnsi="Calibri" w:cs="Calibri"/>
                <w:sz w:val="14"/>
                <w:szCs w:val="14"/>
              </w:rPr>
              <w:t>notional</w:t>
            </w:r>
            <w:proofErr w:type="spellEnd"/>
          </w:p>
        </w:tc>
        <w:tc>
          <w:tcPr>
            <w:tcW w:w="1176" w:type="dxa"/>
            <w:tcMar>
              <w:left w:w="105" w:type="dxa"/>
              <w:right w:w="105" w:type="dxa"/>
            </w:tcMar>
          </w:tcPr>
          <w:p w14:paraId="30ED5691" w14:textId="05661512"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Credit derivatives not executed on a regulated market or third country equivalent regulated market (cleared and uncleared)</w:t>
            </w:r>
          </w:p>
        </w:tc>
        <w:tc>
          <w:tcPr>
            <w:tcW w:w="1176" w:type="dxa"/>
            <w:tcMar>
              <w:left w:w="105" w:type="dxa"/>
              <w:right w:w="105" w:type="dxa"/>
            </w:tcMar>
          </w:tcPr>
          <w:p w14:paraId="0B9C3531" w14:textId="3B33EFCA"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Month-end average for previous 12months</w:t>
            </w:r>
          </w:p>
        </w:tc>
        <w:tc>
          <w:tcPr>
            <w:tcW w:w="1176" w:type="dxa"/>
            <w:tcMar>
              <w:left w:w="105" w:type="dxa"/>
              <w:right w:w="105" w:type="dxa"/>
            </w:tcMar>
          </w:tcPr>
          <w:p w14:paraId="30108F7E" w14:textId="7C69C594" w:rsidR="01C15B91" w:rsidRDefault="01C15B91" w:rsidP="01C15B91">
            <w:pPr>
              <w:spacing w:beforeAutospacing="1" w:afterAutospacing="1" w:line="240" w:lineRule="auto"/>
              <w:rPr>
                <w:rFonts w:ascii="Calibri" w:eastAsia="Calibri" w:hAnsi="Calibri" w:cs="Calibri"/>
                <w:sz w:val="14"/>
                <w:szCs w:val="14"/>
                <w:lang w:val="en-US"/>
              </w:rPr>
            </w:pPr>
          </w:p>
        </w:tc>
        <w:tc>
          <w:tcPr>
            <w:tcW w:w="1176" w:type="dxa"/>
            <w:vMerge w:val="restart"/>
            <w:tcMar>
              <w:left w:w="105" w:type="dxa"/>
              <w:right w:w="105" w:type="dxa"/>
            </w:tcMar>
          </w:tcPr>
          <w:p w14:paraId="709DFDBD" w14:textId="6A241D34"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lang w:val="en-US"/>
              </w:rPr>
              <w:t>N/A</w:t>
            </w:r>
          </w:p>
        </w:tc>
        <w:tc>
          <w:tcPr>
            <w:tcW w:w="1176" w:type="dxa"/>
            <w:vMerge w:val="restart"/>
            <w:tcMar>
              <w:left w:w="105" w:type="dxa"/>
              <w:right w:w="105" w:type="dxa"/>
            </w:tcMar>
          </w:tcPr>
          <w:p w14:paraId="6679F3DA" w14:textId="76CC0EFC"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Included for the purpose of calculating condition 1</w:t>
            </w:r>
            <w:r w:rsidRPr="01C15B91">
              <w:rPr>
                <w:rFonts w:ascii="Calibri" w:eastAsia="Calibri" w:hAnsi="Calibri" w:cs="Calibri"/>
                <w:strike/>
                <w:color w:val="0078D4"/>
                <w:sz w:val="14"/>
                <w:szCs w:val="14"/>
                <w:lang w:val="en-US"/>
              </w:rPr>
              <w:t>.</w:t>
            </w:r>
          </w:p>
        </w:tc>
        <w:tc>
          <w:tcPr>
            <w:tcW w:w="1176" w:type="dxa"/>
            <w:vMerge w:val="restart"/>
            <w:tcMar>
              <w:left w:w="105" w:type="dxa"/>
              <w:right w:w="105" w:type="dxa"/>
            </w:tcMar>
          </w:tcPr>
          <w:p w14:paraId="0111DCBC" w14:textId="225068E9"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Group level  in line with Article 2 (16) and Article 4a(3) of EMIR</w:t>
            </w:r>
          </w:p>
          <w:p w14:paraId="0C649451" w14:textId="1280740E" w:rsidR="01C15B91" w:rsidRDefault="01C15B91" w:rsidP="01C15B91">
            <w:pPr>
              <w:spacing w:beforeAutospacing="1" w:afterAutospacing="1" w:line="240" w:lineRule="auto"/>
              <w:rPr>
                <w:rFonts w:ascii="Calibri" w:eastAsia="Calibri" w:hAnsi="Calibri" w:cs="Calibri"/>
                <w:sz w:val="14"/>
                <w:szCs w:val="14"/>
              </w:rPr>
            </w:pPr>
          </w:p>
          <w:p w14:paraId="12AD986A" w14:textId="774E787D"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Intragroup transactions are included for the  purpose of calculating condition 1</w:t>
            </w:r>
            <w:r w:rsidRPr="01C15B91">
              <w:rPr>
                <w:rFonts w:ascii="Calibri" w:eastAsia="Calibri" w:hAnsi="Calibri" w:cs="Calibri"/>
                <w:strike/>
                <w:color w:val="0078D4"/>
                <w:sz w:val="14"/>
                <w:szCs w:val="14"/>
                <w:lang w:val="en-US"/>
              </w:rPr>
              <w:t>.</w:t>
            </w:r>
          </w:p>
          <w:p w14:paraId="3FE4B130" w14:textId="40AAF55F" w:rsidR="01C15B91" w:rsidRDefault="01C15B91" w:rsidP="01C15B91">
            <w:pPr>
              <w:spacing w:beforeAutospacing="1" w:afterAutospacing="1" w:line="240" w:lineRule="auto"/>
              <w:rPr>
                <w:rFonts w:ascii="Calibri" w:eastAsia="Calibri" w:hAnsi="Calibri" w:cs="Calibri"/>
                <w:sz w:val="14"/>
                <w:szCs w:val="14"/>
              </w:rPr>
            </w:pPr>
          </w:p>
        </w:tc>
      </w:tr>
      <w:tr w:rsidR="01C15B91" w14:paraId="77F4FE56" w14:textId="77777777" w:rsidTr="01C15B91">
        <w:trPr>
          <w:trHeight w:val="300"/>
        </w:trPr>
        <w:tc>
          <w:tcPr>
            <w:tcW w:w="1176" w:type="dxa"/>
            <w:vMerge/>
            <w:vAlign w:val="center"/>
          </w:tcPr>
          <w:p w14:paraId="5133ED41" w14:textId="77777777" w:rsidR="000866A5" w:rsidRDefault="000866A5"/>
        </w:tc>
        <w:tc>
          <w:tcPr>
            <w:tcW w:w="1176" w:type="dxa"/>
            <w:tcMar>
              <w:left w:w="105" w:type="dxa"/>
              <w:right w:w="105" w:type="dxa"/>
            </w:tcMar>
          </w:tcPr>
          <w:p w14:paraId="06118304" w14:textId="2059E291"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rPr>
              <w:t xml:space="preserve">EUR 1bn </w:t>
            </w:r>
            <w:proofErr w:type="spellStart"/>
            <w:r w:rsidRPr="01C15B91">
              <w:rPr>
                <w:rFonts w:ascii="Calibri" w:eastAsia="Calibri" w:hAnsi="Calibri" w:cs="Calibri"/>
                <w:sz w:val="14"/>
                <w:szCs w:val="14"/>
              </w:rPr>
              <w:t>gross</w:t>
            </w:r>
            <w:proofErr w:type="spellEnd"/>
            <w:r w:rsidRPr="01C15B91">
              <w:rPr>
                <w:rFonts w:ascii="Calibri" w:eastAsia="Calibri" w:hAnsi="Calibri" w:cs="Calibri"/>
                <w:sz w:val="14"/>
                <w:szCs w:val="14"/>
              </w:rPr>
              <w:t xml:space="preserve"> </w:t>
            </w:r>
            <w:proofErr w:type="spellStart"/>
            <w:r w:rsidRPr="01C15B91">
              <w:rPr>
                <w:rFonts w:ascii="Calibri" w:eastAsia="Calibri" w:hAnsi="Calibri" w:cs="Calibri"/>
                <w:sz w:val="14"/>
                <w:szCs w:val="14"/>
              </w:rPr>
              <w:t>notional</w:t>
            </w:r>
            <w:proofErr w:type="spellEnd"/>
          </w:p>
        </w:tc>
        <w:tc>
          <w:tcPr>
            <w:tcW w:w="1176" w:type="dxa"/>
            <w:tcMar>
              <w:left w:w="105" w:type="dxa"/>
              <w:right w:w="105" w:type="dxa"/>
            </w:tcMar>
          </w:tcPr>
          <w:p w14:paraId="05FF0BDD" w14:textId="786A88C1"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Equity derivatives not executed on a regulated market or third  country equivalent regulated market (cleared and uncleared)</w:t>
            </w:r>
          </w:p>
        </w:tc>
        <w:tc>
          <w:tcPr>
            <w:tcW w:w="1176" w:type="dxa"/>
            <w:tcMar>
              <w:left w:w="105" w:type="dxa"/>
              <w:right w:w="105" w:type="dxa"/>
            </w:tcMar>
          </w:tcPr>
          <w:p w14:paraId="0EE584CE" w14:textId="5F08C1C5"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Month-end average for previous 12month</w:t>
            </w:r>
          </w:p>
        </w:tc>
        <w:tc>
          <w:tcPr>
            <w:tcW w:w="1176" w:type="dxa"/>
            <w:tcMar>
              <w:left w:w="105" w:type="dxa"/>
              <w:right w:w="105" w:type="dxa"/>
            </w:tcMar>
          </w:tcPr>
          <w:p w14:paraId="3C5B6B3F" w14:textId="7251D73F" w:rsidR="01C15B91" w:rsidRDefault="01C15B91" w:rsidP="01C15B91">
            <w:pPr>
              <w:spacing w:beforeAutospacing="1" w:afterAutospacing="1" w:line="240" w:lineRule="auto"/>
              <w:rPr>
                <w:rFonts w:ascii="Calibri" w:eastAsia="Calibri" w:hAnsi="Calibri" w:cs="Calibri"/>
                <w:sz w:val="14"/>
                <w:szCs w:val="14"/>
                <w:lang w:val="en-US"/>
              </w:rPr>
            </w:pPr>
          </w:p>
        </w:tc>
        <w:tc>
          <w:tcPr>
            <w:tcW w:w="1176" w:type="dxa"/>
            <w:vMerge/>
            <w:vAlign w:val="center"/>
          </w:tcPr>
          <w:p w14:paraId="06A5EDCD" w14:textId="77777777" w:rsidR="000866A5" w:rsidRDefault="000866A5"/>
        </w:tc>
        <w:tc>
          <w:tcPr>
            <w:tcW w:w="1176" w:type="dxa"/>
            <w:vMerge/>
            <w:vAlign w:val="center"/>
          </w:tcPr>
          <w:p w14:paraId="735113FA" w14:textId="77777777" w:rsidR="000866A5" w:rsidRDefault="000866A5"/>
        </w:tc>
        <w:tc>
          <w:tcPr>
            <w:tcW w:w="1176" w:type="dxa"/>
            <w:vMerge/>
            <w:vAlign w:val="center"/>
          </w:tcPr>
          <w:p w14:paraId="5C1E5D63" w14:textId="77777777" w:rsidR="000866A5" w:rsidRDefault="000866A5"/>
        </w:tc>
      </w:tr>
      <w:tr w:rsidR="01C15B91" w14:paraId="260D08FD" w14:textId="77777777" w:rsidTr="01C15B91">
        <w:trPr>
          <w:trHeight w:val="300"/>
        </w:trPr>
        <w:tc>
          <w:tcPr>
            <w:tcW w:w="1176" w:type="dxa"/>
            <w:vMerge/>
            <w:vAlign w:val="center"/>
          </w:tcPr>
          <w:p w14:paraId="7000D81F" w14:textId="77777777" w:rsidR="000866A5" w:rsidRDefault="000866A5"/>
        </w:tc>
        <w:tc>
          <w:tcPr>
            <w:tcW w:w="1176" w:type="dxa"/>
            <w:tcMar>
              <w:left w:w="105" w:type="dxa"/>
              <w:right w:w="105" w:type="dxa"/>
            </w:tcMar>
          </w:tcPr>
          <w:p w14:paraId="5BDA77F1" w14:textId="273B336A"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rPr>
              <w:t xml:space="preserve">EUR 3bn </w:t>
            </w:r>
            <w:r w:rsidRPr="01C15B91">
              <w:rPr>
                <w:rFonts w:ascii="Calibri" w:eastAsia="Calibri" w:hAnsi="Calibri" w:cs="Calibri"/>
                <w:sz w:val="14"/>
                <w:szCs w:val="14"/>
                <w:lang w:val="en-US"/>
              </w:rPr>
              <w:t>gross notional</w:t>
            </w:r>
          </w:p>
        </w:tc>
        <w:tc>
          <w:tcPr>
            <w:tcW w:w="1176" w:type="dxa"/>
            <w:tcMar>
              <w:left w:w="105" w:type="dxa"/>
              <w:right w:w="105" w:type="dxa"/>
            </w:tcMar>
          </w:tcPr>
          <w:p w14:paraId="25B5BB1A" w14:textId="6F76A84D"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Interest rate derivatives not executed on a regulated market or third country equivalent regulated market (cleared and uncleared)</w:t>
            </w:r>
          </w:p>
        </w:tc>
        <w:tc>
          <w:tcPr>
            <w:tcW w:w="1176" w:type="dxa"/>
            <w:tcMar>
              <w:left w:w="105" w:type="dxa"/>
              <w:right w:w="105" w:type="dxa"/>
            </w:tcMar>
          </w:tcPr>
          <w:p w14:paraId="20A63278" w14:textId="67B36A90"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Month-end average for previous 12months</w:t>
            </w:r>
          </w:p>
        </w:tc>
        <w:tc>
          <w:tcPr>
            <w:tcW w:w="1176" w:type="dxa"/>
            <w:tcMar>
              <w:left w:w="105" w:type="dxa"/>
              <w:right w:w="105" w:type="dxa"/>
            </w:tcMar>
          </w:tcPr>
          <w:p w14:paraId="0D290EEF" w14:textId="5C7C3790" w:rsidR="01C15B91" w:rsidRDefault="01C15B91" w:rsidP="01C15B91">
            <w:pPr>
              <w:spacing w:beforeAutospacing="1" w:afterAutospacing="1" w:line="240" w:lineRule="auto"/>
              <w:rPr>
                <w:rFonts w:ascii="Calibri" w:eastAsia="Calibri" w:hAnsi="Calibri" w:cs="Calibri"/>
                <w:sz w:val="14"/>
                <w:szCs w:val="14"/>
                <w:lang w:val="en-US"/>
              </w:rPr>
            </w:pPr>
          </w:p>
        </w:tc>
        <w:tc>
          <w:tcPr>
            <w:tcW w:w="1176" w:type="dxa"/>
            <w:vMerge/>
            <w:vAlign w:val="center"/>
          </w:tcPr>
          <w:p w14:paraId="02176757" w14:textId="77777777" w:rsidR="000866A5" w:rsidRDefault="000866A5"/>
        </w:tc>
        <w:tc>
          <w:tcPr>
            <w:tcW w:w="1176" w:type="dxa"/>
            <w:vMerge/>
            <w:vAlign w:val="center"/>
          </w:tcPr>
          <w:p w14:paraId="0A21F0A7" w14:textId="77777777" w:rsidR="000866A5" w:rsidRDefault="000866A5"/>
        </w:tc>
        <w:tc>
          <w:tcPr>
            <w:tcW w:w="1176" w:type="dxa"/>
            <w:vMerge/>
            <w:vAlign w:val="center"/>
          </w:tcPr>
          <w:p w14:paraId="58691B9F" w14:textId="77777777" w:rsidR="000866A5" w:rsidRDefault="000866A5"/>
        </w:tc>
      </w:tr>
      <w:tr w:rsidR="01C15B91" w14:paraId="16D8EE8F" w14:textId="77777777" w:rsidTr="01C15B91">
        <w:trPr>
          <w:trHeight w:val="300"/>
        </w:trPr>
        <w:tc>
          <w:tcPr>
            <w:tcW w:w="1176" w:type="dxa"/>
            <w:vMerge/>
            <w:vAlign w:val="center"/>
          </w:tcPr>
          <w:p w14:paraId="1F708103" w14:textId="77777777" w:rsidR="000866A5" w:rsidRDefault="000866A5"/>
        </w:tc>
        <w:tc>
          <w:tcPr>
            <w:tcW w:w="1176" w:type="dxa"/>
            <w:tcMar>
              <w:left w:w="105" w:type="dxa"/>
              <w:right w:w="105" w:type="dxa"/>
            </w:tcMar>
          </w:tcPr>
          <w:p w14:paraId="7B863648" w14:textId="00B35B88"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rPr>
              <w:t>EUR 3bn</w:t>
            </w:r>
            <w:r w:rsidRPr="01C15B91">
              <w:rPr>
                <w:rFonts w:ascii="Calibri" w:eastAsia="Calibri" w:hAnsi="Calibri" w:cs="Calibri"/>
                <w:sz w:val="14"/>
                <w:szCs w:val="14"/>
                <w:lang w:val="en-US"/>
              </w:rPr>
              <w:t xml:space="preserve"> gross notional</w:t>
            </w:r>
          </w:p>
        </w:tc>
        <w:tc>
          <w:tcPr>
            <w:tcW w:w="1176" w:type="dxa"/>
            <w:tcMar>
              <w:left w:w="105" w:type="dxa"/>
              <w:right w:w="105" w:type="dxa"/>
            </w:tcMar>
          </w:tcPr>
          <w:p w14:paraId="6C32FD18" w14:textId="5B04434A"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Foreign exchange derivatives not executed on a regulated market or third</w:t>
            </w:r>
            <w:r w:rsidR="004B03C0">
              <w:rPr>
                <w:rFonts w:ascii="Calibri" w:eastAsia="Calibri" w:hAnsi="Calibri" w:cs="Calibri"/>
                <w:sz w:val="14"/>
                <w:szCs w:val="14"/>
                <w:lang w:val="en-GB"/>
              </w:rPr>
              <w:t xml:space="preserve"> </w:t>
            </w:r>
            <w:r w:rsidRPr="01C15B91">
              <w:rPr>
                <w:rFonts w:ascii="Calibri" w:eastAsia="Calibri" w:hAnsi="Calibri" w:cs="Calibri"/>
                <w:sz w:val="14"/>
                <w:szCs w:val="14"/>
                <w:lang w:val="en-GB"/>
              </w:rPr>
              <w:t>country equivalent regulated</w:t>
            </w:r>
            <w:r w:rsidR="0035476A">
              <w:rPr>
                <w:rFonts w:ascii="Calibri" w:eastAsia="Calibri" w:hAnsi="Calibri" w:cs="Calibri"/>
                <w:sz w:val="14"/>
                <w:szCs w:val="14"/>
                <w:lang w:val="en-GB"/>
              </w:rPr>
              <w:t xml:space="preserve"> </w:t>
            </w:r>
            <w:r w:rsidRPr="01C15B91">
              <w:rPr>
                <w:rFonts w:ascii="Calibri" w:eastAsia="Calibri" w:hAnsi="Calibri" w:cs="Calibri"/>
                <w:sz w:val="14"/>
                <w:szCs w:val="14"/>
                <w:lang w:val="en-GB"/>
              </w:rPr>
              <w:t>market (cleared and uncleared)</w:t>
            </w:r>
          </w:p>
        </w:tc>
        <w:tc>
          <w:tcPr>
            <w:tcW w:w="1176" w:type="dxa"/>
            <w:tcMar>
              <w:left w:w="105" w:type="dxa"/>
              <w:right w:w="105" w:type="dxa"/>
            </w:tcMar>
          </w:tcPr>
          <w:p w14:paraId="5F430270" w14:textId="562D43D5"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Month-end average for previous 12months</w:t>
            </w:r>
          </w:p>
        </w:tc>
        <w:tc>
          <w:tcPr>
            <w:tcW w:w="1176" w:type="dxa"/>
            <w:tcMar>
              <w:left w:w="105" w:type="dxa"/>
              <w:right w:w="105" w:type="dxa"/>
            </w:tcMar>
          </w:tcPr>
          <w:p w14:paraId="40D429E1" w14:textId="33CF19CC" w:rsidR="01C15B91" w:rsidRDefault="01C15B91" w:rsidP="01C15B91">
            <w:pPr>
              <w:spacing w:beforeAutospacing="1" w:afterAutospacing="1" w:line="240" w:lineRule="auto"/>
              <w:rPr>
                <w:rFonts w:ascii="Calibri" w:eastAsia="Calibri" w:hAnsi="Calibri" w:cs="Calibri"/>
                <w:sz w:val="14"/>
                <w:szCs w:val="14"/>
                <w:lang w:val="en-US"/>
              </w:rPr>
            </w:pPr>
          </w:p>
        </w:tc>
        <w:tc>
          <w:tcPr>
            <w:tcW w:w="1176" w:type="dxa"/>
            <w:vMerge/>
            <w:vAlign w:val="center"/>
          </w:tcPr>
          <w:p w14:paraId="10AC4D36" w14:textId="77777777" w:rsidR="000866A5" w:rsidRDefault="000866A5"/>
        </w:tc>
        <w:tc>
          <w:tcPr>
            <w:tcW w:w="1176" w:type="dxa"/>
            <w:vMerge/>
            <w:vAlign w:val="center"/>
          </w:tcPr>
          <w:p w14:paraId="3E390013" w14:textId="77777777" w:rsidR="000866A5" w:rsidRDefault="000866A5"/>
        </w:tc>
        <w:tc>
          <w:tcPr>
            <w:tcW w:w="1176" w:type="dxa"/>
            <w:vMerge/>
            <w:vAlign w:val="center"/>
          </w:tcPr>
          <w:p w14:paraId="2E0ABF62" w14:textId="77777777" w:rsidR="000866A5" w:rsidRDefault="000866A5"/>
        </w:tc>
      </w:tr>
      <w:tr w:rsidR="01C15B91" w14:paraId="08CE7371" w14:textId="77777777" w:rsidTr="01C15B91">
        <w:trPr>
          <w:trHeight w:val="300"/>
        </w:trPr>
        <w:tc>
          <w:tcPr>
            <w:tcW w:w="1176" w:type="dxa"/>
            <w:vMerge/>
            <w:vAlign w:val="center"/>
          </w:tcPr>
          <w:p w14:paraId="4E0C704F" w14:textId="77777777" w:rsidR="000866A5" w:rsidRDefault="000866A5"/>
        </w:tc>
        <w:tc>
          <w:tcPr>
            <w:tcW w:w="1176" w:type="dxa"/>
            <w:tcMar>
              <w:left w:w="105" w:type="dxa"/>
              <w:right w:w="105" w:type="dxa"/>
            </w:tcMar>
          </w:tcPr>
          <w:p w14:paraId="2724B207" w14:textId="28F2DE33"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rPr>
              <w:t>EUR 4bn</w:t>
            </w:r>
            <w:r w:rsidRPr="01C15B91">
              <w:rPr>
                <w:rFonts w:ascii="Calibri" w:eastAsia="Calibri" w:hAnsi="Calibri" w:cs="Calibri"/>
                <w:sz w:val="14"/>
                <w:szCs w:val="14"/>
                <w:lang w:val="en-US"/>
              </w:rPr>
              <w:t xml:space="preserve"> gross notional</w:t>
            </w:r>
          </w:p>
        </w:tc>
        <w:tc>
          <w:tcPr>
            <w:tcW w:w="1176" w:type="dxa"/>
            <w:tcMar>
              <w:left w:w="105" w:type="dxa"/>
              <w:right w:w="105" w:type="dxa"/>
            </w:tcMar>
          </w:tcPr>
          <w:p w14:paraId="1CE009D8" w14:textId="0F9A11ED"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Commodity and other derivative contracts not executed on a regulated market or third country equivalent regulated market (cleared and uncleared)</w:t>
            </w:r>
          </w:p>
        </w:tc>
        <w:tc>
          <w:tcPr>
            <w:tcW w:w="1176" w:type="dxa"/>
            <w:tcMar>
              <w:left w:w="105" w:type="dxa"/>
              <w:right w:w="105" w:type="dxa"/>
            </w:tcMar>
          </w:tcPr>
          <w:p w14:paraId="74BCCF13" w14:textId="186F452E"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Month-end average for previous 12months</w:t>
            </w:r>
          </w:p>
        </w:tc>
        <w:tc>
          <w:tcPr>
            <w:tcW w:w="1176" w:type="dxa"/>
            <w:tcMar>
              <w:left w:w="105" w:type="dxa"/>
              <w:right w:w="105" w:type="dxa"/>
            </w:tcMar>
          </w:tcPr>
          <w:p w14:paraId="3D675C4D" w14:textId="28628412" w:rsidR="01C15B91" w:rsidRDefault="01C15B91" w:rsidP="01C15B91">
            <w:pPr>
              <w:spacing w:beforeAutospacing="1" w:afterAutospacing="1" w:line="240" w:lineRule="auto"/>
              <w:rPr>
                <w:rFonts w:ascii="Calibri" w:eastAsia="Calibri" w:hAnsi="Calibri" w:cs="Calibri"/>
                <w:sz w:val="14"/>
                <w:szCs w:val="14"/>
                <w:lang w:val="en-US"/>
              </w:rPr>
            </w:pPr>
          </w:p>
        </w:tc>
        <w:tc>
          <w:tcPr>
            <w:tcW w:w="1176" w:type="dxa"/>
            <w:vMerge/>
            <w:vAlign w:val="center"/>
          </w:tcPr>
          <w:p w14:paraId="4BABFBF3" w14:textId="77777777" w:rsidR="000866A5" w:rsidRDefault="000866A5"/>
        </w:tc>
        <w:tc>
          <w:tcPr>
            <w:tcW w:w="1176" w:type="dxa"/>
            <w:vMerge/>
            <w:vAlign w:val="center"/>
          </w:tcPr>
          <w:p w14:paraId="1C7DE6C0" w14:textId="77777777" w:rsidR="000866A5" w:rsidRDefault="000866A5"/>
        </w:tc>
        <w:tc>
          <w:tcPr>
            <w:tcW w:w="1176" w:type="dxa"/>
            <w:vMerge/>
            <w:vAlign w:val="center"/>
          </w:tcPr>
          <w:p w14:paraId="26943753" w14:textId="77777777" w:rsidR="000866A5" w:rsidRDefault="000866A5"/>
        </w:tc>
      </w:tr>
      <w:tr w:rsidR="01C15B91" w14:paraId="6D209CE6" w14:textId="77777777" w:rsidTr="01C15B91">
        <w:trPr>
          <w:trHeight w:val="300"/>
        </w:trPr>
        <w:tc>
          <w:tcPr>
            <w:tcW w:w="1176" w:type="dxa"/>
            <w:tcMar>
              <w:left w:w="105" w:type="dxa"/>
              <w:right w:w="105" w:type="dxa"/>
            </w:tcMar>
          </w:tcPr>
          <w:p w14:paraId="638B98E6" w14:textId="5B103A17"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lastRenderedPageBreak/>
              <w:t>Application of AAR to FCs – condition 2</w:t>
            </w:r>
          </w:p>
          <w:p w14:paraId="43B898F4" w14:textId="4290E3A4"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Either individually or on aggregate across the categories of in-scope transactions (para 20 CP)</w:t>
            </w:r>
          </w:p>
        </w:tc>
        <w:tc>
          <w:tcPr>
            <w:tcW w:w="1176" w:type="dxa"/>
            <w:tcMar>
              <w:left w:w="105" w:type="dxa"/>
              <w:right w:w="105" w:type="dxa"/>
            </w:tcMar>
          </w:tcPr>
          <w:p w14:paraId="49058B16" w14:textId="389BBA4D"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lang w:val="en-US"/>
              </w:rPr>
              <w:t>EUR 3bn gross notional</w:t>
            </w:r>
          </w:p>
        </w:tc>
        <w:tc>
          <w:tcPr>
            <w:tcW w:w="1176" w:type="dxa"/>
            <w:tcMar>
              <w:left w:w="105" w:type="dxa"/>
              <w:right w:w="105" w:type="dxa"/>
            </w:tcMar>
          </w:tcPr>
          <w:p w14:paraId="5DB4B310" w14:textId="02EE0DC9"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EUR IRS not executed on a regulated market or third country equivalent regulated</w:t>
            </w:r>
            <w:r w:rsidR="008E6709">
              <w:rPr>
                <w:rFonts w:ascii="Calibri" w:eastAsia="Calibri" w:hAnsi="Calibri" w:cs="Calibri"/>
                <w:sz w:val="14"/>
                <w:szCs w:val="14"/>
                <w:lang w:val="en-GB"/>
              </w:rPr>
              <w:t xml:space="preserve"> </w:t>
            </w:r>
            <w:r w:rsidRPr="01C15B91">
              <w:rPr>
                <w:rFonts w:ascii="Calibri" w:eastAsia="Calibri" w:hAnsi="Calibri" w:cs="Calibri"/>
                <w:sz w:val="14"/>
                <w:szCs w:val="14"/>
                <w:lang w:val="en-GB"/>
              </w:rPr>
              <w:t>market (cleared)</w:t>
            </w:r>
          </w:p>
          <w:p w14:paraId="734B70A6" w14:textId="00525627" w:rsidR="01C15B91" w:rsidRPr="003D52E7"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 xml:space="preserve">PLN IRS not executed on a regulated market or third country equivalent regulated market (cleared) </w:t>
            </w:r>
          </w:p>
          <w:p w14:paraId="14242BAB" w14:textId="5AF3AEC9"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EUR STIR not executed on a regulated market or third country equivalent regulated market (cleared)</w:t>
            </w:r>
          </w:p>
          <w:p w14:paraId="262E7471" w14:textId="64BBE9A0"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u w:val="single"/>
                <w:lang w:val="en-US"/>
              </w:rPr>
              <w:t>Unclear in CP</w:t>
            </w:r>
            <w:r w:rsidRPr="01C15B91">
              <w:rPr>
                <w:rFonts w:ascii="Calibri" w:eastAsia="Calibri" w:hAnsi="Calibri" w:cs="Calibri"/>
                <w:sz w:val="14"/>
                <w:szCs w:val="14"/>
                <w:lang w:val="en-US"/>
              </w:rPr>
              <w:t xml:space="preserve"> whether calculation includes both cleared and uncleared contracts.</w:t>
            </w:r>
          </w:p>
          <w:p w14:paraId="46F47B87" w14:textId="5AFE3D86" w:rsidR="01C15B91" w:rsidRPr="004B03C0" w:rsidRDefault="01C15B91" w:rsidP="01C15B91">
            <w:pPr>
              <w:pStyle w:val="NormalWeb"/>
              <w:spacing w:line="240" w:lineRule="auto"/>
              <w:rPr>
                <w:rFonts w:ascii="Calibri" w:eastAsia="Calibri" w:hAnsi="Calibri" w:cs="Calibri"/>
                <w:color w:val="FF0000"/>
                <w:sz w:val="14"/>
                <w:szCs w:val="14"/>
                <w:lang w:val="en-GB"/>
              </w:rPr>
            </w:pPr>
            <w:r w:rsidRPr="01C15B91">
              <w:rPr>
                <w:rFonts w:ascii="Calibri" w:eastAsia="Calibri" w:hAnsi="Calibri" w:cs="Calibri"/>
                <w:color w:val="FF0000"/>
                <w:sz w:val="14"/>
                <w:szCs w:val="14"/>
                <w:lang w:val="en-US"/>
              </w:rPr>
              <w:t>ISDA proposal :</w:t>
            </w:r>
          </w:p>
          <w:p w14:paraId="76E87472" w14:textId="3413459E" w:rsidR="01C15B91" w:rsidRPr="004B03C0" w:rsidRDefault="01C15B91" w:rsidP="01C15B91">
            <w:pPr>
              <w:pStyle w:val="NormalWeb"/>
              <w:spacing w:line="240" w:lineRule="auto"/>
              <w:rPr>
                <w:rFonts w:ascii="Calibri" w:eastAsia="Calibri" w:hAnsi="Calibri" w:cs="Calibri"/>
                <w:color w:val="FF0000"/>
                <w:sz w:val="14"/>
                <w:szCs w:val="14"/>
                <w:lang w:val="en-GB"/>
              </w:rPr>
            </w:pPr>
            <w:r w:rsidRPr="01C15B91">
              <w:rPr>
                <w:rFonts w:ascii="Calibri" w:eastAsia="Calibri" w:hAnsi="Calibri" w:cs="Calibri"/>
                <w:color w:val="FF0000"/>
                <w:sz w:val="14"/>
                <w:szCs w:val="14"/>
                <w:lang w:val="en-US"/>
              </w:rPr>
              <w:t xml:space="preserve">include only cleared </w:t>
            </w:r>
            <w:r w:rsidRPr="01C15B91">
              <w:rPr>
                <w:rFonts w:ascii="Calibri" w:eastAsia="Calibri" w:hAnsi="Calibri" w:cs="Calibri"/>
                <w:color w:val="FF0000"/>
                <w:sz w:val="14"/>
                <w:szCs w:val="14"/>
                <w:lang w:val="en-GB"/>
              </w:rPr>
              <w:t>contracts</w:t>
            </w:r>
          </w:p>
        </w:tc>
        <w:tc>
          <w:tcPr>
            <w:tcW w:w="1176" w:type="dxa"/>
            <w:tcMar>
              <w:left w:w="105" w:type="dxa"/>
              <w:right w:w="105" w:type="dxa"/>
            </w:tcMar>
          </w:tcPr>
          <w:p w14:paraId="23AE0654" w14:textId="14E0400D"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 xml:space="preserve">Month-end average for previous 12 months on an individual basis or on aggregate </w:t>
            </w:r>
            <w:r w:rsidRPr="01C15B91">
              <w:rPr>
                <w:rFonts w:ascii="Calibri" w:eastAsia="Calibri" w:hAnsi="Calibri" w:cs="Calibri"/>
                <w:sz w:val="14"/>
                <w:szCs w:val="14"/>
                <w:lang w:val="en-GB"/>
              </w:rPr>
              <w:t>across the categories of in-scope transactions</w:t>
            </w:r>
          </w:p>
        </w:tc>
        <w:tc>
          <w:tcPr>
            <w:tcW w:w="1176" w:type="dxa"/>
            <w:tcMar>
              <w:left w:w="105" w:type="dxa"/>
              <w:right w:w="105" w:type="dxa"/>
            </w:tcMar>
          </w:tcPr>
          <w:p w14:paraId="26E97CB3" w14:textId="0C4CEFF0" w:rsidR="01C15B91" w:rsidRDefault="01C15B91" w:rsidP="01C15B91">
            <w:pPr>
              <w:spacing w:beforeAutospacing="1" w:afterAutospacing="1" w:line="240" w:lineRule="auto"/>
              <w:rPr>
                <w:rFonts w:ascii="Calibri" w:eastAsia="Calibri" w:hAnsi="Calibri" w:cs="Calibri"/>
                <w:sz w:val="14"/>
                <w:szCs w:val="14"/>
                <w:lang w:val="en-US"/>
              </w:rPr>
            </w:pPr>
          </w:p>
        </w:tc>
        <w:tc>
          <w:tcPr>
            <w:tcW w:w="1176" w:type="dxa"/>
            <w:tcMar>
              <w:left w:w="105" w:type="dxa"/>
              <w:right w:w="105" w:type="dxa"/>
            </w:tcMar>
          </w:tcPr>
          <w:p w14:paraId="1A1E318A" w14:textId="038EBA14"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u w:val="single"/>
                <w:lang w:val="en-GB"/>
              </w:rPr>
              <w:t xml:space="preserve">Unclear in CP </w:t>
            </w:r>
          </w:p>
          <w:p w14:paraId="7CE767BB" w14:textId="2FF8C06F" w:rsidR="01C15B91" w:rsidRPr="004B03C0" w:rsidRDefault="01C15B91" w:rsidP="01C15B91">
            <w:pPr>
              <w:pStyle w:val="NormalWeb"/>
              <w:spacing w:line="240" w:lineRule="auto"/>
              <w:rPr>
                <w:rFonts w:ascii="Calibri" w:eastAsia="Calibri" w:hAnsi="Calibri" w:cs="Calibri"/>
                <w:color w:val="FF0000"/>
                <w:sz w:val="14"/>
                <w:szCs w:val="14"/>
                <w:lang w:val="en-GB"/>
              </w:rPr>
            </w:pPr>
            <w:r w:rsidRPr="01C15B91">
              <w:rPr>
                <w:rFonts w:ascii="Calibri" w:eastAsia="Calibri" w:hAnsi="Calibri" w:cs="Calibri"/>
                <w:color w:val="FF0000"/>
                <w:sz w:val="14"/>
                <w:szCs w:val="14"/>
                <w:lang w:val="en-GB"/>
              </w:rPr>
              <w:t>ISDA proposal:</w:t>
            </w:r>
          </w:p>
          <w:p w14:paraId="65B04548" w14:textId="4D142CAE" w:rsidR="01C15B91" w:rsidRPr="004B03C0" w:rsidRDefault="01C15B91" w:rsidP="01C15B91">
            <w:pPr>
              <w:pStyle w:val="NormalWeb"/>
              <w:spacing w:line="240" w:lineRule="auto"/>
              <w:rPr>
                <w:rFonts w:ascii="Calibri" w:eastAsia="Calibri" w:hAnsi="Calibri" w:cs="Calibri"/>
                <w:color w:val="FF0000"/>
                <w:sz w:val="14"/>
                <w:szCs w:val="14"/>
                <w:lang w:val="en-GB"/>
              </w:rPr>
            </w:pPr>
            <w:r w:rsidRPr="01C15B91">
              <w:rPr>
                <w:rFonts w:ascii="Calibri" w:eastAsia="Calibri" w:hAnsi="Calibri" w:cs="Calibri"/>
                <w:color w:val="FF0000"/>
                <w:sz w:val="14"/>
                <w:szCs w:val="14"/>
                <w:lang w:val="en-US"/>
              </w:rPr>
              <w:t xml:space="preserve">The 12 month look-back periods should be the same as the look-back periods for the purposes of Article 4a and the first look-back period should be the 12 months ending before the FC's last annual calculation date under Article 4a before EMIR 3.0 entered into force (e.g., for FCs whose calculation date is 17 June in each year, the 12 months ended 31 May </w:t>
            </w:r>
            <w:r w:rsidRPr="01C15B91">
              <w:rPr>
                <w:rFonts w:ascii="Calibri" w:eastAsia="Calibri" w:hAnsi="Calibri" w:cs="Calibri"/>
                <w:color w:val="FF0000"/>
                <w:sz w:val="14"/>
                <w:szCs w:val="14"/>
                <w:lang w:val="en-GB"/>
              </w:rPr>
              <w:t>2024)</w:t>
            </w:r>
          </w:p>
        </w:tc>
        <w:tc>
          <w:tcPr>
            <w:tcW w:w="1176" w:type="dxa"/>
            <w:tcMar>
              <w:left w:w="105" w:type="dxa"/>
              <w:right w:w="105" w:type="dxa"/>
            </w:tcMar>
          </w:tcPr>
          <w:p w14:paraId="00D5FDCC" w14:textId="711D5BF6"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Included for the purpose of calculating condition 2</w:t>
            </w:r>
          </w:p>
        </w:tc>
        <w:tc>
          <w:tcPr>
            <w:tcW w:w="1176" w:type="dxa"/>
            <w:tcMar>
              <w:left w:w="105" w:type="dxa"/>
              <w:right w:w="105" w:type="dxa"/>
            </w:tcMar>
          </w:tcPr>
          <w:p w14:paraId="29E86B4F" w14:textId="5152011E"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Group level (excluding intragroup transactions) if the FC is part of a group subject to consolidated supervision in the EU under the CRD</w:t>
            </w:r>
          </w:p>
          <w:p w14:paraId="452C3BB1" w14:textId="0D69FE27"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 xml:space="preserve">Entity level (including intragroup transactions) if the FC is not part of a group subject to consolidated supervision in the </w:t>
            </w:r>
            <w:r w:rsidRPr="01C15B91">
              <w:rPr>
                <w:rFonts w:ascii="Calibri" w:eastAsia="Calibri" w:hAnsi="Calibri" w:cs="Calibri"/>
                <w:sz w:val="14"/>
                <w:szCs w:val="14"/>
                <w:lang w:val="en-GB"/>
              </w:rPr>
              <w:t>EU under CRD</w:t>
            </w:r>
          </w:p>
        </w:tc>
      </w:tr>
      <w:tr w:rsidR="01C15B91" w14:paraId="6718B306" w14:textId="77777777" w:rsidTr="01C15B91">
        <w:trPr>
          <w:trHeight w:val="300"/>
        </w:trPr>
        <w:tc>
          <w:tcPr>
            <w:tcW w:w="1176" w:type="dxa"/>
            <w:tcMar>
              <w:left w:w="105" w:type="dxa"/>
              <w:right w:w="105" w:type="dxa"/>
            </w:tcMar>
          </w:tcPr>
          <w:p w14:paraId="21A8590F" w14:textId="68800056"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lang w:val="en-GB"/>
              </w:rPr>
              <w:t>Exemption from representativeness</w:t>
            </w:r>
          </w:p>
        </w:tc>
        <w:tc>
          <w:tcPr>
            <w:tcW w:w="1176" w:type="dxa"/>
            <w:tcMar>
              <w:left w:w="105" w:type="dxa"/>
              <w:right w:w="105" w:type="dxa"/>
            </w:tcMar>
          </w:tcPr>
          <w:p w14:paraId="1F770378" w14:textId="6D235EE9"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lang w:val="en-GB"/>
              </w:rPr>
              <w:t xml:space="preserve">EUR 6bn </w:t>
            </w:r>
            <w:r w:rsidRPr="01C15B91">
              <w:rPr>
                <w:rFonts w:ascii="Calibri" w:eastAsia="Calibri" w:hAnsi="Calibri" w:cs="Calibri"/>
                <w:sz w:val="14"/>
                <w:szCs w:val="14"/>
                <w:lang w:val="en-US"/>
              </w:rPr>
              <w:t>gross notional</w:t>
            </w:r>
          </w:p>
        </w:tc>
        <w:tc>
          <w:tcPr>
            <w:tcW w:w="1176" w:type="dxa"/>
            <w:tcMar>
              <w:left w:w="105" w:type="dxa"/>
              <w:right w:w="105" w:type="dxa"/>
            </w:tcMar>
          </w:tcPr>
          <w:p w14:paraId="76A1E477" w14:textId="3A0DA59E"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 xml:space="preserve">EUR IRS not executed on a regulated market or third country equivalent regulated market  (cleared) </w:t>
            </w:r>
          </w:p>
          <w:p w14:paraId="6EEC92DE" w14:textId="10F44DE7"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PLN IRS not executed on a regulated market or third country equivalent regulated market  (cleared))</w:t>
            </w:r>
          </w:p>
          <w:p w14:paraId="22162345" w14:textId="5FCB8AB1"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EUR STIR not executed on a regulated market or third country equivalent regulated market (cleared)</w:t>
            </w:r>
          </w:p>
        </w:tc>
        <w:tc>
          <w:tcPr>
            <w:tcW w:w="1176" w:type="dxa"/>
            <w:tcMar>
              <w:left w:w="105" w:type="dxa"/>
              <w:right w:w="105" w:type="dxa"/>
            </w:tcMar>
          </w:tcPr>
          <w:p w14:paraId="76CF2D7D" w14:textId="73954341"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 xml:space="preserve">Month-end average for previous 12 months on aggregate </w:t>
            </w:r>
            <w:r w:rsidRPr="01C15B91">
              <w:rPr>
                <w:rFonts w:ascii="Calibri" w:eastAsia="Calibri" w:hAnsi="Calibri" w:cs="Calibri"/>
                <w:sz w:val="14"/>
                <w:szCs w:val="14"/>
                <w:lang w:val="en-GB"/>
              </w:rPr>
              <w:t>across the categories of in-scope transactions</w:t>
            </w:r>
          </w:p>
        </w:tc>
        <w:tc>
          <w:tcPr>
            <w:tcW w:w="1176" w:type="dxa"/>
            <w:tcMar>
              <w:left w:w="105" w:type="dxa"/>
              <w:right w:w="105" w:type="dxa"/>
            </w:tcMar>
          </w:tcPr>
          <w:p w14:paraId="70321C4E" w14:textId="598899FF" w:rsidR="01C15B91" w:rsidRDefault="01C15B91" w:rsidP="01C15B91">
            <w:pPr>
              <w:spacing w:beforeAutospacing="1" w:afterAutospacing="1" w:line="240" w:lineRule="auto"/>
              <w:rPr>
                <w:rFonts w:ascii="Calibri" w:eastAsia="Calibri" w:hAnsi="Calibri" w:cs="Calibri"/>
                <w:sz w:val="14"/>
                <w:szCs w:val="14"/>
                <w:lang w:val="en-US"/>
              </w:rPr>
            </w:pPr>
          </w:p>
        </w:tc>
        <w:tc>
          <w:tcPr>
            <w:tcW w:w="1176" w:type="dxa"/>
            <w:tcMar>
              <w:left w:w="105" w:type="dxa"/>
              <w:right w:w="105" w:type="dxa"/>
            </w:tcMar>
          </w:tcPr>
          <w:p w14:paraId="09260E65" w14:textId="09D8BC97"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u w:val="single"/>
                <w:lang w:val="en-GB"/>
              </w:rPr>
              <w:t>Unclear in CP</w:t>
            </w:r>
          </w:p>
          <w:p w14:paraId="46BC6629" w14:textId="39C21D9A" w:rsidR="01C15B91" w:rsidRDefault="01C15B91" w:rsidP="01C15B91">
            <w:pPr>
              <w:spacing w:beforeAutospacing="1" w:afterAutospacing="1" w:line="240" w:lineRule="auto"/>
              <w:rPr>
                <w:rFonts w:ascii="Calibri" w:eastAsia="Calibri" w:hAnsi="Calibri" w:cs="Calibri"/>
                <w:sz w:val="14"/>
                <w:szCs w:val="14"/>
              </w:rPr>
            </w:pPr>
          </w:p>
        </w:tc>
        <w:tc>
          <w:tcPr>
            <w:tcW w:w="1176" w:type="dxa"/>
            <w:tcMar>
              <w:left w:w="105" w:type="dxa"/>
              <w:right w:w="105" w:type="dxa"/>
            </w:tcMar>
          </w:tcPr>
          <w:p w14:paraId="21029E92" w14:textId="06B616CF"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 xml:space="preserve">Excluded </w:t>
            </w:r>
            <w:r w:rsidRPr="01C15B91">
              <w:rPr>
                <w:rFonts w:ascii="Calibri" w:eastAsia="Calibri" w:hAnsi="Calibri" w:cs="Calibri"/>
                <w:sz w:val="14"/>
                <w:szCs w:val="14"/>
                <w:lang w:val="en-US"/>
              </w:rPr>
              <w:t xml:space="preserve"> for the purposes of calculating whether the FC's notional clearing volume outstanding exceeds the EUR 6 bn </w:t>
            </w:r>
            <w:r w:rsidRPr="01C15B91">
              <w:rPr>
                <w:rFonts w:ascii="Calibri" w:eastAsia="Calibri" w:hAnsi="Calibri" w:cs="Calibri"/>
                <w:sz w:val="14"/>
                <w:szCs w:val="14"/>
                <w:lang w:val="en-GB"/>
              </w:rPr>
              <w:t>threshold</w:t>
            </w:r>
            <w:r w:rsidRPr="01C15B91">
              <w:rPr>
                <w:rFonts w:ascii="Calibri" w:eastAsia="Calibri" w:hAnsi="Calibri" w:cs="Calibri"/>
                <w:strike/>
                <w:color w:val="0078D4"/>
                <w:sz w:val="14"/>
                <w:szCs w:val="14"/>
                <w:lang w:val="en-GB"/>
              </w:rPr>
              <w:t>.</w:t>
            </w:r>
          </w:p>
        </w:tc>
        <w:tc>
          <w:tcPr>
            <w:tcW w:w="1176" w:type="dxa"/>
            <w:tcMar>
              <w:left w:w="105" w:type="dxa"/>
              <w:right w:w="105" w:type="dxa"/>
            </w:tcMar>
          </w:tcPr>
          <w:p w14:paraId="6ECEFF8B" w14:textId="323E15F8"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Group level (excluding intragroup transactions) if the FC is part of a group subject to consolidated supervision in the EU under the CRD</w:t>
            </w:r>
          </w:p>
          <w:p w14:paraId="7B80797A" w14:textId="0C919105"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 xml:space="preserve">Entity level (including intragroup transactions) if the FC is not part of a group subject to consolidated supervision in the </w:t>
            </w:r>
            <w:r w:rsidRPr="01C15B91">
              <w:rPr>
                <w:rFonts w:ascii="Calibri" w:eastAsia="Calibri" w:hAnsi="Calibri" w:cs="Calibri"/>
                <w:sz w:val="14"/>
                <w:szCs w:val="14"/>
                <w:lang w:val="en-GB"/>
              </w:rPr>
              <w:t>EU under CRD</w:t>
            </w:r>
          </w:p>
          <w:p w14:paraId="3EF196F7" w14:textId="41E2C750" w:rsidR="01C15B91" w:rsidRDefault="01C15B91" w:rsidP="01C15B91">
            <w:pPr>
              <w:spacing w:beforeAutospacing="1" w:afterAutospacing="1" w:line="240" w:lineRule="auto"/>
              <w:rPr>
                <w:rFonts w:ascii="Calibri" w:eastAsia="Calibri" w:hAnsi="Calibri" w:cs="Calibri"/>
                <w:sz w:val="14"/>
                <w:szCs w:val="14"/>
              </w:rPr>
            </w:pPr>
          </w:p>
        </w:tc>
      </w:tr>
      <w:tr w:rsidR="01C15B91" w14:paraId="3445A57D" w14:textId="77777777" w:rsidTr="01C15B91">
        <w:trPr>
          <w:trHeight w:val="300"/>
        </w:trPr>
        <w:tc>
          <w:tcPr>
            <w:tcW w:w="1176" w:type="dxa"/>
            <w:tcMar>
              <w:left w:w="105" w:type="dxa"/>
              <w:right w:w="105" w:type="dxa"/>
            </w:tcMar>
          </w:tcPr>
          <w:p w14:paraId="0E32AB2B" w14:textId="50537626"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lang w:val="en-GB"/>
              </w:rPr>
              <w:t>Large counterparties for representativeness</w:t>
            </w:r>
          </w:p>
        </w:tc>
        <w:tc>
          <w:tcPr>
            <w:tcW w:w="1176" w:type="dxa"/>
            <w:tcMar>
              <w:left w:w="105" w:type="dxa"/>
              <w:right w:w="105" w:type="dxa"/>
            </w:tcMar>
          </w:tcPr>
          <w:p w14:paraId="26FA19EC" w14:textId="06ED97D1"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lang w:val="en-GB"/>
              </w:rPr>
              <w:t xml:space="preserve">EUR 100bn </w:t>
            </w:r>
            <w:r w:rsidRPr="01C15B91">
              <w:rPr>
                <w:rFonts w:ascii="Calibri" w:eastAsia="Calibri" w:hAnsi="Calibri" w:cs="Calibri"/>
                <w:sz w:val="14"/>
                <w:szCs w:val="14"/>
                <w:lang w:val="en-US"/>
              </w:rPr>
              <w:t>gross notional</w:t>
            </w:r>
          </w:p>
        </w:tc>
        <w:tc>
          <w:tcPr>
            <w:tcW w:w="1176" w:type="dxa"/>
            <w:tcMar>
              <w:left w:w="105" w:type="dxa"/>
              <w:right w:w="105" w:type="dxa"/>
            </w:tcMar>
          </w:tcPr>
          <w:p w14:paraId="22D8EB95" w14:textId="557A845A"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 xml:space="preserve">EUR IRS not executed on a regulated market or third country equivalent regulated market  (cleared) </w:t>
            </w:r>
          </w:p>
          <w:p w14:paraId="1CD3EFBF" w14:textId="5D62E84D"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 xml:space="preserve">PLN IRS not executed on a regulated market or third country </w:t>
            </w:r>
            <w:r w:rsidRPr="01C15B91">
              <w:rPr>
                <w:rFonts w:ascii="Calibri" w:eastAsia="Calibri" w:hAnsi="Calibri" w:cs="Calibri"/>
                <w:sz w:val="14"/>
                <w:szCs w:val="14"/>
                <w:lang w:val="en-GB"/>
              </w:rPr>
              <w:lastRenderedPageBreak/>
              <w:t>equivalent regulated market  (cleared))</w:t>
            </w:r>
          </w:p>
          <w:p w14:paraId="5D384B3E" w14:textId="18790885"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EUR STIR not executed on a regulated market or third country equivalent regulated market (cleared)</w:t>
            </w:r>
          </w:p>
        </w:tc>
        <w:tc>
          <w:tcPr>
            <w:tcW w:w="1176" w:type="dxa"/>
            <w:tcMar>
              <w:left w:w="105" w:type="dxa"/>
              <w:right w:w="105" w:type="dxa"/>
            </w:tcMar>
          </w:tcPr>
          <w:p w14:paraId="53F0FA8D" w14:textId="7C08FAEA"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lastRenderedPageBreak/>
              <w:t xml:space="preserve">Month-end average for previous 12 months on aggregate </w:t>
            </w:r>
            <w:r w:rsidRPr="01C15B91">
              <w:rPr>
                <w:rFonts w:ascii="Calibri" w:eastAsia="Calibri" w:hAnsi="Calibri" w:cs="Calibri"/>
                <w:sz w:val="14"/>
                <w:szCs w:val="14"/>
                <w:lang w:val="en-GB"/>
              </w:rPr>
              <w:t>across the categories of in-scope transactions</w:t>
            </w:r>
          </w:p>
        </w:tc>
        <w:tc>
          <w:tcPr>
            <w:tcW w:w="1176" w:type="dxa"/>
            <w:tcMar>
              <w:left w:w="105" w:type="dxa"/>
              <w:right w:w="105" w:type="dxa"/>
            </w:tcMar>
          </w:tcPr>
          <w:p w14:paraId="49064D4D" w14:textId="33B4CD04" w:rsidR="01C15B91" w:rsidRDefault="01C15B91" w:rsidP="01C15B91">
            <w:pPr>
              <w:spacing w:beforeAutospacing="1" w:afterAutospacing="1" w:line="240" w:lineRule="auto"/>
              <w:rPr>
                <w:rFonts w:ascii="Calibri" w:eastAsia="Calibri" w:hAnsi="Calibri" w:cs="Calibri"/>
                <w:sz w:val="14"/>
                <w:szCs w:val="14"/>
                <w:lang w:val="en-US"/>
              </w:rPr>
            </w:pPr>
          </w:p>
        </w:tc>
        <w:tc>
          <w:tcPr>
            <w:tcW w:w="1176" w:type="dxa"/>
            <w:tcMar>
              <w:left w:w="105" w:type="dxa"/>
              <w:right w:w="105" w:type="dxa"/>
            </w:tcMar>
          </w:tcPr>
          <w:p w14:paraId="48BB5559" w14:textId="01C089FC"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u w:val="single"/>
                <w:lang w:val="en-GB"/>
              </w:rPr>
              <w:t>Unclear in CP</w:t>
            </w:r>
          </w:p>
          <w:p w14:paraId="0DE203F1" w14:textId="70C94D87" w:rsidR="01C15B91" w:rsidRDefault="01C15B91" w:rsidP="01C15B91">
            <w:pPr>
              <w:spacing w:beforeAutospacing="1" w:afterAutospacing="1" w:line="240" w:lineRule="auto"/>
              <w:rPr>
                <w:rFonts w:ascii="Calibri" w:eastAsia="Calibri" w:hAnsi="Calibri" w:cs="Calibri"/>
                <w:sz w:val="14"/>
                <w:szCs w:val="14"/>
              </w:rPr>
            </w:pPr>
          </w:p>
        </w:tc>
        <w:tc>
          <w:tcPr>
            <w:tcW w:w="1176" w:type="dxa"/>
            <w:tcMar>
              <w:left w:w="105" w:type="dxa"/>
              <w:right w:w="105" w:type="dxa"/>
            </w:tcMar>
          </w:tcPr>
          <w:p w14:paraId="0122C184" w14:textId="364A200F"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 xml:space="preserve">Excluded   </w:t>
            </w:r>
            <w:r w:rsidRPr="01C15B91">
              <w:rPr>
                <w:rFonts w:ascii="Calibri" w:eastAsia="Calibri" w:hAnsi="Calibri" w:cs="Calibri"/>
                <w:color w:val="0000FF"/>
                <w:sz w:val="14"/>
                <w:szCs w:val="14"/>
                <w:lang w:val="en-US"/>
              </w:rPr>
              <w:t xml:space="preserve"> f</w:t>
            </w:r>
            <w:r w:rsidRPr="01C15B91">
              <w:rPr>
                <w:rFonts w:ascii="Calibri" w:eastAsia="Calibri" w:hAnsi="Calibri" w:cs="Calibri"/>
                <w:sz w:val="14"/>
                <w:szCs w:val="14"/>
                <w:lang w:val="en-US"/>
              </w:rPr>
              <w:t xml:space="preserve">or the purposes of calculating whether the FC's notional clearing volume outstanding exceeds the EUR 100 bn </w:t>
            </w:r>
            <w:r w:rsidRPr="01C15B91">
              <w:rPr>
                <w:rFonts w:ascii="Calibri" w:eastAsia="Calibri" w:hAnsi="Calibri" w:cs="Calibri"/>
                <w:sz w:val="14"/>
                <w:szCs w:val="14"/>
                <w:lang w:val="en-GB"/>
              </w:rPr>
              <w:t>threshold.</w:t>
            </w:r>
          </w:p>
        </w:tc>
        <w:tc>
          <w:tcPr>
            <w:tcW w:w="1176" w:type="dxa"/>
            <w:tcMar>
              <w:left w:w="105" w:type="dxa"/>
              <w:right w:w="105" w:type="dxa"/>
            </w:tcMar>
          </w:tcPr>
          <w:p w14:paraId="3EFAFEED" w14:textId="7E275C85"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Group level (excluding intragroup transactions) if the FC is part of a group subject to consolidated supervision in the EU under the CRD</w:t>
            </w:r>
          </w:p>
          <w:p w14:paraId="6D29AC45" w14:textId="2E449331"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lastRenderedPageBreak/>
              <w:t xml:space="preserve">Entity level (including intragroup transactions) if the FC is not part of a group subject to consolidated supervision in the </w:t>
            </w:r>
            <w:r w:rsidRPr="01C15B91">
              <w:rPr>
                <w:rFonts w:ascii="Calibri" w:eastAsia="Calibri" w:hAnsi="Calibri" w:cs="Calibri"/>
                <w:sz w:val="14"/>
                <w:szCs w:val="14"/>
                <w:lang w:val="en-GB"/>
              </w:rPr>
              <w:t>EU under CRD</w:t>
            </w:r>
          </w:p>
          <w:p w14:paraId="3AF6052D" w14:textId="4DA16FDE" w:rsidR="01C15B91" w:rsidRDefault="01C15B91" w:rsidP="01C15B91">
            <w:pPr>
              <w:spacing w:beforeAutospacing="1" w:afterAutospacing="1" w:line="240" w:lineRule="auto"/>
              <w:rPr>
                <w:rFonts w:ascii="Calibri" w:eastAsia="Calibri" w:hAnsi="Calibri" w:cs="Calibri"/>
                <w:sz w:val="14"/>
                <w:szCs w:val="14"/>
              </w:rPr>
            </w:pPr>
          </w:p>
        </w:tc>
      </w:tr>
      <w:tr w:rsidR="01C15B91" w14:paraId="486A3C36" w14:textId="77777777" w:rsidTr="01C15B91">
        <w:trPr>
          <w:trHeight w:val="300"/>
        </w:trPr>
        <w:tc>
          <w:tcPr>
            <w:tcW w:w="1176" w:type="dxa"/>
            <w:tcMar>
              <w:left w:w="105" w:type="dxa"/>
              <w:right w:w="105" w:type="dxa"/>
            </w:tcMar>
          </w:tcPr>
          <w:p w14:paraId="1D21C86C" w14:textId="34E257E2"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lastRenderedPageBreak/>
              <w:t>Exemption from operational and reporting conditions</w:t>
            </w:r>
          </w:p>
          <w:p w14:paraId="69306844" w14:textId="4FAC5CEB" w:rsidR="01C15B91" w:rsidRDefault="01C15B91" w:rsidP="01C15B91">
            <w:pPr>
              <w:spacing w:beforeAutospacing="1" w:afterAutospacing="1" w:line="240" w:lineRule="auto"/>
              <w:jc w:val="center"/>
              <w:rPr>
                <w:rFonts w:ascii="Calibri" w:eastAsia="Calibri" w:hAnsi="Calibri" w:cs="Calibri"/>
                <w:sz w:val="14"/>
                <w:szCs w:val="14"/>
              </w:rPr>
            </w:pPr>
          </w:p>
        </w:tc>
        <w:tc>
          <w:tcPr>
            <w:tcW w:w="1176" w:type="dxa"/>
            <w:tcMar>
              <w:left w:w="105" w:type="dxa"/>
              <w:right w:w="105" w:type="dxa"/>
            </w:tcMar>
          </w:tcPr>
          <w:p w14:paraId="587F2180" w14:textId="59B1350A"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lang w:val="en-GB"/>
              </w:rPr>
              <w:t>85% of gross notional</w:t>
            </w:r>
          </w:p>
        </w:tc>
        <w:tc>
          <w:tcPr>
            <w:tcW w:w="1176" w:type="dxa"/>
            <w:tcMar>
              <w:left w:w="105" w:type="dxa"/>
              <w:right w:w="105" w:type="dxa"/>
            </w:tcMar>
          </w:tcPr>
          <w:p w14:paraId="734E3C3C" w14:textId="3F5C961E"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 xml:space="preserve">EUR IRS not executed on a regulated market or third country equivalent regulated market  (cleared) </w:t>
            </w:r>
          </w:p>
          <w:p w14:paraId="4C37749A" w14:textId="3232D793"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PLN IRS not executed on a regulated market or third country equivalent regulated market  (cleared))</w:t>
            </w:r>
          </w:p>
          <w:p w14:paraId="3F64D026" w14:textId="109D83E1"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EUR STIR not executed on a regulated market or third country equivalent regulated market (cleared</w:t>
            </w:r>
          </w:p>
        </w:tc>
        <w:tc>
          <w:tcPr>
            <w:tcW w:w="1176" w:type="dxa"/>
            <w:tcMar>
              <w:left w:w="105" w:type="dxa"/>
              <w:right w:w="105" w:type="dxa"/>
            </w:tcMar>
          </w:tcPr>
          <w:p w14:paraId="5A1350E2" w14:textId="6AF6EEE3"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Month-end average for previous 12 months</w:t>
            </w:r>
          </w:p>
          <w:p w14:paraId="2D6D12F8" w14:textId="36983B94"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 xml:space="preserve">On aggregate </w:t>
            </w:r>
            <w:r w:rsidRPr="01C15B91">
              <w:rPr>
                <w:rFonts w:ascii="Calibri" w:eastAsia="Calibri" w:hAnsi="Calibri" w:cs="Calibri"/>
                <w:sz w:val="14"/>
                <w:szCs w:val="14"/>
                <w:lang w:val="en-GB"/>
              </w:rPr>
              <w:t>across the categories of in-scope transactions.</w:t>
            </w:r>
          </w:p>
          <w:p w14:paraId="499B5433" w14:textId="60C405AC" w:rsidR="01C15B91" w:rsidRDefault="01C15B91" w:rsidP="01C15B91">
            <w:pPr>
              <w:spacing w:beforeAutospacing="1" w:afterAutospacing="1" w:line="240" w:lineRule="auto"/>
              <w:rPr>
                <w:rFonts w:ascii="Calibri" w:eastAsia="Calibri" w:hAnsi="Calibri" w:cs="Calibri"/>
                <w:sz w:val="14"/>
                <w:szCs w:val="14"/>
              </w:rPr>
            </w:pPr>
          </w:p>
        </w:tc>
        <w:tc>
          <w:tcPr>
            <w:tcW w:w="1176" w:type="dxa"/>
            <w:tcMar>
              <w:left w:w="105" w:type="dxa"/>
              <w:right w:w="105" w:type="dxa"/>
            </w:tcMar>
          </w:tcPr>
          <w:p w14:paraId="6A21E1A8" w14:textId="5B38286B" w:rsidR="01C15B91" w:rsidRDefault="01C15B91" w:rsidP="01C15B91">
            <w:pPr>
              <w:spacing w:beforeAutospacing="1" w:afterAutospacing="1" w:line="240" w:lineRule="auto"/>
              <w:rPr>
                <w:rFonts w:ascii="Calibri" w:eastAsia="Calibri" w:hAnsi="Calibri" w:cs="Calibri"/>
                <w:sz w:val="14"/>
                <w:szCs w:val="14"/>
                <w:lang w:val="en-US"/>
              </w:rPr>
            </w:pPr>
          </w:p>
        </w:tc>
        <w:tc>
          <w:tcPr>
            <w:tcW w:w="1176" w:type="dxa"/>
            <w:tcMar>
              <w:left w:w="105" w:type="dxa"/>
              <w:right w:w="105" w:type="dxa"/>
            </w:tcMar>
          </w:tcPr>
          <w:p w14:paraId="1397AEE6" w14:textId="23995810"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u w:val="single"/>
                <w:lang w:val="en-GB"/>
              </w:rPr>
              <w:t>Unclear in CP</w:t>
            </w:r>
          </w:p>
          <w:p w14:paraId="4EA39537" w14:textId="2C318E3C" w:rsidR="01C15B91" w:rsidRDefault="01C15B91" w:rsidP="01C15B91">
            <w:pPr>
              <w:spacing w:beforeAutospacing="1" w:afterAutospacing="1" w:line="240" w:lineRule="auto"/>
              <w:rPr>
                <w:rFonts w:ascii="Calibri" w:eastAsia="Calibri" w:hAnsi="Calibri" w:cs="Calibri"/>
                <w:sz w:val="14"/>
                <w:szCs w:val="14"/>
              </w:rPr>
            </w:pPr>
          </w:p>
          <w:p w14:paraId="39625F46" w14:textId="02C5B304" w:rsidR="01C15B91" w:rsidRPr="004B03C0" w:rsidRDefault="01C15B91" w:rsidP="01C15B91">
            <w:pPr>
              <w:pStyle w:val="NormalWeb"/>
              <w:spacing w:line="240" w:lineRule="auto"/>
              <w:rPr>
                <w:rFonts w:ascii="Calibri" w:eastAsia="Calibri" w:hAnsi="Calibri" w:cs="Calibri"/>
                <w:color w:val="FF0000"/>
                <w:sz w:val="14"/>
                <w:szCs w:val="14"/>
                <w:lang w:val="en-GB"/>
              </w:rPr>
            </w:pPr>
            <w:r w:rsidRPr="01C15B91">
              <w:rPr>
                <w:rFonts w:ascii="Calibri" w:eastAsia="Calibri" w:hAnsi="Calibri" w:cs="Calibri"/>
                <w:color w:val="FF0000"/>
                <w:sz w:val="14"/>
                <w:szCs w:val="14"/>
                <w:lang w:val="en-GB"/>
              </w:rPr>
              <w:t>ISDA proposal:  snapshot of positions in June 2026</w:t>
            </w:r>
          </w:p>
        </w:tc>
        <w:tc>
          <w:tcPr>
            <w:tcW w:w="1176" w:type="dxa"/>
            <w:tcMar>
              <w:left w:w="105" w:type="dxa"/>
              <w:right w:w="105" w:type="dxa"/>
            </w:tcMar>
          </w:tcPr>
          <w:p w14:paraId="02E96328" w14:textId="3DE0E02B"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GB"/>
              </w:rPr>
              <w:t xml:space="preserve">Excluded </w:t>
            </w:r>
            <w:r w:rsidRPr="01C15B91">
              <w:rPr>
                <w:rFonts w:ascii="Calibri" w:eastAsia="Calibri" w:hAnsi="Calibri" w:cs="Calibri"/>
                <w:sz w:val="14"/>
                <w:szCs w:val="14"/>
                <w:lang w:val="en-US"/>
              </w:rPr>
              <w:t xml:space="preserve">for the purposes of calculating the 85% </w:t>
            </w:r>
            <w:r w:rsidRPr="01C15B91">
              <w:rPr>
                <w:rFonts w:ascii="Calibri" w:eastAsia="Calibri" w:hAnsi="Calibri" w:cs="Calibri"/>
                <w:sz w:val="14"/>
                <w:szCs w:val="14"/>
                <w:lang w:val="en-GB"/>
              </w:rPr>
              <w:t>threshold</w:t>
            </w:r>
          </w:p>
        </w:tc>
        <w:tc>
          <w:tcPr>
            <w:tcW w:w="1176" w:type="dxa"/>
            <w:tcMar>
              <w:left w:w="105" w:type="dxa"/>
              <w:right w:w="105" w:type="dxa"/>
            </w:tcMar>
          </w:tcPr>
          <w:p w14:paraId="587CD6F6" w14:textId="1F94E548"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Group level (excluding intragroup transactions) if the FC is part of a group subject to consolidated supervision in the EU under the CRD</w:t>
            </w:r>
          </w:p>
          <w:p w14:paraId="51261B97" w14:textId="7ED6E1DF"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 xml:space="preserve">Entity level (including intragroup transactions) if the FC is not part of a group subject to consolidated supervision in the </w:t>
            </w:r>
            <w:r w:rsidRPr="01C15B91">
              <w:rPr>
                <w:rFonts w:ascii="Calibri" w:eastAsia="Calibri" w:hAnsi="Calibri" w:cs="Calibri"/>
                <w:sz w:val="14"/>
                <w:szCs w:val="14"/>
                <w:lang w:val="en-GB"/>
              </w:rPr>
              <w:t>EU under CRD</w:t>
            </w:r>
          </w:p>
          <w:p w14:paraId="372B5A52" w14:textId="543937B2" w:rsidR="01C15B91" w:rsidRDefault="01C15B91" w:rsidP="01C15B91">
            <w:pPr>
              <w:spacing w:beforeAutospacing="1" w:afterAutospacing="1" w:line="240" w:lineRule="auto"/>
              <w:rPr>
                <w:rFonts w:ascii="Calibri" w:eastAsia="Calibri" w:hAnsi="Calibri" w:cs="Calibri"/>
                <w:sz w:val="14"/>
                <w:szCs w:val="14"/>
              </w:rPr>
            </w:pPr>
          </w:p>
        </w:tc>
      </w:tr>
      <w:tr w:rsidR="01C15B91" w14:paraId="484EBF69" w14:textId="77777777" w:rsidTr="01C15B91">
        <w:trPr>
          <w:trHeight w:val="300"/>
        </w:trPr>
        <w:tc>
          <w:tcPr>
            <w:tcW w:w="1176" w:type="dxa"/>
            <w:tcMar>
              <w:left w:w="105" w:type="dxa"/>
              <w:right w:w="105" w:type="dxa"/>
            </w:tcMar>
          </w:tcPr>
          <w:p w14:paraId="768528C7" w14:textId="1E6BB8B2"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Derogation allowing clearing of a single trade in each relevant sub-category (instead</w:t>
            </w:r>
            <w:r w:rsidRPr="01C15B91">
              <w:rPr>
                <w:rFonts w:ascii="Calibri" w:eastAsia="Calibri" w:hAnsi="Calibri" w:cs="Calibri"/>
                <w:color w:val="0078D4"/>
                <w:sz w:val="14"/>
                <w:szCs w:val="14"/>
                <w:u w:val="single"/>
                <w:lang w:val="en-US"/>
              </w:rPr>
              <w:t xml:space="preserve"> </w:t>
            </w:r>
            <w:r w:rsidRPr="01C15B91">
              <w:rPr>
                <w:rFonts w:ascii="Calibri" w:eastAsia="Calibri" w:hAnsi="Calibri" w:cs="Calibri"/>
                <w:sz w:val="14"/>
                <w:szCs w:val="14"/>
                <w:lang w:val="en-US"/>
              </w:rPr>
              <w:t xml:space="preserve">of at least five trades in each relevant </w:t>
            </w:r>
            <w:r w:rsidRPr="01C15B91">
              <w:rPr>
                <w:rFonts w:ascii="Calibri" w:eastAsia="Calibri" w:hAnsi="Calibri" w:cs="Calibri"/>
                <w:sz w:val="14"/>
                <w:szCs w:val="14"/>
                <w:lang w:val="en-GB"/>
              </w:rPr>
              <w:t>sub-category)</w:t>
            </w:r>
          </w:p>
        </w:tc>
        <w:tc>
          <w:tcPr>
            <w:tcW w:w="1176" w:type="dxa"/>
            <w:tcMar>
              <w:left w:w="105" w:type="dxa"/>
              <w:right w:w="105" w:type="dxa"/>
            </w:tcMar>
          </w:tcPr>
          <w:p w14:paraId="10536DD0" w14:textId="5C001C09"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lang w:val="en-US"/>
              </w:rPr>
              <w:t>A/B is</w:t>
            </w:r>
            <w:r w:rsidRPr="00A32651">
              <w:rPr>
                <w:rFonts w:ascii="Calibri" w:eastAsia="Calibri" w:hAnsi="Calibri" w:cs="Calibri"/>
                <w:color w:val="auto"/>
                <w:sz w:val="14"/>
                <w:szCs w:val="14"/>
                <w:lang w:val="en-US"/>
              </w:rPr>
              <w:t xml:space="preserve"> more than 50%, where</w:t>
            </w:r>
            <w:r w:rsidRPr="0025150B">
              <w:rPr>
                <w:rFonts w:ascii="Calibri" w:eastAsia="Calibri" w:hAnsi="Calibri" w:cs="Calibri"/>
                <w:color w:val="auto"/>
                <w:sz w:val="14"/>
                <w:szCs w:val="14"/>
                <w:lang w:val="en-US"/>
              </w:rPr>
              <w:t xml:space="preserve">: </w:t>
            </w:r>
            <w:r w:rsidRPr="00A32651">
              <w:rPr>
                <w:rFonts w:ascii="Calibri" w:eastAsia="Calibri" w:hAnsi="Calibri" w:cs="Calibri"/>
                <w:color w:val="auto"/>
                <w:sz w:val="14"/>
                <w:szCs w:val="14"/>
                <w:lang w:val="en-US"/>
              </w:rPr>
              <w:t>the numerator</w:t>
            </w:r>
            <w:r w:rsidRPr="01C15B91">
              <w:rPr>
                <w:rFonts w:ascii="Calibri" w:eastAsia="Calibri" w:hAnsi="Calibri" w:cs="Calibri"/>
                <w:sz w:val="14"/>
                <w:szCs w:val="14"/>
                <w:lang w:val="en-US"/>
              </w:rPr>
              <w:t xml:space="preserve">(A) is the total number of trades required to be cleared in a reference period </w:t>
            </w:r>
            <w:r w:rsidRPr="01C15B91">
              <w:rPr>
                <w:rFonts w:ascii="Calibri" w:eastAsia="Calibri" w:hAnsi="Calibri" w:cs="Calibri"/>
                <w:sz w:val="14"/>
                <w:szCs w:val="14"/>
                <w:lang w:val="en-GB"/>
              </w:rPr>
              <w:t xml:space="preserve">in all of the most </w:t>
            </w:r>
            <w:r w:rsidRPr="01C15B91">
              <w:rPr>
                <w:rFonts w:ascii="Calibri" w:eastAsia="Calibri" w:hAnsi="Calibri" w:cs="Calibri"/>
                <w:color w:val="0000FF"/>
                <w:sz w:val="14"/>
                <w:szCs w:val="14"/>
                <w:lang w:val="en-US"/>
              </w:rPr>
              <w:t xml:space="preserve"> </w:t>
            </w:r>
            <w:r w:rsidRPr="01C15B91">
              <w:rPr>
                <w:rFonts w:ascii="Calibri" w:eastAsia="Calibri" w:hAnsi="Calibri" w:cs="Calibri"/>
                <w:sz w:val="14"/>
                <w:szCs w:val="14"/>
                <w:lang w:val="en-US"/>
              </w:rPr>
              <w:t xml:space="preserve">relevant sub-categories if the derogation did not apply and the denominator(B) is the total trades of that counterparty for the preceding 12 </w:t>
            </w:r>
            <w:r w:rsidRPr="01C15B91">
              <w:rPr>
                <w:rFonts w:ascii="Calibri" w:eastAsia="Calibri" w:hAnsi="Calibri" w:cs="Calibri"/>
                <w:sz w:val="14"/>
                <w:szCs w:val="14"/>
                <w:lang w:val="en-GB"/>
              </w:rPr>
              <w:t>months.</w:t>
            </w:r>
          </w:p>
        </w:tc>
        <w:tc>
          <w:tcPr>
            <w:tcW w:w="1176" w:type="dxa"/>
            <w:tcMar>
              <w:left w:w="105" w:type="dxa"/>
              <w:right w:w="105" w:type="dxa"/>
            </w:tcMar>
          </w:tcPr>
          <w:p w14:paraId="04BA783E" w14:textId="7D00C098"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u w:val="single"/>
                <w:lang w:val="en-GB"/>
              </w:rPr>
              <w:t xml:space="preserve">Calculation of denominator is unclear </w:t>
            </w:r>
          </w:p>
          <w:p w14:paraId="2D3621FE" w14:textId="2476ADA0" w:rsidR="01C15B91" w:rsidRPr="004B03C0" w:rsidRDefault="01C15B91" w:rsidP="01C15B91">
            <w:pPr>
              <w:pStyle w:val="NormalWeb"/>
              <w:spacing w:line="240" w:lineRule="auto"/>
              <w:rPr>
                <w:rFonts w:ascii="Calibri" w:eastAsia="Calibri" w:hAnsi="Calibri" w:cs="Calibri"/>
                <w:color w:val="FF0000"/>
                <w:sz w:val="14"/>
                <w:szCs w:val="14"/>
                <w:lang w:val="en-GB"/>
              </w:rPr>
            </w:pPr>
            <w:r w:rsidRPr="01C15B91">
              <w:rPr>
                <w:rFonts w:ascii="Calibri" w:eastAsia="Calibri" w:hAnsi="Calibri" w:cs="Calibri"/>
                <w:color w:val="FF0000"/>
                <w:sz w:val="14"/>
                <w:szCs w:val="14"/>
                <w:lang w:val="en-GB"/>
              </w:rPr>
              <w:t xml:space="preserve">ISDA proposal: </w:t>
            </w:r>
          </w:p>
          <w:p w14:paraId="552BEF1F" w14:textId="093B17ED" w:rsidR="01C15B91" w:rsidRPr="004B03C0" w:rsidRDefault="01C15B91" w:rsidP="01C15B91">
            <w:pPr>
              <w:pStyle w:val="NormalWeb"/>
              <w:spacing w:line="240" w:lineRule="auto"/>
              <w:rPr>
                <w:rFonts w:ascii="Calibri" w:eastAsia="Calibri" w:hAnsi="Calibri" w:cs="Calibri"/>
                <w:color w:val="FF0000"/>
                <w:sz w:val="14"/>
                <w:szCs w:val="14"/>
                <w:lang w:val="en-GB"/>
              </w:rPr>
            </w:pPr>
            <w:r w:rsidRPr="01C15B91">
              <w:rPr>
                <w:rFonts w:ascii="Calibri" w:eastAsia="Calibri" w:hAnsi="Calibri" w:cs="Calibri"/>
                <w:color w:val="FF0000"/>
                <w:sz w:val="14"/>
                <w:szCs w:val="14"/>
                <w:lang w:val="en-GB"/>
              </w:rPr>
              <w:t xml:space="preserve">The aggregate total number of cleared OTC derivatives trades in all </w:t>
            </w:r>
            <w:r w:rsidRPr="01C15B91">
              <w:rPr>
                <w:rFonts w:ascii="Calibri" w:eastAsia="Calibri" w:hAnsi="Calibri" w:cs="Calibri"/>
                <w:color w:val="FF0000"/>
                <w:sz w:val="14"/>
                <w:szCs w:val="14"/>
                <w:lang w:val="en-US"/>
              </w:rPr>
              <w:t xml:space="preserve">the most relevant subcategories per class of derivative contracts that apply for the purposes of the representativeness </w:t>
            </w:r>
            <w:r w:rsidRPr="01C15B91">
              <w:rPr>
                <w:rFonts w:ascii="Calibri" w:eastAsia="Calibri" w:hAnsi="Calibri" w:cs="Calibri"/>
                <w:color w:val="FF0000"/>
                <w:sz w:val="14"/>
                <w:szCs w:val="14"/>
                <w:lang w:val="en-GB"/>
              </w:rPr>
              <w:t>obligation</w:t>
            </w:r>
          </w:p>
        </w:tc>
        <w:tc>
          <w:tcPr>
            <w:tcW w:w="1176" w:type="dxa"/>
            <w:tcMar>
              <w:left w:w="105" w:type="dxa"/>
              <w:right w:w="105" w:type="dxa"/>
            </w:tcMar>
          </w:tcPr>
          <w:p w14:paraId="581145D1" w14:textId="3FFAAE17"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u w:val="single"/>
                <w:lang w:val="en-GB"/>
              </w:rPr>
              <w:t>Specified period for denominator is unclear in CP</w:t>
            </w:r>
          </w:p>
        </w:tc>
        <w:tc>
          <w:tcPr>
            <w:tcW w:w="1176" w:type="dxa"/>
            <w:tcMar>
              <w:left w:w="105" w:type="dxa"/>
              <w:right w:w="105" w:type="dxa"/>
            </w:tcMar>
          </w:tcPr>
          <w:p w14:paraId="47C02B9C" w14:textId="628E039F" w:rsidR="01C15B91" w:rsidRDefault="01C15B91" w:rsidP="01C15B91">
            <w:pPr>
              <w:spacing w:beforeAutospacing="1" w:afterAutospacing="1" w:line="240" w:lineRule="auto"/>
              <w:rPr>
                <w:rFonts w:ascii="Calibri" w:eastAsia="Calibri" w:hAnsi="Calibri" w:cs="Calibri"/>
                <w:sz w:val="14"/>
                <w:szCs w:val="14"/>
              </w:rPr>
            </w:pPr>
          </w:p>
        </w:tc>
        <w:tc>
          <w:tcPr>
            <w:tcW w:w="1176" w:type="dxa"/>
            <w:tcMar>
              <w:left w:w="105" w:type="dxa"/>
              <w:right w:w="105" w:type="dxa"/>
            </w:tcMar>
          </w:tcPr>
          <w:p w14:paraId="25DDB657" w14:textId="0EE5789B" w:rsidR="01C15B91" w:rsidRDefault="01C15B91" w:rsidP="01C15B91">
            <w:pPr>
              <w:pStyle w:val="NormalWeb"/>
              <w:spacing w:line="240" w:lineRule="auto"/>
              <w:rPr>
                <w:rFonts w:ascii="Calibri" w:eastAsia="Calibri" w:hAnsi="Calibri" w:cs="Calibri"/>
                <w:sz w:val="14"/>
                <w:szCs w:val="14"/>
              </w:rPr>
            </w:pPr>
            <w:r w:rsidRPr="01C15B91">
              <w:rPr>
                <w:rFonts w:ascii="Calibri" w:eastAsia="Calibri" w:hAnsi="Calibri" w:cs="Calibri"/>
                <w:sz w:val="14"/>
                <w:szCs w:val="14"/>
                <w:u w:val="single"/>
                <w:lang w:val="en-GB"/>
              </w:rPr>
              <w:t>Unclear in CP</w:t>
            </w:r>
          </w:p>
          <w:p w14:paraId="6CEE39BB" w14:textId="77150045" w:rsidR="01C15B91" w:rsidRDefault="01C15B91" w:rsidP="01C15B91">
            <w:pPr>
              <w:spacing w:beforeAutospacing="1" w:afterAutospacing="1" w:line="240" w:lineRule="auto"/>
              <w:rPr>
                <w:rFonts w:ascii="Calibri" w:eastAsia="Calibri" w:hAnsi="Calibri" w:cs="Calibri"/>
                <w:sz w:val="14"/>
                <w:szCs w:val="14"/>
              </w:rPr>
            </w:pPr>
          </w:p>
        </w:tc>
        <w:tc>
          <w:tcPr>
            <w:tcW w:w="1176" w:type="dxa"/>
            <w:tcMar>
              <w:left w:w="105" w:type="dxa"/>
              <w:right w:w="105" w:type="dxa"/>
            </w:tcMar>
          </w:tcPr>
          <w:p w14:paraId="6A4F3A70" w14:textId="0CF602B5"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u w:val="single"/>
                <w:lang w:val="en-GB"/>
              </w:rPr>
              <w:t>Unclear in CP</w:t>
            </w:r>
          </w:p>
          <w:p w14:paraId="796398E7" w14:textId="15E406DD" w:rsidR="01C15B91" w:rsidRPr="004B03C0" w:rsidRDefault="01C15B91" w:rsidP="01C15B91">
            <w:pPr>
              <w:pStyle w:val="NormalWeb"/>
              <w:spacing w:line="240" w:lineRule="auto"/>
              <w:rPr>
                <w:rFonts w:ascii="Calibri" w:eastAsia="Calibri" w:hAnsi="Calibri" w:cs="Calibri"/>
                <w:color w:val="FF0000"/>
                <w:sz w:val="14"/>
                <w:szCs w:val="14"/>
                <w:lang w:val="en-GB"/>
              </w:rPr>
            </w:pPr>
            <w:r w:rsidRPr="01C15B91">
              <w:rPr>
                <w:rFonts w:ascii="Calibri" w:eastAsia="Calibri" w:hAnsi="Calibri" w:cs="Calibri"/>
                <w:color w:val="FF0000"/>
                <w:sz w:val="14"/>
                <w:szCs w:val="14"/>
                <w:lang w:val="en-GB"/>
              </w:rPr>
              <w:t xml:space="preserve">ISDA proposal: </w:t>
            </w:r>
          </w:p>
          <w:p w14:paraId="0968C38C" w14:textId="15E5F819" w:rsidR="01C15B91" w:rsidRPr="004B03C0" w:rsidRDefault="01C15B91" w:rsidP="01C15B91">
            <w:pPr>
              <w:pStyle w:val="NormalWeb"/>
              <w:spacing w:line="240" w:lineRule="auto"/>
              <w:rPr>
                <w:rFonts w:ascii="Calibri" w:eastAsia="Calibri" w:hAnsi="Calibri" w:cs="Calibri"/>
                <w:color w:val="FF0000"/>
                <w:sz w:val="14"/>
                <w:szCs w:val="14"/>
                <w:lang w:val="en-GB"/>
              </w:rPr>
            </w:pPr>
            <w:r w:rsidRPr="01C15B91">
              <w:rPr>
                <w:rFonts w:ascii="Calibri" w:eastAsia="Calibri" w:hAnsi="Calibri" w:cs="Calibri"/>
                <w:color w:val="FF0000"/>
                <w:sz w:val="14"/>
                <w:szCs w:val="14"/>
                <w:lang w:val="en-GB"/>
              </w:rPr>
              <w:t>Excluded for the purpose of calculating the denominator</w:t>
            </w:r>
          </w:p>
        </w:tc>
        <w:tc>
          <w:tcPr>
            <w:tcW w:w="1176" w:type="dxa"/>
            <w:tcMar>
              <w:left w:w="105" w:type="dxa"/>
              <w:right w:w="105" w:type="dxa"/>
            </w:tcMar>
          </w:tcPr>
          <w:p w14:paraId="02E5AF4E" w14:textId="5C05EAD4" w:rsidR="01C15B91" w:rsidRPr="004B03C0" w:rsidRDefault="01C15B91" w:rsidP="01C15B91">
            <w:pPr>
              <w:pStyle w:val="NormalWeb"/>
              <w:spacing w:line="240" w:lineRule="auto"/>
              <w:rPr>
                <w:rFonts w:ascii="Calibri" w:eastAsia="Calibri" w:hAnsi="Calibri" w:cs="Calibri"/>
                <w:sz w:val="14"/>
                <w:szCs w:val="14"/>
                <w:lang w:val="en-GB"/>
              </w:rPr>
            </w:pPr>
            <w:r w:rsidRPr="01C15B91">
              <w:rPr>
                <w:rFonts w:ascii="Calibri" w:eastAsia="Calibri" w:hAnsi="Calibri" w:cs="Calibri"/>
                <w:sz w:val="14"/>
                <w:szCs w:val="14"/>
                <w:u w:val="single"/>
                <w:lang w:val="en-US"/>
              </w:rPr>
              <w:t>Unclear in CP</w:t>
            </w:r>
          </w:p>
          <w:p w14:paraId="1F6285C3" w14:textId="230B03CA" w:rsidR="01C15B91" w:rsidRPr="004B03C0" w:rsidRDefault="01C15B91" w:rsidP="01C15B91">
            <w:pPr>
              <w:pStyle w:val="NormalWeb"/>
              <w:spacing w:line="240" w:lineRule="auto"/>
              <w:rPr>
                <w:rFonts w:ascii="Calibri" w:eastAsia="Calibri" w:hAnsi="Calibri" w:cs="Calibri"/>
                <w:color w:val="FF0000"/>
                <w:sz w:val="14"/>
                <w:szCs w:val="14"/>
                <w:lang w:val="en-GB"/>
              </w:rPr>
            </w:pPr>
            <w:r w:rsidRPr="01C15B91">
              <w:rPr>
                <w:rFonts w:ascii="Calibri" w:eastAsia="Calibri" w:hAnsi="Calibri" w:cs="Calibri"/>
                <w:color w:val="FF0000"/>
                <w:sz w:val="14"/>
                <w:szCs w:val="14"/>
                <w:lang w:val="en-US"/>
              </w:rPr>
              <w:t xml:space="preserve">ISDA proposal:  entity level calculation </w:t>
            </w:r>
          </w:p>
        </w:tc>
      </w:tr>
    </w:tbl>
    <w:p w14:paraId="3E13760C" w14:textId="72575004" w:rsidR="0081701A" w:rsidRDefault="0081701A" w:rsidP="0081701A">
      <w:pPr>
        <w:rPr>
          <w:sz w:val="16"/>
          <w:szCs w:val="16"/>
        </w:rPr>
      </w:pPr>
      <w:r w:rsidRPr="003A3F6B">
        <w:rPr>
          <w:sz w:val="16"/>
          <w:szCs w:val="16"/>
        </w:rPr>
        <w:t>*</w:t>
      </w:r>
      <w:r w:rsidRPr="007B3535">
        <w:t xml:space="preserve"> </w:t>
      </w:r>
      <w:r w:rsidRPr="003E4290">
        <w:rPr>
          <w:sz w:val="16"/>
          <w:szCs w:val="16"/>
        </w:rPr>
        <w:t>This will be subject to changes when the clearing threshold methodology is amended.</w:t>
      </w:r>
    </w:p>
    <w:p w14:paraId="0BA480FB" w14:textId="0B3ADEA3" w:rsidR="0081701A" w:rsidRDefault="0081701A" w:rsidP="0081701A">
      <w:pPr>
        <w:rPr>
          <w:sz w:val="16"/>
          <w:szCs w:val="16"/>
        </w:rPr>
      </w:pPr>
      <w:r>
        <w:rPr>
          <w:sz w:val="16"/>
          <w:szCs w:val="16"/>
        </w:rPr>
        <w:t>** Some FCs will not calculate the clearing threshold and opt-in to the clearing obligation</w:t>
      </w:r>
      <w:r w:rsidR="0025150B">
        <w:rPr>
          <w:sz w:val="16"/>
          <w:szCs w:val="16"/>
        </w:rPr>
        <w:t>.</w:t>
      </w:r>
    </w:p>
    <w:p w14:paraId="40F4CFC3" w14:textId="77777777" w:rsidR="0081701A" w:rsidRPr="005857D5" w:rsidRDefault="0081701A" w:rsidP="0081701A">
      <w:pPr>
        <w:rPr>
          <w:sz w:val="16"/>
          <w:szCs w:val="16"/>
        </w:rPr>
      </w:pPr>
      <w:r>
        <w:rPr>
          <w:sz w:val="16"/>
          <w:szCs w:val="16"/>
        </w:rPr>
        <w:t xml:space="preserve">*** </w:t>
      </w:r>
      <w:r w:rsidRPr="005857D5">
        <w:rPr>
          <w:sz w:val="16"/>
          <w:szCs w:val="16"/>
        </w:rPr>
        <w:t>FCs not subject to the clearing obligation when EMIR 3.0 enters into force should only be treated as meeting condition 1 from the expiry of the four month period referred to in Article 4a.</w:t>
      </w:r>
    </w:p>
    <w:p w14:paraId="0AD3369F" w14:textId="77777777" w:rsidR="0081701A" w:rsidRPr="000C577D" w:rsidRDefault="0081701A" w:rsidP="0081701A"/>
    <w:p w14:paraId="2A5AE6B5" w14:textId="782DB154" w:rsidR="008C2DC7" w:rsidRPr="007A7F38" w:rsidRDefault="0081701A" w:rsidP="0081701A">
      <w:r w:rsidRPr="24F03CF0">
        <w:t xml:space="preserve">In line with the existing process for calculating the clearing threshold, clients will collect the necessary information to compute the EUR 3bn and EUR 6bn thresholds from all their portfolio managers and then send the outcome of the computation back to their respective portfolio managers. The portfolio manager may therefore not be able to anticipate when the EUR 3bn and EUR 6bn </w:t>
      </w:r>
      <w:r w:rsidRPr="24F03CF0">
        <w:lastRenderedPageBreak/>
        <w:t xml:space="preserve">thresholds are breached. While Article 7a (1) introduces a 6-month phase-in for counterparties to establish an AA, it is unclear whether the representativeness requirement would be applicable immediately upon the EUR 6bn threshold being breached. If this was the case, it would be operationally very challenging for clients to meet. </w:t>
      </w:r>
    </w:p>
    <w:p w14:paraId="62CCD8E6" w14:textId="7AFE2076" w:rsidR="006B5DF1" w:rsidRDefault="006B5DF1" w:rsidP="006B5DF1">
      <w:pPr>
        <w:spacing w:after="0"/>
      </w:pPr>
      <w:r>
        <w:t>&lt;ESMA_QUESTION_</w:t>
      </w:r>
      <w:r w:rsidR="004E60D2">
        <w:t>AAR</w:t>
      </w:r>
      <w:r>
        <w:t>_01&gt;</w:t>
      </w:r>
    </w:p>
    <w:p w14:paraId="215F51B6" w14:textId="77777777" w:rsidR="006B5DF1" w:rsidRDefault="006B5DF1" w:rsidP="006B5DF1"/>
    <w:p w14:paraId="6E58CC4E" w14:textId="77777777" w:rsidR="006B5DF1" w:rsidRPr="006B5DF1" w:rsidRDefault="006B5DF1" w:rsidP="006B5DF1"/>
    <w:p w14:paraId="72BC789E" w14:textId="62A0E0F0" w:rsidR="004E60D2" w:rsidRDefault="004E60D2" w:rsidP="004E60D2">
      <w:pPr>
        <w:pStyle w:val="Questionstyle"/>
      </w:pPr>
      <w:r>
        <w:t xml:space="preserve">Do you agree with the above approach for condition </w:t>
      </w:r>
      <w:r w:rsidRPr="00024BA7">
        <w:t>(</w:t>
      </w:r>
      <w:r>
        <w:t>a)? Are there other requirements that ESMA should consider for meeting condition (a)?</w:t>
      </w:r>
    </w:p>
    <w:p w14:paraId="7FADE892" w14:textId="77777777" w:rsidR="006B5DF1" w:rsidRDefault="006B5DF1" w:rsidP="006B5DF1"/>
    <w:p w14:paraId="49730F44" w14:textId="2F9A7833" w:rsidR="008C2DC7" w:rsidRDefault="006B5DF1" w:rsidP="003600AB">
      <w:pPr>
        <w:spacing w:after="0"/>
      </w:pPr>
      <w:r>
        <w:t>&lt;ESMA_QUESTION_</w:t>
      </w:r>
      <w:r w:rsidR="004E60D2">
        <w:t>AAR</w:t>
      </w:r>
      <w:r>
        <w:t>_</w:t>
      </w:r>
      <w:r w:rsidR="003E7313">
        <w:t>02</w:t>
      </w:r>
      <w:r>
        <w:t>&gt;</w:t>
      </w:r>
    </w:p>
    <w:p w14:paraId="542BA3C7" w14:textId="68C7862B" w:rsidR="00FB1631" w:rsidRPr="00C64737" w:rsidRDefault="00FB1631" w:rsidP="003600AB">
      <w:pPr>
        <w:spacing w:after="0"/>
      </w:pPr>
      <w:r>
        <w:t>While it is helpful that ESMA recognises that operational capacity should not include the financial resources of the clearing participant (paragraph 67 of the CP), we note that the explanatory section of the consultation does not have any legal effect, and we urge ESMA to ensure that the draft RTS reflect this overarching principle. See our response to question 3 and our drafting proposal in the Annex for more detail.</w:t>
      </w:r>
    </w:p>
    <w:p w14:paraId="2936F2CB" w14:textId="77777777" w:rsidR="00FB1631" w:rsidRDefault="00FB1631" w:rsidP="00FB1631">
      <w:pPr>
        <w:rPr>
          <w:i/>
          <w:iCs/>
        </w:rPr>
      </w:pPr>
      <w:r>
        <w:t>In particular, we are very concerned with the draft RTS Article 1 paragraph (1) (c)</w:t>
      </w:r>
      <w:r w:rsidRPr="0024646A">
        <w:t xml:space="preserve"> requirement </w:t>
      </w:r>
      <w:r w:rsidRPr="00CF1881">
        <w:t>to</w:t>
      </w:r>
      <w:r w:rsidRPr="0024646A">
        <w:t xml:space="preserve"> </w:t>
      </w:r>
      <w:r w:rsidRPr="00CF1881">
        <w:t>“</w:t>
      </w:r>
      <w:r w:rsidRPr="0024646A">
        <w:rPr>
          <w:i/>
          <w:lang w:val="en-US"/>
        </w:rPr>
        <w:t xml:space="preserve">hold cash and collateral accounts with sufficient financial resources to </w:t>
      </w:r>
      <w:r w:rsidRPr="00CF1881">
        <w:rPr>
          <w:i/>
          <w:iCs/>
          <w:lang w:val="en-US"/>
        </w:rPr>
        <w:t>meet</w:t>
      </w:r>
      <w:r w:rsidRPr="0024646A">
        <w:rPr>
          <w:i/>
          <w:lang w:val="en-US"/>
        </w:rPr>
        <w:t xml:space="preserve"> the obligations arising from direct participation</w:t>
      </w:r>
      <w:r w:rsidRPr="00CF1881">
        <w:rPr>
          <w:i/>
          <w:iCs/>
          <w:lang w:val="en-US"/>
        </w:rPr>
        <w:t xml:space="preserve"> in</w:t>
      </w:r>
      <w:r w:rsidRPr="0024646A">
        <w:rPr>
          <w:i/>
          <w:lang w:val="en-US"/>
        </w:rPr>
        <w:t xml:space="preserve"> an EU CCP</w:t>
      </w:r>
      <w:r>
        <w:t>”</w:t>
      </w:r>
      <w:r w:rsidRPr="0024646A">
        <w:t xml:space="preserve"> as </w:t>
      </w:r>
      <w:r>
        <w:t xml:space="preserve">this implies that counterparties are required to have sufficient financial resources to meet the stress-testing requirements set out in draft RTS Article 3. This is in contradiction with paragraph 67 of the ESMA CP that states that </w:t>
      </w:r>
      <w:r w:rsidRPr="00E95B6D">
        <w:t>operational capacity should not include the financial resources of the clearing participant</w:t>
      </w:r>
      <w:r>
        <w:t>. As EMIR Article 7a (8) first subparagraph requires ESMA to develop RTS</w:t>
      </w:r>
      <w:r w:rsidRPr="00551740">
        <w:t xml:space="preserve"> </w:t>
      </w:r>
      <w:r>
        <w:t>“</w:t>
      </w:r>
      <w:r w:rsidRPr="00551740">
        <w:rPr>
          <w:i/>
          <w:iCs/>
        </w:rPr>
        <w:t xml:space="preserve">to further specify the requirements under paragraph 3, points (a), (b) and (c), of this Article, the conditions of the </w:t>
      </w:r>
      <w:r>
        <w:rPr>
          <w:i/>
          <w:iCs/>
        </w:rPr>
        <w:t>stress testing</w:t>
      </w:r>
      <w:r w:rsidRPr="00551740">
        <w:rPr>
          <w:i/>
          <w:iCs/>
        </w:rPr>
        <w:t xml:space="preserve"> thereof</w:t>
      </w:r>
      <w:r>
        <w:rPr>
          <w:i/>
          <w:iCs/>
        </w:rPr>
        <w:t xml:space="preserve">”, </w:t>
      </w:r>
      <w:r>
        <w:t>we understand that condition (a), including ESMA’s proposal to have sufficient financial resources, could have to be stress-tested as per draft RTS Article 3</w:t>
      </w:r>
      <w:r>
        <w:rPr>
          <w:i/>
          <w:iCs/>
        </w:rPr>
        <w:t>.</w:t>
      </w:r>
    </w:p>
    <w:p w14:paraId="3C0D25FF" w14:textId="77777777" w:rsidR="00FB1631" w:rsidRDefault="00FB1631" w:rsidP="00FB1631">
      <w:r>
        <w:t>In addition, we</w:t>
      </w:r>
      <w:r w:rsidRPr="4E54EC13">
        <w:rPr>
          <w:i/>
          <w:iCs/>
        </w:rPr>
        <w:t xml:space="preserve"> </w:t>
      </w:r>
      <w:r w:rsidRPr="00F33767">
        <w:t>are</w:t>
      </w:r>
      <w:r w:rsidRPr="4E54EC13">
        <w:t xml:space="preserve"> concerned that the </w:t>
      </w:r>
      <w:r>
        <w:t>requirement to “</w:t>
      </w:r>
      <w:r w:rsidRPr="4E54EC13">
        <w:rPr>
          <w:i/>
          <w:iCs/>
          <w:lang w:val="en-US"/>
        </w:rPr>
        <w:t>hold cash and collateral accounts with sufficient financial resources to meet the obligations arising from direct participation in an EU CCP</w:t>
      </w:r>
      <w:r>
        <w:t>” could result in counterparties below the EUR 6bn threshold being required to have a live trade at an EU CCP. EMIR Article 7a does not require counterparties below the EUR 6bn threshold to clear any trades on an EU CCP, and the RTS should reflect this.</w:t>
      </w:r>
    </w:p>
    <w:p w14:paraId="2A93CCEA" w14:textId="77777777" w:rsidR="008871CC" w:rsidRDefault="00FB1631" w:rsidP="008871CC">
      <w:pPr>
        <w:rPr>
          <w:i/>
        </w:rPr>
      </w:pPr>
      <w:r w:rsidRPr="008C1F15">
        <w:rPr>
          <w:iCs/>
        </w:rPr>
        <w:t>Based on EU CCP</w:t>
      </w:r>
      <w:r>
        <w:rPr>
          <w:iCs/>
        </w:rPr>
        <w:t>s’</w:t>
      </w:r>
      <w:r w:rsidRPr="008C1F15">
        <w:rPr>
          <w:iCs/>
        </w:rPr>
        <w:t xml:space="preserve"> participation requirements, it seems that clearing members are not always required to open both cash and securities accounts (e.g., if they only intend to post cash margin, they only need to open a cash account). Therefore, we have suggested </w:t>
      </w:r>
      <w:r>
        <w:rPr>
          <w:iCs/>
        </w:rPr>
        <w:t xml:space="preserve">(see Annex) </w:t>
      </w:r>
      <w:r w:rsidRPr="008C1F15">
        <w:rPr>
          <w:iCs/>
        </w:rPr>
        <w:t xml:space="preserve">amending </w:t>
      </w:r>
      <w:r>
        <w:rPr>
          <w:iCs/>
        </w:rPr>
        <w:t xml:space="preserve">draft RTS </w:t>
      </w:r>
      <w:r w:rsidRPr="008C1F15">
        <w:rPr>
          <w:iCs/>
        </w:rPr>
        <w:t>Article 1 so that counterparties need to establish cash and/or collateral accounts as required by the EU CCP or (for counterparties indirectly clearing) the clearing member or client providing clearing services</w:t>
      </w:r>
      <w:r w:rsidRPr="005B6F45">
        <w:rPr>
          <w:i/>
        </w:rPr>
        <w:t>.</w:t>
      </w:r>
    </w:p>
    <w:p w14:paraId="3F6C042F" w14:textId="1ED69EB8" w:rsidR="006B5DF1" w:rsidRPr="008871CC" w:rsidRDefault="006B5DF1" w:rsidP="008871CC">
      <w:pPr>
        <w:rPr>
          <w:i/>
        </w:rPr>
      </w:pPr>
      <w:r>
        <w:t>&lt;ESMA_QUESTION_</w:t>
      </w:r>
      <w:r w:rsidR="004E60D2">
        <w:t>AAR</w:t>
      </w:r>
      <w:r>
        <w:t>_</w:t>
      </w:r>
      <w:r w:rsidR="003E7313">
        <w:t>02</w:t>
      </w:r>
      <w:r>
        <w:t>&gt;</w:t>
      </w:r>
    </w:p>
    <w:p w14:paraId="5C99C845" w14:textId="77777777" w:rsidR="006B5DF1" w:rsidRDefault="006B5DF1" w:rsidP="006B5DF1"/>
    <w:p w14:paraId="5D13008F" w14:textId="77777777" w:rsidR="006B5DF1" w:rsidRPr="006B5DF1" w:rsidRDefault="006B5DF1" w:rsidP="006B5DF1"/>
    <w:p w14:paraId="1456BEFD" w14:textId="40C2A5B9" w:rsidR="004E60D2" w:rsidRDefault="004E60D2" w:rsidP="004E60D2">
      <w:pPr>
        <w:pStyle w:val="Questionstyle"/>
      </w:pPr>
      <w:r>
        <w:t xml:space="preserve">Do you agree with the above approach for conditions </w:t>
      </w:r>
      <w:r w:rsidRPr="00024BA7">
        <w:t>(</w:t>
      </w:r>
      <w:r>
        <w:t xml:space="preserve">b) and </w:t>
      </w:r>
      <w:r w:rsidRPr="00024BA7">
        <w:t>(</w:t>
      </w:r>
      <w:r>
        <w:t>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29FA1DFF" w14:textId="77777777" w:rsidR="000F58DE" w:rsidRDefault="000F58DE" w:rsidP="006B5DF1">
      <w:pPr>
        <w:spacing w:after="0"/>
      </w:pPr>
    </w:p>
    <w:p w14:paraId="46E123DC" w14:textId="77777777" w:rsidR="000B49AF" w:rsidRDefault="000B49AF" w:rsidP="000B49AF">
      <w:r>
        <w:t>As noted under our response to question 2, when assessing whether the account at the EU CCP has the operational capacity to withstand a large increase in clearing activity, the EU CCP should only assess the operational capacity of the account and should not consider whether the relevant clearing participant(s) have the financial resources to withstand this increase.  Compliance with the operational account conditions should not result in counterparties having to hold more financial resources than they are otherwise required to do so (e.g., to comply with prudential requirements or the participation requirements of the CCP).  To address this concern, we have provided drafting in the Annex, which</w:t>
      </w:r>
      <w:r w:rsidDel="7A7A4146">
        <w:t xml:space="preserve"> </w:t>
      </w:r>
      <w:r>
        <w:t xml:space="preserve">includes proposed changes in RTS Article 1, Article 2, Article 3, Recitals (4) and (5) and a new Recital (6A). </w:t>
      </w:r>
    </w:p>
    <w:p w14:paraId="46298158" w14:textId="77777777" w:rsidR="000B49AF" w:rsidRPr="00E95B6D" w:rsidRDefault="000B49AF" w:rsidP="000B49AF">
      <w:r w:rsidRPr="00E95B6D">
        <w:t xml:space="preserve">We welcome that the </w:t>
      </w:r>
      <w:r>
        <w:t xml:space="preserve">draft RTS </w:t>
      </w:r>
      <w:r w:rsidRPr="00E95B6D">
        <w:t xml:space="preserve">do not require firms to test how they would close out their positions at that Tier 2 CCP and re-open them at an EU CCP. </w:t>
      </w:r>
      <w:r>
        <w:t>I</w:t>
      </w:r>
      <w:r w:rsidRPr="00E95B6D">
        <w:rPr>
          <w:lang w:val="en-US"/>
        </w:rPr>
        <w:t>t is neither plausible nor desirable that EU firms would be able to close thousands of legacy contracts at the Tier 2 CCP and reopen the positions at an EU CCP. This is because it would create huge</w:t>
      </w:r>
      <w:r w:rsidRPr="00E95B6D">
        <w:t xml:space="preserve"> operational and economic challenges, but more importantly, because </w:t>
      </w:r>
      <w:r w:rsidRPr="00E95B6D">
        <w:rPr>
          <w:lang w:val="en-US"/>
        </w:rPr>
        <w:t xml:space="preserve">it is highly unlikely that </w:t>
      </w:r>
      <w:r w:rsidRPr="00E95B6D">
        <w:t>there would be sufficient market capacity</w:t>
      </w:r>
      <w:r>
        <w:rPr>
          <w:rStyle w:val="FootnoteReference"/>
        </w:rPr>
        <w:footnoteReference w:id="2"/>
      </w:r>
      <w:r w:rsidRPr="00E95B6D">
        <w:t>.</w:t>
      </w:r>
    </w:p>
    <w:p w14:paraId="4153DF51" w14:textId="138F62C2" w:rsidR="000B49AF" w:rsidRPr="0024646A" w:rsidRDefault="000B49AF" w:rsidP="000B49AF">
      <w:pPr>
        <w:rPr>
          <w:highlight w:val="yellow"/>
        </w:rPr>
      </w:pPr>
      <w:r>
        <w:t>We understand that the objective of the proposal is to allow firms to assume that there would be a significant increase in volume that needs to be cleared using the AA. It should therefore be sufficient for counterparties to set up “</w:t>
      </w:r>
      <w:r w:rsidRPr="4E54EC13">
        <w:rPr>
          <w:i/>
          <w:iCs/>
        </w:rPr>
        <w:t>internal systems to monitor the counterparty’s exposures and governance arrangements of the counterparty to support a large flow of transactions”.</w:t>
      </w:r>
      <w:r>
        <w:t xml:space="preserve">  The draft RTS Article 2 (1) (a) should not, require counterparties to </w:t>
      </w:r>
      <w:r w:rsidRPr="4E54EC13">
        <w:rPr>
          <w:i/>
          <w:iCs/>
        </w:rPr>
        <w:t xml:space="preserve">“set up internal systems to monitor the counterparty’s exposures and the internal arrangements to support a large flow of transactions </w:t>
      </w:r>
      <w:r w:rsidRPr="4E54EC13">
        <w:rPr>
          <w:i/>
          <w:iCs/>
          <w:u w:val="single"/>
        </w:rPr>
        <w:t xml:space="preserve">from positions held in a clearing service of substantial systemic importance pursuant to Article </w:t>
      </w:r>
      <w:r w:rsidRPr="4E54EC13">
        <w:rPr>
          <w:i/>
          <w:iCs/>
          <w:u w:val="single"/>
        </w:rPr>
        <w:lastRenderedPageBreak/>
        <w:t>25(2c) under different scenarios assessing any potential legal and operation barriers</w:t>
      </w:r>
      <w:r w:rsidRPr="4E54EC13">
        <w:rPr>
          <w:i/>
          <w:iCs/>
        </w:rPr>
        <w:t>”</w:t>
      </w:r>
      <w:r>
        <w:t xml:space="preserve"> [our emphasis added]. We recommend that the underlined text is removed from the final RTS. See proposed drafting in the Annex.</w:t>
      </w:r>
    </w:p>
    <w:p w14:paraId="49AAF1CE" w14:textId="77777777" w:rsidR="000B49AF" w:rsidRDefault="000B49AF" w:rsidP="000B49AF">
      <w:r>
        <w:t xml:space="preserve">We believe it is pragmatic to treat EMIR Article 7a (3) conditions (b) and (c) as a single issue focused solely on whether the AA can be used to clear a large volume of transactions in a short period. Requiring testing a threefold increase in clearing of notional outstanding in the relevant derivative contracts over a one-month period is, however, a very extreme scenario. </w:t>
      </w:r>
    </w:p>
    <w:p w14:paraId="3E0B3B56" w14:textId="77777777" w:rsidR="000B49AF" w:rsidRPr="00E95B6D" w:rsidRDefault="000B49AF" w:rsidP="000B49AF">
      <w:r w:rsidRPr="00E95B6D">
        <w:t xml:space="preserve">We note that </w:t>
      </w:r>
      <w:r>
        <w:t xml:space="preserve">draft </w:t>
      </w:r>
      <w:r w:rsidRPr="00E95B6D">
        <w:t>RTS Article 2</w:t>
      </w:r>
      <w:r>
        <w:t xml:space="preserve"> </w:t>
      </w:r>
      <w:r w:rsidRPr="00E95B6D">
        <w:t>(1) (c) requires the counterparties to obtain from the authorised CCP a signed written statement confirming that the account of the counterparty has the operational capacity to clear up to three times the notional outstanding cleared for the previous 12 months in the relevant derivative contracts. We understand this to mean:</w:t>
      </w:r>
    </w:p>
    <w:p w14:paraId="4FF0215E" w14:textId="77777777" w:rsidR="000B49AF" w:rsidRDefault="000B49AF" w:rsidP="000B49AF">
      <w:pPr>
        <w:pStyle w:val="ListParagraph"/>
        <w:numPr>
          <w:ilvl w:val="0"/>
          <w:numId w:val="37"/>
        </w:numPr>
        <w:spacing w:after="160" w:line="259" w:lineRule="auto"/>
      </w:pPr>
      <w:r w:rsidRPr="00E95B6D">
        <w:t>Each of the EU CCPs at which an EU counterparty clears any relevant derivative contracts needs to confirm (following successful testing) that the counterparty can sustain three times the notional outstanding cleared for the previous 12 months in the relevant derivative contracts (calculated on the basis of the aggregate month-end average positions for the previous 12 months held across both house and clients account at the EU CCP in question).</w:t>
      </w:r>
    </w:p>
    <w:p w14:paraId="4A3CE5CB" w14:textId="77777777" w:rsidR="000B49AF" w:rsidRDefault="000B49AF" w:rsidP="000B49AF">
      <w:pPr>
        <w:pStyle w:val="ListParagraph"/>
        <w:numPr>
          <w:ilvl w:val="0"/>
          <w:numId w:val="37"/>
        </w:numPr>
        <w:spacing w:after="160" w:line="259" w:lineRule="auto"/>
      </w:pPr>
      <w:r>
        <w:t>The written statement from the EU CCP will simulate an increase of both the house and client’s account. The clearing member will transmit the certification to its clients.</w:t>
      </w:r>
    </w:p>
    <w:p w14:paraId="1D488400" w14:textId="4C467C60" w:rsidR="000B49AF" w:rsidRPr="00E95B6D" w:rsidRDefault="000B49AF" w:rsidP="000B49AF">
      <w:pPr>
        <w:pStyle w:val="ListParagraph"/>
        <w:numPr>
          <w:ilvl w:val="0"/>
          <w:numId w:val="37"/>
        </w:numPr>
        <w:spacing w:after="160" w:line="259" w:lineRule="auto"/>
      </w:pPr>
      <w:r>
        <w:t xml:space="preserve">The written statement to the clearing member will be generically written to ensure that it can be forwarded onto its clients without breaching any applicable confidentiality obligations. </w:t>
      </w:r>
    </w:p>
    <w:p w14:paraId="01FCB305" w14:textId="77777777" w:rsidR="000B49AF" w:rsidRPr="00E95B6D" w:rsidRDefault="000B49AF" w:rsidP="000B49AF">
      <w:pPr>
        <w:pStyle w:val="ListParagraph"/>
        <w:numPr>
          <w:ilvl w:val="0"/>
          <w:numId w:val="37"/>
        </w:numPr>
        <w:spacing w:after="160" w:line="259" w:lineRule="auto"/>
      </w:pPr>
      <w:r w:rsidRPr="00E95B6D">
        <w:t>The EU CCP is testing the operational capacity of the counterparty</w:t>
      </w:r>
      <w:r>
        <w:t xml:space="preserve"> account</w:t>
      </w:r>
      <w:r w:rsidRPr="00E95B6D">
        <w:t>, i.e. the IT systems (not the financial resources). It should not constitute a full audit.</w:t>
      </w:r>
    </w:p>
    <w:p w14:paraId="566C7113" w14:textId="77777777" w:rsidR="000B49AF" w:rsidRDefault="000B49AF" w:rsidP="000B49AF">
      <w:r>
        <w:t>We ask that the RTS also includes a requirement on the EU CCP, following successful testing for compliance with the operational conditions, to provide the written statement upon request, without undue delay, for free, in English if requested</w:t>
      </w:r>
      <w:r w:rsidRPr="00A63967">
        <w:t>.  See proposed drafting in the Annex.</w:t>
      </w:r>
      <w:r>
        <w:t xml:space="preserve"> As written, the obligation falls on counterparties to request this statement from the CCP, but there is no obligation on the CCP to provide such a statement. If there is no obligation on the CCP to provide the statement this may lead to counterparties failing to comply with Article 8(1)(d)(</w:t>
      </w:r>
      <w:proofErr w:type="spellStart"/>
      <w:r>
        <w:t>i</w:t>
      </w:r>
      <w:proofErr w:type="spellEnd"/>
      <w:r>
        <w:t>).</w:t>
      </w:r>
    </w:p>
    <w:p w14:paraId="193AD0D4" w14:textId="77777777" w:rsidR="000B49AF" w:rsidRPr="00E95B6D" w:rsidRDefault="000B49AF" w:rsidP="000B49AF">
      <w:r>
        <w:t>Finally, we object to the proposed requirement (RTS Article 2 (1) (b)) to appoint at least one dedicated staff member with sufficient knowledge to support the proper functioning of the clearing arrangements at all times. There is no such precedent in EMIR (e.g. no requirement to appoint a staff member with respect to meeting the clearing obligation). We do not understand the purpose/role of such staff member and note that the functioning of the clearing arrangements would typically be done by a team, not a single individual. While firms will be responsible to meet the AAR, they should retain the flexibility to decide how best to allocate resources (including over time) to meet the requirement. We would be particularly concerned if the intention is for the staff member to be fully dedicated to this role and/or be personally liable if there is a compliance breach.  Finally, we note that EMIR amends Article 76(2) of the CRD (2013/36/EU) and Article 26(1) of the Investment Firm Directive to require institutions to “</w:t>
      </w:r>
      <w:r w:rsidRPr="24F03CF0">
        <w:rPr>
          <w:i/>
          <w:iCs/>
        </w:rPr>
        <w:t xml:space="preserve">have effective processes to identify, manage, monitor and report […] concentration risk arising from exposures towards central counterparties, taking </w:t>
      </w:r>
      <w:r w:rsidRPr="24F03CF0">
        <w:rPr>
          <w:i/>
          <w:iCs/>
        </w:rPr>
        <w:lastRenderedPageBreak/>
        <w:t>into account the conditions set out in Article 7a of Regulation EU No 648/2012”.</w:t>
      </w:r>
      <w:r>
        <w:t xml:space="preserve">  There is therefore already a requirement in place for firms to have effective processes in place with respect to the AAR. We recommend that this dedicated staff requirement is deleted (see proposed drafting in the Annex) or alternatively, replaced with the ability to specify a team that is responsible, and which can act as a point of contact for regulators.</w:t>
      </w:r>
    </w:p>
    <w:p w14:paraId="0F52A7AB" w14:textId="14C21445" w:rsidR="006B5DF1" w:rsidRDefault="006B5DF1" w:rsidP="006B5DF1">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14:paraId="7BBB58D3" w14:textId="77777777" w:rsidR="006B5DF1" w:rsidRPr="004E60D2" w:rsidRDefault="006B5DF1"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4ECD6666" w14:textId="77777777" w:rsidR="000F58DE" w:rsidRDefault="000F58DE" w:rsidP="006B5DF1">
      <w:pPr>
        <w:spacing w:after="0"/>
      </w:pPr>
    </w:p>
    <w:p w14:paraId="5B1CACEE" w14:textId="77777777" w:rsidR="00E013A1" w:rsidRPr="00E95B6D" w:rsidRDefault="00E013A1" w:rsidP="00E013A1">
      <w:r w:rsidRPr="00E95B6D">
        <w:t xml:space="preserve">We support the approach to test the account’s capacity to withstand a substantial increase in volume and flow of transactions at short notice and within a short timeframe in the relevant derivatives contracts. We also support that the </w:t>
      </w:r>
      <w:r>
        <w:t>stress-test</w:t>
      </w:r>
      <w:r w:rsidRPr="00E95B6D">
        <w:t>ing will not be a pass or fail requirement (</w:t>
      </w:r>
      <w:r>
        <w:t xml:space="preserve">paragraph </w:t>
      </w:r>
      <w:r w:rsidRPr="00E95B6D">
        <w:t>81</w:t>
      </w:r>
      <w:r>
        <w:t xml:space="preserve"> of the CP</w:t>
      </w:r>
      <w:r w:rsidRPr="00E95B6D">
        <w:t>).</w:t>
      </w:r>
      <w:r>
        <w:t xml:space="preserve"> We urge ESMA to ensure that the drafting specifically reflects this principle in the draft RTS Article 3 on stress-testing. Please see the Annex for proposed drafting (</w:t>
      </w:r>
      <w:r w:rsidRPr="00EA61E6">
        <w:t>Article 3</w:t>
      </w:r>
      <w:r>
        <w:t xml:space="preserve"> </w:t>
      </w:r>
      <w:r w:rsidRPr="00EA61E6">
        <w:t>and Recital (5)</w:t>
      </w:r>
      <w:r>
        <w:t xml:space="preserve">).  </w:t>
      </w:r>
    </w:p>
    <w:p w14:paraId="76230072" w14:textId="79CD061E" w:rsidR="00E013A1" w:rsidRDefault="00E013A1" w:rsidP="00E013A1">
      <w:r>
        <w:t>We have no particular concern with draft RTS Article 3 (1) (a) that requires counterparties to conduct technical and functional tests verifying the operational capacity and the functioning of the IT connectivity with the CCP. However, whilst the draft RTS require counterparties to “</w:t>
      </w:r>
      <w:r w:rsidRPr="24F03CF0">
        <w:rPr>
          <w:i/>
          <w:iCs/>
        </w:rPr>
        <w:t>conduct</w:t>
      </w:r>
      <w:r>
        <w:t>” the tests, we understand that in practice the stress-tests will be run at EU CCP level and simulated by the EU CCP.  It is unclear what exactly the counterparties are expected to do in this regard, and hence what obligations could arise.  We are also concerned that no obligation is imposed on the EU CCPs to run the tests.</w:t>
      </w:r>
    </w:p>
    <w:p w14:paraId="37D51B63" w14:textId="77777777" w:rsidR="00E013A1" w:rsidRDefault="00E013A1" w:rsidP="00E013A1">
      <w:r>
        <w:t>We would, however, strongly object to any stress-test that would resemble a CCP fire drill, an exercise involving the participation of relevant EU CCPs and all market participants subject to the AAR, simultaneously running a simulation. The expense and administrative burden of such a test, constructed in this way, would be disproportionate to the potential benefit. We will provide additional analysis on such approach in the coming weeks should this be what is envisaged by draft RTS Article 3.</w:t>
      </w:r>
    </w:p>
    <w:p w14:paraId="0588761E" w14:textId="77777777" w:rsidR="00E013A1" w:rsidRDefault="00E013A1" w:rsidP="00E013A1">
      <w:r>
        <w:t>Draft RTS Article 3(1(c)) requires each of the EU CCPs at which an EU counterparty clears any relevant derivative contracts to provide a written statement that the account of the counterparty has the capacity to withstand a substantial increase in outstanding and new clearing activity of “</w:t>
      </w:r>
      <w:r w:rsidRPr="4E54EC13">
        <w:rPr>
          <w:i/>
          <w:iCs/>
        </w:rPr>
        <w:t>up to 85% of the total outstanding clearing activity of the counterparties in the derivative contracts referred to in Article 7a(6) of Regulation (EU) No 648/2012, published on ESMA’s website in accordance with Article 6(2) of Regulation (EU) No 648/2012</w:t>
      </w:r>
      <w:r>
        <w:t>”. We interpret this as follows :</w:t>
      </w:r>
    </w:p>
    <w:p w14:paraId="5F280582" w14:textId="77777777" w:rsidR="00E013A1" w:rsidRDefault="00E013A1" w:rsidP="00E013A1">
      <w:pPr>
        <w:pStyle w:val="ListParagraph"/>
        <w:numPr>
          <w:ilvl w:val="0"/>
          <w:numId w:val="37"/>
        </w:numPr>
        <w:spacing w:after="160" w:line="259" w:lineRule="auto"/>
      </w:pPr>
      <w:r>
        <w:lastRenderedPageBreak/>
        <w:t>The EU CCP stress-tests that a substantial increase in outstanding and new clearing activity of “</w:t>
      </w:r>
      <w:r w:rsidRPr="2320DC93">
        <w:rPr>
          <w:i/>
          <w:iCs/>
        </w:rPr>
        <w:t>up to 85% of the total outstanding clearing activity of the counterparties in the derivative contracts referred to in Article 7a(6) of Regulation (EU) No 648/2012, published on ESMA’s website in accordance with Article 6(2) of Regulation (EU) No 648/2012</w:t>
      </w:r>
      <w:r>
        <w:t xml:space="preserve">” can be managed in aggregate across all the counterparties that clear at that EU CCP. </w:t>
      </w:r>
    </w:p>
    <w:p w14:paraId="1D68374D" w14:textId="77777777" w:rsidR="00E013A1" w:rsidRDefault="00E013A1" w:rsidP="00E013A1">
      <w:pPr>
        <w:pStyle w:val="ListParagraph"/>
        <w:numPr>
          <w:ilvl w:val="0"/>
          <w:numId w:val="37"/>
        </w:numPr>
        <w:spacing w:after="160" w:line="259" w:lineRule="auto"/>
      </w:pPr>
      <w:r>
        <w:t>The stress-test is conducted at the same time for all accounts of counterparties and therefore the 85% test is conducted in aggregate across all the counterparties that clear at that EU CCP.</w:t>
      </w:r>
    </w:p>
    <w:p w14:paraId="421E4E1A" w14:textId="77777777" w:rsidR="00E013A1" w:rsidRDefault="00E013A1" w:rsidP="00E013A1">
      <w:pPr>
        <w:pStyle w:val="ListParagraph"/>
        <w:numPr>
          <w:ilvl w:val="0"/>
          <w:numId w:val="37"/>
        </w:numPr>
        <w:spacing w:after="160" w:line="259" w:lineRule="auto"/>
      </w:pPr>
      <w:r>
        <w:t xml:space="preserve">The EU CCP issues a written statement to clearing members confirming that the individual counterparty account (across house and clients) can sustain a </w:t>
      </w:r>
      <w:r w:rsidRPr="004A666D">
        <w:t xml:space="preserve">share </w:t>
      </w:r>
      <w:r>
        <w:t xml:space="preserve">of that increase. There is no specific simulation of the clearing member’s or client’s account. </w:t>
      </w:r>
    </w:p>
    <w:p w14:paraId="1FA72014" w14:textId="77777777" w:rsidR="00E013A1" w:rsidRDefault="00E013A1" w:rsidP="00E013A1">
      <w:pPr>
        <w:pStyle w:val="ListParagraph"/>
        <w:numPr>
          <w:ilvl w:val="0"/>
          <w:numId w:val="37"/>
        </w:numPr>
        <w:spacing w:after="160" w:line="259" w:lineRule="auto"/>
      </w:pPr>
      <w:r>
        <w:t xml:space="preserve">The clearing member will transmit the written statement to its clients. </w:t>
      </w:r>
    </w:p>
    <w:p w14:paraId="69865091" w14:textId="77777777" w:rsidR="00E013A1" w:rsidRDefault="00E013A1" w:rsidP="00E013A1">
      <w:pPr>
        <w:pStyle w:val="ListParagraph"/>
        <w:numPr>
          <w:ilvl w:val="0"/>
          <w:numId w:val="37"/>
        </w:numPr>
        <w:spacing w:after="160" w:line="259" w:lineRule="auto"/>
      </w:pPr>
      <w:r>
        <w:t>There is no fail or pass metric.</w:t>
      </w:r>
    </w:p>
    <w:p w14:paraId="60CDB872" w14:textId="77777777" w:rsidR="00E013A1" w:rsidRPr="00E95B6D" w:rsidRDefault="00E013A1" w:rsidP="00E013A1">
      <w:r>
        <w:t>We note that the requirement is for  an EU CCP to test its ability to clear 85% of the market in EUR IRS, PLN IRS and EUR STIR (</w:t>
      </w:r>
      <w:r w:rsidRPr="0024646A">
        <w:t>the</w:t>
      </w:r>
      <w:r w:rsidRPr="001C0501">
        <w:rPr>
          <w:i/>
          <w:iCs/>
        </w:rPr>
        <w:t xml:space="preserve"> </w:t>
      </w:r>
      <w:r w:rsidRPr="0024646A">
        <w:t>total outstanding clearing activity of the counterparties in the derivative contracts referred to in Article 7a (6) of Regulation (EU) No 648/2012</w:t>
      </w:r>
      <w:r>
        <w:t xml:space="preserve">) irrespective of the EU CCP’s current market share for these derivative contracts. For an EU CCP that has very little clearing activity in these derivative contracts, it seems very disproportionate. We would recommend that the EU CCP is expected to conduct a stress-test that takes into account its existing market share.  </w:t>
      </w:r>
      <w:r w:rsidRPr="001E5176">
        <w:t>Otherwise, if say 10 EU CCPs are testing, the overall test would be in relation to 850% (85% x 10) of the existing global volume, which is manifestly excessive.</w:t>
      </w:r>
    </w:p>
    <w:p w14:paraId="4F29CB39" w14:textId="77777777" w:rsidR="00E013A1" w:rsidRDefault="00E013A1" w:rsidP="00E013A1">
      <w:r>
        <w:t xml:space="preserve">We also ask that the draft RTS Article 3 includes a requirement on the EU CCP to provide the written statement upon request, without undue delay, for free, in English if requested. </w:t>
      </w:r>
      <w:r w:rsidRPr="00A63967">
        <w:t>See proposed drafting in the Annex.</w:t>
      </w:r>
    </w:p>
    <w:p w14:paraId="1166336F" w14:textId="77777777" w:rsidR="00E013A1" w:rsidRPr="0024646A" w:rsidRDefault="00E013A1" w:rsidP="00E013A1">
      <w:r>
        <w:t xml:space="preserve">Finally, we note that in draft RTS </w:t>
      </w:r>
      <w:r w:rsidRPr="00124340">
        <w:t>Article 3(1)</w:t>
      </w:r>
      <w:r>
        <w:t>,</w:t>
      </w:r>
      <w:r w:rsidRPr="00124340">
        <w:t xml:space="preserve"> point (c)</w:t>
      </w:r>
      <w:r>
        <w:t xml:space="preserve"> should be point (b).</w:t>
      </w:r>
    </w:p>
    <w:p w14:paraId="2283DD66" w14:textId="4E4B76D2" w:rsidR="006B5DF1" w:rsidRDefault="006B5DF1" w:rsidP="006B5DF1">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take into account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4184B627" w14:textId="77777777" w:rsidR="000F58DE" w:rsidRDefault="000F58DE" w:rsidP="006B5DF1">
      <w:pPr>
        <w:spacing w:after="0"/>
      </w:pPr>
    </w:p>
    <w:p w14:paraId="2301C2B3" w14:textId="214D3907" w:rsidR="00D93692" w:rsidRDefault="00D93692" w:rsidP="00D93692">
      <w:r w:rsidRPr="00E95B6D">
        <w:t>We do not have any particular concern</w:t>
      </w:r>
      <w:r>
        <w:t>s</w:t>
      </w:r>
      <w:r w:rsidRPr="00E95B6D">
        <w:t xml:space="preserve"> with the propos</w:t>
      </w:r>
      <w:r>
        <w:t>ed stress-testing frequency provided our understanding of the RTS (as set out in our response to question 4) is correct. We note, however, that if the “</w:t>
      </w:r>
      <w:r w:rsidRPr="0024646A">
        <w:rPr>
          <w:i/>
          <w:iCs/>
        </w:rPr>
        <w:t>total outstanding clearing activity of the counterparties in the derivative contracts referred to in Article 7a</w:t>
      </w:r>
      <w:r>
        <w:rPr>
          <w:i/>
          <w:iCs/>
        </w:rPr>
        <w:t xml:space="preserve"> </w:t>
      </w:r>
      <w:r w:rsidRPr="0024646A">
        <w:rPr>
          <w:i/>
          <w:iCs/>
        </w:rPr>
        <w:t>(6) of Regulation (EU) No 648/2012</w:t>
      </w:r>
      <w:r>
        <w:rPr>
          <w:i/>
          <w:iCs/>
        </w:rPr>
        <w:t xml:space="preserve">” </w:t>
      </w:r>
      <w:r w:rsidRPr="0025539E">
        <w:t xml:space="preserve">will only be published on ESMA’s website annually, the purpose of conducting semi-annual </w:t>
      </w:r>
      <w:r>
        <w:t>stress-testing</w:t>
      </w:r>
      <w:r w:rsidRPr="0025539E">
        <w:t xml:space="preserve"> is not clear</w:t>
      </w:r>
      <w:r w:rsidR="0008556E">
        <w:t>.</w:t>
      </w:r>
    </w:p>
    <w:p w14:paraId="1597170F" w14:textId="294BB21A" w:rsidR="00D93692" w:rsidRDefault="00D93692" w:rsidP="00D93692">
      <w:r>
        <w:lastRenderedPageBreak/>
        <w:t>If the required stress-testing would resemble/have similarities with a CCP fire drill (which we strongly object to) the stress-test should be required on an annual basi</w:t>
      </w:r>
      <w:r w:rsidR="1B09A160">
        <w:t>s</w:t>
      </w:r>
      <w:r w:rsidR="0008556E">
        <w:t xml:space="preserve"> </w:t>
      </w:r>
      <w:r>
        <w:t xml:space="preserve">for all counterparties irrespective of their clearing activities. </w:t>
      </w:r>
    </w:p>
    <w:p w14:paraId="48B86851" w14:textId="3F653379"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562732F1" w14:textId="77777777" w:rsidR="003A2DEE" w:rsidRDefault="003A2DEE" w:rsidP="006B5DF1">
      <w:pPr>
        <w:spacing w:after="0"/>
      </w:pPr>
    </w:p>
    <w:p w14:paraId="2BBF1929" w14:textId="77777777" w:rsidR="00510709" w:rsidRPr="00053B06" w:rsidRDefault="00510709" w:rsidP="00510709">
      <w:r w:rsidRPr="00E95B6D">
        <w:t>While we continue to believe that ESMA should only identify 3 classes in total across the services of S</w:t>
      </w:r>
      <w:r>
        <w:t xml:space="preserve">ubstantial </w:t>
      </w:r>
      <w:r w:rsidRPr="00E95B6D">
        <w:t>S</w:t>
      </w:r>
      <w:r>
        <w:t xml:space="preserve">ystemic </w:t>
      </w:r>
      <w:r w:rsidRPr="00E95B6D">
        <w:t>I</w:t>
      </w:r>
      <w:r>
        <w:t>mportance (IRD denominated in EUR and PLN and STIR denominated in EUR)</w:t>
      </w:r>
      <w:r w:rsidRPr="00E95B6D">
        <w:t>, we have no particular concern with the 3 classes identi</w:t>
      </w:r>
      <w:r>
        <w:t>f</w:t>
      </w:r>
      <w:r w:rsidRPr="00E95B6D">
        <w:t xml:space="preserve">ied </w:t>
      </w:r>
      <w:r>
        <w:t xml:space="preserve">for EUR OTC IRD </w:t>
      </w:r>
      <w:r w:rsidRPr="00E95B6D">
        <w:t>(EUR Fixed-to-float, EUR O</w:t>
      </w:r>
      <w:r>
        <w:t>I</w:t>
      </w:r>
      <w:r w:rsidRPr="00E95B6D">
        <w:t xml:space="preserve">S, EUR FRA). We note that ESMA has selected classes already defined as part of the </w:t>
      </w:r>
      <w:r>
        <w:t>c</w:t>
      </w:r>
      <w:r w:rsidRPr="00E95B6D">
        <w:t xml:space="preserve">learing </w:t>
      </w:r>
      <w:r>
        <w:t>o</w:t>
      </w:r>
      <w:r w:rsidRPr="00E95B6D">
        <w:t>bligation</w:t>
      </w:r>
      <w:r>
        <w:t xml:space="preserve">, </w:t>
      </w:r>
      <w:r w:rsidRPr="00E95B6D">
        <w:t>which is helpful</w:t>
      </w:r>
      <w:r>
        <w:t>.</w:t>
      </w:r>
    </w:p>
    <w:p w14:paraId="708B068B" w14:textId="31DE5546"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27505C30" w14:textId="77777777" w:rsidR="003A2DEE" w:rsidRDefault="003A2DEE" w:rsidP="006B5DF1">
      <w:pPr>
        <w:spacing w:after="0"/>
      </w:pPr>
    </w:p>
    <w:p w14:paraId="5F4DEEE4" w14:textId="77777777" w:rsidR="00307046" w:rsidRPr="00E95B6D" w:rsidRDefault="00307046" w:rsidP="00307046">
      <w:r>
        <w:t>As noted in our response to question 6, w</w:t>
      </w:r>
      <w:r w:rsidRPr="00E95B6D">
        <w:t>hile we continue to believe that ESMA should only identify 3 classes in total across the 3 services of S</w:t>
      </w:r>
      <w:r>
        <w:t xml:space="preserve">ubstantial </w:t>
      </w:r>
      <w:r w:rsidRPr="00E95B6D">
        <w:t>S</w:t>
      </w:r>
      <w:r>
        <w:t xml:space="preserve">ystemic </w:t>
      </w:r>
      <w:r w:rsidRPr="00E95B6D">
        <w:t>I</w:t>
      </w:r>
      <w:r>
        <w:t>mportance</w:t>
      </w:r>
      <w:r w:rsidRPr="00E95B6D">
        <w:t>, we have no particular concern with the 2 classes identified</w:t>
      </w:r>
      <w:r>
        <w:t xml:space="preserve"> for PLN OTC IRD </w:t>
      </w:r>
      <w:r w:rsidRPr="00E95B6D">
        <w:t>(PLN Fixed-to float and PLN FRA).</w:t>
      </w:r>
    </w:p>
    <w:p w14:paraId="4BD28B13" w14:textId="77777777" w:rsidR="00307046" w:rsidRPr="00E95B6D" w:rsidRDefault="00307046" w:rsidP="00307046">
      <w:pPr>
        <w:rPr>
          <w:b/>
          <w:bCs/>
        </w:rPr>
      </w:pPr>
      <w:r w:rsidRPr="00E95B6D">
        <w:t xml:space="preserve">We </w:t>
      </w:r>
      <w:r>
        <w:t xml:space="preserve">also </w:t>
      </w:r>
      <w:r w:rsidRPr="00E95B6D">
        <w:t>welcome that the proposed PLN IRS calibration recognises that the liquidity for PLN IRS at EU CCP is extremely limited.</w:t>
      </w:r>
    </w:p>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lastRenderedPageBreak/>
        <w:t>&lt;ESMA_QUESTION_</w:t>
      </w:r>
      <w:r w:rsidR="004E60D2">
        <w:t>AAR</w:t>
      </w:r>
      <w:r>
        <w:t>_</w:t>
      </w:r>
      <w:r w:rsidR="003E7313">
        <w:t>08</w:t>
      </w:r>
      <w:r>
        <w:t>&gt;</w:t>
      </w:r>
    </w:p>
    <w:p w14:paraId="3BDB6BF5" w14:textId="77777777" w:rsidR="003A2DEE" w:rsidRDefault="003A2DEE" w:rsidP="006B5DF1">
      <w:pPr>
        <w:spacing w:after="0"/>
      </w:pPr>
    </w:p>
    <w:p w14:paraId="6EF12434" w14:textId="77777777" w:rsidR="005F4079" w:rsidRPr="00E95B6D" w:rsidRDefault="005F4079" w:rsidP="005F4079">
      <w:r>
        <w:t xml:space="preserve">We note </w:t>
      </w:r>
      <w:r w:rsidRPr="00E95B6D">
        <w:t>that (</w:t>
      </w:r>
      <w:proofErr w:type="spellStart"/>
      <w:r w:rsidRPr="00E95B6D">
        <w:t>i</w:t>
      </w:r>
      <w:proofErr w:type="spellEnd"/>
      <w:r w:rsidRPr="00E95B6D">
        <w:t>) liquidity for EUR STIR at EU CCP is limited and (ii) liquidity for EUR STIR referencing €STR</w:t>
      </w:r>
      <w:r w:rsidRPr="00E95B6D" w:rsidDel="001970D0">
        <w:t xml:space="preserve"> </w:t>
      </w:r>
      <w:r w:rsidRPr="00E95B6D">
        <w:t>is much lower</w:t>
      </w:r>
      <w:r>
        <w:t xml:space="preserve">.  This should be taken </w:t>
      </w:r>
      <w:r w:rsidRPr="00E95B6D">
        <w:t xml:space="preserve">into account with the overall EUR </w:t>
      </w:r>
      <w:r>
        <w:t>STIR</w:t>
      </w:r>
      <w:r w:rsidRPr="00E95B6D">
        <w:t xml:space="preserve"> calibration</w:t>
      </w:r>
      <w:r>
        <w:t>.</w:t>
      </w:r>
    </w:p>
    <w:p w14:paraId="3406E204" w14:textId="7DEC0AE7" w:rsidR="005F4079" w:rsidRPr="00287649" w:rsidRDefault="005F4079" w:rsidP="005F4079">
      <w:r>
        <w:t>We also note that EU markets for options on STIRs are completely illiquid. Only one EU venue offers trading in STIR options and on this venue 20 lots have traded in the last five years, as against 453 million lots on</w:t>
      </w:r>
      <w:r w:rsidR="00C47435">
        <w:t xml:space="preserve"> a</w:t>
      </w:r>
      <w:r>
        <w:t xml:space="preserve"> UK venue (ICE Clear Europe) over the same period. This means that almost no STIR options trades are executed on EU venues, almost no STIR options are cleared at EU CCPs, and therefore no price history for them exists on which market participants can base judgements about risk management, execution quality or economic value.</w:t>
      </w:r>
    </w:p>
    <w:p w14:paraId="67DBB5A7" w14:textId="5865AAFB"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2664EAB7" w14:textId="77777777" w:rsidR="003A2DEE" w:rsidRDefault="003A2DEE" w:rsidP="006B5DF1">
      <w:pPr>
        <w:spacing w:after="0"/>
      </w:pPr>
    </w:p>
    <w:p w14:paraId="2D6B490E" w14:textId="77777777" w:rsidR="00A90B50" w:rsidRPr="00E95B6D" w:rsidRDefault="00A90B50" w:rsidP="00A90B50">
      <w:r w:rsidRPr="00E95B6D">
        <w:t xml:space="preserve">While we regret that ESMA has identified the maximum number of maturity (4) and maximum number of trade size </w:t>
      </w:r>
      <w:r>
        <w:t>ranges</w:t>
      </w:r>
      <w:r w:rsidRPr="00E95B6D">
        <w:t xml:space="preserve"> (</w:t>
      </w:r>
      <w:r>
        <w:t>3</w:t>
      </w:r>
      <w:r w:rsidRPr="00E95B6D">
        <w:t>), we have no particular concern with the proposed maturity and trade size buckets despite some maturity buckets</w:t>
      </w:r>
      <w:r>
        <w:t xml:space="preserve"> appearing</w:t>
      </w:r>
      <w:r w:rsidRPr="00E95B6D">
        <w:t xml:space="preserve"> challenging </w:t>
      </w:r>
      <w:r>
        <w:t xml:space="preserve">to meet </w:t>
      </w:r>
      <w:r w:rsidRPr="00E95B6D">
        <w:t xml:space="preserve">(for instance 5Y+ for OIS </w:t>
      </w:r>
      <w:r>
        <w:t xml:space="preserve">falls </w:t>
      </w:r>
      <w:r w:rsidRPr="00E95B6D">
        <w:t>outside the clearing obligation).</w:t>
      </w:r>
    </w:p>
    <w:p w14:paraId="7294A4EF" w14:textId="63DB1747" w:rsidR="006B5DF1" w:rsidRDefault="006B5DF1" w:rsidP="006B5DF1">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E4D4CC6" w14:textId="77777777" w:rsidR="003A2DEE" w:rsidRDefault="003A2DEE" w:rsidP="006B5DF1">
      <w:pPr>
        <w:spacing w:after="0"/>
      </w:pPr>
    </w:p>
    <w:p w14:paraId="0BDB935D" w14:textId="77777777" w:rsidR="0013047A" w:rsidRPr="00E95B6D" w:rsidRDefault="0013047A" w:rsidP="0013047A">
      <w:r w:rsidRPr="00E95B6D">
        <w:t>We are pleased that ESMA has taken into account the lack of liquidity of PLN IRS at EU CCPs</w:t>
      </w:r>
      <w:r>
        <w:t xml:space="preserve"> and</w:t>
      </w:r>
      <w:r w:rsidRPr="00E95B6D">
        <w:t xml:space="preserve"> is not proposing any maturity or size ranges for the 2 classes in PLN IRS. </w:t>
      </w:r>
    </w:p>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678F269A" w14:textId="77777777" w:rsidR="003A2DEE" w:rsidRDefault="003A2DEE" w:rsidP="006B5DF1">
      <w:pPr>
        <w:spacing w:after="0"/>
      </w:pPr>
    </w:p>
    <w:p w14:paraId="63220D48" w14:textId="77777777" w:rsidR="00DE7B67" w:rsidRDefault="00DE7B67" w:rsidP="00DE7B67">
      <w:pPr>
        <w:rPr>
          <w:rFonts w:cs="Times New Roman"/>
        </w:rPr>
      </w:pPr>
      <w:r w:rsidRPr="00E95B6D">
        <w:rPr>
          <w:rFonts w:cs="Times New Roman"/>
        </w:rPr>
        <w:t>We welcome that ESMA has not set any size ranges for EUR STIR</w:t>
      </w:r>
      <w:r>
        <w:rPr>
          <w:rFonts w:cs="Times New Roman"/>
        </w:rPr>
        <w:t xml:space="preserve"> given it is not possible for counterparties to control the size of a trade in STIR</w:t>
      </w:r>
      <w:r w:rsidRPr="00E95B6D">
        <w:rPr>
          <w:rFonts w:cs="Times New Roman"/>
        </w:rPr>
        <w:t xml:space="preserve">. </w:t>
      </w:r>
    </w:p>
    <w:p w14:paraId="2C648190" w14:textId="4D4194A8" w:rsidR="00DE7B67" w:rsidRPr="00E95B6D" w:rsidRDefault="00DE7B67" w:rsidP="00DE7B67">
      <w:pPr>
        <w:rPr>
          <w:rFonts w:cs="Times New Roman"/>
        </w:rPr>
      </w:pPr>
      <w:r w:rsidRPr="00E95B6D">
        <w:rPr>
          <w:rFonts w:cs="Times New Roman"/>
        </w:rPr>
        <w:t xml:space="preserve">We </w:t>
      </w:r>
      <w:r>
        <w:rPr>
          <w:rFonts w:cs="Times New Roman"/>
        </w:rPr>
        <w:t>believe that, given the liquidity in EUR STIR at EU CCPs, ESMA should take a more proportionate approach. We recommend ESMA only identifies 2</w:t>
      </w:r>
      <w:r w:rsidRPr="00E95B6D">
        <w:rPr>
          <w:rFonts w:cs="Times New Roman"/>
        </w:rPr>
        <w:t xml:space="preserve"> maturity buckets</w:t>
      </w:r>
      <w:r>
        <w:rPr>
          <w:rFonts w:cs="Times New Roman"/>
        </w:rPr>
        <w:t xml:space="preserve"> (not 4)</w:t>
      </w:r>
      <w:r w:rsidRPr="00E95B6D">
        <w:rPr>
          <w:rFonts w:cs="Times New Roman"/>
        </w:rPr>
        <w:t xml:space="preserve">: </w:t>
      </w:r>
      <w:r w:rsidR="00C47435">
        <w:rPr>
          <w:rFonts w:cs="Times New Roman"/>
        </w:rPr>
        <w:t xml:space="preserve">one </w:t>
      </w:r>
      <w:r w:rsidRPr="00067A28">
        <w:rPr>
          <w:rFonts w:cs="Times New Roman"/>
        </w:rPr>
        <w:t xml:space="preserve">below and </w:t>
      </w:r>
      <w:r w:rsidR="00C47435">
        <w:rPr>
          <w:rFonts w:cs="Times New Roman"/>
        </w:rPr>
        <w:t xml:space="preserve">one </w:t>
      </w:r>
      <w:r w:rsidRPr="00067A28">
        <w:rPr>
          <w:rFonts w:cs="Times New Roman"/>
        </w:rPr>
        <w:t>above 1 year.</w:t>
      </w:r>
      <w:r w:rsidRPr="00E95B6D">
        <w:rPr>
          <w:rFonts w:cs="Times New Roman"/>
        </w:rPr>
        <w:t xml:space="preserve"> </w:t>
      </w:r>
    </w:p>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263D4FA8" w14:textId="77777777" w:rsidR="003A2DEE" w:rsidRDefault="003A2DEE" w:rsidP="006B5DF1">
      <w:pPr>
        <w:spacing w:after="0"/>
      </w:pPr>
    </w:p>
    <w:p w14:paraId="298EFD4C" w14:textId="77777777" w:rsidR="000A2200" w:rsidRPr="000A2200" w:rsidRDefault="000A2200" w:rsidP="000A2200">
      <w:r w:rsidRPr="000A2200">
        <w:t>We do not object to the proposed number of most relevant subcategories in EUR IRS and PLN IRS. However, in line with our response to question 11, there should only be two maturity buckets for EUR STIR, which would mechanically result in only 2 most relevant subcategories for EUR STIR in Euribor and 2 most relevant subcategories for EUR STIR in €STR.</w:t>
      </w:r>
    </w:p>
    <w:p w14:paraId="7ECA10E7" w14:textId="4EEF4C80"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t>&lt;ESMA_QUESTION_</w:t>
      </w:r>
      <w:r w:rsidR="004E60D2">
        <w:t>AAR</w:t>
      </w:r>
      <w:r>
        <w:t>_</w:t>
      </w:r>
      <w:r w:rsidR="003E7313">
        <w:t>13</w:t>
      </w:r>
      <w:r>
        <w:t>&gt;</w:t>
      </w:r>
    </w:p>
    <w:p w14:paraId="55758769" w14:textId="77777777" w:rsidR="003A2DEE" w:rsidRDefault="003A2DEE" w:rsidP="006B5DF1">
      <w:pPr>
        <w:spacing w:after="0"/>
      </w:pPr>
    </w:p>
    <w:p w14:paraId="18620FE4" w14:textId="77777777" w:rsidR="007C54FB" w:rsidRPr="00A115CB" w:rsidRDefault="007C54FB" w:rsidP="007C54FB">
      <w:r w:rsidRPr="00A115CB">
        <w:lastRenderedPageBreak/>
        <w:t>EMIR Article 7a (4) notes that for “</w:t>
      </w:r>
      <w:r w:rsidRPr="00A115CB">
        <w:rPr>
          <w:i/>
          <w:iCs/>
        </w:rPr>
        <w:t>the representativeness obligation referred to in paragraph 3, point (d), to be fulfilled, counterparties shall clear, on annual average basis, at least five trades in each of the most relevant subcategories per class of derivative contracts and per reference period defined in accordance with paragraph 8, third subparagraph”</w:t>
      </w:r>
      <w:r w:rsidRPr="00A115CB">
        <w:t>. Recital 14 also notes that “</w:t>
      </w:r>
      <w:r w:rsidRPr="00A115CB">
        <w:rPr>
          <w:i/>
          <w:iCs/>
        </w:rPr>
        <w:t>The number of derivative contracts to be cleared should be at least five trades in the reference period on an annual average basis, meaning that in assessing whether counterparties fulfil the representativeness obligation, competent authorities should consider the total number of trades over a year”.</w:t>
      </w:r>
      <w:r w:rsidRPr="00A115CB">
        <w:t xml:space="preserve">  </w:t>
      </w:r>
    </w:p>
    <w:p w14:paraId="05085A4D" w14:textId="77777777" w:rsidR="007C54FB" w:rsidRPr="00A115CB" w:rsidRDefault="007C54FB" w:rsidP="007C54FB">
      <w:r w:rsidRPr="00A115CB">
        <w:t xml:space="preserve">The concept of annual average can be interpreted in different ways and we would welcome further clarification on how to compute annual averages. Is it calendar year or rolling year? How does it work when the most relevant subcategories change from one reference period to the next? How should firms report compliance with representativeness to their NCA every 6 months under Article 7b if the requirement is based on an annual average?  </w:t>
      </w:r>
    </w:p>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49D872E4" w14:textId="77777777" w:rsidR="003A2DEE" w:rsidRDefault="003A2DEE" w:rsidP="006B5DF1">
      <w:pPr>
        <w:spacing w:after="0"/>
      </w:pPr>
    </w:p>
    <w:p w14:paraId="00934D2B" w14:textId="77777777" w:rsidR="00062EB5" w:rsidRPr="003A2DEE" w:rsidRDefault="00062EB5" w:rsidP="00062EB5">
      <w:r w:rsidRPr="003A2DEE">
        <w:t xml:space="preserve">We welcome that the reference period is 12 months for all counterparties given the lack of liquidity of PLN IRS at EU CCPs. </w:t>
      </w:r>
    </w:p>
    <w:p w14:paraId="2E041F13" w14:textId="67F0DD00" w:rsidR="00062EB5" w:rsidRPr="003A2DEE" w:rsidRDefault="00062EB5" w:rsidP="00062EB5">
      <w:r w:rsidRPr="003A2DEE">
        <w:t>As set out in our response to question 13</w:t>
      </w:r>
      <w:r w:rsidR="00C47435">
        <w:t>,</w:t>
      </w:r>
      <w:r w:rsidRPr="003A2DEE">
        <w:t xml:space="preserve"> we would welcome further clarification on how to compute annual averages. </w:t>
      </w:r>
    </w:p>
    <w:p w14:paraId="7A83D384" w14:textId="713A6681"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52D1DEB9" w14:textId="77777777" w:rsidR="00DE661C" w:rsidRDefault="00DE661C" w:rsidP="006B5DF1">
      <w:pPr>
        <w:spacing w:after="0"/>
      </w:pPr>
    </w:p>
    <w:p w14:paraId="33159A60" w14:textId="77777777" w:rsidR="00DE661C" w:rsidRPr="00DE661C" w:rsidRDefault="00DE661C" w:rsidP="00DE661C">
      <w:r w:rsidRPr="00DE661C">
        <w:lastRenderedPageBreak/>
        <w:t>We note there is a mismatch between the proposed reference periods for EURIBOR and ESTR STIRS, which would be operationally difficult to manage. Our preference would be to align the reference periods for both categories to the longer reference period.</w:t>
      </w:r>
    </w:p>
    <w:p w14:paraId="5ED028DE" w14:textId="1E5B3F64" w:rsidR="00DE661C" w:rsidRPr="00DE661C" w:rsidRDefault="00DE661C" w:rsidP="00DE661C">
      <w:r w:rsidRPr="00DE661C">
        <w:t>As set out under questions 13</w:t>
      </w:r>
      <w:r w:rsidR="00C47435">
        <w:t>,</w:t>
      </w:r>
      <w:r w:rsidRPr="00DE661C">
        <w:t xml:space="preserve"> we would welcome further clarification on how to compute annual averages.</w:t>
      </w:r>
    </w:p>
    <w:p w14:paraId="3A64410A" w14:textId="45BF1F38"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295B4986" w14:textId="77777777" w:rsidR="00CD516A" w:rsidRDefault="00CD516A" w:rsidP="006B5DF1">
      <w:pPr>
        <w:spacing w:after="0"/>
      </w:pPr>
    </w:p>
    <w:p w14:paraId="3042DA58" w14:textId="77777777" w:rsidR="00CD516A" w:rsidRPr="003D7DE8" w:rsidRDefault="00CD516A" w:rsidP="00CD516A">
      <w:pPr>
        <w:rPr>
          <w:highlight w:val="yellow"/>
        </w:rPr>
      </w:pPr>
      <w:r w:rsidRPr="003D7DE8">
        <w:t>Most of the information required to be reported to NCAs on activity and risk exposures is already reported to EU Trade Repositories (TR) under Article 9 of EMIR and NCAs have access to the data in the EU TRs. While EMIR Article 7b states that counterparties “</w:t>
      </w:r>
      <w:r w:rsidRPr="003D7DE8">
        <w:rPr>
          <w:i/>
          <w:iCs/>
        </w:rPr>
        <w:t>shall use the information reported under Article 9 where relevant</w:t>
      </w:r>
      <w:r w:rsidRPr="003D7DE8">
        <w:t xml:space="preserve">”, it does not require the RTS to mandate  reporting of Article 9 information to the NCAs. Instead of asking firms to resend in aggregate form, and/or in the same transactional form, the data to NCAs, NCAs should extract the information in the EU TRs. It will be unnecessary, complex and costly to resend information even in aggregate forms when it is already available at EU TRs. Those entities that voluntarily delegate their reporting submissions may find the Article 7b reporting requirements even more challenging as, while they are liable to validate the completeness and accuracy of Article 9 reporting, they may not have the technology in place to submit reports themselves. Therefore, if NCAs were to extract the Article 9 information for the purposes of Article 7b in the EU TRs, market participants taking advantage of voluntary delegated reporting under Article 9 will not be adversely impacted. Furthermore, if NCAs use the information already available within EU TRs, the calculations to determine the activity and risk exposure are performed centrally and consistently, as opposed to each firm needing to run the calculations separately before submitting to the relevant NCA. This will ensure the same calculations will be applied each time, thereby avoiding the risk of firms inconsistently running the calculations, which would hinder direct comparison between firms. This approach also ensures the data used for the AAR fully aligns with the information reported to TRs under EMIR Art. 9.  </w:t>
      </w:r>
    </w:p>
    <w:p w14:paraId="0FBF22EF" w14:textId="3F53A7A8" w:rsidR="00CD516A" w:rsidRPr="003D7DE8" w:rsidRDefault="00CD516A" w:rsidP="00CD516A">
      <w:r w:rsidRPr="003D7DE8">
        <w:t xml:space="preserve">It is highly unusual  for firms to be required to provide line by line data to NCAs on a Business As Usual basis to enable NCAs to directly audit compliance with one particular regulatory requirement.  Typically, we would expect regulated firms to implement an internal process to monitor compliance with all regulatory requirements, investigate control weaknesses and breaks, and to report regulatory breaches to their NCA accordingly.  It is then for the NCA to work with the firm to investigate the breach and determine the correct remedies.  The firm provides the information </w:t>
      </w:r>
      <w:r w:rsidRPr="003D7DE8">
        <w:lastRenderedPageBreak/>
        <w:t xml:space="preserve">necessary for the NCA to check compliance through this mechanism.  We do not understand why this standard approach to regulatory compliance is set aside in this one instance.  </w:t>
      </w:r>
    </w:p>
    <w:p w14:paraId="32ABF0CF" w14:textId="77777777" w:rsidR="00CD516A" w:rsidRPr="003D7DE8" w:rsidRDefault="00CD516A" w:rsidP="00CD516A">
      <w:r w:rsidRPr="003D7DE8">
        <w:t xml:space="preserve">We recommend that the RTS are amended to require firms to certify if they are above the AA thresholds (clearing threshold condition 2, EUR 6bn threshold, EUR 100bn threshold). This reflects the approach taken in the </w:t>
      </w:r>
      <w:hyperlink r:id="rId26" w:history="1">
        <w:r w:rsidRPr="003D7DE8">
          <w:rPr>
            <w:rStyle w:val="Hyperlink"/>
          </w:rPr>
          <w:t>ESMA Active Account notification template</w:t>
        </w:r>
      </w:hyperlink>
      <w:r w:rsidRPr="003D7DE8">
        <w:t xml:space="preserve"> published on 20 December 2024.  At the request of the NCA, firms should provide further information. We would highlight that such an approach would also broadly be in line with certain other EMIR requirements such as how the FC+/- process works, i.e. firms run the calculation annually, if they are below the relevant clearing thresholds they only keep a record; if they are above, they notify the regulator that they are above but without any requirement to provide any detail other than the fact that they are above one or more thresholds, and NCAs can come back and ask for more information if required</w:t>
      </w:r>
    </w:p>
    <w:p w14:paraId="44481B53" w14:textId="15AC1B69" w:rsidR="00CD516A" w:rsidRPr="003D7DE8" w:rsidRDefault="00CD516A" w:rsidP="00CD516A">
      <w:r w:rsidRPr="003D7DE8">
        <w:t>We also disagree with the proposal to require third country subsidiaries belonging to a group subject to consolidated supervision in the EU to report on activity and risk exposures. These entities are not required to report under Article 9 of EMIR because they are not EU legal entities and requiring them to report their activities to EU TRs would have an extraterritorial dimension. Similarly, requiring these third country subsidiaries to report on the activity and risk exposures for the purpose of the AAR would have an extraterritorial reach and be very costly and burdensome. This would also seem to be inconsistent with the EMIR 3.0 approach that is that (as noted in paragraph 38 of the CP) “</w:t>
      </w:r>
      <w:r w:rsidRPr="003D7DE8">
        <w:rPr>
          <w:i/>
          <w:iCs/>
        </w:rPr>
        <w:t>third country entities that are not subject to the clearing obligation under Union law are not subject to the obligation to maintain an active account</w:t>
      </w:r>
      <w:r w:rsidRPr="003D7DE8">
        <w:t xml:space="preserve">.” </w:t>
      </w:r>
    </w:p>
    <w:p w14:paraId="1D4D1D31" w14:textId="77777777" w:rsidR="00CD516A" w:rsidRPr="003D7DE8" w:rsidRDefault="00CD516A" w:rsidP="00CD516A">
      <w:r w:rsidRPr="003D7DE8">
        <w:t>We understand that fields 7-8 in table 1 in Annex II are only relevant where the group is subject to consolidated supervision in accordance with Chapter 2 of Title II of Part One of Regulation (EU) No 575/2013 (CRD). The definition of group should be included in the RTS to make this clear.</w:t>
      </w:r>
    </w:p>
    <w:p w14:paraId="061AC34A" w14:textId="6D45AE2E" w:rsidR="006B5DF1" w:rsidRDefault="006B5DF1" w:rsidP="006B5DF1">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&lt;ESMA_QUESTION_</w:t>
      </w:r>
      <w:r w:rsidR="004E60D2">
        <w:t>AAR</w:t>
      </w:r>
      <w:r>
        <w:t>_</w:t>
      </w:r>
      <w:r w:rsidR="003E7313">
        <w:t>17</w:t>
      </w:r>
      <w:r>
        <w:t>&gt;</w:t>
      </w:r>
    </w:p>
    <w:p w14:paraId="59F5B9B0" w14:textId="77777777" w:rsidR="003D7DE8" w:rsidRDefault="003D7DE8" w:rsidP="006B5DF1">
      <w:pPr>
        <w:spacing w:after="0"/>
      </w:pPr>
    </w:p>
    <w:p w14:paraId="55F5476E" w14:textId="77777777" w:rsidR="003D7DE8" w:rsidRPr="003D7DE8" w:rsidRDefault="003D7DE8" w:rsidP="003D7DE8">
      <w:r w:rsidRPr="003D7DE8">
        <w:t xml:space="preserve">We do not understand how information on the VM and IM posted by counterparties (for both cleared and uncleared transactions) in aggregate value would help the NCA monitor compliance with the activities and risk exposures of the counterparty. ESMA already have access to </w:t>
      </w:r>
      <w:proofErr w:type="spellStart"/>
      <w:r w:rsidRPr="003D7DE8">
        <w:t>notionals</w:t>
      </w:r>
      <w:proofErr w:type="spellEnd"/>
      <w:r w:rsidRPr="003D7DE8">
        <w:t xml:space="preserve"> in the TR and this additional VM/IM metric is unnecessary and irrelevant. It is also not relevant to </w:t>
      </w:r>
      <w:r w:rsidRPr="003D7DE8">
        <w:lastRenderedPageBreak/>
        <w:t xml:space="preserve">the calculation of the exemption thresholds (whether the 85% exemption, EUR 6bn or EUR 100bn). </w:t>
      </w:r>
    </w:p>
    <w:p w14:paraId="3DC225BF" w14:textId="77777777" w:rsidR="003D7DE8" w:rsidRPr="003D7DE8" w:rsidRDefault="003D7DE8" w:rsidP="003D7DE8">
      <w:r w:rsidRPr="003D7DE8">
        <w:t>In addition to not being necessary, it is very unclear what valuable information aggregate VM for cleared transactions would provide. The VM is passed on a daily/intraday basis.</w:t>
      </w:r>
    </w:p>
    <w:p w14:paraId="434B1CE3" w14:textId="40AEA46D" w:rsidR="006B5DF1" w:rsidRDefault="006B5DF1" w:rsidP="006B5DF1">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5F145626" w14:textId="77777777" w:rsidR="00777A31" w:rsidRDefault="00777A31" w:rsidP="006B5DF1">
      <w:pPr>
        <w:spacing w:after="0"/>
      </w:pPr>
    </w:p>
    <w:p w14:paraId="220B7E26" w14:textId="77777777" w:rsidR="00777A31" w:rsidRPr="00777A31" w:rsidRDefault="00777A31" w:rsidP="00777A31">
      <w:r w:rsidRPr="00777A31">
        <w:t>We strongly oppose the reporting of UTIs.</w:t>
      </w:r>
    </w:p>
    <w:p w14:paraId="2DF32BA8" w14:textId="77777777" w:rsidR="00777A31" w:rsidRPr="00777A31" w:rsidRDefault="00777A31" w:rsidP="00777A31">
      <w:r w:rsidRPr="00777A31">
        <w:t xml:space="preserve">As mentioned in the Impact assessment (section 7.3.3), requiring firms to report the UTI for the relevant derivatives contracts subject to the AAR which were included in the calculation of activities and risk exposures (ESMA preferred policy option – option 2) would </w:t>
      </w:r>
      <w:r w:rsidRPr="00777A31">
        <w:rPr>
          <w:i/>
          <w:iCs/>
        </w:rPr>
        <w:t xml:space="preserve">“require counterparties to report additional fields, which would increase the reporting costs and burden”. </w:t>
      </w:r>
      <w:r w:rsidRPr="00777A31">
        <w:t>As ESMA notes in the CBA the alternative policy option (option 1) would be ‘</w:t>
      </w:r>
      <w:r w:rsidRPr="00777A31">
        <w:rPr>
          <w:i/>
          <w:iCs/>
        </w:rPr>
        <w:t>limited to the strict necessary to assess compliance’</w:t>
      </w:r>
      <w:r w:rsidRPr="00777A31">
        <w:t xml:space="preserve"> but sufficient to assess compliance. Given firms must report UTIs as part of their Article 9 reports and are providing the gross notional amounts it is not clear what the benefit of listing every trade, they have entered into in the last 6 months actually is. We strongly recommend that ESMA’s final rules implement option 1 (i.e. do not require UTIs to be reported).</w:t>
      </w:r>
    </w:p>
    <w:p w14:paraId="64DE9A2E" w14:textId="77777777" w:rsidR="00777A31" w:rsidRPr="00777A31" w:rsidRDefault="00777A31" w:rsidP="00777A31">
      <w:r w:rsidRPr="00777A31">
        <w:t>Paragraph 166 of the consultation explains that including the list of UTIs for the relevant derivative contracts subject to the AAR “</w:t>
      </w:r>
      <w:r w:rsidRPr="00777A31">
        <w:rPr>
          <w:i/>
          <w:iCs/>
        </w:rPr>
        <w:t>would enable competent authorities to better perform their supervisory duties by verifying the information reported by counterparties under Article 7b against the reports submitted to trade repositories under Article 9</w:t>
      </w:r>
      <w:r w:rsidRPr="00777A31">
        <w:t xml:space="preserve">”.  As noted in our response to question 16, using the information already at the TRs would be much more efficient in ensuring there is no discrepancy between the data reported to the TRs under Article 9 and the information provided under Article 7b of EMIR. </w:t>
      </w:r>
    </w:p>
    <w:p w14:paraId="51F035B1" w14:textId="5443497D" w:rsidR="006B5DF1" w:rsidRDefault="006B5DF1" w:rsidP="006B5DF1">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lastRenderedPageBreak/>
        <w:t>&lt;ESMA_QUESTION_</w:t>
      </w:r>
      <w:r w:rsidR="004E60D2">
        <w:t>AAR</w:t>
      </w:r>
      <w:r>
        <w:t>_</w:t>
      </w:r>
      <w:r w:rsidR="003E7313">
        <w:t>19</w:t>
      </w:r>
      <w:r>
        <w:t>&gt;</w:t>
      </w:r>
    </w:p>
    <w:p w14:paraId="547DF638" w14:textId="77777777" w:rsidR="00F623ED" w:rsidRDefault="00F623ED" w:rsidP="006B5DF1">
      <w:pPr>
        <w:spacing w:after="0"/>
      </w:pPr>
    </w:p>
    <w:p w14:paraId="7F5BA94B" w14:textId="77777777" w:rsidR="00F623ED" w:rsidRPr="00F623ED" w:rsidRDefault="00F623ED" w:rsidP="00F623ED">
      <w:pPr>
        <w:rPr>
          <w:strike/>
        </w:rPr>
      </w:pPr>
      <w:r w:rsidRPr="00F623ED">
        <w:t>As noted in our response to question 2, counterparties should not be required to hold financial resources. Draft RTS Article 8 (1) (c) (</w:t>
      </w:r>
      <w:proofErr w:type="spellStart"/>
      <w:r w:rsidRPr="00F623ED">
        <w:t>i</w:t>
      </w:r>
      <w:proofErr w:type="spellEnd"/>
      <w:r w:rsidRPr="00F623ED">
        <w:t>) should be amended as follows: “</w:t>
      </w:r>
      <w:r w:rsidRPr="00F623ED">
        <w:rPr>
          <w:i/>
          <w:iCs/>
        </w:rPr>
        <w:t xml:space="preserve">the account </w:t>
      </w:r>
      <w:r w:rsidRPr="00F623ED">
        <w:rPr>
          <w:i/>
          <w:iCs/>
          <w:strike/>
        </w:rPr>
        <w:t xml:space="preserve">statements </w:t>
      </w:r>
      <w:r w:rsidRPr="00F623ED">
        <w:rPr>
          <w:i/>
          <w:iCs/>
        </w:rPr>
        <w:t>for cash and/</w:t>
      </w:r>
      <w:r w:rsidRPr="00F623ED">
        <w:rPr>
          <w:b/>
          <w:bCs/>
          <w:i/>
          <w:iCs/>
        </w:rPr>
        <w:t>or</w:t>
      </w:r>
      <w:r w:rsidRPr="00F623ED">
        <w:rPr>
          <w:i/>
          <w:iCs/>
        </w:rPr>
        <w:t xml:space="preserve"> collateral, including the number of the account</w:t>
      </w:r>
      <w:r w:rsidRPr="00F623ED">
        <w:t xml:space="preserve"> </w:t>
      </w:r>
      <w:r w:rsidRPr="00F623ED">
        <w:rPr>
          <w:strike/>
        </w:rPr>
        <w:t>and the aggregate amount of financial resources provisioned”.</w:t>
      </w:r>
      <w:r w:rsidRPr="00F623ED">
        <w:t xml:space="preserve"> The proposed drafting is also available in the Annex.</w:t>
      </w:r>
    </w:p>
    <w:p w14:paraId="7A7A921C" w14:textId="77777777" w:rsidR="00F623ED" w:rsidRPr="00F623ED" w:rsidRDefault="00F623ED" w:rsidP="00F623ED">
      <w:r w:rsidRPr="00F623ED">
        <w:t xml:space="preserve">As noted in our response to question 3, proposed draft RTS Article 2(1)(a) should not, however, require counterparties to </w:t>
      </w:r>
      <w:r w:rsidRPr="00F623ED">
        <w:rPr>
          <w:i/>
          <w:iCs/>
        </w:rPr>
        <w:t xml:space="preserve">“set up internal systems to monitor the counterparty’s exposures  and the internal  arrangements  to support a large flow of transactions </w:t>
      </w:r>
      <w:r w:rsidRPr="00F623ED">
        <w:rPr>
          <w:i/>
          <w:iCs/>
          <w:u w:val="single"/>
        </w:rPr>
        <w:t>from positions held in a clearing service of substantial systemic importance pursuant to Article 25(2c) under different scenarios assessing any potential legal and operation barriers</w:t>
      </w:r>
      <w:r w:rsidRPr="00F623ED">
        <w:rPr>
          <w:i/>
          <w:iCs/>
        </w:rPr>
        <w:t>”</w:t>
      </w:r>
      <w:r w:rsidRPr="00F623ED">
        <w:t>[our emphasis added] and we suggest that the underlined text is removed from the final RTS. Draft RTS 8 (1) (b) (ii) should be amended accordingly. The proposed drafting is also available in the Annex.</w:t>
      </w:r>
    </w:p>
    <w:p w14:paraId="4B4443B7" w14:textId="77777777" w:rsidR="00F623ED" w:rsidRPr="00F623ED" w:rsidRDefault="00F623ED" w:rsidP="00F623ED">
      <w:r w:rsidRPr="00F623ED">
        <w:t>As noted in our response to question 2, we object to the requirement to have a dedicated staff member in charge of ensuring the propose functioning of the clearing arrangements at all times. Draft RTS 8 (1) (c) (ii) should be amended accordingly. See proposed drafting in the Annex.</w:t>
      </w:r>
    </w:p>
    <w:p w14:paraId="14E6B3F3" w14:textId="77777777" w:rsidR="00F623ED" w:rsidRPr="00F623ED" w:rsidRDefault="00F623ED" w:rsidP="00F623ED">
      <w:pPr>
        <w:rPr>
          <w:strike/>
        </w:rPr>
      </w:pPr>
      <w:r w:rsidRPr="00F623ED">
        <w:t>In addition, draft RTS Article 8 (2) should be amended to clarify that a client should request the statement from the clearing member in order for the client to transmit it to its NCA. We do not believe that the intention is that the clearing member should transmit the statement to the client’s NCA.</w:t>
      </w:r>
    </w:p>
    <w:p w14:paraId="3AD2704A" w14:textId="05882EF4" w:rsidR="006B5DF1" w:rsidRDefault="006B5DF1" w:rsidP="006B5DF1">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3202C54D" w14:textId="77777777" w:rsidR="007C4983" w:rsidRPr="007C4983" w:rsidRDefault="007C4983" w:rsidP="007C4983">
      <w:r w:rsidRPr="007C4983">
        <w:t xml:space="preserve">We do not support the proposed approach for the reporting of the representativeness obligation.  It is unclear what draft RTS Article 9(1)(b) is intended to show in the context of representativeness. </w:t>
      </w:r>
    </w:p>
    <w:p w14:paraId="2F57E23B" w14:textId="342D4CD2" w:rsidR="007C4983" w:rsidRPr="007C4983" w:rsidRDefault="007C4983" w:rsidP="007C4983">
      <w:pPr>
        <w:pStyle w:val="ListParagraph"/>
        <w:numPr>
          <w:ilvl w:val="0"/>
          <w:numId w:val="37"/>
        </w:numPr>
        <w:spacing w:after="160" w:line="259" w:lineRule="auto"/>
      </w:pPr>
      <w:r w:rsidRPr="007C4983">
        <w:t>Why are the gross and net notional amount cleared in each subcategory (draft Article 9 para 1 subparagraphs b) and c) necessary as the representativeness requirements is based on the concept of the number of trade</w:t>
      </w:r>
      <w:r w:rsidR="00A4412E">
        <w:t>s</w:t>
      </w:r>
      <w:r w:rsidRPr="007C4983">
        <w:t xml:space="preserve">?  </w:t>
      </w:r>
    </w:p>
    <w:p w14:paraId="598EC14E" w14:textId="77777777" w:rsidR="007C4983" w:rsidRPr="007C4983" w:rsidRDefault="007C4983" w:rsidP="007C4983">
      <w:pPr>
        <w:pStyle w:val="ListParagraph"/>
        <w:numPr>
          <w:ilvl w:val="0"/>
          <w:numId w:val="37"/>
        </w:numPr>
        <w:spacing w:after="160" w:line="259" w:lineRule="auto"/>
      </w:pPr>
      <w:r w:rsidRPr="007C4983">
        <w:t>Should the reference to “</w:t>
      </w:r>
      <w:r w:rsidRPr="007C4983">
        <w:rPr>
          <w:i/>
          <w:iCs/>
        </w:rPr>
        <w:t>recognised third-country CCP</w:t>
      </w:r>
      <w:r w:rsidRPr="007C4983">
        <w:t>” (draft Article 9 para 1 subparagraph b) be replaced by “</w:t>
      </w:r>
      <w:r w:rsidRPr="007C4983">
        <w:rPr>
          <w:i/>
          <w:iCs/>
        </w:rPr>
        <w:t>CCPs of Substantial Systemic Importance</w:t>
      </w:r>
      <w:r w:rsidRPr="007C4983">
        <w:t xml:space="preserve">”? </w:t>
      </w:r>
    </w:p>
    <w:p w14:paraId="549ABF4D" w14:textId="77777777" w:rsidR="007C4983" w:rsidRPr="007C4983" w:rsidRDefault="007C4983" w:rsidP="007C4983">
      <w:r w:rsidRPr="007C4983">
        <w:t>As noted in our response to questions 16 and 18 we do not believe that the reporting of UTIs as proposed in draft RTS Article 9(1)(e) is necessary to monitor compliance with the representativeness requirement. It does, however, represent a reporting burden/cost.</w:t>
      </w:r>
    </w:p>
    <w:p w14:paraId="4FA9D160" w14:textId="77777777" w:rsidR="007C4983" w:rsidRPr="007C4983" w:rsidRDefault="007C4983" w:rsidP="007C4983">
      <w:r w:rsidRPr="007C4983">
        <w:lastRenderedPageBreak/>
        <w:t>It is unclear how firms should report to NCAs every 6 months on compliance with the representativeness requirement that should be based on an annual average basis (draft RTS Article 9 (1)(c) refers to average over the past 12 months). In addition, it is unclear how should firms report on compliance with PLN IRS representativeness requirement every 6 months where the reference period for PLN IRS is one year.</w:t>
      </w:r>
    </w:p>
    <w:p w14:paraId="693695D5" w14:textId="73531578"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23CA3FD3" w14:textId="77777777" w:rsidR="00B151C9" w:rsidRDefault="00B151C9" w:rsidP="006B5DF1">
      <w:pPr>
        <w:spacing w:after="0"/>
      </w:pPr>
    </w:p>
    <w:p w14:paraId="4B75564A" w14:textId="77777777" w:rsidR="00B151C9" w:rsidRPr="00B151C9" w:rsidRDefault="00B151C9" w:rsidP="00B151C9">
      <w:r w:rsidRPr="00B151C9">
        <w:t xml:space="preserve">We support the proposal to address the absence of ITS by providing level 3 guidance. Firms will need sufficient time to understand and implement this ahead of the first reporting deadline, so ESMA should publish this as early as possible in 2025. In line with Level 1, we expected ESMA level 3 guidance to reflect that counterparties below EUR 6bn threshold will not be subject to representativeness and the associated reporting. The Level 3 guidance should be subject to industry consultation, to ensure a common understanding of requirements by regulators and market participants. </w:t>
      </w:r>
    </w:p>
    <w:p w14:paraId="6F7C20C8" w14:textId="77777777" w:rsidR="00B151C9" w:rsidRPr="00B151C9" w:rsidRDefault="00B151C9" w:rsidP="00B151C9">
      <w:r w:rsidRPr="00B151C9">
        <w:t>We support the establishment of set dates for the reporting by counterparties to NCAs. However, we strongly recommend that the RTS specifies the six-month</w:t>
      </w:r>
      <w:r w:rsidRPr="00B151C9">
        <w:rPr>
          <w:i/>
          <w:iCs/>
        </w:rPr>
        <w:t xml:space="preserve"> </w:t>
      </w:r>
      <w:r w:rsidRPr="00B151C9">
        <w:rPr>
          <w:i/>
        </w:rPr>
        <w:t xml:space="preserve">calculation </w:t>
      </w:r>
      <w:r w:rsidRPr="00B151C9">
        <w:rPr>
          <w:i/>
          <w:iCs/>
        </w:rPr>
        <w:t>periods</w:t>
      </w:r>
      <w:r w:rsidRPr="00B151C9">
        <w:t xml:space="preserve"> rather than a single date </w:t>
      </w:r>
      <w:r w:rsidRPr="00B151C9">
        <w:rPr>
          <w:i/>
          <w:iCs/>
        </w:rPr>
        <w:t>on which to report the data</w:t>
      </w:r>
      <w:r w:rsidRPr="00B151C9">
        <w:t xml:space="preserve">, with firms given a three-month window at the end of each calculation period in which to report the data. The reason for a submission window following each calculation period (rather than a specific date on when to report) is because firms will need time to collate the data, perform and validate the calculations, attain internal approvals and any necessary legal sign-off. </w:t>
      </w:r>
    </w:p>
    <w:p w14:paraId="080298F0" w14:textId="77777777" w:rsidR="00B151C9" w:rsidRPr="00B151C9" w:rsidRDefault="00B151C9" w:rsidP="00B151C9">
      <w:r w:rsidRPr="00B151C9">
        <w:t>With regard to the specific dates to be specified in the RTS, we recommend the reporting date is not set on 1 January due to the end of year holiday. Although this would be less problematic if there is a submission window, we nonetheless recommend instead 1 April and 1 Oct reporting dates (or end of submission window date) based on 1 January and 1 July cut off dates for the calculation periods.</w:t>
      </w:r>
    </w:p>
    <w:p w14:paraId="7AB9F83E" w14:textId="77777777" w:rsidR="00B151C9" w:rsidRDefault="00B151C9" w:rsidP="006B5DF1">
      <w:pPr>
        <w:spacing w:after="0"/>
      </w:pPr>
    </w:p>
    <w:p w14:paraId="2A4CCFD1" w14:textId="20FF3C53" w:rsidR="006B5DF1" w:rsidRDefault="006B5DF1" w:rsidP="006B5DF1">
      <w:pPr>
        <w:spacing w:after="0"/>
      </w:pPr>
      <w:r>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4647" w14:textId="77777777" w:rsidR="00956089" w:rsidRDefault="00956089" w:rsidP="00F716D4">
      <w:r>
        <w:separator/>
      </w:r>
    </w:p>
    <w:p w14:paraId="6FC1009C" w14:textId="77777777" w:rsidR="00956089" w:rsidRDefault="00956089" w:rsidP="00F716D4"/>
  </w:endnote>
  <w:endnote w:type="continuationSeparator" w:id="0">
    <w:p w14:paraId="1728DA67" w14:textId="77777777" w:rsidR="00956089" w:rsidRDefault="00956089" w:rsidP="00F716D4">
      <w:r>
        <w:continuationSeparator/>
      </w:r>
    </w:p>
    <w:p w14:paraId="154F684E" w14:textId="77777777" w:rsidR="00956089" w:rsidRDefault="00956089" w:rsidP="00F716D4"/>
  </w:endnote>
  <w:endnote w:type="continuationNotice" w:id="1">
    <w:p w14:paraId="03E3675C" w14:textId="77777777" w:rsidR="00956089" w:rsidRDefault="0095608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A1B3" w14:textId="77777777" w:rsidR="000710C1" w:rsidRDefault="00071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BF24" w14:textId="77777777" w:rsidR="000710C1" w:rsidRDefault="00071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B4C5" w14:textId="77777777" w:rsidR="000710C1" w:rsidRDefault="000710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4DFE3" w14:textId="77777777" w:rsidR="00956089" w:rsidRDefault="00956089" w:rsidP="00F716D4">
      <w:r>
        <w:separator/>
      </w:r>
    </w:p>
    <w:p w14:paraId="6CFDCCC5" w14:textId="77777777" w:rsidR="00956089" w:rsidRDefault="00956089" w:rsidP="00F716D4"/>
  </w:footnote>
  <w:footnote w:type="continuationSeparator" w:id="0">
    <w:p w14:paraId="7055B312" w14:textId="77777777" w:rsidR="00956089" w:rsidRDefault="00956089" w:rsidP="00F716D4">
      <w:r>
        <w:continuationSeparator/>
      </w:r>
    </w:p>
    <w:p w14:paraId="22C3BA91" w14:textId="77777777" w:rsidR="00956089" w:rsidRDefault="00956089" w:rsidP="00F716D4"/>
  </w:footnote>
  <w:footnote w:type="continuationNotice" w:id="1">
    <w:p w14:paraId="2970F598" w14:textId="77777777" w:rsidR="00956089" w:rsidRDefault="00956089" w:rsidP="00F716D4"/>
  </w:footnote>
  <w:footnote w:id="2">
    <w:p w14:paraId="006A2737" w14:textId="77777777" w:rsidR="000B49AF" w:rsidRPr="00197FA6" w:rsidRDefault="000B49AF" w:rsidP="000B49AF">
      <w:pPr>
        <w:spacing w:after="0" w:line="240" w:lineRule="auto"/>
        <w:rPr>
          <w:sz w:val="16"/>
          <w:szCs w:val="16"/>
        </w:rPr>
      </w:pPr>
      <w:r w:rsidRPr="001F379D">
        <w:rPr>
          <w:rStyle w:val="FootnoteReference"/>
          <w:sz w:val="16"/>
          <w:szCs w:val="16"/>
        </w:rPr>
        <w:footnoteRef/>
      </w:r>
      <w:r w:rsidRPr="001F379D">
        <w:rPr>
          <w:sz w:val="16"/>
          <w:szCs w:val="16"/>
        </w:rPr>
        <w:t xml:space="preserve"> </w:t>
      </w:r>
      <w:r w:rsidRPr="00197FA6">
        <w:rPr>
          <w:sz w:val="16"/>
          <w:szCs w:val="16"/>
        </w:rPr>
        <w:t>Namely, should EU firms be required to have the positions they hold at a Tier 2 CCP (legacy positions) cleared at an EU CCP, they must close out their positions at that Tier 2 CCP and re-open them at an EU CCP. This would have to be achieved by means of 1) for each transaction at the Tier 2 CCP, a “closing” transaction which is equal and opposite to the open transaction at the Tier 2 CCP, to be cleared at the Tier 2 CCP and compressed against the corresponding open transactions and 2) an “opening” transaction to be cleared at the EU CCP in question, replicating the market position being closed. This “opening transaction” would not necessarily be the exact same as the “closing transaction”.</w:t>
      </w:r>
      <w:r>
        <w:rPr>
          <w:sz w:val="16"/>
          <w:szCs w:val="16"/>
        </w:rPr>
        <w:t xml:space="preserve"> </w:t>
      </w:r>
      <w:r w:rsidRPr="00197FA6">
        <w:rPr>
          <w:sz w:val="16"/>
          <w:szCs w:val="16"/>
        </w:rPr>
        <w:t>Such “remigration” exercise is not cost neutral. There will be a differential in pricing between the two transactions because of the different margin requirements between the two CCPs (including as a result of the different portfolio netting impacts at the different CCPs) and the price difference (“basis”) between the two CCPs. EU firms will also have to pay the bid-ask spread between the closing and the opening transaction. Depending on the number of EU firms requiring such closing transactions at the same time, likely in the same direction as other EU firms, market capacity might be not sufficient, which would lead to even higher prices paid by EU firms.</w:t>
      </w:r>
    </w:p>
    <w:p w14:paraId="036F266D" w14:textId="77777777" w:rsidR="000B49AF" w:rsidRPr="000D06A8" w:rsidRDefault="000B49AF" w:rsidP="000B49AF">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972D" w14:textId="77777777" w:rsidR="000710C1" w:rsidRDefault="00071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F162" w14:textId="77777777" w:rsidR="000710C1" w:rsidRDefault="00071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7F21DD3"/>
    <w:multiLevelType w:val="hybridMultilevel"/>
    <w:tmpl w:val="441A2D3E"/>
    <w:lvl w:ilvl="0" w:tplc="D85E3254">
      <w:start w:val="12"/>
      <w:numFmt w:val="bullet"/>
      <w:lvlText w:val="-"/>
      <w:lvlJc w:val="left"/>
      <w:pPr>
        <w:ind w:left="720" w:hanging="360"/>
      </w:pPr>
      <w:rPr>
        <w:rFonts w:ascii="Aptos" w:eastAsia="Aptos" w:hAnsi="Apto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0"/>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4"/>
  </w:num>
  <w:num w:numId="21" w16cid:durableId="538709007">
    <w:abstractNumId w:val="24"/>
  </w:num>
  <w:num w:numId="22" w16cid:durableId="104540172">
    <w:abstractNumId w:val="8"/>
  </w:num>
  <w:num w:numId="23" w16cid:durableId="1824349076">
    <w:abstractNumId w:val="28"/>
  </w:num>
  <w:num w:numId="24" w16cid:durableId="672032853">
    <w:abstractNumId w:val="27"/>
  </w:num>
  <w:num w:numId="25" w16cid:durableId="48917541">
    <w:abstractNumId w:val="19"/>
  </w:num>
  <w:num w:numId="26" w16cid:durableId="978925443">
    <w:abstractNumId w:val="31"/>
  </w:num>
  <w:num w:numId="27" w16cid:durableId="1036613928">
    <w:abstractNumId w:val="36"/>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3"/>
  </w:num>
  <w:num w:numId="33" w16cid:durableId="2076850202">
    <w:abstractNumId w:val="32"/>
  </w:num>
  <w:num w:numId="34" w16cid:durableId="469176496">
    <w:abstractNumId w:val="11"/>
  </w:num>
  <w:num w:numId="35" w16cid:durableId="674843309">
    <w:abstractNumId w:val="17"/>
  </w:num>
  <w:num w:numId="36" w16cid:durableId="1954971501">
    <w:abstractNumId w:val="37"/>
  </w:num>
  <w:num w:numId="37" w16cid:durableId="1056011745">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1A7C"/>
    <w:rsid w:val="00002232"/>
    <w:rsid w:val="00002491"/>
    <w:rsid w:val="0000378E"/>
    <w:rsid w:val="00003AEB"/>
    <w:rsid w:val="00004B0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231"/>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2EB5"/>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5DA4"/>
    <w:rsid w:val="0007609D"/>
    <w:rsid w:val="00077C67"/>
    <w:rsid w:val="00080976"/>
    <w:rsid w:val="00081CEB"/>
    <w:rsid w:val="00081E60"/>
    <w:rsid w:val="00082D8E"/>
    <w:rsid w:val="00082E31"/>
    <w:rsid w:val="00083AA3"/>
    <w:rsid w:val="0008556E"/>
    <w:rsid w:val="00085947"/>
    <w:rsid w:val="000866A5"/>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2200"/>
    <w:rsid w:val="000A358F"/>
    <w:rsid w:val="000A43CC"/>
    <w:rsid w:val="000A7314"/>
    <w:rsid w:val="000A7B53"/>
    <w:rsid w:val="000A7B64"/>
    <w:rsid w:val="000B275C"/>
    <w:rsid w:val="000B2C3D"/>
    <w:rsid w:val="000B49AF"/>
    <w:rsid w:val="000B55C0"/>
    <w:rsid w:val="000B5DF2"/>
    <w:rsid w:val="000C06C9"/>
    <w:rsid w:val="000C1DCC"/>
    <w:rsid w:val="000C1FBC"/>
    <w:rsid w:val="000C2B6A"/>
    <w:rsid w:val="000C2F88"/>
    <w:rsid w:val="000C55C8"/>
    <w:rsid w:val="000C57C4"/>
    <w:rsid w:val="000C5FD3"/>
    <w:rsid w:val="000C701D"/>
    <w:rsid w:val="000C773C"/>
    <w:rsid w:val="000C7C4A"/>
    <w:rsid w:val="000D165F"/>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58DE"/>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3F93"/>
    <w:rsid w:val="00114259"/>
    <w:rsid w:val="001168B2"/>
    <w:rsid w:val="00117C20"/>
    <w:rsid w:val="00120F0E"/>
    <w:rsid w:val="00121A5D"/>
    <w:rsid w:val="00121BED"/>
    <w:rsid w:val="00123D39"/>
    <w:rsid w:val="001244CD"/>
    <w:rsid w:val="0012566F"/>
    <w:rsid w:val="001262B1"/>
    <w:rsid w:val="0013047A"/>
    <w:rsid w:val="00130F41"/>
    <w:rsid w:val="00130FAF"/>
    <w:rsid w:val="00135F2B"/>
    <w:rsid w:val="00136B3A"/>
    <w:rsid w:val="001372DD"/>
    <w:rsid w:val="001405BA"/>
    <w:rsid w:val="00141497"/>
    <w:rsid w:val="0014253A"/>
    <w:rsid w:val="001425C8"/>
    <w:rsid w:val="001431AE"/>
    <w:rsid w:val="00143B87"/>
    <w:rsid w:val="001459E3"/>
    <w:rsid w:val="00146A0B"/>
    <w:rsid w:val="0014761E"/>
    <w:rsid w:val="0015061C"/>
    <w:rsid w:val="00151907"/>
    <w:rsid w:val="0015357F"/>
    <w:rsid w:val="00153916"/>
    <w:rsid w:val="001544C8"/>
    <w:rsid w:val="00155FAB"/>
    <w:rsid w:val="00155FC3"/>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6F0"/>
    <w:rsid w:val="00171183"/>
    <w:rsid w:val="001725A5"/>
    <w:rsid w:val="00172681"/>
    <w:rsid w:val="0017312F"/>
    <w:rsid w:val="00173AC7"/>
    <w:rsid w:val="001745D7"/>
    <w:rsid w:val="00175754"/>
    <w:rsid w:val="001768AC"/>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4909"/>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139"/>
    <w:rsid w:val="00204CBC"/>
    <w:rsid w:val="002051F1"/>
    <w:rsid w:val="002067BA"/>
    <w:rsid w:val="0021058D"/>
    <w:rsid w:val="00211988"/>
    <w:rsid w:val="00211E2F"/>
    <w:rsid w:val="00211E9E"/>
    <w:rsid w:val="00214FB4"/>
    <w:rsid w:val="00215940"/>
    <w:rsid w:val="00217C23"/>
    <w:rsid w:val="00220561"/>
    <w:rsid w:val="00220CE4"/>
    <w:rsid w:val="00221D50"/>
    <w:rsid w:val="00222D9B"/>
    <w:rsid w:val="00223788"/>
    <w:rsid w:val="00223D11"/>
    <w:rsid w:val="002242D3"/>
    <w:rsid w:val="00227C1A"/>
    <w:rsid w:val="002301E6"/>
    <w:rsid w:val="00232555"/>
    <w:rsid w:val="00232F90"/>
    <w:rsid w:val="00233B08"/>
    <w:rsid w:val="00233C3B"/>
    <w:rsid w:val="00233EF7"/>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50B"/>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40CB"/>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508"/>
    <w:rsid w:val="002C2EFE"/>
    <w:rsid w:val="002C53AA"/>
    <w:rsid w:val="002C5B2D"/>
    <w:rsid w:val="002C6AF9"/>
    <w:rsid w:val="002C7DFC"/>
    <w:rsid w:val="002D08B8"/>
    <w:rsid w:val="002D14F3"/>
    <w:rsid w:val="002D16E4"/>
    <w:rsid w:val="002D269F"/>
    <w:rsid w:val="002D2FEF"/>
    <w:rsid w:val="002D36A3"/>
    <w:rsid w:val="002D36C2"/>
    <w:rsid w:val="002D3FCB"/>
    <w:rsid w:val="002D4FEF"/>
    <w:rsid w:val="002D502D"/>
    <w:rsid w:val="002D551E"/>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046"/>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2731"/>
    <w:rsid w:val="0035455E"/>
    <w:rsid w:val="0035476A"/>
    <w:rsid w:val="00354A6F"/>
    <w:rsid w:val="00354B48"/>
    <w:rsid w:val="00355789"/>
    <w:rsid w:val="003600AB"/>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2DEE"/>
    <w:rsid w:val="003A51C5"/>
    <w:rsid w:val="003A5A73"/>
    <w:rsid w:val="003A5DAC"/>
    <w:rsid w:val="003A6591"/>
    <w:rsid w:val="003A6E9A"/>
    <w:rsid w:val="003B08C8"/>
    <w:rsid w:val="003B2567"/>
    <w:rsid w:val="003B381A"/>
    <w:rsid w:val="003B46CC"/>
    <w:rsid w:val="003B4976"/>
    <w:rsid w:val="003B4B3F"/>
    <w:rsid w:val="003B6258"/>
    <w:rsid w:val="003B7296"/>
    <w:rsid w:val="003B7A99"/>
    <w:rsid w:val="003C0343"/>
    <w:rsid w:val="003C1C32"/>
    <w:rsid w:val="003C1FDC"/>
    <w:rsid w:val="003C40DA"/>
    <w:rsid w:val="003C42BA"/>
    <w:rsid w:val="003C462F"/>
    <w:rsid w:val="003C4A02"/>
    <w:rsid w:val="003C4F05"/>
    <w:rsid w:val="003C6191"/>
    <w:rsid w:val="003C6E49"/>
    <w:rsid w:val="003D0CBF"/>
    <w:rsid w:val="003D0DD6"/>
    <w:rsid w:val="003D4B73"/>
    <w:rsid w:val="003D503B"/>
    <w:rsid w:val="003D52E7"/>
    <w:rsid w:val="003D605E"/>
    <w:rsid w:val="003D61D1"/>
    <w:rsid w:val="003D6780"/>
    <w:rsid w:val="003D68BD"/>
    <w:rsid w:val="003D6FCB"/>
    <w:rsid w:val="003D7DE8"/>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357E"/>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4558"/>
    <w:rsid w:val="00444E7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2A72"/>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785E"/>
    <w:rsid w:val="004B0335"/>
    <w:rsid w:val="004B03C0"/>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49"/>
    <w:rsid w:val="00510662"/>
    <w:rsid w:val="00510709"/>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0CD7"/>
    <w:rsid w:val="00541668"/>
    <w:rsid w:val="00541F27"/>
    <w:rsid w:val="00542297"/>
    <w:rsid w:val="005424BC"/>
    <w:rsid w:val="00542A28"/>
    <w:rsid w:val="005441D4"/>
    <w:rsid w:val="0054672D"/>
    <w:rsid w:val="0055042A"/>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547"/>
    <w:rsid w:val="0059575D"/>
    <w:rsid w:val="00596825"/>
    <w:rsid w:val="0059745D"/>
    <w:rsid w:val="005A06A0"/>
    <w:rsid w:val="005A150A"/>
    <w:rsid w:val="005A2B3E"/>
    <w:rsid w:val="005A3644"/>
    <w:rsid w:val="005A4087"/>
    <w:rsid w:val="005A4533"/>
    <w:rsid w:val="005A4B18"/>
    <w:rsid w:val="005A537E"/>
    <w:rsid w:val="005A6F43"/>
    <w:rsid w:val="005A767D"/>
    <w:rsid w:val="005A775C"/>
    <w:rsid w:val="005A7ADF"/>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1C49"/>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25FB"/>
    <w:rsid w:val="005F3FB1"/>
    <w:rsid w:val="005F4079"/>
    <w:rsid w:val="005F4C33"/>
    <w:rsid w:val="005F4D29"/>
    <w:rsid w:val="005F5ACF"/>
    <w:rsid w:val="005F60DC"/>
    <w:rsid w:val="005F7979"/>
    <w:rsid w:val="006000DD"/>
    <w:rsid w:val="00600F63"/>
    <w:rsid w:val="006012E1"/>
    <w:rsid w:val="00602253"/>
    <w:rsid w:val="006023E1"/>
    <w:rsid w:val="006026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6C31"/>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87A"/>
    <w:rsid w:val="006B2D40"/>
    <w:rsid w:val="006B34DF"/>
    <w:rsid w:val="006B39B2"/>
    <w:rsid w:val="006B3AF9"/>
    <w:rsid w:val="006B43D8"/>
    <w:rsid w:val="006B45A0"/>
    <w:rsid w:val="006B5668"/>
    <w:rsid w:val="006B5DF1"/>
    <w:rsid w:val="006B5F71"/>
    <w:rsid w:val="006B6E44"/>
    <w:rsid w:val="006B7059"/>
    <w:rsid w:val="006B7287"/>
    <w:rsid w:val="006B7F2E"/>
    <w:rsid w:val="006C0BF8"/>
    <w:rsid w:val="006C1BEF"/>
    <w:rsid w:val="006C2253"/>
    <w:rsid w:val="006C2CCB"/>
    <w:rsid w:val="006C4334"/>
    <w:rsid w:val="006C4B0F"/>
    <w:rsid w:val="006C5E96"/>
    <w:rsid w:val="006D399F"/>
    <w:rsid w:val="006D4DB3"/>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13F8"/>
    <w:rsid w:val="00722E49"/>
    <w:rsid w:val="00723A08"/>
    <w:rsid w:val="00723B5C"/>
    <w:rsid w:val="00724391"/>
    <w:rsid w:val="00724C18"/>
    <w:rsid w:val="00725FB1"/>
    <w:rsid w:val="00726630"/>
    <w:rsid w:val="00727F73"/>
    <w:rsid w:val="00730705"/>
    <w:rsid w:val="00730944"/>
    <w:rsid w:val="00731475"/>
    <w:rsid w:val="0073248E"/>
    <w:rsid w:val="00733D4A"/>
    <w:rsid w:val="00733EE9"/>
    <w:rsid w:val="00735B8E"/>
    <w:rsid w:val="00736651"/>
    <w:rsid w:val="0073673C"/>
    <w:rsid w:val="00736935"/>
    <w:rsid w:val="007378EC"/>
    <w:rsid w:val="00737DD9"/>
    <w:rsid w:val="00743DE7"/>
    <w:rsid w:val="0074509E"/>
    <w:rsid w:val="00745B9F"/>
    <w:rsid w:val="0074726F"/>
    <w:rsid w:val="00752D4F"/>
    <w:rsid w:val="0075409F"/>
    <w:rsid w:val="0075454D"/>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A31"/>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83"/>
    <w:rsid w:val="007C49C0"/>
    <w:rsid w:val="007C54FB"/>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1701A"/>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4CDF"/>
    <w:rsid w:val="00865B01"/>
    <w:rsid w:val="00866D7A"/>
    <w:rsid w:val="00866EE3"/>
    <w:rsid w:val="00871F04"/>
    <w:rsid w:val="00872A19"/>
    <w:rsid w:val="008746C1"/>
    <w:rsid w:val="00880224"/>
    <w:rsid w:val="0088244C"/>
    <w:rsid w:val="00883367"/>
    <w:rsid w:val="00884C47"/>
    <w:rsid w:val="00885E6F"/>
    <w:rsid w:val="008861AC"/>
    <w:rsid w:val="008868E4"/>
    <w:rsid w:val="00886A60"/>
    <w:rsid w:val="008871CC"/>
    <w:rsid w:val="0088759B"/>
    <w:rsid w:val="008909B4"/>
    <w:rsid w:val="008922E8"/>
    <w:rsid w:val="00893916"/>
    <w:rsid w:val="0089442C"/>
    <w:rsid w:val="00895818"/>
    <w:rsid w:val="008A2585"/>
    <w:rsid w:val="008A2718"/>
    <w:rsid w:val="008A4CF6"/>
    <w:rsid w:val="008A4E42"/>
    <w:rsid w:val="008A51AA"/>
    <w:rsid w:val="008A6A12"/>
    <w:rsid w:val="008B0DC6"/>
    <w:rsid w:val="008B2396"/>
    <w:rsid w:val="008B2B9E"/>
    <w:rsid w:val="008B31F5"/>
    <w:rsid w:val="008B4C79"/>
    <w:rsid w:val="008B5D2D"/>
    <w:rsid w:val="008B6361"/>
    <w:rsid w:val="008C0320"/>
    <w:rsid w:val="008C2220"/>
    <w:rsid w:val="008C2A81"/>
    <w:rsid w:val="008C2DC7"/>
    <w:rsid w:val="008C3863"/>
    <w:rsid w:val="008C3B6B"/>
    <w:rsid w:val="008C4BDC"/>
    <w:rsid w:val="008C50FF"/>
    <w:rsid w:val="008C5435"/>
    <w:rsid w:val="008C6BD1"/>
    <w:rsid w:val="008D2DB5"/>
    <w:rsid w:val="008D3F10"/>
    <w:rsid w:val="008D611D"/>
    <w:rsid w:val="008E1B6A"/>
    <w:rsid w:val="008E2C39"/>
    <w:rsid w:val="008E3054"/>
    <w:rsid w:val="008E32FF"/>
    <w:rsid w:val="008E5625"/>
    <w:rsid w:val="008E5C5B"/>
    <w:rsid w:val="008E6709"/>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06CE"/>
    <w:rsid w:val="00931FAF"/>
    <w:rsid w:val="00932478"/>
    <w:rsid w:val="009360F6"/>
    <w:rsid w:val="009371DC"/>
    <w:rsid w:val="0093759D"/>
    <w:rsid w:val="00940239"/>
    <w:rsid w:val="009428D1"/>
    <w:rsid w:val="00942BD6"/>
    <w:rsid w:val="00942DED"/>
    <w:rsid w:val="00944404"/>
    <w:rsid w:val="009452D7"/>
    <w:rsid w:val="00945FD1"/>
    <w:rsid w:val="00946CCC"/>
    <w:rsid w:val="009503E5"/>
    <w:rsid w:val="00950F71"/>
    <w:rsid w:val="00952F2C"/>
    <w:rsid w:val="009532E3"/>
    <w:rsid w:val="00953615"/>
    <w:rsid w:val="009543B8"/>
    <w:rsid w:val="00954BAF"/>
    <w:rsid w:val="00955F48"/>
    <w:rsid w:val="00956089"/>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372"/>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17D"/>
    <w:rsid w:val="009A7B72"/>
    <w:rsid w:val="009A7F49"/>
    <w:rsid w:val="009B03C4"/>
    <w:rsid w:val="009B0AA2"/>
    <w:rsid w:val="009B1D02"/>
    <w:rsid w:val="009B2385"/>
    <w:rsid w:val="009B6F66"/>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0D1"/>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5CB"/>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651"/>
    <w:rsid w:val="00A32B5A"/>
    <w:rsid w:val="00A33CCC"/>
    <w:rsid w:val="00A33ECB"/>
    <w:rsid w:val="00A34DE0"/>
    <w:rsid w:val="00A35728"/>
    <w:rsid w:val="00A36EE3"/>
    <w:rsid w:val="00A37435"/>
    <w:rsid w:val="00A4173D"/>
    <w:rsid w:val="00A41A95"/>
    <w:rsid w:val="00A4248B"/>
    <w:rsid w:val="00A4376E"/>
    <w:rsid w:val="00A4412E"/>
    <w:rsid w:val="00A4572B"/>
    <w:rsid w:val="00A46246"/>
    <w:rsid w:val="00A46349"/>
    <w:rsid w:val="00A46D5E"/>
    <w:rsid w:val="00A472FD"/>
    <w:rsid w:val="00A50847"/>
    <w:rsid w:val="00A512C7"/>
    <w:rsid w:val="00A52DDC"/>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0B50"/>
    <w:rsid w:val="00A913B5"/>
    <w:rsid w:val="00A91682"/>
    <w:rsid w:val="00A92125"/>
    <w:rsid w:val="00A92E4A"/>
    <w:rsid w:val="00A958CA"/>
    <w:rsid w:val="00A966B6"/>
    <w:rsid w:val="00A96B46"/>
    <w:rsid w:val="00AA003B"/>
    <w:rsid w:val="00AA0167"/>
    <w:rsid w:val="00AA016B"/>
    <w:rsid w:val="00AA15DD"/>
    <w:rsid w:val="00AA1C09"/>
    <w:rsid w:val="00AA2F67"/>
    <w:rsid w:val="00AA3569"/>
    <w:rsid w:val="00AA5F4C"/>
    <w:rsid w:val="00AA615C"/>
    <w:rsid w:val="00AA6276"/>
    <w:rsid w:val="00AA6711"/>
    <w:rsid w:val="00AB2AEC"/>
    <w:rsid w:val="00AB2DC1"/>
    <w:rsid w:val="00AB3102"/>
    <w:rsid w:val="00AB33AA"/>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032"/>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1C9"/>
    <w:rsid w:val="00B155DF"/>
    <w:rsid w:val="00B156CF"/>
    <w:rsid w:val="00B1570E"/>
    <w:rsid w:val="00B176B9"/>
    <w:rsid w:val="00B17AD5"/>
    <w:rsid w:val="00B17DC8"/>
    <w:rsid w:val="00B17E1E"/>
    <w:rsid w:val="00B207F1"/>
    <w:rsid w:val="00B2096B"/>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9C0"/>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043"/>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435"/>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35BD"/>
    <w:rsid w:val="00CA3D1D"/>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16A"/>
    <w:rsid w:val="00CD5831"/>
    <w:rsid w:val="00CD6F6E"/>
    <w:rsid w:val="00CD785B"/>
    <w:rsid w:val="00CE157F"/>
    <w:rsid w:val="00CE1966"/>
    <w:rsid w:val="00CE1ED4"/>
    <w:rsid w:val="00CE2216"/>
    <w:rsid w:val="00CE3014"/>
    <w:rsid w:val="00CE30E5"/>
    <w:rsid w:val="00CE438D"/>
    <w:rsid w:val="00CE6FC6"/>
    <w:rsid w:val="00CF2056"/>
    <w:rsid w:val="00CF25C9"/>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254"/>
    <w:rsid w:val="00D52875"/>
    <w:rsid w:val="00D53941"/>
    <w:rsid w:val="00D54050"/>
    <w:rsid w:val="00D56AC0"/>
    <w:rsid w:val="00D6081B"/>
    <w:rsid w:val="00D60960"/>
    <w:rsid w:val="00D6240A"/>
    <w:rsid w:val="00D63093"/>
    <w:rsid w:val="00D63599"/>
    <w:rsid w:val="00D63EBD"/>
    <w:rsid w:val="00D670A4"/>
    <w:rsid w:val="00D67101"/>
    <w:rsid w:val="00D71B45"/>
    <w:rsid w:val="00D71F8A"/>
    <w:rsid w:val="00D75603"/>
    <w:rsid w:val="00D75FEE"/>
    <w:rsid w:val="00D76933"/>
    <w:rsid w:val="00D76D88"/>
    <w:rsid w:val="00D77CC9"/>
    <w:rsid w:val="00D83D4B"/>
    <w:rsid w:val="00D871C6"/>
    <w:rsid w:val="00D91010"/>
    <w:rsid w:val="00D9143D"/>
    <w:rsid w:val="00D920D1"/>
    <w:rsid w:val="00D93692"/>
    <w:rsid w:val="00D9439D"/>
    <w:rsid w:val="00DA0FA7"/>
    <w:rsid w:val="00DA12B0"/>
    <w:rsid w:val="00DA2BA0"/>
    <w:rsid w:val="00DA39AD"/>
    <w:rsid w:val="00DA4246"/>
    <w:rsid w:val="00DA5B13"/>
    <w:rsid w:val="00DA6917"/>
    <w:rsid w:val="00DA6926"/>
    <w:rsid w:val="00DB0965"/>
    <w:rsid w:val="00DB0E47"/>
    <w:rsid w:val="00DB2BDD"/>
    <w:rsid w:val="00DB4121"/>
    <w:rsid w:val="00DB46C3"/>
    <w:rsid w:val="00DB5442"/>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1C"/>
    <w:rsid w:val="00DE66EB"/>
    <w:rsid w:val="00DE7035"/>
    <w:rsid w:val="00DE7B67"/>
    <w:rsid w:val="00DF12E3"/>
    <w:rsid w:val="00DF2A20"/>
    <w:rsid w:val="00DF3F1D"/>
    <w:rsid w:val="00DF595C"/>
    <w:rsid w:val="00DF7EA7"/>
    <w:rsid w:val="00E013A1"/>
    <w:rsid w:val="00E04548"/>
    <w:rsid w:val="00E0484E"/>
    <w:rsid w:val="00E063F8"/>
    <w:rsid w:val="00E07EEA"/>
    <w:rsid w:val="00E114D6"/>
    <w:rsid w:val="00E1166E"/>
    <w:rsid w:val="00E11DBD"/>
    <w:rsid w:val="00E13211"/>
    <w:rsid w:val="00E16DE0"/>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2BAD"/>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5C55"/>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871"/>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5A51"/>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8A"/>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6DC0"/>
    <w:rsid w:val="00F47121"/>
    <w:rsid w:val="00F4775D"/>
    <w:rsid w:val="00F504DD"/>
    <w:rsid w:val="00F50874"/>
    <w:rsid w:val="00F508B0"/>
    <w:rsid w:val="00F516C6"/>
    <w:rsid w:val="00F52221"/>
    <w:rsid w:val="00F52B28"/>
    <w:rsid w:val="00F536BB"/>
    <w:rsid w:val="00F53755"/>
    <w:rsid w:val="00F53E59"/>
    <w:rsid w:val="00F5475B"/>
    <w:rsid w:val="00F574D0"/>
    <w:rsid w:val="00F6031F"/>
    <w:rsid w:val="00F61664"/>
    <w:rsid w:val="00F61B99"/>
    <w:rsid w:val="00F623ED"/>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1631"/>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0838"/>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01C15B91"/>
    <w:rsid w:val="043ACA30"/>
    <w:rsid w:val="057F66D5"/>
    <w:rsid w:val="1B09A160"/>
    <w:rsid w:val="29B394FA"/>
    <w:rsid w:val="461E0549"/>
    <w:rsid w:val="4F76D0AF"/>
    <w:rsid w:val="52DE60B7"/>
    <w:rsid w:val="5BB68EF6"/>
    <w:rsid w:val="5E7DC701"/>
    <w:rsid w:val="65879768"/>
    <w:rsid w:val="75479F28"/>
    <w:rsid w:val="78CB7CFC"/>
    <w:rsid w:val="79BB5F71"/>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61A3905B-B71A-41E7-96E8-19317CA4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Indent Paragraph,Resume Title,Citation List,List Paragraph 1,DSR Bullet,1st level - Bullet List Paragrap"/>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Indent Paragraph Char,Resume Title Char,Citation List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hyperlink" Target="https://view.officeapps.live.com/op/view.aspx?src=https%3A%2F%2Fwww.esma.europa.eu%2Fsites%2Fdefault%2Ffiles%2F2024-12%2FAAR_notification_template.xlsx&amp;wdOrigin=BROWSELINK" TargetMode="Externa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sma.europa.eu/about-esma/data-protection"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8F880AA0C7834E811FDDE8FEF426AF" ma:contentTypeVersion="16" ma:contentTypeDescription="Create a new document." ma:contentTypeScope="" ma:versionID="6b9061ef8c93c47f383ce41aef20552b">
  <xsd:schema xmlns:xsd="http://www.w3.org/2001/XMLSchema" xmlns:xs="http://www.w3.org/2001/XMLSchema" xmlns:p="http://schemas.microsoft.com/office/2006/metadata/properties" xmlns:ns2="d0bcca81-78d5-471c-8c60-f25a2971c91b" xmlns:ns3="785af06c-f757-4c41-af11-9fd890ae6138" targetNamespace="http://schemas.microsoft.com/office/2006/metadata/properties" ma:root="true" ma:fieldsID="2ed1e3a67d26e1f8694fe8251de786c2" ns2:_="" ns3:_="">
    <xsd:import namespace="d0bcca81-78d5-471c-8c60-f25a2971c91b"/>
    <xsd:import namespace="785af06c-f757-4c41-af11-9fd890ae6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cca81-78d5-471c-8c60-f25a2971c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45ece8-0e9f-4286-ad44-c4403c44d0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af06c-f757-4c41-af11-9fd890ae6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943ba2-99d6-4daf-8a30-3d947963d409}" ma:internalName="TaxCatchAll" ma:showField="CatchAllData" ma:web="785af06c-f757-4c41-af11-9fd890ae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5af06c-f757-4c41-af11-9fd890ae6138" xsi:nil="true"/>
    <SharedWithUsers xmlns="785af06c-f757-4c41-af11-9fd890ae6138">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d0bcca81-78d5-471c-8c60-f25a2971c91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0036702C-AFB2-4571-834D-99E63648F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cca81-78d5-471c-8c60-f25a2971c91b"/>
    <ds:schemaRef ds:uri="785af06c-f757-4c41-af11-9fd890ae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785af06c-f757-4c41-af11-9fd890ae6138"/>
    <ds:schemaRef ds:uri="d0bcca81-78d5-471c-8c60-f25a2971c91b"/>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Metadata/LabelInfo.xml><?xml version="1.0" encoding="utf-8"?>
<clbl:labelList xmlns:clbl="http://schemas.microsoft.com/office/2020/mipLabelMetadata">
  <clbl:label id="{ab676213-c285-47a2-bc12-c9207c5e8ed8}" enabled="0" method="" siteId="{ab676213-c285-47a2-bc12-c9207c5e8ed8}"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7354</Words>
  <Characters>41922</Characters>
  <Application>Microsoft Office Word</Application>
  <DocSecurity>0</DocSecurity>
  <Lines>349</Lines>
  <Paragraphs>98</Paragraphs>
  <ScaleCrop>false</ScaleCrop>
  <Company>ESMA</Company>
  <LinksUpToDate>false</LinksUpToDate>
  <CharactersWithSpaces>49178</CharactersWithSpaces>
  <SharedDoc>false</SharedDoc>
  <HLinks>
    <vt:vector size="30" baseType="variant">
      <vt:variant>
        <vt:i4>1376285</vt:i4>
      </vt:variant>
      <vt:variant>
        <vt:i4>9</vt:i4>
      </vt:variant>
      <vt:variant>
        <vt:i4>0</vt:i4>
      </vt:variant>
      <vt:variant>
        <vt:i4>5</vt:i4>
      </vt:variant>
      <vt:variant>
        <vt:lpwstr>https://view.officeapps.live.com/op/view.aspx?src=https%3A%2F%2Fwww.esma.europa.eu%2Fsites%2Fdefault%2Ffiles%2F2024-12%2FAAR_notification_template.xlsx&amp;wdOrigin=BROWSELINK</vt:lpwstr>
      </vt:variant>
      <vt:variant>
        <vt:lpwstr/>
      </vt: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Perrine Herrenschmidt</cp:lastModifiedBy>
  <cp:revision>68</cp:revision>
  <cp:lastPrinted>2025-01-27T14:33:00Z</cp:lastPrinted>
  <dcterms:created xsi:type="dcterms:W3CDTF">2025-01-27T10:28:00Z</dcterms:created>
  <dcterms:modified xsi:type="dcterms:W3CDTF">2025-01-27T15:07:00Z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0x010100988F880AA0C7834E811FDDE8FEF426AF</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