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77777777" w:rsidR="004E60D2" w:rsidRPr="00252134" w:rsidRDefault="004E60D2" w:rsidP="004E60D2">
      <w:pPr>
        <w:pStyle w:val="Ondertitel"/>
        <w:spacing w:after="0"/>
        <w:rPr>
          <w:b w:val="0"/>
          <w:bCs w:val="0"/>
        </w:rPr>
        <w:sectPr w:rsidR="004E60D2" w:rsidRPr="00252134"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 xml:space="preserve">Conditions of the </w:t>
      </w:r>
      <w:r w:rsidRPr="00840209">
        <w:t>Active Account Requirement</w:t>
      </w:r>
      <w:r w:rsidRPr="00840209">
        <w:rPr>
          <w:b w:val="0"/>
          <w:bCs w:val="0"/>
          <w:noProof/>
        </w:rPr>
        <mc:AlternateContent>
          <mc:Choice Requires="wps">
            <w:drawing>
              <wp:anchor distT="0" distB="0" distL="114300" distR="114300" simplePos="0" relativeHeight="251658241"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649F" id="Freeform: Shape 1" o:spid="_x0000_s1026" style="position:absolute;margin-left:-.45pt;margin-top:5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61B9ACE7" w:rsidR="00F574D0" w:rsidRPr="009D6E99" w:rsidRDefault="004E60D2" w:rsidP="004E60D2">
      <w:pPr>
        <w:pStyle w:val="Ondertitel"/>
      </w:pPr>
      <w:r>
        <w:lastRenderedPageBreak/>
        <w:t xml:space="preserve"> </w:t>
      </w:r>
      <w:bookmarkStart w:id="4" w:name="_Toc280628648"/>
      <w:bookmarkEnd w:id="1"/>
      <w:bookmarkEnd w:id="2"/>
      <w:bookmarkEnd w:id="3"/>
      <w:r w:rsidR="00F574D0"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jstalinea"/>
        <w:numPr>
          <w:ilvl w:val="0"/>
          <w:numId w:val="35"/>
        </w:numPr>
        <w:contextualSpacing w:val="0"/>
      </w:pPr>
      <w:r w:rsidRPr="005B6B12">
        <w:t>respond to the question stated;</w:t>
      </w:r>
    </w:p>
    <w:p w14:paraId="73161343" w14:textId="77777777" w:rsidR="00E70E2E" w:rsidRPr="005B6B12" w:rsidRDefault="00E70E2E" w:rsidP="00E43387">
      <w:pPr>
        <w:pStyle w:val="Lijstalinea"/>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jstalinea"/>
        <w:numPr>
          <w:ilvl w:val="0"/>
          <w:numId w:val="35"/>
        </w:numPr>
        <w:contextualSpacing w:val="0"/>
      </w:pPr>
      <w:r w:rsidRPr="005B6B12">
        <w:t>contain a clear rationale; and</w:t>
      </w:r>
    </w:p>
    <w:p w14:paraId="30D73002" w14:textId="77777777" w:rsidR="00E70E2E" w:rsidRPr="005B6B12" w:rsidRDefault="00E70E2E" w:rsidP="00E43387">
      <w:pPr>
        <w:pStyle w:val="Lijstalinea"/>
        <w:numPr>
          <w:ilvl w:val="0"/>
          <w:numId w:val="35"/>
        </w:numPr>
        <w:contextualSpacing w:val="0"/>
      </w:pPr>
      <w:r w:rsidRPr="005B6B12">
        <w:t>describe any alternatives ESMA should consider.</w:t>
      </w:r>
    </w:p>
    <w:p w14:paraId="4A599464" w14:textId="3F46E7B7" w:rsidR="00E70E2E" w:rsidRDefault="00E70E2E" w:rsidP="00E70E2E">
      <w:pPr>
        <w:rPr>
          <w:b/>
        </w:rPr>
      </w:pPr>
      <w:r w:rsidRPr="005B6B12">
        <w:t xml:space="preserve">ESMA will consider all comments </w:t>
      </w:r>
      <w:r w:rsidRPr="009E1C55">
        <w:t xml:space="preserve">received by </w:t>
      </w:r>
      <w:r w:rsidR="004E60D2">
        <w:rPr>
          <w:b/>
        </w:rPr>
        <w:t>27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jstalinea"/>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13AE18C" w:rsidR="009D6E99" w:rsidRPr="00863BFD" w:rsidRDefault="009D6E99" w:rsidP="00E43387">
      <w:pPr>
        <w:pStyle w:val="Lijstalinea"/>
        <w:numPr>
          <w:ilvl w:val="0"/>
          <w:numId w:val="35"/>
        </w:numPr>
        <w:contextualSpacing w:val="0"/>
      </w:pPr>
      <w:r w:rsidRPr="00863BFD">
        <w:t>Please do not remove tags of the type &lt;ESMA_QUESTION</w:t>
      </w:r>
      <w:r w:rsidR="00C05202">
        <w:t>_</w:t>
      </w:r>
      <w:r w:rsidR="004E60D2">
        <w:t>AAR</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jstalinea"/>
        <w:numPr>
          <w:ilvl w:val="0"/>
          <w:numId w:val="35"/>
        </w:numPr>
        <w:contextualSpacing w:val="0"/>
      </w:pPr>
      <w:r w:rsidRPr="00863BFD">
        <w:t>If you do not wish to respond to a given question, please do not delete it but simply leave the text “TYPE YOUR TEXT HERE” between the tags.</w:t>
      </w:r>
    </w:p>
    <w:p w14:paraId="399C1605" w14:textId="6419EF36" w:rsidR="009D6E99" w:rsidRDefault="009D6E99" w:rsidP="00E43387">
      <w:pPr>
        <w:pStyle w:val="Lijstalinea"/>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4E60D2">
        <w:t>AAR</w:t>
      </w:r>
      <w:r w:rsidRPr="00863BFD">
        <w:t>_nameofrespondent</w:t>
      </w:r>
      <w:proofErr w:type="spellEnd"/>
      <w:r w:rsidRPr="00863BFD">
        <w:t xml:space="preserve">. </w:t>
      </w:r>
    </w:p>
    <w:p w14:paraId="115A7ABF" w14:textId="1196D22E" w:rsidR="009D6E99" w:rsidRDefault="009D6E99" w:rsidP="009D6E99">
      <w:pPr>
        <w:pStyle w:val="Lijstalinea"/>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4E60D2">
        <w:t>AAR</w:t>
      </w:r>
      <w:r>
        <w:t>_</w:t>
      </w:r>
      <w:r w:rsidRPr="00863BFD">
        <w:t>ABCD.</w:t>
      </w:r>
    </w:p>
    <w:p w14:paraId="175B3887" w14:textId="22A43A3A" w:rsidR="009D6E99" w:rsidRDefault="009D6E99" w:rsidP="00E43387">
      <w:pPr>
        <w:pStyle w:val="Lijstalinea"/>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Kop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kstvantijdelijkeaanduiding"/>
            </w:rPr>
            <w:id w:val="651570699"/>
            <w:text/>
          </w:sdtPr>
          <w:sdtContent>
            <w:tc>
              <w:tcPr>
                <w:tcW w:w="5595" w:type="dxa"/>
                <w:shd w:val="clear" w:color="auto" w:fill="auto"/>
                <w:vAlign w:val="center"/>
              </w:tcPr>
              <w:p w14:paraId="633DB1B6" w14:textId="75327CD3" w:rsidR="00C2682A" w:rsidRPr="00104E00" w:rsidRDefault="00F811B1" w:rsidP="00104E00">
                <w:pPr>
                  <w:jc w:val="left"/>
                  <w:rPr>
                    <w:rStyle w:val="Tekstvantijdelijkeaanduiding"/>
                  </w:rPr>
                </w:pPr>
                <w:r>
                  <w:rPr>
                    <w:rStyle w:val="Tekstvantijdelijkeaanduiding"/>
                  </w:rPr>
                  <w:t>Dutch Federation of Pension Funds</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E5DE6FD"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97140">
                  <w:t>Insurance and Pension</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2906CA6A" w:rsidR="00C2682A" w:rsidRPr="00104E00" w:rsidRDefault="00097140"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45575CEC" w:rsidR="00C2682A" w:rsidRPr="00104E00" w:rsidRDefault="00097140" w:rsidP="00104E00">
                <w:pPr>
                  <w:jc w:val="left"/>
                </w:pPr>
                <w:r>
                  <w:t>Netherlands</w:t>
                </w:r>
              </w:p>
            </w:tc>
          </w:sdtContent>
        </w:sdt>
      </w:tr>
      <w:permEnd w:id="1727412903"/>
    </w:tbl>
    <w:p w14:paraId="398E9C9E" w14:textId="10C9CC3D" w:rsidR="00C2682A" w:rsidRDefault="00C2682A" w:rsidP="00F716D4"/>
    <w:p w14:paraId="7F986E69" w14:textId="77777777" w:rsidR="00FA4100" w:rsidRDefault="00BB1973" w:rsidP="00FA4100">
      <w:pPr>
        <w:pStyle w:val="Kop1"/>
      </w:pPr>
      <w:r>
        <w:t>Questions</w:t>
      </w:r>
      <w:bookmarkStart w:id="8" w:name="_Hlk124780170"/>
    </w:p>
    <w:bookmarkEnd w:id="7"/>
    <w:bookmarkEnd w:id="8"/>
    <w:p w14:paraId="1EC367CD" w14:textId="16908F92" w:rsidR="00E619AB" w:rsidRPr="00B25E0D" w:rsidRDefault="00E619AB" w:rsidP="0029493B">
      <w:pPr>
        <w:pStyle w:val="aNEW-Level4"/>
      </w:pPr>
    </w:p>
    <w:p w14:paraId="457A0AF9" w14:textId="259F27DE" w:rsidR="004E60D2" w:rsidRPr="00965354" w:rsidRDefault="004E60D2" w:rsidP="004E60D2">
      <w:pPr>
        <w:pStyle w:val="Questionstyle"/>
      </w:pPr>
      <w:r>
        <w:t>A</w:t>
      </w:r>
      <w:r w:rsidRPr="00AB611E">
        <w:t>re there any aspects of the AAR scope on which ESMA has based its quantitative analysis and its policy choices that ESMA should consider detailing further</w:t>
      </w:r>
      <w:r w:rsidRPr="00B408D4">
        <w:rPr>
          <w:rFonts w:ascii="Segoe UI" w:hAnsi="Segoe UI" w:cs="Segoe UI"/>
          <w:i/>
          <w:iCs/>
          <w:color w:val="181818"/>
          <w:sz w:val="18"/>
          <w:szCs w:val="18"/>
        </w:rPr>
        <w:t>?</w:t>
      </w:r>
    </w:p>
    <w:p w14:paraId="1F1D5D7D" w14:textId="77777777" w:rsidR="006B5DF1" w:rsidRDefault="006B5DF1" w:rsidP="006B5DF1"/>
    <w:p w14:paraId="3C453C7F" w14:textId="6327CB83" w:rsidR="006B5DF1" w:rsidRDefault="006B5DF1" w:rsidP="006B5DF1">
      <w:pPr>
        <w:spacing w:after="0"/>
      </w:pPr>
      <w:r>
        <w:t>&lt;ESMA_QUESTION_</w:t>
      </w:r>
      <w:r w:rsidR="004E60D2">
        <w:t>AAR</w:t>
      </w:r>
      <w:r>
        <w:t>_01&gt;</w:t>
      </w:r>
    </w:p>
    <w:p w14:paraId="13766ADA" w14:textId="77777777" w:rsidR="00027E9B" w:rsidRDefault="00027E9B" w:rsidP="006B5DF1">
      <w:pPr>
        <w:spacing w:after="0"/>
        <w:rPr>
          <w:lang w:val="en-US"/>
        </w:rPr>
      </w:pPr>
      <w:r w:rsidRPr="00F0074B">
        <w:rPr>
          <w:lang w:val="en-US"/>
        </w:rPr>
        <w:t>We request ESMA to c</w:t>
      </w:r>
      <w:r>
        <w:rPr>
          <w:lang w:val="en-US"/>
        </w:rPr>
        <w:t>onfirm the timelines for making the notification to ESMA and NCAs with respect to becoming subject to the active account requirement and the establishment of active accounts pursuant to Article 7a(1) EMIR. Considering the entry into effect of the Level 1 text in December 2024, we expect that counterparties subject to the active account requirement should submit the notification by June 2025. We note that the template for this notification has already been published by ESMA on its website, with the following statement: “</w:t>
      </w:r>
      <w:r w:rsidRPr="00F0074B">
        <w:rPr>
          <w:i/>
          <w:iCs/>
          <w:lang w:val="en-US"/>
        </w:rPr>
        <w:t>Starting on 24 December 2024, where a financial counterparty (FC) or a non-financial counterparty (NFC) becomes subject to the obligation to hold an active account in accordance with Article 7a(1) of EMIR, that FC or NFC shall notify ESMA and its relevant competent authority.</w:t>
      </w:r>
      <w:r>
        <w:rPr>
          <w:lang w:val="en-US"/>
        </w:rPr>
        <w:t xml:space="preserve">” Without further clarification on the timelines we believe there is potential for confusion as to what the deadline is for this notification. </w:t>
      </w:r>
    </w:p>
    <w:p w14:paraId="019FEED9" w14:textId="77777777" w:rsidR="00027E9B" w:rsidRDefault="00027E9B" w:rsidP="006B5DF1">
      <w:pPr>
        <w:spacing w:after="0"/>
        <w:rPr>
          <w:lang w:val="en-US"/>
        </w:rPr>
      </w:pPr>
    </w:p>
    <w:p w14:paraId="00BD956F" w14:textId="2D15B85A" w:rsidR="004C00EF" w:rsidRDefault="00027E9B" w:rsidP="006B5DF1">
      <w:pPr>
        <w:spacing w:after="0"/>
        <w:rPr>
          <w:lang w:val="en-US"/>
        </w:rPr>
      </w:pPr>
      <w:r>
        <w:rPr>
          <w:lang w:val="en-US"/>
        </w:rPr>
        <w:t xml:space="preserve">More broadly, we observe that there is still a lot of uncertainty amongst market participants about the exact application of the rules and the representativeness criterion more specifically. </w:t>
      </w:r>
      <w:r w:rsidR="004C00EF">
        <w:rPr>
          <w:lang w:val="en-US"/>
        </w:rPr>
        <w:t>We urge ESMA to provide as much guidance as possible, ideally with clear examples how the rules should apply in certain situations and consider clarifying the RTS. This concerns the following:</w:t>
      </w:r>
    </w:p>
    <w:p w14:paraId="3EF6C2C2" w14:textId="77777777" w:rsidR="004C00EF" w:rsidRDefault="004C00EF" w:rsidP="004C00EF">
      <w:pPr>
        <w:pStyle w:val="Lijstalinea"/>
        <w:numPr>
          <w:ilvl w:val="0"/>
          <w:numId w:val="38"/>
        </w:numPr>
        <w:spacing w:after="0"/>
        <w:rPr>
          <w:lang w:val="en-US"/>
        </w:rPr>
      </w:pPr>
      <w:r>
        <w:rPr>
          <w:lang w:val="en-US"/>
        </w:rPr>
        <w:t>T</w:t>
      </w:r>
      <w:r w:rsidR="00027E9B" w:rsidRPr="004C00EF">
        <w:rPr>
          <w:lang w:val="en-US"/>
        </w:rPr>
        <w:t xml:space="preserve">here seems to be differences in interpretation of how to determine the subcategories based on activity: looking back at trading activity prior to the reference period, or looking at trading activity within the ongoing reference period. </w:t>
      </w:r>
    </w:p>
    <w:p w14:paraId="631615C3" w14:textId="7B56D5F1" w:rsidR="00027E9B" w:rsidRDefault="004C00EF" w:rsidP="004C00EF">
      <w:pPr>
        <w:pStyle w:val="Lijstalinea"/>
        <w:numPr>
          <w:ilvl w:val="0"/>
          <w:numId w:val="38"/>
        </w:numPr>
        <w:spacing w:after="0"/>
        <w:rPr>
          <w:lang w:val="en-US"/>
        </w:rPr>
      </w:pPr>
      <w:r>
        <w:rPr>
          <w:lang w:val="en-US"/>
        </w:rPr>
        <w:t>W</w:t>
      </w:r>
      <w:r w:rsidR="00027E9B" w:rsidRPr="004C00EF">
        <w:rPr>
          <w:lang w:val="en-US"/>
        </w:rPr>
        <w:t>e would like to ask ESMA to clearly communicate when the first reference period will start.</w:t>
      </w:r>
    </w:p>
    <w:p w14:paraId="22929150" w14:textId="42DA70C5" w:rsidR="004C00EF" w:rsidRPr="004C00EF" w:rsidRDefault="004C00EF" w:rsidP="004C00EF">
      <w:pPr>
        <w:pStyle w:val="Lijstalinea"/>
        <w:numPr>
          <w:ilvl w:val="0"/>
          <w:numId w:val="38"/>
        </w:numPr>
        <w:spacing w:after="0"/>
        <w:rPr>
          <w:lang w:val="en-US"/>
        </w:rPr>
      </w:pPr>
      <w:r>
        <w:rPr>
          <w:lang w:val="en-US"/>
        </w:rPr>
        <w:lastRenderedPageBreak/>
        <w:t>It should be confirmed that counterparties that meet the threshold of a single derivative classes, but do not have</w:t>
      </w:r>
      <w:r w:rsidR="002F0A8A">
        <w:rPr>
          <w:lang w:val="en-US"/>
        </w:rPr>
        <w:t xml:space="preserve"> any</w:t>
      </w:r>
      <w:r>
        <w:rPr>
          <w:lang w:val="en-US"/>
        </w:rPr>
        <w:t xml:space="preserve"> activity in other classes, </w:t>
      </w:r>
      <w:r w:rsidR="002F0A8A">
        <w:rPr>
          <w:lang w:val="en-US"/>
        </w:rPr>
        <w:t>do not need to meet operational requirements for other classes. Dutch pension funds only make use of IRD derivatives. A requirement to open (margin) accounts for other classes, which they do not use at all, would lead to significant costs without any benefits.</w:t>
      </w:r>
    </w:p>
    <w:p w14:paraId="01345ADF" w14:textId="77777777" w:rsidR="00027E9B" w:rsidRDefault="00027E9B" w:rsidP="006B5DF1">
      <w:pPr>
        <w:spacing w:after="0"/>
        <w:rPr>
          <w:lang w:val="en-US"/>
        </w:rPr>
      </w:pPr>
    </w:p>
    <w:p w14:paraId="62CCD8E6" w14:textId="614DD013" w:rsidR="006B5DF1" w:rsidRDefault="006B5DF1" w:rsidP="006B5DF1">
      <w:pPr>
        <w:spacing w:after="0"/>
      </w:pPr>
      <w:r>
        <w:t>&lt;ESMA_QUESTION_</w:t>
      </w:r>
      <w:r w:rsidR="004E60D2">
        <w:t>AAR</w:t>
      </w:r>
      <w:r>
        <w:t>_01&gt;</w:t>
      </w:r>
    </w:p>
    <w:p w14:paraId="215F51B6" w14:textId="77777777" w:rsidR="006B5DF1" w:rsidRDefault="006B5DF1" w:rsidP="006B5DF1"/>
    <w:p w14:paraId="6E58CC4E" w14:textId="77777777" w:rsidR="006B5DF1" w:rsidRPr="006B5DF1" w:rsidRDefault="006B5DF1" w:rsidP="006B5DF1"/>
    <w:p w14:paraId="72BC789E" w14:textId="62A0E0F0" w:rsidR="004E60D2" w:rsidRDefault="004E60D2" w:rsidP="004E60D2">
      <w:pPr>
        <w:pStyle w:val="Questionstyle"/>
      </w:pPr>
      <w:r>
        <w:t xml:space="preserve">Do you agree with the above approach for condition </w:t>
      </w:r>
      <w:r w:rsidRPr="00024BA7">
        <w:t>(</w:t>
      </w:r>
      <w:r>
        <w:t>a)? Are there other requirements that ESMA should consider for meeting condition (a)?</w:t>
      </w:r>
    </w:p>
    <w:p w14:paraId="7FADE892" w14:textId="77777777" w:rsidR="006B5DF1" w:rsidRDefault="006B5DF1" w:rsidP="006B5DF1"/>
    <w:p w14:paraId="7CB7DC30" w14:textId="6F75236D" w:rsidR="006B5DF1" w:rsidRDefault="006B5DF1" w:rsidP="006B5DF1">
      <w:pPr>
        <w:spacing w:after="0"/>
      </w:pPr>
      <w:r>
        <w:t>&lt;ESMA_QUESTION_</w:t>
      </w:r>
      <w:r w:rsidR="004E60D2">
        <w:t>AAR</w:t>
      </w:r>
      <w:r>
        <w:t>_</w:t>
      </w:r>
      <w:r w:rsidR="003E7313">
        <w:t>02</w:t>
      </w:r>
      <w:r>
        <w:t>&gt;</w:t>
      </w:r>
    </w:p>
    <w:p w14:paraId="18C5EEFF" w14:textId="77777777" w:rsidR="00027E9B" w:rsidRDefault="00027E9B" w:rsidP="00027E9B">
      <w:pPr>
        <w:spacing w:after="0"/>
        <w:rPr>
          <w:lang w:val="en-US"/>
        </w:rPr>
      </w:pPr>
    </w:p>
    <w:p w14:paraId="62968D00" w14:textId="5D9119E8" w:rsidR="00027E9B" w:rsidRDefault="00027E9B" w:rsidP="00027E9B">
      <w:pPr>
        <w:spacing w:after="0"/>
      </w:pPr>
      <w:r w:rsidRPr="00027E9B">
        <w:rPr>
          <w:lang w:val="en-US"/>
        </w:rPr>
        <w:t xml:space="preserve">The new Active Account Requirement, as further specified by the draft RTS, </w:t>
      </w:r>
      <w:r>
        <w:rPr>
          <w:lang w:val="en-US"/>
        </w:rPr>
        <w:t>will</w:t>
      </w:r>
      <w:r w:rsidRPr="00027E9B">
        <w:rPr>
          <w:lang w:val="en-US"/>
        </w:rPr>
        <w:t xml:space="preserve"> be operationally burdensome for Dutch IORPs. In line with political priorities of the European Commission, we believe that the administrative burden should be reduced as much as possible. In this context, we propose that demonstrating a cleared portfolio with an EU CCP, which requires cash and collateral accounts, and the daily exchange of variation margin, provides sufficient evidence of operational and function connectivity. </w:t>
      </w:r>
      <w:r w:rsidR="00BD3FFF" w:rsidRPr="00BD3FFF">
        <w:t>A written statement by the CCP that the accounts are fully functional should be sufficient to satisfy this condition</w:t>
      </w:r>
      <w:r w:rsidR="00BD3FFF">
        <w:t>.</w:t>
      </w:r>
    </w:p>
    <w:p w14:paraId="18CBCD56" w14:textId="77777777" w:rsidR="00BD3FFF" w:rsidRPr="00027E9B" w:rsidRDefault="00BD3FFF" w:rsidP="00027E9B">
      <w:pPr>
        <w:spacing w:after="0"/>
        <w:rPr>
          <w:lang w:val="en-US"/>
        </w:rPr>
      </w:pPr>
    </w:p>
    <w:p w14:paraId="72B810BF" w14:textId="6FF51386" w:rsidR="00027E9B" w:rsidRPr="00027E9B" w:rsidRDefault="00027E9B" w:rsidP="00027E9B">
      <w:pPr>
        <w:spacing w:after="0"/>
        <w:rPr>
          <w:lang w:val="en-US"/>
        </w:rPr>
      </w:pPr>
      <w:r w:rsidRPr="00027E9B">
        <w:rPr>
          <w:lang w:val="en-US"/>
        </w:rPr>
        <w:t xml:space="preserve">Furthermore, we are concerned with Article 1(c) of the draft RTS where it refers to “with sufficient financial resources to meet the obligations arising from the direct or indirect participation in an </w:t>
      </w:r>
      <w:proofErr w:type="spellStart"/>
      <w:r w:rsidRPr="00027E9B">
        <w:rPr>
          <w:lang w:val="en-US"/>
        </w:rPr>
        <w:t>authorised</w:t>
      </w:r>
      <w:proofErr w:type="spellEnd"/>
      <w:r w:rsidRPr="00027E9B">
        <w:rPr>
          <w:lang w:val="en-US"/>
        </w:rPr>
        <w:t xml:space="preserve"> CCP”. As per paragraph 67 of the ESMA CP, operational capacity is distinct from and should not include counterparties’ financial resources. As such, the availability of financial resources on cash and collateral accounts is not constitutive for operational capacity. Furthermore, this implies that counterparties are required to have financial resources available for stress-testing purposes under Article 3 of the RTS.</w:t>
      </w:r>
    </w:p>
    <w:p w14:paraId="0B3F7C0E" w14:textId="77777777" w:rsidR="00027E9B" w:rsidRDefault="00027E9B" w:rsidP="006B5DF1">
      <w:pPr>
        <w:spacing w:after="0"/>
      </w:pPr>
    </w:p>
    <w:p w14:paraId="3F6C042F" w14:textId="1A6762A1" w:rsidR="006B5DF1" w:rsidRDefault="006B5DF1" w:rsidP="006B5DF1">
      <w:pPr>
        <w:spacing w:after="0"/>
      </w:pPr>
      <w:r>
        <w:t>&lt;ESMA_QUESTION_</w:t>
      </w:r>
      <w:r w:rsidR="004E60D2">
        <w:t>AAR</w:t>
      </w:r>
      <w:r>
        <w:t>_</w:t>
      </w:r>
      <w:r w:rsidR="003E7313">
        <w:t>02</w:t>
      </w:r>
      <w:r>
        <w:t>&gt;</w:t>
      </w:r>
    </w:p>
    <w:p w14:paraId="5C99C845" w14:textId="77777777" w:rsidR="006B5DF1" w:rsidRDefault="006B5DF1" w:rsidP="006B5DF1"/>
    <w:p w14:paraId="5D13008F" w14:textId="77777777" w:rsidR="006B5DF1" w:rsidRPr="006B5DF1" w:rsidRDefault="006B5DF1" w:rsidP="006B5DF1"/>
    <w:p w14:paraId="1456BEFD" w14:textId="40C2A5B9" w:rsidR="004E60D2" w:rsidRDefault="004E60D2" w:rsidP="004E60D2">
      <w:pPr>
        <w:pStyle w:val="Questionstyle"/>
      </w:pPr>
      <w:r>
        <w:t xml:space="preserve">Do you agree with the above approach for conditions </w:t>
      </w:r>
      <w:r w:rsidRPr="00024BA7">
        <w:t>(</w:t>
      </w:r>
      <w:r>
        <w:t xml:space="preserve">b) and </w:t>
      </w:r>
      <w:r w:rsidRPr="00024BA7">
        <w:t>(</w:t>
      </w:r>
      <w:r>
        <w:t>c)?</w:t>
      </w:r>
    </w:p>
    <w:p w14:paraId="29B4AF4E" w14:textId="77777777" w:rsidR="006B5DF1" w:rsidRDefault="006B5DF1" w:rsidP="006B5DF1"/>
    <w:p w14:paraId="3DFB978C" w14:textId="5A11AAE5" w:rsidR="006B5DF1" w:rsidRDefault="006B5DF1" w:rsidP="006B5DF1">
      <w:pPr>
        <w:spacing w:after="0"/>
      </w:pPr>
      <w:r>
        <w:t>&lt;ESMA_QUESTION_</w:t>
      </w:r>
      <w:r w:rsidR="004E60D2">
        <w:t>AAR</w:t>
      </w:r>
      <w:r>
        <w:t>_</w:t>
      </w:r>
      <w:r w:rsidR="003E7313">
        <w:t>03</w:t>
      </w:r>
      <w:r>
        <w:t>&gt;</w:t>
      </w:r>
    </w:p>
    <w:p w14:paraId="51FD0F2C" w14:textId="77777777" w:rsidR="00027E9B" w:rsidRDefault="00027E9B" w:rsidP="00027E9B">
      <w:pPr>
        <w:rPr>
          <w:lang w:val="en-US"/>
        </w:rPr>
      </w:pPr>
    </w:p>
    <w:p w14:paraId="6614E2C4" w14:textId="2DF2F88F" w:rsidR="00027E9B" w:rsidRDefault="00027E9B" w:rsidP="00027E9B">
      <w:pPr>
        <w:rPr>
          <w:lang w:val="en-US"/>
        </w:rPr>
      </w:pPr>
      <w:r>
        <w:rPr>
          <w:lang w:val="en-US"/>
        </w:rPr>
        <w:lastRenderedPageBreak/>
        <w:t xml:space="preserve">We agree that certification by the CCP is an appropriate approach, provided that the responsibility for producing and providing the statements falls on the CCP instead of this being an obligation for counterparties to obtain these from </w:t>
      </w:r>
      <w:proofErr w:type="spellStart"/>
      <w:r>
        <w:rPr>
          <w:lang w:val="en-US"/>
        </w:rPr>
        <w:t>th</w:t>
      </w:r>
      <w:proofErr w:type="spellEnd"/>
      <w:r w:rsidR="00A97E38">
        <w:rPr>
          <w:lang w:val="en-US"/>
        </w:rPr>
        <w:tab/>
      </w:r>
      <w:r>
        <w:rPr>
          <w:lang w:val="en-US"/>
        </w:rPr>
        <w:t>e CCP. CCPs should be required to provide these statements without additional costs being imposed on counterparties.</w:t>
      </w:r>
    </w:p>
    <w:p w14:paraId="4A4C7403" w14:textId="3BF97F78" w:rsidR="00027E9B" w:rsidRDefault="00027E9B" w:rsidP="00027E9B">
      <w:pPr>
        <w:rPr>
          <w:lang w:val="en-US"/>
        </w:rPr>
      </w:pPr>
      <w:r>
        <w:rPr>
          <w:lang w:val="en-US"/>
        </w:rPr>
        <w:t>We object to the requirement under Article 2(1)(b) of the draft RTS to appoint at least one staff member</w:t>
      </w:r>
      <w:r w:rsidRPr="00B86B4A">
        <w:rPr>
          <w:lang w:val="en-US"/>
        </w:rPr>
        <w:t xml:space="preserve"> with sufficient knowledge to support the proper functioning of the clearing arrangements at all times. Firms should have the flexibility to decide how to embed expertise with respect to these clearing arrangements in their </w:t>
      </w:r>
      <w:proofErr w:type="spellStart"/>
      <w:r w:rsidRPr="00B86B4A">
        <w:rPr>
          <w:lang w:val="en-US"/>
        </w:rPr>
        <w:t>organisation</w:t>
      </w:r>
      <w:proofErr w:type="spellEnd"/>
      <w:r w:rsidRPr="00B86B4A">
        <w:rPr>
          <w:lang w:val="en-US"/>
        </w:rPr>
        <w:t>. In practice, this responsibility will more often than not sit with a dedicated team rather than one individual. We also note that EMIR does not require individuals with knowledge to support clearing arrangements to be identified, while EMIR mandates central clearing.</w:t>
      </w:r>
    </w:p>
    <w:p w14:paraId="720B65C3" w14:textId="29DCA6B4" w:rsidR="00027E9B" w:rsidRPr="00F0074B" w:rsidRDefault="00027E9B" w:rsidP="00027E9B">
      <w:pPr>
        <w:rPr>
          <w:lang w:val="en-US"/>
        </w:rPr>
      </w:pPr>
      <w:r>
        <w:rPr>
          <w:lang w:val="en-US"/>
        </w:rPr>
        <w:t xml:space="preserve">We would highlight that the measure of a threefold increase is a crude measure, which does not take into account specificities of counterparties. </w:t>
      </w:r>
      <w:r w:rsidRPr="00F0074B">
        <w:rPr>
          <w:lang w:val="en-US"/>
        </w:rPr>
        <w:t>For example, a pension funds that hedges 40% of its interest rate risk with interest rate derivatives</w:t>
      </w:r>
      <w:r>
        <w:rPr>
          <w:lang w:val="en-US"/>
        </w:rPr>
        <w:t>, w</w:t>
      </w:r>
      <w:r w:rsidRPr="00F0074B">
        <w:rPr>
          <w:lang w:val="en-US"/>
        </w:rPr>
        <w:t>ill not decide to increase the interest rate risk hedge to 120%.</w:t>
      </w:r>
      <w:r>
        <w:rPr>
          <w:lang w:val="en-US"/>
        </w:rPr>
        <w:t xml:space="preserve"> For counterparties already clearing the bulk of their positions at an EU CCP, the threefold increase also seems excessive. </w:t>
      </w:r>
      <w:r w:rsidRPr="00F0074B">
        <w:rPr>
          <w:lang w:val="en-US"/>
        </w:rPr>
        <w:t>On the other hand, counterparties that clear most</w:t>
      </w:r>
      <w:r>
        <w:rPr>
          <w:lang w:val="en-US"/>
        </w:rPr>
        <w:t>ly</w:t>
      </w:r>
      <w:r w:rsidRPr="00F0074B">
        <w:rPr>
          <w:lang w:val="en-US"/>
        </w:rPr>
        <w:t xml:space="preserve"> on a third </w:t>
      </w:r>
      <w:r>
        <w:rPr>
          <w:lang w:val="en-US"/>
        </w:rPr>
        <w:t>country</w:t>
      </w:r>
      <w:r w:rsidRPr="00F0074B">
        <w:rPr>
          <w:lang w:val="en-US"/>
        </w:rPr>
        <w:t xml:space="preserve"> CCP, </w:t>
      </w:r>
      <w:r>
        <w:rPr>
          <w:lang w:val="en-US"/>
        </w:rPr>
        <w:t>a threefold increase would be a very small increase.</w:t>
      </w:r>
    </w:p>
    <w:p w14:paraId="56A3D450" w14:textId="77777777" w:rsidR="00027E9B" w:rsidRPr="00027E9B" w:rsidRDefault="00027E9B" w:rsidP="006B5DF1">
      <w:pPr>
        <w:spacing w:after="0"/>
        <w:rPr>
          <w:lang w:val="en-US"/>
        </w:rPr>
      </w:pPr>
    </w:p>
    <w:p w14:paraId="0F52A7AB" w14:textId="22209293" w:rsidR="006B5DF1" w:rsidRDefault="006B5DF1" w:rsidP="006B5DF1">
      <w:pPr>
        <w:spacing w:after="0"/>
      </w:pPr>
      <w:r>
        <w:t>&lt;ESMA_QUESTION_</w:t>
      </w:r>
      <w:r w:rsidR="004E60D2">
        <w:t>AAR</w:t>
      </w:r>
      <w:r>
        <w:t>_</w:t>
      </w:r>
      <w:r w:rsidR="003E7313">
        <w:t>03</w:t>
      </w:r>
      <w:r>
        <w:t>&gt;</w:t>
      </w:r>
    </w:p>
    <w:p w14:paraId="4928DFF2" w14:textId="77777777" w:rsidR="006B5DF1" w:rsidRDefault="006B5DF1" w:rsidP="006B5DF1"/>
    <w:p w14:paraId="46E3A872" w14:textId="77777777" w:rsidR="006B5DF1" w:rsidRPr="006B5DF1" w:rsidRDefault="006B5DF1" w:rsidP="006B5DF1"/>
    <w:p w14:paraId="27A42220" w14:textId="041C5ECA" w:rsidR="004E60D2" w:rsidRDefault="004E60D2" w:rsidP="004E60D2">
      <w:pPr>
        <w:pStyle w:val="Questionstyle"/>
        <w:rPr>
          <w:lang w:val="en-US"/>
        </w:rPr>
      </w:pPr>
      <w:r w:rsidRPr="7F525ACF">
        <w:rPr>
          <w:lang w:val="en-US"/>
        </w:rPr>
        <w:t xml:space="preserve">Do </w:t>
      </w:r>
      <w:r>
        <w:rPr>
          <w:lang w:val="en-US"/>
        </w:rPr>
        <w:t xml:space="preserve">you agree with the </w:t>
      </w:r>
      <w:r w:rsidRPr="7F525ACF">
        <w:rPr>
          <w:lang w:val="en-US"/>
        </w:rPr>
        <w:t xml:space="preserve">proposed </w:t>
      </w:r>
      <w:r w:rsidRPr="00024BA7">
        <w:rPr>
          <w:lang w:val="en-US"/>
        </w:rPr>
        <w:t>approach</w:t>
      </w:r>
      <w:r w:rsidRPr="7F525ACF">
        <w:rPr>
          <w:lang w:val="en-US"/>
        </w:rPr>
        <w:t xml:space="preserve"> for </w:t>
      </w:r>
      <w:r>
        <w:rPr>
          <w:lang w:val="en-US"/>
        </w:rPr>
        <w:t xml:space="preserve">the annual </w:t>
      </w:r>
      <w:r w:rsidRPr="7F525ACF">
        <w:rPr>
          <w:lang w:val="en-US"/>
        </w:rPr>
        <w:t xml:space="preserve">stress-testing conditions </w:t>
      </w:r>
      <w:r w:rsidRPr="00024BA7">
        <w:rPr>
          <w:lang w:val="en-US"/>
        </w:rPr>
        <w:t>(</w:t>
      </w:r>
      <w:r w:rsidRPr="7F525ACF">
        <w:rPr>
          <w:lang w:val="en-US"/>
        </w:rPr>
        <w:t xml:space="preserve">a), </w:t>
      </w:r>
      <w:r w:rsidRPr="00024BA7">
        <w:rPr>
          <w:lang w:val="en-US"/>
        </w:rPr>
        <w:t>(</w:t>
      </w:r>
      <w:r w:rsidRPr="7F525ACF">
        <w:rPr>
          <w:lang w:val="en-US"/>
        </w:rPr>
        <w:t xml:space="preserve">b) and </w:t>
      </w:r>
      <w:r w:rsidRPr="00024BA7">
        <w:rPr>
          <w:lang w:val="en-US"/>
        </w:rPr>
        <w:t>(</w:t>
      </w:r>
      <w:r w:rsidRPr="7F525ACF">
        <w:rPr>
          <w:lang w:val="en-US"/>
        </w:rPr>
        <w:t>c)</w:t>
      </w:r>
      <w:r>
        <w:rPr>
          <w:lang w:val="en-US"/>
        </w:rPr>
        <w:t xml:space="preserve">? </w:t>
      </w:r>
    </w:p>
    <w:p w14:paraId="7BBB58D3" w14:textId="77777777" w:rsidR="006B5DF1" w:rsidRPr="004E60D2" w:rsidRDefault="006B5DF1" w:rsidP="006B5DF1">
      <w:pPr>
        <w:rPr>
          <w:lang w:val="en-US"/>
        </w:rPr>
      </w:pPr>
    </w:p>
    <w:p w14:paraId="47B452E7" w14:textId="609D6B18" w:rsidR="006B5DF1" w:rsidRDefault="006B5DF1" w:rsidP="006B5DF1">
      <w:pPr>
        <w:spacing w:after="0"/>
      </w:pPr>
      <w:r>
        <w:t>&lt;ESMA_QUESTION_</w:t>
      </w:r>
      <w:r w:rsidR="004E60D2">
        <w:t>AAR</w:t>
      </w:r>
      <w:r>
        <w:t>_</w:t>
      </w:r>
      <w:r w:rsidR="003E7313">
        <w:t>04</w:t>
      </w:r>
      <w:r>
        <w:t>&gt;</w:t>
      </w:r>
    </w:p>
    <w:p w14:paraId="06D8026E" w14:textId="77777777" w:rsidR="00027E9B" w:rsidRDefault="00027E9B" w:rsidP="00027E9B">
      <w:pPr>
        <w:rPr>
          <w:lang w:val="en-US"/>
        </w:rPr>
      </w:pPr>
    </w:p>
    <w:p w14:paraId="56322E56" w14:textId="1E66BAA6" w:rsidR="00027E9B" w:rsidRDefault="00027E9B" w:rsidP="00027E9B">
      <w:pPr>
        <w:rPr>
          <w:lang w:val="en-US"/>
        </w:rPr>
      </w:pPr>
      <w:r w:rsidRPr="00B86B4A">
        <w:rPr>
          <w:lang w:val="en-US"/>
        </w:rPr>
        <w:t>We would like to repeat the same point made above with respect to where the regulatory onus sits for the statements to be provided by the CCP.</w:t>
      </w:r>
    </w:p>
    <w:p w14:paraId="5E287B2C" w14:textId="27E1D9A1" w:rsidR="00027E9B" w:rsidRDefault="00027E9B" w:rsidP="00027E9B">
      <w:pPr>
        <w:rPr>
          <w:lang w:val="en-US"/>
        </w:rPr>
      </w:pPr>
      <w:r>
        <w:rPr>
          <w:lang w:val="en-US"/>
        </w:rPr>
        <w:t>The draft RTS requires counterparties to “</w:t>
      </w:r>
      <w:r w:rsidRPr="00B86B4A">
        <w:rPr>
          <w:i/>
          <w:iCs/>
          <w:lang w:val="en-US"/>
        </w:rPr>
        <w:t>conduct</w:t>
      </w:r>
      <w:r>
        <w:rPr>
          <w:lang w:val="en-US"/>
        </w:rPr>
        <w:t>” the tests. In practice, we would expect the stress tests would be run by the CCP. It is unclear what counterparties are expected to do for this purpose to meet the requirement of Article 3(1)(a) of the draft RTS.</w:t>
      </w:r>
    </w:p>
    <w:p w14:paraId="520A3055" w14:textId="77777777" w:rsidR="00027E9B" w:rsidRDefault="00027E9B" w:rsidP="00027E9B">
      <w:pPr>
        <w:rPr>
          <w:lang w:val="en-US"/>
        </w:rPr>
      </w:pPr>
      <w:r>
        <w:rPr>
          <w:lang w:val="en-US"/>
        </w:rPr>
        <w:t>Moreover, we are very concerned about providing market sensitive and confidential information to the CCP, in case we would need to provide all outstanding positions. Rather,</w:t>
      </w:r>
      <w:r w:rsidRPr="006A043D">
        <w:rPr>
          <w:lang w:val="en-US"/>
        </w:rPr>
        <w:t xml:space="preserve"> the information </w:t>
      </w:r>
      <w:r>
        <w:rPr>
          <w:lang w:val="en-US"/>
        </w:rPr>
        <w:t>should be</w:t>
      </w:r>
      <w:r w:rsidRPr="006A043D">
        <w:rPr>
          <w:lang w:val="en-US"/>
        </w:rPr>
        <w:t xml:space="preserve"> shared between the Clearing Member and the Clearing House.</w:t>
      </w:r>
    </w:p>
    <w:p w14:paraId="0B603002" w14:textId="20965CD2" w:rsidR="00027E9B" w:rsidRDefault="00027E9B" w:rsidP="00027E9B">
      <w:pPr>
        <w:spacing w:after="0"/>
      </w:pPr>
      <w:r>
        <w:rPr>
          <w:lang w:val="en-US"/>
        </w:rPr>
        <w:lastRenderedPageBreak/>
        <w:t xml:space="preserve">Finally, </w:t>
      </w:r>
      <w:r w:rsidRPr="006A043D">
        <w:rPr>
          <w:lang w:val="en-US"/>
        </w:rPr>
        <w:t xml:space="preserve">ESMA wishes to </w:t>
      </w:r>
      <w:proofErr w:type="spellStart"/>
      <w:r w:rsidRPr="006A043D">
        <w:rPr>
          <w:lang w:val="en-US"/>
        </w:rPr>
        <w:t>stresstest</w:t>
      </w:r>
      <w:proofErr w:type="spellEnd"/>
      <w:r w:rsidRPr="006A043D">
        <w:rPr>
          <w:lang w:val="en-US"/>
        </w:rPr>
        <w:t xml:space="preserve"> over 5 liquidation days. We</w:t>
      </w:r>
      <w:r>
        <w:rPr>
          <w:lang w:val="en-US"/>
        </w:rPr>
        <w:t>,</w:t>
      </w:r>
      <w:r w:rsidRPr="006A043D">
        <w:rPr>
          <w:lang w:val="en-US"/>
        </w:rPr>
        <w:t xml:space="preserve"> however</w:t>
      </w:r>
      <w:r>
        <w:rPr>
          <w:lang w:val="en-US"/>
        </w:rPr>
        <w:t>,</w:t>
      </w:r>
      <w:r w:rsidRPr="006A043D">
        <w:rPr>
          <w:lang w:val="en-US"/>
        </w:rPr>
        <w:t xml:space="preserve"> argue that it is not possible to trade this size in the market in 5 days, which makes this exercise not representative of a real worlds scenario</w:t>
      </w:r>
      <w:r>
        <w:t>.</w:t>
      </w:r>
    </w:p>
    <w:p w14:paraId="1EC62C6F" w14:textId="77777777" w:rsidR="00027E9B" w:rsidRDefault="00027E9B" w:rsidP="00027E9B">
      <w:pPr>
        <w:spacing w:after="0"/>
      </w:pPr>
    </w:p>
    <w:p w14:paraId="2283DD66" w14:textId="041E7048" w:rsidR="006B5DF1" w:rsidRDefault="006B5DF1" w:rsidP="00027E9B">
      <w:pPr>
        <w:spacing w:after="0"/>
      </w:pPr>
      <w:r>
        <w:t>&lt;ESMA_QUESTION_</w:t>
      </w:r>
      <w:r w:rsidR="004E60D2">
        <w:t>AAR</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6E2F0B8B" w:rsidR="0029493B" w:rsidRDefault="004E60D2" w:rsidP="006B5DF1">
      <w:pPr>
        <w:pStyle w:val="Questionstyle"/>
      </w:pPr>
      <w:r>
        <w:rPr>
          <w:lang w:val="en-US"/>
        </w:rPr>
        <w:t xml:space="preserve">Do you agree with the differentiated frequency for the stress-testing depending on the counterparties’ clearing activities? </w:t>
      </w:r>
      <w:r w:rsidRPr="00BD5B4A">
        <w:rPr>
          <w:lang w:val="en-US"/>
        </w:rPr>
        <w:t xml:space="preserve">Would you suggest any other way to take into account the proportionality principle? </w:t>
      </w:r>
    </w:p>
    <w:p w14:paraId="01ED954E" w14:textId="77777777" w:rsidR="006B5DF1" w:rsidRDefault="006B5DF1" w:rsidP="006B5DF1"/>
    <w:p w14:paraId="48F7A2C7" w14:textId="496FDFBE" w:rsidR="006B5DF1" w:rsidRDefault="006B5DF1" w:rsidP="006B5DF1">
      <w:pPr>
        <w:spacing w:after="0"/>
      </w:pPr>
      <w:r>
        <w:t>&lt;ESMA_QUESTION_</w:t>
      </w:r>
      <w:r w:rsidR="004E60D2">
        <w:t>AAR</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3F653379" w:rsidR="006B5DF1" w:rsidRDefault="006B5DF1" w:rsidP="006B5DF1">
      <w:pPr>
        <w:spacing w:after="0"/>
      </w:pPr>
      <w:r>
        <w:t>&lt;ESMA_QUESTION_</w:t>
      </w:r>
      <w:r w:rsidR="004E60D2">
        <w:t>AAR</w:t>
      </w:r>
      <w:r>
        <w:t>_</w:t>
      </w:r>
      <w:r w:rsidR="003E7313">
        <w:t>05</w:t>
      </w:r>
      <w:r>
        <w:t>&gt;</w:t>
      </w:r>
    </w:p>
    <w:p w14:paraId="29A935B1" w14:textId="77777777" w:rsidR="006B5DF1" w:rsidRDefault="006B5DF1" w:rsidP="006B5DF1"/>
    <w:p w14:paraId="7BEC8725" w14:textId="77777777" w:rsidR="006B5DF1" w:rsidRPr="006B5DF1" w:rsidRDefault="006B5DF1" w:rsidP="006B5DF1"/>
    <w:p w14:paraId="583C4144" w14:textId="0C969902" w:rsidR="004E60D2" w:rsidRPr="002239E7" w:rsidRDefault="004E60D2" w:rsidP="004E60D2">
      <w:pPr>
        <w:pStyle w:val="Questionstyle"/>
        <w:rPr>
          <w:rFonts w:eastAsia="Calibri"/>
          <w:lang w:eastAsia="en-GB"/>
        </w:rPr>
      </w:pPr>
      <w:r>
        <w:t xml:space="preserve">Do you agree with the proposed classes of derivatives for EUR OTC IRD? </w:t>
      </w:r>
    </w:p>
    <w:p w14:paraId="577A82F6" w14:textId="77777777" w:rsidR="006B5DF1" w:rsidRDefault="006B5DF1" w:rsidP="006B5DF1"/>
    <w:p w14:paraId="2AFE7DFE" w14:textId="15E4FF26" w:rsidR="006B5DF1" w:rsidRDefault="006B5DF1" w:rsidP="006B5DF1">
      <w:pPr>
        <w:spacing w:after="0"/>
      </w:pPr>
      <w:r>
        <w:t>&lt;ESMA_QUESTION_</w:t>
      </w:r>
      <w:r w:rsidR="004E60D2">
        <w:t>AAR</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31DE5546" w:rsidR="006B5DF1" w:rsidRDefault="006B5DF1" w:rsidP="006B5DF1">
      <w:pPr>
        <w:spacing w:after="0"/>
      </w:pPr>
      <w:r>
        <w:t>&lt;ESMA_QUESTION_</w:t>
      </w:r>
      <w:r w:rsidR="004E60D2">
        <w:t>AAR</w:t>
      </w:r>
      <w:r>
        <w:t>_</w:t>
      </w:r>
      <w:r w:rsidR="003E7313">
        <w:t>0</w:t>
      </w:r>
      <w:r>
        <w:t>6&gt;</w:t>
      </w:r>
    </w:p>
    <w:p w14:paraId="7FD3C941" w14:textId="77777777" w:rsidR="006B5DF1" w:rsidRDefault="006B5DF1" w:rsidP="006B5DF1"/>
    <w:p w14:paraId="016A0644" w14:textId="77777777" w:rsidR="006B5DF1" w:rsidRPr="006B5DF1" w:rsidRDefault="006B5DF1" w:rsidP="006B5DF1"/>
    <w:p w14:paraId="13854EA3" w14:textId="070D7B08" w:rsidR="004E60D2" w:rsidRPr="002239E7" w:rsidRDefault="004E60D2" w:rsidP="004E60D2">
      <w:pPr>
        <w:pStyle w:val="Questionstyle"/>
        <w:rPr>
          <w:rFonts w:eastAsia="Calibri"/>
          <w:lang w:eastAsia="en-GB"/>
        </w:rPr>
      </w:pPr>
      <w:r>
        <w:t xml:space="preserve">Do you agree with the proposed classes of derivatives for PLN OTC IRD? </w:t>
      </w:r>
    </w:p>
    <w:p w14:paraId="35FD33F8" w14:textId="77777777" w:rsidR="006B5DF1" w:rsidRDefault="006B5DF1" w:rsidP="006B5DF1"/>
    <w:p w14:paraId="74B36119" w14:textId="1CDF6E01" w:rsidR="006B5DF1" w:rsidRDefault="006B5DF1" w:rsidP="006B5DF1">
      <w:pPr>
        <w:spacing w:after="0"/>
      </w:pPr>
      <w:r>
        <w:t>&lt;ESMA_QUESTION_</w:t>
      </w:r>
      <w:r w:rsidR="004E60D2">
        <w:t>AAR</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0C0F95FC" w:rsidR="006B5DF1" w:rsidRDefault="006B5DF1" w:rsidP="006B5DF1">
      <w:pPr>
        <w:spacing w:after="0"/>
      </w:pPr>
      <w:r>
        <w:t>&lt;ESMA_QUESTION_</w:t>
      </w:r>
      <w:r w:rsidR="004E60D2">
        <w:t>AAR</w:t>
      </w:r>
      <w:r>
        <w:t>_</w:t>
      </w:r>
      <w:r w:rsidR="003E7313">
        <w:t>07</w:t>
      </w:r>
      <w:r>
        <w:t>&gt;</w:t>
      </w:r>
    </w:p>
    <w:p w14:paraId="481C662D" w14:textId="77777777" w:rsidR="006B5DF1" w:rsidRDefault="006B5DF1" w:rsidP="006B5DF1"/>
    <w:p w14:paraId="0B9297A3" w14:textId="77777777" w:rsidR="006B5DF1" w:rsidRPr="006B5DF1" w:rsidRDefault="006B5DF1" w:rsidP="006B5DF1"/>
    <w:p w14:paraId="3EFBECF1" w14:textId="1D0D697A" w:rsidR="004E60D2" w:rsidRPr="002239E7" w:rsidRDefault="004E60D2" w:rsidP="004E60D2">
      <w:pPr>
        <w:pStyle w:val="Questionstyle"/>
        <w:rPr>
          <w:rFonts w:eastAsia="Calibri"/>
          <w:lang w:eastAsia="en-GB"/>
        </w:rPr>
      </w:pPr>
      <w:r>
        <w:t xml:space="preserve">Do you agree with the proposed classes of derivatives for EUR STIR? </w:t>
      </w:r>
    </w:p>
    <w:p w14:paraId="71F7B27B" w14:textId="77777777" w:rsidR="006B5DF1" w:rsidRDefault="006B5DF1" w:rsidP="006B5DF1"/>
    <w:p w14:paraId="3367C427" w14:textId="1CEB3FA2" w:rsidR="006B5DF1" w:rsidRDefault="006B5DF1" w:rsidP="006B5DF1">
      <w:pPr>
        <w:spacing w:after="0"/>
      </w:pPr>
      <w:r>
        <w:lastRenderedPageBreak/>
        <w:t>&lt;ESMA_QUESTION_</w:t>
      </w:r>
      <w:r w:rsidR="004E60D2">
        <w:t>AAR</w:t>
      </w:r>
      <w:r>
        <w:t>_</w:t>
      </w:r>
      <w:r w:rsidR="003E7313">
        <w:t>08</w:t>
      </w:r>
      <w:r>
        <w:t>&gt;</w:t>
      </w:r>
    </w:p>
    <w:p w14:paraId="2EDCCE1B" w14:textId="77777777" w:rsidR="006B5DF1" w:rsidRDefault="006B5DF1" w:rsidP="006B5DF1">
      <w:pPr>
        <w:spacing w:after="0"/>
      </w:pPr>
      <w:permStart w:id="1395752143" w:edGrp="everyone"/>
      <w:r>
        <w:t>TYPE YOUR TEXT HERE</w:t>
      </w:r>
    </w:p>
    <w:permEnd w:id="1395752143"/>
    <w:p w14:paraId="67DBB5A7" w14:textId="5865AAFB" w:rsidR="006B5DF1" w:rsidRDefault="006B5DF1" w:rsidP="006B5DF1">
      <w:pPr>
        <w:spacing w:after="0"/>
      </w:pPr>
      <w:r>
        <w:t>&lt;ESMA_QUESTION_</w:t>
      </w:r>
      <w:r w:rsidR="004E60D2">
        <w:t>AAR</w:t>
      </w:r>
      <w:r>
        <w:t>_</w:t>
      </w:r>
      <w:r w:rsidR="003E7313">
        <w:t>08</w:t>
      </w:r>
      <w:r>
        <w:t>&gt;</w:t>
      </w:r>
    </w:p>
    <w:p w14:paraId="453A8C03" w14:textId="77777777" w:rsidR="006B5DF1" w:rsidRDefault="006B5DF1" w:rsidP="006B5DF1"/>
    <w:p w14:paraId="6F7EB131" w14:textId="77777777" w:rsidR="006B5DF1" w:rsidRPr="006B5DF1" w:rsidRDefault="006B5DF1" w:rsidP="006B5DF1"/>
    <w:p w14:paraId="5E5E6483" w14:textId="0772B42F" w:rsidR="004E60D2" w:rsidRDefault="004E60D2" w:rsidP="004E60D2">
      <w:pPr>
        <w:pStyle w:val="Questionstyle"/>
      </w:pPr>
      <w:r w:rsidRPr="2ADCFCB9">
        <w:rPr>
          <w:rFonts w:eastAsia="Arial"/>
        </w:rPr>
        <w:t xml:space="preserve">Do you agree with the proposed </w:t>
      </w:r>
      <w:r>
        <w:rPr>
          <w:rFonts w:eastAsia="Arial"/>
        </w:rPr>
        <w:t xml:space="preserve">maturity and </w:t>
      </w:r>
      <w:r w:rsidRPr="2ADCFCB9">
        <w:rPr>
          <w:rFonts w:eastAsia="Arial"/>
        </w:rPr>
        <w:t>trade size ranges for each class of derivatives in EUR OTC IRD?</w:t>
      </w:r>
    </w:p>
    <w:p w14:paraId="17BB33B8" w14:textId="77777777" w:rsidR="006B5DF1" w:rsidRDefault="006B5DF1" w:rsidP="006B5DF1"/>
    <w:p w14:paraId="25FE0CD5" w14:textId="456A37F9" w:rsidR="006B5DF1" w:rsidRDefault="006B5DF1" w:rsidP="006B5DF1">
      <w:pPr>
        <w:spacing w:after="0"/>
      </w:pPr>
      <w:r>
        <w:t>&lt;ESMA_QUESTION_</w:t>
      </w:r>
      <w:r w:rsidR="004E60D2">
        <w:t>AAR</w:t>
      </w:r>
      <w:r>
        <w:t>_</w:t>
      </w:r>
      <w:r w:rsidR="003E7313">
        <w:t>09</w:t>
      </w:r>
      <w:r>
        <w:t>&gt;</w:t>
      </w:r>
    </w:p>
    <w:p w14:paraId="1E3F044C" w14:textId="77777777" w:rsidR="006B5DF1" w:rsidRDefault="006B5DF1" w:rsidP="006B5DF1">
      <w:pPr>
        <w:spacing w:after="0"/>
      </w:pPr>
      <w:permStart w:id="1354110368" w:edGrp="everyone"/>
      <w:r>
        <w:t>TYPE YOUR TEXT HERE</w:t>
      </w:r>
    </w:p>
    <w:permEnd w:id="1354110368"/>
    <w:p w14:paraId="7294A4EF" w14:textId="63DB1747" w:rsidR="006B5DF1" w:rsidRDefault="006B5DF1" w:rsidP="006B5DF1">
      <w:pPr>
        <w:spacing w:after="0"/>
      </w:pPr>
      <w:r>
        <w:t>&lt;ESMA_QUESTION_</w:t>
      </w:r>
      <w:r w:rsidR="004E60D2">
        <w:t>AAR</w:t>
      </w:r>
      <w:r>
        <w:t>_</w:t>
      </w:r>
      <w:r w:rsidR="003E7313">
        <w:t>09</w:t>
      </w:r>
      <w:r>
        <w:t>&gt;</w:t>
      </w:r>
    </w:p>
    <w:p w14:paraId="56A0F5E2" w14:textId="77777777" w:rsidR="006B5DF1" w:rsidRDefault="006B5DF1" w:rsidP="006B5DF1"/>
    <w:p w14:paraId="0F8EDBF9" w14:textId="77777777" w:rsidR="006B5DF1" w:rsidRPr="006B5DF1" w:rsidRDefault="006B5DF1" w:rsidP="006B5DF1"/>
    <w:p w14:paraId="6FE2C9CF" w14:textId="01B13B6F" w:rsidR="004E60D2" w:rsidRDefault="004E60D2" w:rsidP="004E60D2">
      <w:pPr>
        <w:pStyle w:val="Questionstyle"/>
        <w:rPr>
          <w:rFonts w:eastAsia="Arial"/>
        </w:rPr>
      </w:pPr>
      <w:r w:rsidRPr="2ADCFCB9">
        <w:rPr>
          <w:rFonts w:eastAsia="Arial"/>
        </w:rPr>
        <w:t>Do you agree with the proposed maturity and trade size ranges for each class of derivatives in PLN OTC IRD?</w:t>
      </w:r>
    </w:p>
    <w:p w14:paraId="005B41D3" w14:textId="77777777" w:rsidR="006B5DF1" w:rsidRDefault="006B5DF1" w:rsidP="006B5DF1"/>
    <w:p w14:paraId="4D938823" w14:textId="4243AD9B" w:rsidR="006B5DF1" w:rsidRDefault="006B5DF1" w:rsidP="006B5DF1">
      <w:pPr>
        <w:spacing w:after="0"/>
      </w:pPr>
      <w:r>
        <w:t>&lt;ESMA_QUESTION_</w:t>
      </w:r>
      <w:r w:rsidR="004E60D2">
        <w:t>AAR</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62EA9D82" w:rsidR="006B5DF1" w:rsidRDefault="006B5DF1" w:rsidP="006B5DF1">
      <w:pPr>
        <w:spacing w:after="0"/>
      </w:pPr>
      <w:r>
        <w:t>&lt;ESMA_QUESTION_</w:t>
      </w:r>
      <w:r w:rsidR="004E60D2">
        <w:t>AAR</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6A428275" w:rsidR="0029493B" w:rsidRDefault="004E60D2" w:rsidP="006B5DF1">
      <w:pPr>
        <w:pStyle w:val="Questionstyle"/>
      </w:pPr>
      <w:r w:rsidRPr="2ADCFCB9">
        <w:rPr>
          <w:rFonts w:eastAsia="Arial"/>
          <w:bCs/>
        </w:rPr>
        <w:t>Do you agree with the proposed maturity and trade size ranges for each class of derivatives in EUR STIR?</w:t>
      </w:r>
    </w:p>
    <w:p w14:paraId="72D20B90" w14:textId="77777777" w:rsidR="006B5DF1" w:rsidRDefault="006B5DF1" w:rsidP="006B5DF1"/>
    <w:p w14:paraId="349184A3" w14:textId="4A6A0BB8" w:rsidR="006B5DF1" w:rsidRDefault="006B5DF1" w:rsidP="006B5DF1">
      <w:pPr>
        <w:spacing w:after="0"/>
      </w:pPr>
      <w:r>
        <w:t>&lt;ESMA_QUESTION_</w:t>
      </w:r>
      <w:r w:rsidR="004E60D2">
        <w:t>AAR</w:t>
      </w:r>
      <w:r>
        <w:t>_</w:t>
      </w:r>
      <w:r w:rsidR="003E7313">
        <w:t>11</w:t>
      </w:r>
      <w:r>
        <w:t>&gt;</w:t>
      </w:r>
    </w:p>
    <w:p w14:paraId="4D9A2C25" w14:textId="77777777" w:rsidR="006B5DF1" w:rsidRDefault="006B5DF1" w:rsidP="006B5DF1">
      <w:pPr>
        <w:spacing w:after="0"/>
      </w:pPr>
      <w:permStart w:id="1475742058" w:edGrp="everyone"/>
      <w:r>
        <w:t>TYPE YOUR TEXT HERE</w:t>
      </w:r>
    </w:p>
    <w:permEnd w:id="1475742058"/>
    <w:p w14:paraId="2E9C537F" w14:textId="675C51EE" w:rsidR="006B5DF1" w:rsidRDefault="006B5DF1" w:rsidP="006B5DF1">
      <w:pPr>
        <w:spacing w:after="0"/>
      </w:pPr>
      <w:r>
        <w:t>&lt;ESMA_QUESTION_</w:t>
      </w:r>
      <w:r w:rsidR="004E60D2">
        <w:t>AAR</w:t>
      </w:r>
      <w:r>
        <w:t>_</w:t>
      </w:r>
      <w:r w:rsidR="003E7313">
        <w:t>11</w:t>
      </w:r>
      <w:r>
        <w:t>&gt;</w:t>
      </w:r>
    </w:p>
    <w:p w14:paraId="06E5BE60" w14:textId="77777777" w:rsidR="006B5DF1" w:rsidRDefault="006B5DF1" w:rsidP="006B5DF1"/>
    <w:p w14:paraId="443C2A97" w14:textId="77777777" w:rsidR="006B5DF1" w:rsidRPr="006B5DF1" w:rsidRDefault="006B5DF1" w:rsidP="006B5DF1"/>
    <w:p w14:paraId="0EB95219" w14:textId="6119AE4B" w:rsidR="006B5DF1" w:rsidRDefault="004E60D2">
      <w:pPr>
        <w:pStyle w:val="Questionstyle"/>
      </w:pPr>
      <w:r>
        <w:t>Do you agree with the proposed number of most relevant subcategories for each clearing service of substantial systemic relevance? Do you think this should be set at a more granular level (i.e. per class of derivatives)?</w:t>
      </w:r>
    </w:p>
    <w:p w14:paraId="0BC2EC31" w14:textId="77777777" w:rsidR="004E60D2" w:rsidRPr="004E60D2" w:rsidRDefault="004E60D2" w:rsidP="004E60D2"/>
    <w:p w14:paraId="0F765C17" w14:textId="7227F423" w:rsidR="006B5DF1" w:rsidRDefault="006B5DF1" w:rsidP="006B5DF1">
      <w:pPr>
        <w:spacing w:after="0"/>
      </w:pPr>
      <w:r>
        <w:lastRenderedPageBreak/>
        <w:t>&lt;ESMA_QUESTION_</w:t>
      </w:r>
      <w:r w:rsidR="004E60D2">
        <w:t>AAR</w:t>
      </w:r>
      <w:r>
        <w:t>_</w:t>
      </w:r>
      <w:r w:rsidR="003E7313">
        <w:t>12</w:t>
      </w:r>
      <w:r>
        <w:t>&gt;</w:t>
      </w:r>
    </w:p>
    <w:p w14:paraId="4AB78DDC" w14:textId="77777777" w:rsidR="006B5DF1" w:rsidRDefault="006B5DF1" w:rsidP="006B5DF1">
      <w:pPr>
        <w:spacing w:after="0"/>
      </w:pPr>
      <w:permStart w:id="368387494" w:edGrp="everyone"/>
      <w:r>
        <w:t>TYPE YOUR TEXT HERE</w:t>
      </w:r>
    </w:p>
    <w:permEnd w:id="368387494"/>
    <w:p w14:paraId="7ECA10E7" w14:textId="4EEF4C80" w:rsidR="006B5DF1" w:rsidRDefault="006B5DF1" w:rsidP="006B5DF1">
      <w:pPr>
        <w:spacing w:after="0"/>
      </w:pPr>
      <w:r>
        <w:t>&lt;ESMA_QUESTION_</w:t>
      </w:r>
      <w:r w:rsidR="004E60D2">
        <w:t>AAR</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6BE0B375" w:rsidR="0029493B" w:rsidRDefault="004E60D2" w:rsidP="004E60D2">
      <w:pPr>
        <w:pStyle w:val="Questionstyle"/>
      </w:pPr>
      <w:r>
        <w:t>Do you agree with the proposed reference periods for EUR OTC IRD? Do you think the reference periods should be set at a more granular level (i.e. class of derivatives)?</w:t>
      </w:r>
    </w:p>
    <w:p w14:paraId="7F967882" w14:textId="77777777" w:rsidR="006B5DF1" w:rsidRDefault="006B5DF1" w:rsidP="006B5DF1"/>
    <w:p w14:paraId="267D208E" w14:textId="130D8234" w:rsidR="006B5DF1" w:rsidRDefault="006B5DF1" w:rsidP="006B5DF1">
      <w:pPr>
        <w:spacing w:after="0"/>
      </w:pPr>
      <w:r>
        <w:t>&lt;ESMA_QUESTION_</w:t>
      </w:r>
      <w:r w:rsidR="004E60D2">
        <w:t>AAR</w:t>
      </w:r>
      <w:r>
        <w:t>_</w:t>
      </w:r>
      <w:r w:rsidR="003E7313">
        <w:t>13</w:t>
      </w:r>
      <w:r>
        <w:t>&gt;</w:t>
      </w:r>
    </w:p>
    <w:p w14:paraId="2956AE52" w14:textId="77777777" w:rsidR="006B5DF1" w:rsidRDefault="006B5DF1" w:rsidP="006B5DF1">
      <w:pPr>
        <w:spacing w:after="0"/>
      </w:pPr>
      <w:permStart w:id="1298809498" w:edGrp="everyone"/>
      <w:r>
        <w:t>TYPE YOUR TEXT HERE</w:t>
      </w:r>
    </w:p>
    <w:permEnd w:id="1298809498"/>
    <w:p w14:paraId="7D6A453F" w14:textId="6793CE4D" w:rsidR="006B5DF1" w:rsidRDefault="006B5DF1" w:rsidP="006B5DF1">
      <w:pPr>
        <w:spacing w:after="0"/>
      </w:pPr>
      <w:r>
        <w:t>&lt;ESMA_QUESTION_</w:t>
      </w:r>
      <w:r w:rsidR="004E60D2">
        <w:t>AAR</w:t>
      </w:r>
      <w:r>
        <w:t>_</w:t>
      </w:r>
      <w:r w:rsidR="003E7313">
        <w:t>13</w:t>
      </w:r>
      <w:r>
        <w:t>&gt;</w:t>
      </w:r>
    </w:p>
    <w:p w14:paraId="14191270" w14:textId="77777777" w:rsidR="006B5DF1" w:rsidRDefault="006B5DF1" w:rsidP="006B5DF1"/>
    <w:p w14:paraId="0E18E033" w14:textId="77777777" w:rsidR="006B5DF1" w:rsidRPr="006B5DF1" w:rsidRDefault="006B5DF1" w:rsidP="006B5DF1"/>
    <w:p w14:paraId="05D32B41" w14:textId="02CA1D56" w:rsidR="006B5DF1" w:rsidRDefault="004E60D2">
      <w:pPr>
        <w:pStyle w:val="Questionstyle"/>
      </w:pPr>
      <w:r>
        <w:t>Do you agree with the proposed reference period for PLN OTC IRD? Do you think that the reference periods should be set at a more granular level (i.e. class of derivatives)?</w:t>
      </w:r>
    </w:p>
    <w:p w14:paraId="7E18DDBD" w14:textId="77777777" w:rsidR="004E60D2" w:rsidRPr="004E60D2" w:rsidRDefault="004E60D2" w:rsidP="004E60D2"/>
    <w:p w14:paraId="5172AC4C" w14:textId="3BB92EBA" w:rsidR="006B5DF1" w:rsidRDefault="006B5DF1" w:rsidP="006B5DF1">
      <w:pPr>
        <w:spacing w:after="0"/>
      </w:pPr>
      <w:r>
        <w:t>&lt;ESMA_QUESTION_</w:t>
      </w:r>
      <w:r w:rsidR="004E60D2">
        <w:t>AAR</w:t>
      </w:r>
      <w:r>
        <w:t>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713A6681" w:rsidR="006B5DF1" w:rsidRDefault="006B5DF1" w:rsidP="006B5DF1">
      <w:pPr>
        <w:spacing w:after="0"/>
      </w:pPr>
      <w:r>
        <w:t>&lt;ESMA_QUESTION_</w:t>
      </w:r>
      <w:r w:rsidR="004E60D2">
        <w:t>AAR</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6BC1A499" w:rsidR="0029493B" w:rsidRDefault="004E60D2" w:rsidP="006B5DF1">
      <w:pPr>
        <w:pStyle w:val="Questionstyle"/>
      </w:pPr>
      <w:r>
        <w:t>Do you agree with the proposed reference periods for EUR STIR referenced in Euribor? Do you agree with the proposed reference periods for EUR STIR referenced in €STR?</w:t>
      </w:r>
    </w:p>
    <w:p w14:paraId="3BFC4064" w14:textId="77777777" w:rsidR="006B5DF1" w:rsidRDefault="006B5DF1" w:rsidP="006B5DF1"/>
    <w:p w14:paraId="761CC5DB" w14:textId="5EF0A7CD" w:rsidR="006B5DF1" w:rsidRDefault="006B5DF1" w:rsidP="006B5DF1">
      <w:pPr>
        <w:spacing w:after="0"/>
      </w:pPr>
      <w:r>
        <w:t>&lt;ESMA_QUESTION_</w:t>
      </w:r>
      <w:r w:rsidR="004E60D2">
        <w:t>AAR</w:t>
      </w:r>
      <w:r>
        <w:t>_</w:t>
      </w:r>
      <w:r w:rsidR="003E7313">
        <w:t>15</w:t>
      </w:r>
      <w:r>
        <w:t>&gt;</w:t>
      </w:r>
    </w:p>
    <w:p w14:paraId="48DF5247" w14:textId="77777777" w:rsidR="006B5DF1" w:rsidRDefault="006B5DF1" w:rsidP="006B5DF1">
      <w:pPr>
        <w:spacing w:after="0"/>
      </w:pPr>
      <w:permStart w:id="1859985972" w:edGrp="everyone"/>
      <w:r>
        <w:t>TYPE YOUR TEXT HERE</w:t>
      </w:r>
    </w:p>
    <w:permEnd w:id="1859985972"/>
    <w:p w14:paraId="3A64410A" w14:textId="45BF1F38" w:rsidR="006B5DF1" w:rsidRDefault="006B5DF1" w:rsidP="006B5DF1">
      <w:pPr>
        <w:spacing w:after="0"/>
      </w:pPr>
      <w:r>
        <w:t>&lt;ESMA_QUESTION_</w:t>
      </w:r>
      <w:r w:rsidR="004E60D2">
        <w:t>AAR</w:t>
      </w:r>
      <w:r>
        <w:t>_</w:t>
      </w:r>
      <w:r w:rsidR="003E7313">
        <w:t>15</w:t>
      </w:r>
      <w:r>
        <w:t>&gt;</w:t>
      </w:r>
    </w:p>
    <w:p w14:paraId="6EA3EFD9" w14:textId="77777777" w:rsidR="006B5DF1" w:rsidRDefault="006B5DF1" w:rsidP="006B5DF1"/>
    <w:p w14:paraId="476AC2D9" w14:textId="77777777" w:rsidR="001B4160" w:rsidRPr="006B5DF1" w:rsidRDefault="001B4160" w:rsidP="006B5DF1"/>
    <w:p w14:paraId="2A842300" w14:textId="0B456EE3" w:rsidR="0029493B" w:rsidRDefault="004E60D2" w:rsidP="006B5DF1">
      <w:pPr>
        <w:pStyle w:val="Questionstyle"/>
      </w:pPr>
      <w:r w:rsidRPr="008B7278">
        <w:t xml:space="preserve">Do </w:t>
      </w:r>
      <w:r>
        <w:t>you agree with the proposed approach for the reporting of the activity and risk exposures of the counterparty subject to the active account requirement</w:t>
      </w:r>
      <w:r w:rsidRPr="008B7278">
        <w:t>?</w:t>
      </w:r>
    </w:p>
    <w:p w14:paraId="71BBF906" w14:textId="77777777" w:rsidR="006B5DF1" w:rsidRDefault="006B5DF1" w:rsidP="006B5DF1"/>
    <w:p w14:paraId="3E4937E7" w14:textId="1733D6C6" w:rsidR="006B5DF1" w:rsidRDefault="006B5DF1" w:rsidP="006B5DF1">
      <w:pPr>
        <w:spacing w:after="0"/>
      </w:pPr>
      <w:r>
        <w:t>&lt;ESMA_QUESTION_</w:t>
      </w:r>
      <w:r w:rsidR="004E60D2">
        <w:t>AAR</w:t>
      </w:r>
      <w:r>
        <w:t>_</w:t>
      </w:r>
      <w:r w:rsidR="003E7313">
        <w:t>16</w:t>
      </w:r>
      <w:r>
        <w:t>&gt;</w:t>
      </w:r>
    </w:p>
    <w:p w14:paraId="2FB17072" w14:textId="77777777" w:rsidR="009C0AFE" w:rsidRDefault="009C0AFE" w:rsidP="009C0AFE">
      <w:pPr>
        <w:rPr>
          <w:lang w:val="en-US"/>
        </w:rPr>
      </w:pPr>
    </w:p>
    <w:p w14:paraId="6C485AAF" w14:textId="25685C80" w:rsidR="009C0AFE" w:rsidRPr="00B86B4A" w:rsidRDefault="009C0AFE" w:rsidP="009C0AFE">
      <w:pPr>
        <w:rPr>
          <w:lang w:val="en-US"/>
        </w:rPr>
      </w:pPr>
      <w:r w:rsidRPr="00B86B4A">
        <w:rPr>
          <w:lang w:val="en-US"/>
        </w:rPr>
        <w:t>We disagree with the proposed approach to reporting the activity and risk exposures of counterparties subject to the active account requirements. Trade repository data is already collected so ESMA and NCAs have already the necessary data available.</w:t>
      </w:r>
      <w:r>
        <w:rPr>
          <w:lang w:val="en-US"/>
        </w:rPr>
        <w:t xml:space="preserve"> The proposals therefore lead to duplicative and unnecessarily burdensome reporting requirements.</w:t>
      </w:r>
    </w:p>
    <w:p w14:paraId="77DF6689" w14:textId="77777777" w:rsidR="009C0AFE" w:rsidRPr="009C0AFE" w:rsidRDefault="009C0AFE" w:rsidP="006B5DF1">
      <w:pPr>
        <w:spacing w:after="0"/>
        <w:rPr>
          <w:lang w:val="en-US"/>
        </w:rPr>
      </w:pPr>
    </w:p>
    <w:p w14:paraId="1713C3B9" w14:textId="77777777" w:rsidR="009C0AFE" w:rsidRDefault="009C0AFE" w:rsidP="006B5DF1">
      <w:pPr>
        <w:spacing w:after="0"/>
      </w:pPr>
    </w:p>
    <w:p w14:paraId="061AC34A" w14:textId="506D95AC" w:rsidR="006B5DF1" w:rsidRDefault="006B5DF1" w:rsidP="006B5DF1">
      <w:pPr>
        <w:spacing w:after="0"/>
      </w:pPr>
      <w:r>
        <w:t>&lt;ESMA_QUESTION_</w:t>
      </w:r>
      <w:r w:rsidR="004E60D2">
        <w:t>AAR</w:t>
      </w:r>
      <w:r>
        <w:t>_</w:t>
      </w:r>
      <w:r w:rsidR="003E7313">
        <w:t>16</w:t>
      </w:r>
      <w:r>
        <w:t>&gt;</w:t>
      </w:r>
    </w:p>
    <w:p w14:paraId="5847AC71" w14:textId="77777777" w:rsidR="006B5DF1" w:rsidRDefault="006B5DF1" w:rsidP="006B5DF1"/>
    <w:p w14:paraId="1B524BD5" w14:textId="77777777" w:rsidR="001B4160" w:rsidRPr="006B5DF1" w:rsidRDefault="001B4160" w:rsidP="006B5DF1"/>
    <w:p w14:paraId="2A3F75F1" w14:textId="5E39FDA7" w:rsidR="0029493B" w:rsidRDefault="004E60D2" w:rsidP="006B5DF1">
      <w:pPr>
        <w:pStyle w:val="Questionstyle"/>
      </w:pPr>
      <w:r w:rsidRPr="001F3E4E">
        <w:t>Do you consider that including information on margin activity</w:t>
      </w:r>
      <w:r>
        <w:t xml:space="preserve"> </w:t>
      </w:r>
      <w:r w:rsidRPr="001F3E4E">
        <w:t>in the AAR reporting requirement would provide valuable information on the activities and risk exposures of the counterparty?</w:t>
      </w:r>
    </w:p>
    <w:p w14:paraId="64D0F61C" w14:textId="77777777" w:rsidR="006B5DF1" w:rsidRDefault="006B5DF1" w:rsidP="006B5DF1"/>
    <w:p w14:paraId="19286DDF" w14:textId="71AD1483" w:rsidR="006B5DF1" w:rsidRDefault="006B5DF1" w:rsidP="006B5DF1">
      <w:pPr>
        <w:spacing w:after="0"/>
      </w:pPr>
      <w:r>
        <w:t>&lt;ESMA_QUESTION_</w:t>
      </w:r>
      <w:r w:rsidR="004E60D2">
        <w:t>AAR</w:t>
      </w:r>
      <w:r>
        <w:t>_</w:t>
      </w:r>
      <w:r w:rsidR="003E7313">
        <w:t>17</w:t>
      </w:r>
      <w:r>
        <w:t>&gt;</w:t>
      </w:r>
    </w:p>
    <w:p w14:paraId="7AC0DA29" w14:textId="77777777" w:rsidR="009C0AFE" w:rsidRDefault="009C0AFE" w:rsidP="006B5DF1">
      <w:pPr>
        <w:spacing w:after="0"/>
      </w:pPr>
    </w:p>
    <w:p w14:paraId="417195DA" w14:textId="258E607D" w:rsidR="009C0AFE" w:rsidRDefault="009C0AFE" w:rsidP="009C0AFE">
      <w:pPr>
        <w:rPr>
          <w:lang w:val="en-US"/>
        </w:rPr>
      </w:pPr>
      <w:r w:rsidRPr="00B86B4A">
        <w:rPr>
          <w:lang w:val="en-US"/>
        </w:rPr>
        <w:t>We consider the information on margin activity in the AAR reporting requirement to create an unnecessary operational burden</w:t>
      </w:r>
      <w:r>
        <w:rPr>
          <w:lang w:val="en-US"/>
        </w:rPr>
        <w:t xml:space="preserve"> without clear justification. It is unclear why ESMA would require this information for assessing compliance with the active account since the representativeness requirement is based on numbers of transactions rather than amounts of margin posted. S</w:t>
      </w:r>
      <w:r w:rsidRPr="00B86B4A">
        <w:rPr>
          <w:lang w:val="en-US"/>
        </w:rPr>
        <w:t>howing an active portfolio should be suffice</w:t>
      </w:r>
      <w:r>
        <w:rPr>
          <w:lang w:val="en-US"/>
        </w:rPr>
        <w:t>. Furthermore, initial margin and variation margin data is reported extensively by firms under Article 9 EMIR to trade repositories. ESMA already possesses relevant data and should to require counterparties to resubmit.</w:t>
      </w:r>
    </w:p>
    <w:p w14:paraId="3D8EAE34" w14:textId="77777777" w:rsidR="009C0AFE" w:rsidRPr="00F935C6" w:rsidRDefault="009C0AFE" w:rsidP="009C0AFE">
      <w:pPr>
        <w:rPr>
          <w:lang w:val="en-US"/>
        </w:rPr>
      </w:pPr>
      <w:r>
        <w:rPr>
          <w:lang w:val="en-US"/>
        </w:rPr>
        <w:t>Furthermore</w:t>
      </w:r>
      <w:r w:rsidRPr="00F935C6">
        <w:rPr>
          <w:lang w:val="en-US"/>
        </w:rPr>
        <w:t xml:space="preserve">, a CCP can offer multiple different clearing models (e.g. EUREX ISA Direct and EUREX Cross Margining). Having the same trading activity (outstanding positions) at EUREX will populate different Initial Margin requirements which will make reporting Initial Margin for OTC Cleared interest rate derivatives cumbersome. Using EUREX Cross Margining for example provides netting benefits between Futures/Options vs OTC Cleared Interest rate derivatives which </w:t>
      </w:r>
      <w:r>
        <w:rPr>
          <w:lang w:val="en-US"/>
        </w:rPr>
        <w:t>means</w:t>
      </w:r>
      <w:r w:rsidRPr="00F935C6">
        <w:rPr>
          <w:lang w:val="en-US"/>
        </w:rPr>
        <w:t xml:space="preserve"> you cannot report initial margin requirements for OTC Cleared Interest rate derivatives separately. </w:t>
      </w:r>
    </w:p>
    <w:p w14:paraId="25BDCAD9" w14:textId="77777777" w:rsidR="009C0AFE" w:rsidRPr="00183BC2" w:rsidRDefault="009C0AFE" w:rsidP="009C0AFE">
      <w:pPr>
        <w:rPr>
          <w:lang w:val="en-US"/>
        </w:rPr>
      </w:pPr>
      <w:bookmarkStart w:id="9" w:name="_Hlk188021449"/>
      <w:r w:rsidRPr="00F935C6">
        <w:rPr>
          <w:lang w:val="en-US"/>
        </w:rPr>
        <w:t>Also, haircuts on Non-Cash Collateral used for Initial Margin are determined by the CCP and can change ad</w:t>
      </w:r>
      <w:r>
        <w:rPr>
          <w:lang w:val="en-US"/>
        </w:rPr>
        <w:t>-</w:t>
      </w:r>
      <w:r w:rsidRPr="00F935C6">
        <w:rPr>
          <w:lang w:val="en-US"/>
        </w:rPr>
        <w:t>hoc. Besides Initial Margin from the CCP</w:t>
      </w:r>
      <w:r>
        <w:rPr>
          <w:lang w:val="en-US"/>
        </w:rPr>
        <w:t>,</w:t>
      </w:r>
      <w:r w:rsidRPr="00F935C6">
        <w:rPr>
          <w:lang w:val="en-US"/>
        </w:rPr>
        <w:t xml:space="preserve"> a counterparty can have an </w:t>
      </w:r>
      <w:r>
        <w:rPr>
          <w:lang w:val="en-US"/>
        </w:rPr>
        <w:t xml:space="preserve">agreed </w:t>
      </w:r>
      <w:r w:rsidRPr="00F935C6">
        <w:rPr>
          <w:lang w:val="en-US"/>
        </w:rPr>
        <w:t>operational buffer,</w:t>
      </w:r>
      <w:r>
        <w:rPr>
          <w:lang w:val="en-US"/>
        </w:rPr>
        <w:t xml:space="preserve"> and</w:t>
      </w:r>
      <w:r w:rsidRPr="00F935C6">
        <w:rPr>
          <w:lang w:val="en-US"/>
        </w:rPr>
        <w:t xml:space="preserve"> clearing member </w:t>
      </w:r>
      <w:proofErr w:type="spellStart"/>
      <w:r w:rsidRPr="00F935C6">
        <w:rPr>
          <w:lang w:val="en-US"/>
        </w:rPr>
        <w:t>i</w:t>
      </w:r>
      <w:r>
        <w:rPr>
          <w:lang w:val="en-US"/>
        </w:rPr>
        <w:t>are</w:t>
      </w:r>
      <w:r w:rsidRPr="00F935C6">
        <w:rPr>
          <w:lang w:val="en-US"/>
        </w:rPr>
        <w:t>s</w:t>
      </w:r>
      <w:proofErr w:type="spellEnd"/>
      <w:r w:rsidRPr="00F935C6">
        <w:rPr>
          <w:lang w:val="en-US"/>
        </w:rPr>
        <w:t xml:space="preserve"> using Additional Collateral Amount (Multipliers)</w:t>
      </w:r>
      <w:r>
        <w:rPr>
          <w:lang w:val="en-US"/>
        </w:rPr>
        <w:t>.</w:t>
      </w:r>
      <w:r w:rsidRPr="00F935C6">
        <w:rPr>
          <w:lang w:val="en-US"/>
        </w:rPr>
        <w:t xml:space="preserve"> </w:t>
      </w:r>
      <w:bookmarkEnd w:id="9"/>
      <w:r w:rsidRPr="00F935C6">
        <w:rPr>
          <w:lang w:val="en-US"/>
        </w:rPr>
        <w:t xml:space="preserve">If </w:t>
      </w:r>
      <w:r>
        <w:rPr>
          <w:lang w:val="en-US"/>
        </w:rPr>
        <w:t>ESMA wishes to include</w:t>
      </w:r>
      <w:r w:rsidRPr="00F935C6">
        <w:rPr>
          <w:lang w:val="en-US"/>
        </w:rPr>
        <w:t xml:space="preserve"> variation margin (no haircuts apply) and initial margin (haircuts only apply to </w:t>
      </w:r>
      <w:r w:rsidRPr="00F935C6">
        <w:rPr>
          <w:lang w:val="en-US"/>
        </w:rPr>
        <w:lastRenderedPageBreak/>
        <w:t>Non-Cash Collateral) we would recommend the following</w:t>
      </w:r>
      <w:r>
        <w:rPr>
          <w:lang w:val="en-US"/>
        </w:rPr>
        <w:t xml:space="preserve">: for </w:t>
      </w:r>
      <w:r w:rsidRPr="00F935C6">
        <w:rPr>
          <w:lang w:val="en-US"/>
        </w:rPr>
        <w:t xml:space="preserve">Variation Margin market value </w:t>
      </w:r>
      <w:r>
        <w:rPr>
          <w:lang w:val="en-US"/>
        </w:rPr>
        <w:t>should be sufficient</w:t>
      </w:r>
      <w:r w:rsidRPr="00F935C6">
        <w:rPr>
          <w:lang w:val="en-US"/>
        </w:rPr>
        <w:t>. Initial Margin Requirement we receive from the Clearing Member.</w:t>
      </w:r>
      <w:r>
        <w:rPr>
          <w:lang w:val="en-US"/>
        </w:rPr>
        <w:t>]</w:t>
      </w:r>
    </w:p>
    <w:p w14:paraId="3227DD16" w14:textId="77777777" w:rsidR="009C0AFE" w:rsidRDefault="009C0AFE" w:rsidP="006B5DF1">
      <w:pPr>
        <w:spacing w:after="0"/>
      </w:pPr>
    </w:p>
    <w:p w14:paraId="078D9819" w14:textId="77777777" w:rsidR="009C0AFE" w:rsidRDefault="009C0AFE" w:rsidP="006B5DF1">
      <w:pPr>
        <w:spacing w:after="0"/>
      </w:pPr>
    </w:p>
    <w:p w14:paraId="434B1CE3" w14:textId="3E596BE9" w:rsidR="006B5DF1" w:rsidRDefault="006B5DF1" w:rsidP="006B5DF1">
      <w:pPr>
        <w:spacing w:after="0"/>
      </w:pPr>
      <w:r>
        <w:t>&lt;ESMA_QUESTION_</w:t>
      </w:r>
      <w:r w:rsidR="004E60D2">
        <w:t>AAR</w:t>
      </w:r>
      <w:r>
        <w:t>_</w:t>
      </w:r>
      <w:r w:rsidR="003E7313">
        <w:t>17</w:t>
      </w:r>
      <w:r>
        <w:t>&gt;</w:t>
      </w:r>
    </w:p>
    <w:p w14:paraId="70765E18" w14:textId="77777777" w:rsidR="006B5DF1" w:rsidRDefault="006B5DF1" w:rsidP="006B5DF1"/>
    <w:p w14:paraId="5D751DA0" w14:textId="77777777" w:rsidR="001B4160" w:rsidRPr="006B5DF1" w:rsidRDefault="001B4160" w:rsidP="006B5DF1"/>
    <w:p w14:paraId="5F9C6834" w14:textId="3D0B136F" w:rsidR="0029493B" w:rsidRDefault="004E60D2" w:rsidP="006B5DF1">
      <w:pPr>
        <w:pStyle w:val="Questionstyle"/>
      </w:pPr>
      <w:r>
        <w:t>Do you consider that including reporting on Unique Trade Identifiers (UTIs) would provide valuable information from a supervisory perspective?</w:t>
      </w:r>
    </w:p>
    <w:p w14:paraId="05102E08" w14:textId="77777777" w:rsidR="006B5DF1" w:rsidRDefault="006B5DF1" w:rsidP="006B5DF1"/>
    <w:p w14:paraId="236C5087" w14:textId="5B0D3214" w:rsidR="006B5DF1" w:rsidRDefault="006B5DF1" w:rsidP="006B5DF1">
      <w:pPr>
        <w:spacing w:after="0"/>
      </w:pPr>
      <w:r>
        <w:t>&lt;ESMA_QUESTION_</w:t>
      </w:r>
      <w:r w:rsidR="004E60D2">
        <w:t>AAR</w:t>
      </w:r>
      <w:r>
        <w:t>_</w:t>
      </w:r>
      <w:r w:rsidR="003E7313">
        <w:t>18</w:t>
      </w:r>
      <w:r>
        <w:t>&gt;</w:t>
      </w:r>
    </w:p>
    <w:p w14:paraId="20C94E36" w14:textId="77777777" w:rsidR="009C0AFE" w:rsidRDefault="009C0AFE" w:rsidP="006B5DF1">
      <w:pPr>
        <w:spacing w:after="0"/>
      </w:pPr>
    </w:p>
    <w:p w14:paraId="6B5ADC4B" w14:textId="064085F8" w:rsidR="009C0AFE" w:rsidRDefault="009C0AFE" w:rsidP="006B5DF1">
      <w:pPr>
        <w:spacing w:after="0"/>
      </w:pPr>
      <w:r>
        <w:rPr>
          <w:lang w:val="en-US"/>
        </w:rPr>
        <w:t>Firms are already required to report UTIs under Article 9 EMIR. It is unclear what the benefit of listing every trade they have entered into the last 6 months is and we do not see why this would be necessary for the purpose of supervising compliance with the active account requirements.</w:t>
      </w:r>
    </w:p>
    <w:p w14:paraId="1A8ED76A" w14:textId="77777777" w:rsidR="009C0AFE" w:rsidRDefault="009C0AFE" w:rsidP="006B5DF1">
      <w:pPr>
        <w:spacing w:after="0"/>
      </w:pPr>
    </w:p>
    <w:p w14:paraId="51F035B1" w14:textId="65CA3CE4" w:rsidR="006B5DF1" w:rsidRDefault="006B5DF1" w:rsidP="006B5DF1">
      <w:pPr>
        <w:spacing w:after="0"/>
      </w:pPr>
      <w:r>
        <w:t>&lt;ESMA_QUESTION_</w:t>
      </w:r>
      <w:r w:rsidR="004E60D2">
        <w:t>AAR</w:t>
      </w:r>
      <w:r>
        <w:t>_</w:t>
      </w:r>
      <w:r w:rsidR="003E7313">
        <w:t>18</w:t>
      </w:r>
      <w:r>
        <w:t>&gt;</w:t>
      </w:r>
    </w:p>
    <w:p w14:paraId="3D88C6AE" w14:textId="77777777" w:rsidR="006B5DF1" w:rsidRDefault="006B5DF1" w:rsidP="006B5DF1"/>
    <w:p w14:paraId="27164489" w14:textId="77777777" w:rsidR="001B4160" w:rsidRPr="006B5DF1" w:rsidRDefault="001B4160" w:rsidP="006B5DF1"/>
    <w:p w14:paraId="01EFD49C" w14:textId="08AC3034" w:rsidR="006B5DF1" w:rsidRDefault="0029493B">
      <w:pPr>
        <w:pStyle w:val="Questionstyle"/>
      </w:pPr>
      <w:r>
        <w:t>Do</w:t>
      </w:r>
      <w:r w:rsidR="004E60D2" w:rsidRPr="004E60D2">
        <w:t xml:space="preserve"> </w:t>
      </w:r>
      <w:r w:rsidR="004E60D2">
        <w:t>you agree with the proposed approach for the reporting of the operational conditions</w:t>
      </w:r>
      <w:r w:rsidR="004E60D2" w:rsidRPr="008B7278">
        <w:t>?</w:t>
      </w:r>
    </w:p>
    <w:p w14:paraId="66AD22F0" w14:textId="77777777" w:rsidR="001B4160" w:rsidRPr="001B4160" w:rsidRDefault="001B4160" w:rsidP="001B4160"/>
    <w:p w14:paraId="5C3EF62A" w14:textId="7195045C" w:rsidR="006B5DF1" w:rsidRDefault="006B5DF1" w:rsidP="006B5DF1">
      <w:pPr>
        <w:spacing w:after="0"/>
      </w:pPr>
      <w:r>
        <w:t>&lt;ESMA_QUESTION_</w:t>
      </w:r>
      <w:r w:rsidR="004E60D2">
        <w:t>AAR</w:t>
      </w:r>
      <w:r>
        <w:t>_</w:t>
      </w:r>
      <w:r w:rsidR="003E7313">
        <w:t>19</w:t>
      </w:r>
      <w:r>
        <w:t>&gt;</w:t>
      </w:r>
    </w:p>
    <w:p w14:paraId="46B8FF07" w14:textId="77777777" w:rsidR="009C0AFE" w:rsidRDefault="009C0AFE" w:rsidP="006B5DF1">
      <w:pPr>
        <w:spacing w:after="0"/>
      </w:pPr>
    </w:p>
    <w:p w14:paraId="1E8BBA65" w14:textId="77777777" w:rsidR="009C0AFE" w:rsidRPr="009C0AFE" w:rsidRDefault="009C0AFE" w:rsidP="009C0AFE">
      <w:pPr>
        <w:rPr>
          <w:i/>
          <w:iCs/>
          <w:lang w:val="en-US"/>
        </w:rPr>
      </w:pPr>
      <w:r w:rsidRPr="009C0AFE">
        <w:rPr>
          <w:i/>
          <w:iCs/>
          <w:lang w:val="en-US"/>
        </w:rPr>
        <w:t>No, showing an active portfolio should suffice.</w:t>
      </w:r>
    </w:p>
    <w:p w14:paraId="59CCBD6C" w14:textId="77777777" w:rsidR="009C0AFE" w:rsidRPr="009C0AFE" w:rsidRDefault="009C0AFE" w:rsidP="006B5DF1">
      <w:pPr>
        <w:spacing w:after="0"/>
        <w:rPr>
          <w:lang w:val="en-US"/>
        </w:rPr>
      </w:pPr>
    </w:p>
    <w:p w14:paraId="3AD2704A" w14:textId="421C7BF8" w:rsidR="006B5DF1" w:rsidRDefault="006B5DF1" w:rsidP="006B5DF1">
      <w:pPr>
        <w:spacing w:after="0"/>
      </w:pPr>
      <w:r>
        <w:t>&lt;ESMA_QUESTION_</w:t>
      </w:r>
      <w:r w:rsidR="004E60D2">
        <w:t>AAR</w:t>
      </w:r>
      <w:r>
        <w:t>_</w:t>
      </w:r>
      <w:r w:rsidR="003E7313">
        <w:t>19</w:t>
      </w:r>
      <w:r>
        <w:t>&gt;</w:t>
      </w:r>
    </w:p>
    <w:p w14:paraId="11145135" w14:textId="77777777" w:rsidR="006B5DF1" w:rsidRDefault="006B5DF1" w:rsidP="006B5DF1"/>
    <w:p w14:paraId="4B8A085F" w14:textId="77777777" w:rsidR="001B4160" w:rsidRPr="006B5DF1" w:rsidRDefault="001B4160" w:rsidP="006B5DF1"/>
    <w:p w14:paraId="7F993E5C" w14:textId="684D1FEB" w:rsidR="006B5DF1" w:rsidRDefault="001B4160">
      <w:pPr>
        <w:pStyle w:val="Questionstyle"/>
      </w:pPr>
      <w:r w:rsidRPr="008B7278">
        <w:t xml:space="preserve">Do </w:t>
      </w:r>
      <w:r>
        <w:t>you agree with the proposed approach for the reporting of the representativeness obligation</w:t>
      </w:r>
      <w:r w:rsidRPr="008B7278">
        <w:t>?</w:t>
      </w:r>
    </w:p>
    <w:p w14:paraId="14DD3DA5" w14:textId="77777777" w:rsidR="001B4160" w:rsidRPr="001B4160" w:rsidRDefault="001B4160" w:rsidP="001B4160"/>
    <w:p w14:paraId="2DE9D9DE" w14:textId="0A700DF5" w:rsidR="006B5DF1" w:rsidRDefault="006B5DF1" w:rsidP="006B5DF1">
      <w:pPr>
        <w:spacing w:after="0"/>
      </w:pPr>
      <w:r>
        <w:t>&lt;ESMA_QUESTION_</w:t>
      </w:r>
      <w:r w:rsidR="004E60D2">
        <w:t>AAR</w:t>
      </w:r>
      <w:r>
        <w:t>_</w:t>
      </w:r>
      <w:r w:rsidR="003E7313">
        <w:t>20</w:t>
      </w:r>
      <w:r>
        <w:t>&gt;</w:t>
      </w:r>
    </w:p>
    <w:p w14:paraId="44122229" w14:textId="69BAA764" w:rsidR="004C00EF" w:rsidRDefault="004C00EF" w:rsidP="004C00EF">
      <w:pPr>
        <w:spacing w:after="0"/>
      </w:pPr>
      <w:r>
        <w:lastRenderedPageBreak/>
        <w:t>We believe that the text of the draft RTS should be clarified to make absolutely clear that this article does not apply to counterparties that do not meet the threshold for representativeness, but are in scope of the clearing obligation. As such article 9 of the RTS should specifically refer to counterparties subject to Article 7a(3)d and not, as currently is proposed, to Article 7(a)1 of EMIR 3.0.</w:t>
      </w:r>
    </w:p>
    <w:p w14:paraId="442409AB" w14:textId="77777777" w:rsidR="004C00EF" w:rsidRDefault="004C00EF" w:rsidP="004C00EF">
      <w:pPr>
        <w:spacing w:after="0"/>
      </w:pPr>
    </w:p>
    <w:p w14:paraId="31746779" w14:textId="77777777" w:rsidR="004C00EF" w:rsidRDefault="004C00EF" w:rsidP="006B5DF1">
      <w:pPr>
        <w:spacing w:after="0"/>
      </w:pPr>
    </w:p>
    <w:p w14:paraId="693695D5" w14:textId="50CBB1E4" w:rsidR="006B5DF1" w:rsidRDefault="006B5DF1" w:rsidP="006B5DF1">
      <w:pPr>
        <w:spacing w:after="0"/>
      </w:pPr>
      <w:r>
        <w:t>&lt;ESMA_QUESTION_</w:t>
      </w:r>
      <w:r w:rsidR="004E60D2">
        <w:t>AAR</w:t>
      </w:r>
      <w:r>
        <w:t>_</w:t>
      </w:r>
      <w:r w:rsidR="003E7313">
        <w:t>20</w:t>
      </w:r>
      <w:r>
        <w:t>&gt;</w:t>
      </w:r>
    </w:p>
    <w:p w14:paraId="00D929F2" w14:textId="77777777" w:rsidR="006B5DF1" w:rsidRDefault="006B5DF1" w:rsidP="006B5DF1"/>
    <w:p w14:paraId="6D0715F2" w14:textId="77777777" w:rsidR="001B4160" w:rsidRPr="006B5DF1" w:rsidRDefault="001B4160" w:rsidP="006B5DF1"/>
    <w:p w14:paraId="4BCB5EF3" w14:textId="3A3FF045" w:rsidR="006B5DF1" w:rsidRDefault="001B4160">
      <w:pPr>
        <w:pStyle w:val="Questionstyle"/>
      </w:pPr>
      <w:r w:rsidRPr="008B7278">
        <w:t xml:space="preserve">Do </w:t>
      </w:r>
      <w:r>
        <w:t>you agree with the proposed approach to standardise the reporting arrangements under the active account requirement</w:t>
      </w:r>
      <w:r w:rsidRPr="008B7278">
        <w:t>?</w:t>
      </w:r>
    </w:p>
    <w:p w14:paraId="60E0BB54" w14:textId="77777777" w:rsidR="001B4160" w:rsidRPr="001B4160" w:rsidRDefault="001B4160" w:rsidP="001B4160"/>
    <w:p w14:paraId="30A46B82" w14:textId="1B851A34" w:rsidR="006B5DF1" w:rsidRDefault="006B5DF1" w:rsidP="006B5DF1">
      <w:pPr>
        <w:spacing w:after="0"/>
      </w:pPr>
      <w:r>
        <w:t>&lt;ESMA_QUESTION_</w:t>
      </w:r>
      <w:r w:rsidR="004E60D2">
        <w:t>AAR</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46580541" w:rsidR="006B5DF1" w:rsidRDefault="006B5DF1" w:rsidP="006B5DF1">
      <w:pPr>
        <w:spacing w:after="0"/>
      </w:pPr>
      <w:r>
        <w:t>&lt;ESMA_QUESTION_</w:t>
      </w:r>
      <w:r w:rsidR="004E60D2">
        <w:t>AAR</w:t>
      </w:r>
      <w:r>
        <w:t>_</w:t>
      </w:r>
      <w:r w:rsidR="003E7313">
        <w:t>21</w:t>
      </w:r>
      <w:r>
        <w:t>&gt;</w:t>
      </w:r>
    </w:p>
    <w:p w14:paraId="188322A6" w14:textId="77777777" w:rsidR="006B5DF1" w:rsidRPr="006B5DF1" w:rsidRDefault="006B5DF1" w:rsidP="006B5DF1"/>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70B6A" w14:textId="77777777" w:rsidR="0043263D" w:rsidRDefault="0043263D" w:rsidP="00F716D4">
      <w:r>
        <w:separator/>
      </w:r>
    </w:p>
    <w:p w14:paraId="3FFDB14F" w14:textId="77777777" w:rsidR="0043263D" w:rsidRDefault="0043263D" w:rsidP="00F716D4"/>
  </w:endnote>
  <w:endnote w:type="continuationSeparator" w:id="0">
    <w:p w14:paraId="32E8ED68" w14:textId="77777777" w:rsidR="0043263D" w:rsidRDefault="0043263D" w:rsidP="00F716D4">
      <w:r>
        <w:continuationSeparator/>
      </w:r>
    </w:p>
    <w:p w14:paraId="2CE8712C" w14:textId="77777777" w:rsidR="0043263D" w:rsidRDefault="0043263D" w:rsidP="00F716D4"/>
  </w:endnote>
  <w:endnote w:type="continuationNotice" w:id="1">
    <w:p w14:paraId="7E41353B" w14:textId="77777777" w:rsidR="0043263D" w:rsidRDefault="0043263D"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A1B3" w14:textId="77777777" w:rsidR="000710C1" w:rsidRDefault="00071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1BF24" w14:textId="77777777" w:rsidR="000710C1" w:rsidRDefault="00071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B4C5" w14:textId="77777777" w:rsidR="000710C1" w:rsidRDefault="000710C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Voetteks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D1343" w14:textId="77777777" w:rsidR="0043263D" w:rsidRDefault="0043263D" w:rsidP="00F716D4">
      <w:r>
        <w:separator/>
      </w:r>
    </w:p>
    <w:p w14:paraId="2EA8D3B9" w14:textId="77777777" w:rsidR="0043263D" w:rsidRDefault="0043263D" w:rsidP="00F716D4"/>
  </w:footnote>
  <w:footnote w:type="continuationSeparator" w:id="0">
    <w:p w14:paraId="2F0A3187" w14:textId="77777777" w:rsidR="0043263D" w:rsidRDefault="0043263D" w:rsidP="00F716D4">
      <w:r>
        <w:continuationSeparator/>
      </w:r>
    </w:p>
    <w:p w14:paraId="351ADA9D" w14:textId="77777777" w:rsidR="0043263D" w:rsidRDefault="0043263D" w:rsidP="00F716D4"/>
  </w:footnote>
  <w:footnote w:type="continuationNotice" w:id="1">
    <w:p w14:paraId="09A3A1EE" w14:textId="77777777" w:rsidR="0043263D" w:rsidRDefault="0043263D"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972D" w14:textId="77777777" w:rsidR="000710C1" w:rsidRDefault="00071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7F162" w14:textId="77777777" w:rsidR="000710C1" w:rsidRDefault="00071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BF1B" w14:textId="77777777"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4E60D2">
      <w:rPr>
        <w:rStyle w:val="normaltextrun"/>
        <w:color w:val="001B4F"/>
        <w:sz w:val="16"/>
        <w:szCs w:val="16"/>
        <w:shd w:val="clear" w:color="auto" w:fill="FFFFFF"/>
      </w:rPr>
      <w:t>20 November 2024</w:t>
    </w:r>
  </w:p>
  <w:p w14:paraId="5AC1769D" w14:textId="369C96D5" w:rsidR="004E60D2" w:rsidRDefault="004E60D2" w:rsidP="000710C1">
    <w:pPr>
      <w:jc w:val="right"/>
    </w:pPr>
    <w:r>
      <w:rPr>
        <w:rStyle w:val="normaltextrun"/>
        <w:color w:val="001B4F"/>
        <w:sz w:val="16"/>
        <w:szCs w:val="16"/>
        <w:shd w:val="clear" w:color="auto" w:fill="FFFFFF"/>
      </w:rPr>
      <w:t>ESMA</w:t>
    </w:r>
    <w:r w:rsidR="000710C1" w:rsidRPr="000710C1">
      <w:rPr>
        <w:rStyle w:val="normaltextrun"/>
        <w:color w:val="001B4F"/>
        <w:sz w:val="16"/>
        <w:szCs w:val="16"/>
        <w:shd w:val="clear" w:color="auto" w:fill="FFFFFF"/>
      </w:rPr>
      <w:t>91-1505572268-3964</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B3EF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621908"/>
    <w:multiLevelType w:val="hybridMultilevel"/>
    <w:tmpl w:val="E0B07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Kop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4"/>
  </w:num>
  <w:num w:numId="5" w16cid:durableId="208225584">
    <w:abstractNumId w:val="1"/>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2"/>
  </w:num>
  <w:num w:numId="14" w16cid:durableId="1495758855">
    <w:abstractNumId w:val="9"/>
  </w:num>
  <w:num w:numId="15" w16cid:durableId="1186556611">
    <w:abstractNumId w:val="2"/>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5"/>
  </w:num>
  <w:num w:numId="21" w16cid:durableId="538709007">
    <w:abstractNumId w:val="25"/>
  </w:num>
  <w:num w:numId="22" w16cid:durableId="104540172">
    <w:abstractNumId w:val="8"/>
  </w:num>
  <w:num w:numId="23" w16cid:durableId="1824349076">
    <w:abstractNumId w:val="29"/>
  </w:num>
  <w:num w:numId="24" w16cid:durableId="672032853">
    <w:abstractNumId w:val="28"/>
  </w:num>
  <w:num w:numId="25" w16cid:durableId="48917541">
    <w:abstractNumId w:val="19"/>
  </w:num>
  <w:num w:numId="26" w16cid:durableId="978925443">
    <w:abstractNumId w:val="32"/>
  </w:num>
  <w:num w:numId="27" w16cid:durableId="1036613928">
    <w:abstractNumId w:val="37"/>
  </w:num>
  <w:num w:numId="28" w16cid:durableId="872039349">
    <w:abstractNumId w:val="6"/>
  </w:num>
  <w:num w:numId="29" w16cid:durableId="924530660">
    <w:abstractNumId w:val="3"/>
  </w:num>
  <w:num w:numId="30" w16cid:durableId="419180233">
    <w:abstractNumId w:val="21"/>
  </w:num>
  <w:num w:numId="31" w16cid:durableId="276761337">
    <w:abstractNumId w:val="20"/>
  </w:num>
  <w:num w:numId="32" w16cid:durableId="1166238383">
    <w:abstractNumId w:val="34"/>
  </w:num>
  <w:num w:numId="33" w16cid:durableId="2076850202">
    <w:abstractNumId w:val="33"/>
  </w:num>
  <w:num w:numId="34" w16cid:durableId="469176496">
    <w:abstractNumId w:val="11"/>
  </w:num>
  <w:num w:numId="35" w16cid:durableId="674843309">
    <w:abstractNumId w:val="17"/>
  </w:num>
  <w:num w:numId="36" w16cid:durableId="1954971501">
    <w:abstractNumId w:val="38"/>
  </w:num>
  <w:num w:numId="37" w16cid:durableId="873739061">
    <w:abstractNumId w:val="0"/>
  </w:num>
  <w:num w:numId="38" w16cid:durableId="105862800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9B"/>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140"/>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3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A8A"/>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63D"/>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CF1"/>
    <w:rsid w:val="004B71C7"/>
    <w:rsid w:val="004C00EF"/>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0AFE"/>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97E38"/>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0A46"/>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041"/>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3FFF"/>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654"/>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1B1"/>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Kop1">
    <w:name w:val="heading 1"/>
    <w:basedOn w:val="Standaard"/>
    <w:next w:val="Standaard"/>
    <w:link w:val="Kop1Char"/>
    <w:qFormat/>
    <w:locked/>
    <w:rsid w:val="00BB1973"/>
    <w:pPr>
      <w:keepNext/>
      <w:numPr>
        <w:numId w:val="36"/>
      </w:numPr>
      <w:spacing w:before="240" w:after="60" w:line="360" w:lineRule="auto"/>
      <w:outlineLvl w:val="0"/>
    </w:pPr>
    <w:rPr>
      <w:b/>
      <w:bCs/>
      <w:color w:val="00379F"/>
      <w:kern w:val="32"/>
      <w:sz w:val="28"/>
      <w:szCs w:val="28"/>
    </w:rPr>
  </w:style>
  <w:style w:type="paragraph" w:styleId="Kop2">
    <w:name w:val="heading 2"/>
    <w:basedOn w:val="Standaard"/>
    <w:next w:val="Standaard"/>
    <w:link w:val="Kop2Char"/>
    <w:qFormat/>
    <w:locked/>
    <w:rsid w:val="00886A60"/>
    <w:pPr>
      <w:keepNext/>
      <w:keepLines/>
      <w:spacing w:before="200" w:after="120"/>
      <w:outlineLvl w:val="1"/>
    </w:pPr>
    <w:rPr>
      <w:b/>
      <w:bCs/>
      <w:szCs w:val="26"/>
    </w:rPr>
  </w:style>
  <w:style w:type="paragraph" w:styleId="Kop3">
    <w:name w:val="heading 3"/>
    <w:basedOn w:val="Standaard"/>
    <w:next w:val="Standaard"/>
    <w:link w:val="Kop3Char"/>
    <w:qFormat/>
    <w:locked/>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uiPriority w:val="9"/>
    <w:qFormat/>
    <w:locked/>
    <w:rsid w:val="00E9344E"/>
    <w:pPr>
      <w:keepNext/>
      <w:keepLines/>
      <w:numPr>
        <w:numId w:val="12"/>
      </w:numPr>
      <w:spacing w:before="200"/>
      <w:outlineLvl w:val="4"/>
    </w:pPr>
    <w:rPr>
      <w:b/>
    </w:rPr>
  </w:style>
  <w:style w:type="paragraph" w:styleId="Kop6">
    <w:name w:val="heading 6"/>
    <w:basedOn w:val="Standaard"/>
    <w:next w:val="Standaard"/>
    <w:link w:val="Kop6Char"/>
    <w:qFormat/>
    <w:locked/>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locked/>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locked/>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locked/>
    <w:rsid w:val="00A06867"/>
    <w:pPr>
      <w:tabs>
        <w:tab w:val="num" w:pos="1584"/>
      </w:tabs>
      <w:spacing w:before="240" w:after="60"/>
      <w:ind w:left="1584" w:hanging="1584"/>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qFormat/>
    <w:locked/>
    <w:rsid w:val="005B64CB"/>
    <w:pPr>
      <w:tabs>
        <w:tab w:val="center" w:pos="4536"/>
        <w:tab w:val="right" w:pos="9072"/>
      </w:tabs>
    </w:pPr>
  </w:style>
  <w:style w:type="paragraph" w:styleId="Voettekst">
    <w:name w:val="footer"/>
    <w:basedOn w:val="Standaard"/>
    <w:link w:val="VoettekstChar"/>
    <w:uiPriority w:val="99"/>
    <w:locked/>
    <w:rsid w:val="005B64CB"/>
    <w:pPr>
      <w:tabs>
        <w:tab w:val="center" w:pos="4536"/>
        <w:tab w:val="right" w:pos="9072"/>
      </w:tabs>
    </w:pPr>
  </w:style>
  <w:style w:type="table" w:styleId="Tabelraster">
    <w:name w:val="Table Grid"/>
    <w:basedOn w:val="Standaardtabe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locked/>
    <w:rsid w:val="003E3ACA"/>
    <w:pPr>
      <w:spacing w:line="200" w:lineRule="exact"/>
    </w:pPr>
    <w:rPr>
      <w:color w:val="2D4190"/>
      <w:sz w:val="16"/>
    </w:rPr>
  </w:style>
  <w:style w:type="paragraph" w:customStyle="1" w:styleId="05aTitle">
    <w:name w:val="05a_Title"/>
    <w:basedOn w:val="Standaard"/>
    <w:locked/>
    <w:rsid w:val="00791EB4"/>
    <w:pPr>
      <w:spacing w:line="340" w:lineRule="exact"/>
    </w:pPr>
    <w:rPr>
      <w:b/>
      <w:color w:val="000000"/>
      <w:sz w:val="28"/>
    </w:rPr>
  </w:style>
  <w:style w:type="paragraph" w:customStyle="1" w:styleId="02Date">
    <w:name w:val="02_Date"/>
    <w:basedOn w:val="Standa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inanummer">
    <w:name w:val="page number"/>
    <w:basedOn w:val="Standaardalinea-lettertype"/>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qFormat/>
    <w:locked/>
    <w:rsid w:val="001725A5"/>
    <w:pPr>
      <w:spacing w:line="200" w:lineRule="exact"/>
    </w:pPr>
    <w:rPr>
      <w:sz w:val="16"/>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hopg2">
    <w:name w:val="toc 2"/>
    <w:basedOn w:val="Standaard"/>
    <w:next w:val="Standa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Verwijzingopmerking">
    <w:name w:val="annotation reference"/>
    <w:uiPriority w:val="99"/>
    <w:locked/>
    <w:rsid w:val="004B1E61"/>
    <w:rPr>
      <w:sz w:val="16"/>
      <w:szCs w:val="16"/>
    </w:rPr>
  </w:style>
  <w:style w:type="paragraph" w:styleId="Tekstopmerking">
    <w:name w:val="annotation text"/>
    <w:basedOn w:val="Standaard"/>
    <w:link w:val="TekstopmerkingChar"/>
    <w:uiPriority w:val="99"/>
    <w:locked/>
    <w:rsid w:val="004B1E61"/>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locked/>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locked/>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Paragraphe de liste,Normal Nivel 1,List Paragraph Main,List first level,List Paragraph_Sections"/>
    <w:basedOn w:val="Standaard"/>
    <w:link w:val="LijstalineaChar"/>
    <w:uiPriority w:val="34"/>
    <w:qFormat/>
    <w:locked/>
    <w:rsid w:val="002A0C82"/>
    <w:pPr>
      <w:ind w:left="720"/>
      <w:contextualSpacing/>
    </w:pPr>
  </w:style>
  <w:style w:type="paragraph" w:styleId="Kopvaninhoudsopgave">
    <w:name w:val="TOC Heading"/>
    <w:basedOn w:val="Kop1"/>
    <w:next w:val="Standa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locked/>
    <w:rsid w:val="008E1B6A"/>
  </w:style>
  <w:style w:type="paragraph" w:customStyle="1" w:styleId="ManualNumPar1">
    <w:name w:val="Manual NumPar 1"/>
    <w:basedOn w:val="Standaard"/>
    <w:next w:val="Standa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Nadruk">
    <w:name w:val="Emphasis"/>
    <w:uiPriority w:val="20"/>
    <w:qFormat/>
    <w:locked/>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ard"/>
    <w:next w:val="Standa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ard"/>
    <w:next w:val="Standaard"/>
    <w:uiPriority w:val="99"/>
    <w:locked/>
    <w:rsid w:val="00F377CD"/>
    <w:pPr>
      <w:autoSpaceDE w:val="0"/>
      <w:autoSpaceDN w:val="0"/>
      <w:adjustRightInd w:val="0"/>
    </w:pPr>
    <w:rPr>
      <w:rFonts w:ascii="EUAlbertina" w:eastAsia="Calibri" w:hAnsi="EUAlbertina"/>
      <w:sz w:val="24"/>
      <w:lang w:val="fr-FR"/>
    </w:rPr>
  </w:style>
  <w:style w:type="paragraph" w:styleId="Inhopg4">
    <w:name w:val="toc 4"/>
    <w:basedOn w:val="Standaard"/>
    <w:next w:val="Standaard"/>
    <w:autoRedefine/>
    <w:uiPriority w:val="39"/>
    <w:unhideWhenUsed/>
    <w:locked/>
    <w:rsid w:val="00F377CD"/>
    <w:pPr>
      <w:spacing w:after="100"/>
      <w:ind w:left="660"/>
    </w:pPr>
    <w:rPr>
      <w:rFonts w:ascii="Calibri" w:hAnsi="Calibri"/>
      <w:szCs w:val="22"/>
      <w:lang w:eastAsia="en-GB"/>
    </w:rPr>
  </w:style>
  <w:style w:type="paragraph" w:styleId="Inhopg5">
    <w:name w:val="toc 5"/>
    <w:basedOn w:val="Standaard"/>
    <w:next w:val="Standaard"/>
    <w:autoRedefine/>
    <w:uiPriority w:val="39"/>
    <w:unhideWhenUsed/>
    <w:locked/>
    <w:rsid w:val="00F377CD"/>
    <w:pPr>
      <w:spacing w:after="100"/>
      <w:ind w:left="880"/>
    </w:pPr>
    <w:rPr>
      <w:rFonts w:ascii="Calibri" w:hAnsi="Calibri"/>
      <w:szCs w:val="22"/>
      <w:lang w:eastAsia="en-GB"/>
    </w:rPr>
  </w:style>
  <w:style w:type="paragraph" w:styleId="Inhopg6">
    <w:name w:val="toc 6"/>
    <w:basedOn w:val="Standaard"/>
    <w:next w:val="Standaard"/>
    <w:autoRedefine/>
    <w:uiPriority w:val="39"/>
    <w:unhideWhenUsed/>
    <w:locked/>
    <w:rsid w:val="00F377CD"/>
    <w:pPr>
      <w:spacing w:after="100"/>
      <w:ind w:left="1100"/>
    </w:pPr>
    <w:rPr>
      <w:rFonts w:ascii="Calibri" w:hAnsi="Calibri"/>
      <w:szCs w:val="22"/>
      <w:lang w:eastAsia="en-GB"/>
    </w:rPr>
  </w:style>
  <w:style w:type="paragraph" w:styleId="Inhopg7">
    <w:name w:val="toc 7"/>
    <w:basedOn w:val="Standaard"/>
    <w:next w:val="Standaard"/>
    <w:autoRedefine/>
    <w:uiPriority w:val="39"/>
    <w:unhideWhenUsed/>
    <w:locked/>
    <w:rsid w:val="00F377CD"/>
    <w:pPr>
      <w:spacing w:after="100"/>
      <w:ind w:left="1320"/>
    </w:pPr>
    <w:rPr>
      <w:rFonts w:ascii="Calibri" w:hAnsi="Calibri"/>
      <w:szCs w:val="22"/>
      <w:lang w:eastAsia="en-GB"/>
    </w:rPr>
  </w:style>
  <w:style w:type="paragraph" w:styleId="Inhopg8">
    <w:name w:val="toc 8"/>
    <w:basedOn w:val="Standaard"/>
    <w:next w:val="Standaard"/>
    <w:autoRedefine/>
    <w:uiPriority w:val="39"/>
    <w:unhideWhenUsed/>
    <w:locked/>
    <w:rsid w:val="00F377CD"/>
    <w:pPr>
      <w:spacing w:after="100"/>
      <w:ind w:left="1540"/>
    </w:pPr>
    <w:rPr>
      <w:rFonts w:ascii="Calibri" w:hAnsi="Calibri"/>
      <w:szCs w:val="22"/>
      <w:lang w:eastAsia="en-GB"/>
    </w:rPr>
  </w:style>
  <w:style w:type="paragraph" w:styleId="Inhopg9">
    <w:name w:val="toc 9"/>
    <w:basedOn w:val="Standaard"/>
    <w:next w:val="Standa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ijschrift">
    <w:name w:val="caption"/>
    <w:basedOn w:val="Standaard"/>
    <w:next w:val="Standa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structuur">
    <w:name w:val="Document Map"/>
    <w:basedOn w:val="Standaard"/>
    <w:link w:val="DocumentstructuurChar"/>
    <w:locked/>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lock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locked/>
    <w:rsid w:val="00AA016B"/>
    <w:pPr>
      <w:numPr>
        <w:numId w:val="7"/>
      </w:numPr>
      <w:spacing w:after="240"/>
    </w:pPr>
    <w:rPr>
      <w:rFonts w:ascii="Times New Roman" w:hAnsi="Times New Roman"/>
      <w:sz w:val="24"/>
      <w:lang w:eastAsia="en-GB"/>
    </w:rPr>
  </w:style>
  <w:style w:type="character" w:customStyle="1" w:styleId="PlattetekstChar">
    <w:name w:val="Platte tekst Char"/>
    <w:link w:val="Plattetekst"/>
    <w:rsid w:val="00AA016B"/>
    <w:rPr>
      <w:rFonts w:eastAsiaTheme="minorEastAsia" w:cs="Arial"/>
      <w:color w:val="1A1A1A" w:themeColor="background1" w:themeShade="1A"/>
      <w:sz w:val="24"/>
    </w:rPr>
  </w:style>
  <w:style w:type="paragraph" w:customStyle="1" w:styleId="ListParagraph1">
    <w:name w:val="List Paragraph1"/>
    <w:basedOn w:val="Standa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Zwaar">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rFonts w:eastAsiaTheme="minorEastAsia" w:cs="Arial"/>
      <w:b/>
      <w:bCs/>
      <w:color w:val="1A1A1A" w:themeColor="background1" w:themeShade="1A"/>
      <w:sz w:val="22"/>
      <w:szCs w:val="22"/>
      <w:lang w:eastAsia="en-US"/>
    </w:rPr>
  </w:style>
  <w:style w:type="character" w:customStyle="1" w:styleId="Kop8Char">
    <w:name w:val="Kop 8 Char"/>
    <w:link w:val="Kop8"/>
    <w:rsid w:val="002D6E1A"/>
    <w:rPr>
      <w:rFonts w:eastAsiaTheme="minorEastAsia" w:cs="Arial"/>
      <w:i/>
      <w:iCs/>
      <w:color w:val="1A1A1A" w:themeColor="background1" w:themeShade="1A"/>
      <w:sz w:val="22"/>
      <w:lang w:eastAsia="en-US"/>
    </w:rPr>
  </w:style>
  <w:style w:type="numbering" w:customStyle="1" w:styleId="NoList1">
    <w:name w:val="No List1"/>
    <w:next w:val="Geenlijst"/>
    <w:uiPriority w:val="99"/>
    <w:semiHidden/>
    <w:unhideWhenUsed/>
    <w:locked/>
    <w:rsid w:val="002D6E1A"/>
  </w:style>
  <w:style w:type="character" w:styleId="GevolgdeHyperlink">
    <w:name w:val="FollowedHyperlink"/>
    <w:unhideWhenUsed/>
    <w:locked/>
    <w:rsid w:val="002D6E1A"/>
    <w:rPr>
      <w:color w:val="800080"/>
      <w:u w:val="single"/>
    </w:rPr>
  </w:style>
  <w:style w:type="character" w:customStyle="1" w:styleId="KoptekstChar">
    <w:name w:val="Koptekst Char"/>
    <w:link w:val="Koptekst"/>
    <w:uiPriority w:val="99"/>
    <w:rsid w:val="002D6E1A"/>
    <w:rPr>
      <w:rFonts w:ascii="Georgia" w:hAnsi="Georgia"/>
      <w:sz w:val="22"/>
      <w:szCs w:val="24"/>
      <w:lang w:eastAsia="de-DE"/>
    </w:rPr>
  </w:style>
  <w:style w:type="character" w:customStyle="1" w:styleId="VoettekstChar">
    <w:name w:val="Voettekst Char"/>
    <w:link w:val="Voettekst"/>
    <w:uiPriority w:val="99"/>
    <w:rsid w:val="002D6E1A"/>
    <w:rPr>
      <w:rFonts w:ascii="Georgia" w:hAnsi="Georgia"/>
      <w:sz w:val="22"/>
      <w:szCs w:val="24"/>
      <w:lang w:eastAsia="de-DE"/>
    </w:rPr>
  </w:style>
  <w:style w:type="paragraph" w:styleId="Eindnoottekst">
    <w:name w:val="endnote text"/>
    <w:basedOn w:val="Standaard"/>
    <w:link w:val="EindnoottekstChar"/>
    <w:unhideWhenUsed/>
    <w:locked/>
    <w:rsid w:val="002D6E1A"/>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locked/>
    <w:rsid w:val="002D6E1A"/>
    <w:pPr>
      <w:numPr>
        <w:numId w:val="8"/>
      </w:numPr>
      <w:spacing w:before="120" w:after="120"/>
      <w:ind w:left="360" w:hanging="360"/>
    </w:pPr>
    <w:rPr>
      <w:rFonts w:ascii="Times New Roman" w:hAnsi="Times New Roman"/>
      <w:sz w:val="24"/>
    </w:rPr>
  </w:style>
  <w:style w:type="character" w:customStyle="1" w:styleId="LijstalineaChar">
    <w:name w:val="Lijstalinea Char"/>
    <w:aliases w:val="Paragraphe EI Char,Paragraphe de liste1 Char,EC Char,Paragraphe de liste Char,Normal Nivel 1 Char,List Paragraph Main Char,List first level Char,List Paragraph_Sections Char"/>
    <w:link w:val="Lijstalinea"/>
    <w:uiPriority w:val="34"/>
    <w:locked/>
    <w:rsid w:val="002D6E1A"/>
    <w:rPr>
      <w:rFonts w:ascii="Georgia" w:hAnsi="Georgia"/>
      <w:sz w:val="22"/>
      <w:szCs w:val="24"/>
      <w:lang w:eastAsia="de-DE"/>
    </w:rPr>
  </w:style>
  <w:style w:type="paragraph" w:customStyle="1" w:styleId="04anumbering0">
    <w:name w:val="04anumbering"/>
    <w:basedOn w:val="Standaard"/>
    <w:locked/>
    <w:rsid w:val="002D6E1A"/>
    <w:pPr>
      <w:tabs>
        <w:tab w:val="num" w:pos="360"/>
      </w:tabs>
    </w:pPr>
    <w:rPr>
      <w:rFonts w:eastAsia="Calibri"/>
      <w:lang w:eastAsia="en-GB"/>
    </w:rPr>
  </w:style>
  <w:style w:type="paragraph" w:customStyle="1" w:styleId="Tiret1">
    <w:name w:val="Tiret 1"/>
    <w:basedOn w:val="Standa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locked/>
    <w:rsid w:val="002D6E1A"/>
    <w:pPr>
      <w:ind w:left="708"/>
      <w:contextualSpacing w:val="0"/>
    </w:pPr>
    <w:rPr>
      <w:b/>
      <w:u w:val="single"/>
    </w:rPr>
  </w:style>
  <w:style w:type="paragraph" w:customStyle="1" w:styleId="Bullet">
    <w:name w:val="Bullet"/>
    <w:basedOn w:val="Standaard"/>
    <w:locked/>
    <w:rsid w:val="002D6E1A"/>
    <w:pPr>
      <w:numPr>
        <w:numId w:val="10"/>
      </w:numPr>
      <w:tabs>
        <w:tab w:val="left" w:pos="708"/>
      </w:tabs>
      <w:spacing w:before="120" w:after="120"/>
    </w:pPr>
    <w:rPr>
      <w:lang w:eastAsia="en-GB"/>
    </w:rPr>
  </w:style>
  <w:style w:type="character" w:styleId="Eindnootmarkering">
    <w:name w:val="endnote reference"/>
    <w:unhideWhenUsed/>
    <w:locked/>
    <w:rsid w:val="002D6E1A"/>
    <w:rPr>
      <w:vertAlign w:val="superscript"/>
    </w:rPr>
  </w:style>
  <w:style w:type="character" w:styleId="Tekstvantijdelijkeaanduiding">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ardtabe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locked/>
    <w:rsid w:val="00952F2C"/>
  </w:style>
  <w:style w:type="paragraph" w:customStyle="1" w:styleId="aStyle">
    <w:name w:val="a) Style"/>
    <w:basedOn w:val="Standa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Kop5Char">
    <w:name w:val="Kop 5 Char"/>
    <w:aliases w:val="Questions Char7"/>
    <w:link w:val="Kop5"/>
    <w:uiPriority w:val="9"/>
    <w:rsid w:val="00E9344E"/>
    <w:rPr>
      <w:rFonts w:ascii="Arial" w:eastAsiaTheme="minorEastAsia" w:hAnsi="Arial" w:cs="Arial"/>
      <w:b/>
      <w:color w:val="1A1A1A" w:themeColor="background1" w:themeShade="1A"/>
      <w:sz w:val="22"/>
      <w:lang w:eastAsia="en-US"/>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ard"/>
    <w:locked/>
    <w:rsid w:val="000D2D0B"/>
    <w:pPr>
      <w:spacing w:line="340" w:lineRule="exact"/>
      <w:ind w:left="397" w:hanging="397"/>
    </w:pPr>
    <w:rPr>
      <w:b/>
      <w:caps/>
      <w:color w:val="2D4190"/>
      <w:sz w:val="28"/>
      <w:lang w:val="de-DE"/>
    </w:rPr>
  </w:style>
  <w:style w:type="paragraph" w:customStyle="1" w:styleId="04RunningText">
    <w:name w:val="04_Running Text"/>
    <w:basedOn w:val="Standa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Kop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Kop1"/>
    <w:next w:val="Standa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locked/>
    <w:rsid w:val="000D2D0B"/>
    <w:pPr>
      <w:tabs>
        <w:tab w:val="num" w:pos="284"/>
      </w:tabs>
      <w:ind w:left="284" w:hanging="284"/>
    </w:pPr>
    <w:rPr>
      <w:rFonts w:eastAsia="Calibri"/>
      <w:lang w:eastAsia="en-GB"/>
    </w:rPr>
  </w:style>
  <w:style w:type="paragraph" w:customStyle="1" w:styleId="Listenabsatz1">
    <w:name w:val="Listenabsatz1"/>
    <w:basedOn w:val="Standa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ard"/>
    <w:next w:val="Standa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ard"/>
    <w:rsid w:val="000D2D0B"/>
  </w:style>
  <w:style w:type="paragraph" w:customStyle="1" w:styleId="Sbuchead">
    <w:name w:val="Sbuchead"/>
    <w:basedOn w:val="Standa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ard"/>
    <w:next w:val="Fait"/>
    <w:locked/>
    <w:rsid w:val="000D2D0B"/>
    <w:pPr>
      <w:spacing w:before="480" w:after="120"/>
    </w:pPr>
    <w:rPr>
      <w:rFonts w:ascii="Times New Roman" w:hAnsi="Times New Roman"/>
      <w:sz w:val="24"/>
    </w:rPr>
  </w:style>
  <w:style w:type="paragraph" w:customStyle="1" w:styleId="Fait">
    <w:name w:val="Fait à"/>
    <w:basedOn w:val="Standa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ard"/>
    <w:next w:val="Standa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locked/>
    <w:rsid w:val="000D2D0B"/>
    <w:pPr>
      <w:spacing w:before="360" w:after="360"/>
      <w:jc w:val="center"/>
    </w:pPr>
    <w:rPr>
      <w:rFonts w:ascii="Times New Roman" w:hAnsi="Times New Roman"/>
      <w:b/>
      <w:sz w:val="24"/>
    </w:rPr>
  </w:style>
  <w:style w:type="paragraph" w:customStyle="1" w:styleId="Typedudocument">
    <w:name w:val="Type du document"/>
    <w:basedOn w:val="Standa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ard"/>
    <w:locked/>
    <w:rsid w:val="000D2D0B"/>
    <w:pPr>
      <w:spacing w:before="120" w:after="120"/>
      <w:ind w:left="850"/>
    </w:pPr>
    <w:rPr>
      <w:rFonts w:ascii="Times New Roman" w:hAnsi="Times New Roman"/>
      <w:sz w:val="24"/>
    </w:rPr>
  </w:style>
  <w:style w:type="paragraph" w:customStyle="1" w:styleId="Text2">
    <w:name w:val="Text 2"/>
    <w:basedOn w:val="Standaard"/>
    <w:locked/>
    <w:rsid w:val="000D2D0B"/>
    <w:pPr>
      <w:spacing w:before="120" w:after="120"/>
      <w:ind w:left="1417"/>
    </w:pPr>
    <w:rPr>
      <w:rFonts w:ascii="Times New Roman" w:hAnsi="Times New Roman"/>
      <w:sz w:val="24"/>
    </w:rPr>
  </w:style>
  <w:style w:type="paragraph" w:customStyle="1" w:styleId="Text3">
    <w:name w:val="Text 3"/>
    <w:basedOn w:val="Standaard"/>
    <w:locked/>
    <w:rsid w:val="000D2D0B"/>
    <w:pPr>
      <w:spacing w:before="120" w:after="120"/>
      <w:ind w:left="1984"/>
    </w:pPr>
    <w:rPr>
      <w:rFonts w:ascii="Times New Roman" w:hAnsi="Times New Roman"/>
      <w:sz w:val="24"/>
    </w:rPr>
  </w:style>
  <w:style w:type="paragraph" w:customStyle="1" w:styleId="Text4">
    <w:name w:val="Text 4"/>
    <w:basedOn w:val="Standaard"/>
    <w:locked/>
    <w:rsid w:val="000D2D0B"/>
    <w:pPr>
      <w:spacing w:before="120" w:after="120"/>
      <w:ind w:left="2551"/>
    </w:pPr>
    <w:rPr>
      <w:rFonts w:ascii="Times New Roman" w:hAnsi="Times New Roman"/>
      <w:sz w:val="24"/>
    </w:rPr>
  </w:style>
  <w:style w:type="paragraph" w:customStyle="1" w:styleId="NormalCentered">
    <w:name w:val="Normal Centered"/>
    <w:basedOn w:val="Standaard"/>
    <w:rsid w:val="000D2D0B"/>
    <w:pPr>
      <w:spacing w:before="120" w:after="120"/>
      <w:jc w:val="center"/>
    </w:pPr>
    <w:rPr>
      <w:rFonts w:ascii="Times New Roman" w:hAnsi="Times New Roman"/>
      <w:sz w:val="24"/>
    </w:rPr>
  </w:style>
  <w:style w:type="paragraph" w:customStyle="1" w:styleId="NormalLeft">
    <w:name w:val="Normal Left"/>
    <w:basedOn w:val="Standaard"/>
    <w:rsid w:val="000D2D0B"/>
    <w:pPr>
      <w:spacing w:before="120" w:after="120"/>
    </w:pPr>
    <w:rPr>
      <w:rFonts w:ascii="Times New Roman" w:hAnsi="Times New Roman"/>
      <w:sz w:val="24"/>
    </w:rPr>
  </w:style>
  <w:style w:type="paragraph" w:customStyle="1" w:styleId="NormalRight">
    <w:name w:val="Normal Right"/>
    <w:basedOn w:val="Standaard"/>
    <w:rsid w:val="000D2D0B"/>
    <w:pPr>
      <w:spacing w:before="120" w:after="120"/>
      <w:jc w:val="right"/>
    </w:pPr>
    <w:rPr>
      <w:rFonts w:ascii="Times New Roman" w:hAnsi="Times New Roman"/>
      <w:sz w:val="24"/>
    </w:rPr>
  </w:style>
  <w:style w:type="paragraph" w:customStyle="1" w:styleId="QuotedText">
    <w:name w:val="Quoted Text"/>
    <w:basedOn w:val="Standaard"/>
    <w:locked/>
    <w:rsid w:val="000D2D0B"/>
    <w:pPr>
      <w:spacing w:before="120" w:after="120"/>
      <w:ind w:left="1417"/>
    </w:pPr>
    <w:rPr>
      <w:rFonts w:ascii="Times New Roman" w:hAnsi="Times New Roman"/>
      <w:sz w:val="24"/>
    </w:rPr>
  </w:style>
  <w:style w:type="paragraph" w:customStyle="1" w:styleId="Point0">
    <w:name w:val="Point 0"/>
    <w:basedOn w:val="Standaard"/>
    <w:locked/>
    <w:rsid w:val="000D2D0B"/>
    <w:pPr>
      <w:spacing w:before="120" w:after="120"/>
      <w:ind w:left="850" w:hanging="850"/>
    </w:pPr>
    <w:rPr>
      <w:rFonts w:ascii="Times New Roman" w:hAnsi="Times New Roman"/>
      <w:sz w:val="24"/>
    </w:rPr>
  </w:style>
  <w:style w:type="paragraph" w:customStyle="1" w:styleId="Point1">
    <w:name w:val="Point 1"/>
    <w:basedOn w:val="Standaard"/>
    <w:locked/>
    <w:rsid w:val="000D2D0B"/>
    <w:pPr>
      <w:spacing w:before="120" w:after="120"/>
      <w:ind w:left="1417" w:hanging="567"/>
    </w:pPr>
    <w:rPr>
      <w:rFonts w:ascii="Times New Roman" w:hAnsi="Times New Roman"/>
      <w:sz w:val="24"/>
    </w:rPr>
  </w:style>
  <w:style w:type="paragraph" w:customStyle="1" w:styleId="Point2">
    <w:name w:val="Point 2"/>
    <w:basedOn w:val="Standaard"/>
    <w:locked/>
    <w:rsid w:val="000D2D0B"/>
    <w:pPr>
      <w:spacing w:before="120" w:after="120"/>
      <w:ind w:left="1984" w:hanging="567"/>
    </w:pPr>
    <w:rPr>
      <w:rFonts w:ascii="Times New Roman" w:hAnsi="Times New Roman"/>
      <w:sz w:val="24"/>
    </w:rPr>
  </w:style>
  <w:style w:type="paragraph" w:customStyle="1" w:styleId="Point3">
    <w:name w:val="Point 3"/>
    <w:basedOn w:val="Standaard"/>
    <w:locked/>
    <w:rsid w:val="000D2D0B"/>
    <w:pPr>
      <w:spacing w:before="120" w:after="120"/>
      <w:ind w:left="2551" w:hanging="567"/>
    </w:pPr>
    <w:rPr>
      <w:rFonts w:ascii="Times New Roman" w:hAnsi="Times New Roman"/>
      <w:sz w:val="24"/>
    </w:rPr>
  </w:style>
  <w:style w:type="paragraph" w:customStyle="1" w:styleId="Point4">
    <w:name w:val="Point 4"/>
    <w:basedOn w:val="Standa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ard"/>
    <w:next w:val="Standaard"/>
    <w:locked/>
    <w:rsid w:val="000D2D0B"/>
    <w:pPr>
      <w:keepNext/>
      <w:spacing w:before="120" w:after="360"/>
      <w:jc w:val="center"/>
    </w:pPr>
    <w:rPr>
      <w:rFonts w:ascii="Times New Roman" w:hAnsi="Times New Roman"/>
      <w:b/>
      <w:sz w:val="32"/>
    </w:rPr>
  </w:style>
  <w:style w:type="paragraph" w:customStyle="1" w:styleId="PartTitle">
    <w:name w:val="PartTitle"/>
    <w:basedOn w:val="Standa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ard"/>
    <w:next w:val="Kop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ard"/>
    <w:next w:val="Standa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ard"/>
    <w:locked/>
    <w:rsid w:val="000D2D0B"/>
    <w:pPr>
      <w:numPr>
        <w:numId w:val="21"/>
      </w:numPr>
      <w:spacing w:before="120" w:after="120"/>
    </w:pPr>
    <w:rPr>
      <w:rFonts w:ascii="Times New Roman" w:hAnsi="Times New Roman"/>
      <w:sz w:val="24"/>
    </w:rPr>
  </w:style>
  <w:style w:type="paragraph" w:customStyle="1" w:styleId="Bullet1">
    <w:name w:val="Bullet 1"/>
    <w:basedOn w:val="Standaard"/>
    <w:locked/>
    <w:rsid w:val="000D2D0B"/>
    <w:pPr>
      <w:numPr>
        <w:numId w:val="22"/>
      </w:numPr>
      <w:spacing w:before="120" w:after="120"/>
    </w:pPr>
    <w:rPr>
      <w:rFonts w:ascii="Times New Roman" w:hAnsi="Times New Roman"/>
      <w:sz w:val="24"/>
    </w:rPr>
  </w:style>
  <w:style w:type="paragraph" w:customStyle="1" w:styleId="Bullet2">
    <w:name w:val="Bullet 2"/>
    <w:basedOn w:val="Standaard"/>
    <w:locked/>
    <w:rsid w:val="000D2D0B"/>
    <w:pPr>
      <w:numPr>
        <w:numId w:val="23"/>
      </w:numPr>
      <w:spacing w:before="120" w:after="120"/>
    </w:pPr>
    <w:rPr>
      <w:rFonts w:ascii="Times New Roman" w:hAnsi="Times New Roman"/>
      <w:sz w:val="24"/>
    </w:rPr>
  </w:style>
  <w:style w:type="paragraph" w:customStyle="1" w:styleId="Bullet3">
    <w:name w:val="Bullet 3"/>
    <w:basedOn w:val="Standaard"/>
    <w:locked/>
    <w:rsid w:val="000D2D0B"/>
    <w:pPr>
      <w:numPr>
        <w:numId w:val="24"/>
      </w:numPr>
      <w:spacing w:before="120" w:after="120"/>
    </w:pPr>
    <w:rPr>
      <w:rFonts w:ascii="Times New Roman" w:hAnsi="Times New Roman"/>
      <w:sz w:val="24"/>
    </w:rPr>
  </w:style>
  <w:style w:type="paragraph" w:customStyle="1" w:styleId="Bullet4">
    <w:name w:val="Bullet 4"/>
    <w:basedOn w:val="Standa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ard"/>
    <w:next w:val="Standa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ard"/>
    <w:next w:val="Standa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ard"/>
    <w:next w:val="Standa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ard"/>
    <w:next w:val="Standaard"/>
    <w:locked/>
    <w:rsid w:val="000D2D0B"/>
    <w:pPr>
      <w:keepNext/>
      <w:spacing w:before="480" w:after="120"/>
    </w:pPr>
    <w:rPr>
      <w:rFonts w:ascii="Times New Roman" w:hAnsi="Times New Roman"/>
      <w:sz w:val="24"/>
      <w:u w:val="single"/>
    </w:rPr>
  </w:style>
  <w:style w:type="paragraph" w:customStyle="1" w:styleId="Confidence">
    <w:name w:val="Confidence"/>
    <w:basedOn w:val="Standaard"/>
    <w:next w:val="Standaard"/>
    <w:locked/>
    <w:rsid w:val="000D2D0B"/>
    <w:pPr>
      <w:spacing w:before="360" w:after="120"/>
      <w:jc w:val="center"/>
    </w:pPr>
    <w:rPr>
      <w:rFonts w:ascii="Times New Roman" w:hAnsi="Times New Roman"/>
      <w:sz w:val="24"/>
    </w:rPr>
  </w:style>
  <w:style w:type="paragraph" w:customStyle="1" w:styleId="Confidentialit">
    <w:name w:val="Confidentialité"/>
    <w:basedOn w:val="Standa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ard"/>
    <w:next w:val="Standaard"/>
    <w:locked/>
    <w:rsid w:val="000D2D0B"/>
    <w:pPr>
      <w:spacing w:after="240"/>
    </w:pPr>
    <w:rPr>
      <w:rFonts w:ascii="Times New Roman" w:hAnsi="Times New Roman"/>
      <w:sz w:val="24"/>
    </w:rPr>
  </w:style>
  <w:style w:type="paragraph" w:customStyle="1" w:styleId="Datedadoption">
    <w:name w:val="Date d'adoption"/>
    <w:basedOn w:val="Standaard"/>
    <w:next w:val="Titreobjet"/>
    <w:locked/>
    <w:rsid w:val="000D2D0B"/>
    <w:pPr>
      <w:spacing w:before="360"/>
      <w:jc w:val="center"/>
    </w:pPr>
    <w:rPr>
      <w:rFonts w:ascii="Times New Roman" w:hAnsi="Times New Roman"/>
      <w:b/>
      <w:sz w:val="24"/>
    </w:rPr>
  </w:style>
  <w:style w:type="paragraph" w:customStyle="1" w:styleId="Emission">
    <w:name w:val="Emission"/>
    <w:basedOn w:val="Standa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ard"/>
    <w:next w:val="Standa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ard"/>
    <w:next w:val="Standaard"/>
    <w:locked/>
    <w:rsid w:val="000D2D0B"/>
    <w:pPr>
      <w:keepNext/>
      <w:spacing w:before="600" w:after="120"/>
    </w:pPr>
    <w:rPr>
      <w:rFonts w:ascii="Times New Roman" w:hAnsi="Times New Roman"/>
      <w:sz w:val="24"/>
    </w:rPr>
  </w:style>
  <w:style w:type="paragraph" w:customStyle="1" w:styleId="Langue">
    <w:name w:val="Langue"/>
    <w:basedOn w:val="Standa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ard"/>
    <w:next w:val="Emission"/>
    <w:locked/>
    <w:rsid w:val="000D2D0B"/>
    <w:rPr>
      <w:sz w:val="24"/>
    </w:rPr>
  </w:style>
  <w:style w:type="paragraph" w:customStyle="1" w:styleId="Rfrenceinstitutionnelle">
    <w:name w:val="Référence institutionnelle"/>
    <w:basedOn w:val="Standa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ard"/>
    <w:next w:val="Statut"/>
    <w:locked/>
    <w:rsid w:val="000D2D0B"/>
    <w:pPr>
      <w:ind w:left="5103"/>
    </w:pPr>
    <w:rPr>
      <w:rFonts w:ascii="Times New Roman" w:hAnsi="Times New Roman"/>
      <w:sz w:val="24"/>
    </w:rPr>
  </w:style>
  <w:style w:type="paragraph" w:customStyle="1" w:styleId="Rfrenceinterne">
    <w:name w:val="Référence interne"/>
    <w:basedOn w:val="Standaard"/>
    <w:next w:val="Rfrenceinterinstitutionnelle"/>
    <w:locked/>
    <w:rsid w:val="000D2D0B"/>
    <w:pPr>
      <w:ind w:left="5103"/>
    </w:pPr>
    <w:rPr>
      <w:rFonts w:ascii="Times New Roman" w:hAnsi="Times New Roman"/>
      <w:sz w:val="24"/>
    </w:rPr>
  </w:style>
  <w:style w:type="paragraph" w:customStyle="1" w:styleId="Sous-titreobjet">
    <w:name w:val="Sous-titre objet"/>
    <w:basedOn w:val="Standaard"/>
    <w:locked/>
    <w:rsid w:val="000D2D0B"/>
    <w:pPr>
      <w:jc w:val="center"/>
    </w:pPr>
    <w:rPr>
      <w:rFonts w:ascii="Times New Roman" w:hAnsi="Times New Roman"/>
      <w:b/>
      <w:sz w:val="24"/>
    </w:rPr>
  </w:style>
  <w:style w:type="paragraph" w:customStyle="1" w:styleId="Statut">
    <w:name w:val="Statut"/>
    <w:basedOn w:val="Standa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ard"/>
    <w:next w:val="Standa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ard"/>
    <w:next w:val="Standaard"/>
    <w:locked/>
    <w:rsid w:val="000D2D0B"/>
    <w:pPr>
      <w:spacing w:before="120" w:after="120"/>
    </w:pPr>
    <w:rPr>
      <w:rFonts w:ascii="Times New Roman" w:hAnsi="Times New Roman"/>
      <w:i/>
      <w:caps/>
      <w:sz w:val="24"/>
    </w:rPr>
  </w:style>
  <w:style w:type="paragraph" w:customStyle="1" w:styleId="Pagedecouverture">
    <w:name w:val="Page de couverture"/>
    <w:basedOn w:val="Standaard"/>
    <w:next w:val="Standaard"/>
    <w:locked/>
    <w:rsid w:val="000D2D0B"/>
    <w:pPr>
      <w:spacing w:before="120" w:after="120"/>
    </w:pPr>
    <w:rPr>
      <w:rFonts w:ascii="Times New Roman" w:hAnsi="Times New Roman"/>
      <w:sz w:val="24"/>
    </w:rPr>
  </w:style>
  <w:style w:type="paragraph" w:customStyle="1" w:styleId="Supertitre">
    <w:name w:val="Supertitre"/>
    <w:basedOn w:val="Standaard"/>
    <w:next w:val="Standaard"/>
    <w:locked/>
    <w:rsid w:val="000D2D0B"/>
    <w:pPr>
      <w:spacing w:after="600"/>
      <w:jc w:val="center"/>
    </w:pPr>
    <w:rPr>
      <w:rFonts w:ascii="Times New Roman" w:hAnsi="Times New Roman"/>
      <w:b/>
      <w:sz w:val="24"/>
    </w:rPr>
  </w:style>
  <w:style w:type="paragraph" w:customStyle="1" w:styleId="Languesfaisantfoi">
    <w:name w:val="Langues faisant foi"/>
    <w:basedOn w:val="Standaard"/>
    <w:next w:val="Standaard"/>
    <w:locked/>
    <w:rsid w:val="000D2D0B"/>
    <w:pPr>
      <w:spacing w:before="360"/>
      <w:jc w:val="center"/>
    </w:pPr>
    <w:rPr>
      <w:rFonts w:ascii="Times New Roman" w:hAnsi="Times New Roman"/>
      <w:sz w:val="24"/>
    </w:rPr>
  </w:style>
  <w:style w:type="paragraph" w:customStyle="1" w:styleId="Rfrencecroise">
    <w:name w:val="Référence croisée"/>
    <w:basedOn w:val="Standaard"/>
    <w:locked/>
    <w:rsid w:val="000D2D0B"/>
    <w:pPr>
      <w:jc w:val="center"/>
    </w:pPr>
    <w:rPr>
      <w:rFonts w:ascii="Times New Roman" w:hAnsi="Times New Roman"/>
      <w:sz w:val="24"/>
    </w:rPr>
  </w:style>
  <w:style w:type="paragraph" w:customStyle="1" w:styleId="Fichefinanciretitre">
    <w:name w:val="Fiche financière titre"/>
    <w:basedOn w:val="Standaard"/>
    <w:next w:val="Standa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ard"/>
    <w:locked/>
    <w:rsid w:val="000D2D0B"/>
    <w:pPr>
      <w:spacing w:after="240"/>
    </w:pPr>
  </w:style>
  <w:style w:type="paragraph" w:customStyle="1" w:styleId="Accompagnant">
    <w:name w:val="Accompagnant"/>
    <w:basedOn w:val="Standa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ard"/>
    <w:next w:val="Standaard"/>
    <w:locked/>
    <w:rsid w:val="000D2D0B"/>
    <w:pPr>
      <w:spacing w:before="360"/>
      <w:jc w:val="center"/>
    </w:pPr>
    <w:rPr>
      <w:rFonts w:ascii="Times New Roman" w:hAnsi="Times New Roman"/>
      <w:sz w:val="24"/>
    </w:rPr>
  </w:style>
  <w:style w:type="paragraph" w:styleId="Lijstnummering2">
    <w:name w:val="List Number 2"/>
    <w:basedOn w:val="Standaard"/>
    <w:locked/>
    <w:rsid w:val="000D2D0B"/>
    <w:pPr>
      <w:tabs>
        <w:tab w:val="num" w:pos="643"/>
      </w:tabs>
      <w:spacing w:before="120" w:after="120"/>
      <w:ind w:left="643" w:hanging="360"/>
    </w:pPr>
    <w:rPr>
      <w:rFonts w:ascii="Times New Roman" w:hAnsi="Times New Roman"/>
      <w:sz w:val="24"/>
    </w:rPr>
  </w:style>
  <w:style w:type="paragraph" w:styleId="Lijstnummering3">
    <w:name w:val="List Number 3"/>
    <w:basedOn w:val="Standaard"/>
    <w:locked/>
    <w:rsid w:val="000D2D0B"/>
    <w:pPr>
      <w:tabs>
        <w:tab w:val="num" w:pos="926"/>
      </w:tabs>
      <w:spacing w:before="120" w:after="120"/>
      <w:ind w:left="926" w:hanging="360"/>
    </w:pPr>
    <w:rPr>
      <w:rFonts w:ascii="Times New Roman" w:hAnsi="Times New Roman"/>
      <w:sz w:val="24"/>
    </w:rPr>
  </w:style>
  <w:style w:type="paragraph" w:styleId="Lijstnummering4">
    <w:name w:val="List Number 4"/>
    <w:basedOn w:val="Standaard"/>
    <w:locked/>
    <w:rsid w:val="000D2D0B"/>
    <w:pPr>
      <w:tabs>
        <w:tab w:val="num" w:pos="1209"/>
        <w:tab w:val="num" w:pos="1417"/>
      </w:tabs>
      <w:spacing w:before="120" w:after="120"/>
      <w:ind w:left="1209" w:hanging="360"/>
    </w:pPr>
    <w:rPr>
      <w:rFonts w:ascii="Times New Roman" w:hAnsi="Times New Roman"/>
      <w:sz w:val="24"/>
    </w:rPr>
  </w:style>
  <w:style w:type="paragraph" w:styleId="Lijstopsomteken">
    <w:name w:val="List Bullet"/>
    <w:basedOn w:val="Standaard"/>
    <w:locked/>
    <w:rsid w:val="000D2D0B"/>
    <w:pPr>
      <w:numPr>
        <w:numId w:val="13"/>
      </w:numPr>
      <w:tabs>
        <w:tab w:val="num" w:pos="360"/>
      </w:tabs>
      <w:spacing w:before="120" w:after="120"/>
      <w:ind w:left="360" w:hanging="360"/>
    </w:pPr>
    <w:rPr>
      <w:rFonts w:ascii="Times New Roman" w:hAnsi="Times New Roman"/>
      <w:sz w:val="24"/>
    </w:rPr>
  </w:style>
  <w:style w:type="paragraph" w:styleId="Lijstopsomteken2">
    <w:name w:val="List Bullet 2"/>
    <w:basedOn w:val="Standaard"/>
    <w:locked/>
    <w:rsid w:val="000D2D0B"/>
    <w:pPr>
      <w:tabs>
        <w:tab w:val="num" w:pos="643"/>
        <w:tab w:val="num" w:pos="851"/>
      </w:tabs>
      <w:spacing w:before="120" w:after="120"/>
      <w:ind w:left="643" w:hanging="360"/>
    </w:pPr>
    <w:rPr>
      <w:rFonts w:ascii="Times New Roman" w:hAnsi="Times New Roman"/>
      <w:sz w:val="24"/>
    </w:rPr>
  </w:style>
  <w:style w:type="paragraph" w:styleId="Lijstopsomteken3">
    <w:name w:val="List Bullet 3"/>
    <w:basedOn w:val="Standaard"/>
    <w:locked/>
    <w:rsid w:val="000D2D0B"/>
    <w:pPr>
      <w:numPr>
        <w:numId w:val="15"/>
      </w:numPr>
      <w:tabs>
        <w:tab w:val="num" w:pos="926"/>
      </w:tabs>
      <w:spacing w:before="120" w:after="120"/>
      <w:ind w:left="926"/>
    </w:pPr>
    <w:rPr>
      <w:rFonts w:ascii="Times New Roman" w:hAnsi="Times New Roman"/>
      <w:sz w:val="24"/>
    </w:rPr>
  </w:style>
  <w:style w:type="paragraph" w:styleId="Lijstopsomteken4">
    <w:name w:val="List Bullet 4"/>
    <w:basedOn w:val="Standaard"/>
    <w:locked/>
    <w:rsid w:val="000D2D0B"/>
    <w:pPr>
      <w:numPr>
        <w:numId w:val="16"/>
      </w:numPr>
      <w:tabs>
        <w:tab w:val="num" w:pos="1209"/>
      </w:tabs>
      <w:spacing w:before="120" w:after="120"/>
      <w:ind w:left="1209"/>
    </w:pPr>
    <w:rPr>
      <w:rFonts w:ascii="Times New Roman" w:hAnsi="Times New Roman"/>
      <w:sz w:val="24"/>
    </w:rPr>
  </w:style>
  <w:style w:type="paragraph" w:styleId="Lijstmetafbeeldingen">
    <w:name w:val="table of figures"/>
    <w:basedOn w:val="Standaard"/>
    <w:next w:val="Standa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locked/>
    <w:rsid w:val="000D2D0B"/>
    <w:pPr>
      <w:ind w:left="720"/>
      <w:contextualSpacing/>
    </w:pPr>
    <w:rPr>
      <w:rFonts w:ascii="Cambria" w:hAnsi="Cambria"/>
      <w:sz w:val="24"/>
      <w:lang w:val="en-US"/>
    </w:rPr>
  </w:style>
  <w:style w:type="paragraph" w:customStyle="1" w:styleId="Listeavsnitt1">
    <w:name w:val="Listeavsnitt1"/>
    <w:basedOn w:val="Standa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ard"/>
    <w:uiPriority w:val="99"/>
    <w:locked/>
    <w:rsid w:val="000D2D0B"/>
    <w:pPr>
      <w:ind w:left="720"/>
      <w:contextualSpacing/>
    </w:pPr>
    <w:rPr>
      <w:rFonts w:ascii="Cambria" w:hAnsi="Cambria"/>
      <w:sz w:val="24"/>
      <w:lang w:val="en-US"/>
    </w:rPr>
  </w:style>
  <w:style w:type="paragraph" w:customStyle="1" w:styleId="ListParagraph2">
    <w:name w:val="List Paragraph2"/>
    <w:basedOn w:val="Standa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Kop1"/>
    <w:next w:val="Standa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ard"/>
    <w:next w:val="Standaard"/>
    <w:link w:val="Titel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locked/>
    <w:rsid w:val="000D2D0B"/>
    <w:pPr>
      <w:spacing w:before="320" w:line="260" w:lineRule="exact"/>
    </w:pPr>
    <w:rPr>
      <w:rFonts w:ascii="Myriad Pro Light" w:hAnsi="Myriad Pro Light"/>
      <w:b/>
      <w:sz w:val="21"/>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locked/>
    <w:rsid w:val="003A6E9A"/>
    <w:rPr>
      <w:b/>
      <w:i w:val="0"/>
      <w:iCs/>
      <w:sz w:val="20"/>
    </w:rPr>
  </w:style>
  <w:style w:type="paragraph" w:customStyle="1" w:styleId="NEW-Paragraph-Level1">
    <w:name w:val="NEW-Paragraph-Level1"/>
    <w:basedOn w:val="Standaard"/>
    <w:locked/>
    <w:rsid w:val="003A6E9A"/>
    <w:pPr>
      <w:tabs>
        <w:tab w:val="num" w:pos="284"/>
      </w:tabs>
      <w:ind w:left="284" w:hanging="284"/>
    </w:pPr>
  </w:style>
  <w:style w:type="paragraph" w:customStyle="1" w:styleId="NEW-Paragraph-level2">
    <w:name w:val="NEW-Paragraph-level2"/>
    <w:basedOn w:val="Standa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ard"/>
    <w:locked/>
    <w:rsid w:val="003A6E9A"/>
    <w:pPr>
      <w:keepNext/>
      <w:numPr>
        <w:numId w:val="29"/>
      </w:numPr>
      <w:spacing w:before="240"/>
      <w:outlineLvl w:val="0"/>
    </w:pPr>
    <w:rPr>
      <w:b/>
      <w:bCs/>
      <w:kern w:val="32"/>
      <w:sz w:val="28"/>
      <w:szCs w:val="28"/>
    </w:rPr>
  </w:style>
  <w:style w:type="paragraph" w:customStyle="1" w:styleId="NEW-Level1">
    <w:name w:val="NEW-Level1"/>
    <w:basedOn w:val="Standa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locked/>
    <w:rsid w:val="00EF0769"/>
    <w:pPr>
      <w:numPr>
        <w:numId w:val="31"/>
      </w:numPr>
      <w:spacing w:before="250"/>
    </w:pPr>
    <w:rPr>
      <w:rFonts w:cstheme="minorBidi"/>
      <w:b/>
    </w:rPr>
  </w:style>
  <w:style w:type="character" w:customStyle="1" w:styleId="CPQuestionsChar">
    <w:name w:val="CP_Questions Char"/>
    <w:basedOn w:val="Standaardalinea-lettertype"/>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evebenadrukking">
    <w:name w:val="Intense Emphasis"/>
    <w:basedOn w:val="Standaardalinea-lettertype"/>
    <w:uiPriority w:val="21"/>
    <w:qFormat/>
    <w:locked/>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Kop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Kop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ard"/>
    <w:next w:val="Standa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Standaardalinea-lettertype"/>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Zwaar"/>
    <w:uiPriority w:val="1"/>
    <w:qFormat/>
    <w:rsid w:val="00F87468"/>
    <w:rPr>
      <w:b w:val="0"/>
      <w:bCs/>
      <w:caps/>
      <w:smallCaps w:val="0"/>
      <w:color w:val="F79646" w:themeColor="accent6"/>
      <w:sz w:val="22"/>
    </w:rPr>
  </w:style>
  <w:style w:type="paragraph" w:styleId="Ondertitel">
    <w:name w:val="Subtitle"/>
    <w:basedOn w:val="Standaard"/>
    <w:next w:val="Standaard"/>
    <w:link w:val="OndertitelChar"/>
    <w:uiPriority w:val="11"/>
    <w:qFormat/>
    <w:locked/>
    <w:rsid w:val="00E70E2E"/>
    <w:pPr>
      <w:numPr>
        <w:ilvl w:val="1"/>
      </w:numPr>
    </w:pPr>
    <w:rPr>
      <w:rFonts w:eastAsiaTheme="majorEastAsia"/>
      <w:b/>
      <w:bCs/>
      <w:sz w:val="28"/>
    </w:rPr>
  </w:style>
  <w:style w:type="character" w:customStyle="1" w:styleId="OndertitelChar">
    <w:name w:val="Ondertitel Char"/>
    <w:basedOn w:val="Standaardalinea-lettertype"/>
    <w:link w:val="Ond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ard"/>
    <w:link w:val="HeaderFootChar"/>
    <w:qFormat/>
    <w:rsid w:val="00F716D4"/>
    <w:pPr>
      <w:spacing w:after="0"/>
      <w:jc w:val="right"/>
    </w:pPr>
    <w:rPr>
      <w:color w:val="001B4F"/>
      <w:sz w:val="16"/>
      <w:szCs w:val="16"/>
    </w:rPr>
  </w:style>
  <w:style w:type="character" w:styleId="Onopgelostemelding">
    <w:name w:val="Unresolved Mention"/>
    <w:basedOn w:val="Standaardalinea-lettertype"/>
    <w:uiPriority w:val="99"/>
    <w:semiHidden/>
    <w:unhideWhenUsed/>
    <w:rsid w:val="0034374F"/>
    <w:rPr>
      <w:color w:val="605E5C"/>
      <w:shd w:val="clear" w:color="auto" w:fill="E1DFDD"/>
    </w:rPr>
  </w:style>
  <w:style w:type="character" w:customStyle="1" w:styleId="HeaderFootChar">
    <w:name w:val="HeaderFoot Char"/>
    <w:basedOn w:val="Standaardalinea-lettertype"/>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Standaardalinea-lettertype"/>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Standaardalinea-lettertype"/>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2FEAA7A4B014793F5F380EEDAF813" ma:contentTypeVersion="18" ma:contentTypeDescription="Een nieuw document maken." ma:contentTypeScope="" ma:versionID="199f9ce1d3e16de30d88fa77cddd7c7d">
  <xsd:schema xmlns:xsd="http://www.w3.org/2001/XMLSchema" xmlns:xs="http://www.w3.org/2001/XMLSchema" xmlns:p="http://schemas.microsoft.com/office/2006/metadata/properties" xmlns:ns2="5c68af48-bff9-4ab6-830a-c249bc02e9bf" xmlns:ns3="e4d6d2ec-cc4a-4e8f-8d31-222750022792" targetNamespace="http://schemas.microsoft.com/office/2006/metadata/properties" ma:root="true" ma:fieldsID="674dbbbfd7a7be1bfbbca3fcf17871c2" ns2:_="" ns3:_="">
    <xsd:import namespace="5c68af48-bff9-4ab6-830a-c249bc02e9bf"/>
    <xsd:import namespace="e4d6d2ec-cc4a-4e8f-8d31-222750022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af48-bff9-4ab6-830a-c249bc02e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252822d-a76c-46ea-92f4-484f4232309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6d2ec-cc4a-4e8f-8d31-22275002279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7cd5eef-c96d-4d4f-bde7-54a297f90cd4}" ma:internalName="TaxCatchAll" ma:showField="CatchAllData" ma:web="e4d6d2ec-cc4a-4e8f-8d31-222750022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4d6d2ec-cc4a-4e8f-8d31-222750022792" xsi:nil="true"/>
    <SharedWithUsers xmlns="e4d6d2ec-cc4a-4e8f-8d31-222750022792">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5c68af48-bff9-4ab6-830a-c249bc02e9b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C8C20-7D7D-4595-BD95-05E089256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af48-bff9-4ab6-830a-c249bc02e9bf"/>
    <ds:schemaRef ds:uri="e4d6d2ec-cc4a-4e8f-8d31-222750022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e4d6d2ec-cc4a-4e8f-8d31-222750022792"/>
    <ds:schemaRef ds:uri="5c68af48-bff9-4ab6-830a-c249bc02e9bf"/>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2359</Words>
  <Characters>12978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Reply form for the MiFID II/MiFIR Consultation Paper</vt:lpstr>
    </vt:vector>
  </TitlesOfParts>
  <Company>ESMA</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Matthies Verstegen</cp:lastModifiedBy>
  <cp:revision>6</cp:revision>
  <cp:lastPrinted>2015-02-18T20:01:00Z</cp:lastPrinted>
  <dcterms:created xsi:type="dcterms:W3CDTF">2025-01-17T15:06:00Z</dcterms:created>
  <dcterms:modified xsi:type="dcterms:W3CDTF">2025-01-20T13:31:00Z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0x0101005532FEAA7A4B014793F5F380EEDAF813</vt:lpwstr>
  </property>
  <property fmtid="{D5CDD505-2E9C-101B-9397-08002B2CF9AE}" pid="3" name="_dlc_DocIdItemGuid">
    <vt:lpwstr>459b19f7-74a7-4ee2-8111-ef31ab4ddeda</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ies>
</file>