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CB50" w14:textId="0E25A154" w:rsidR="005170F3" w:rsidRPr="0096530F" w:rsidRDefault="009D0EC2" w:rsidP="0096530F">
      <w:pPr>
        <w:pBdr>
          <w:top w:val="single" w:sz="4" w:space="1" w:color="auto"/>
          <w:left w:val="single" w:sz="4" w:space="4" w:color="auto"/>
          <w:bottom w:val="single" w:sz="4" w:space="1" w:color="auto"/>
          <w:right w:val="single" w:sz="4" w:space="4" w:color="auto"/>
        </w:pBdr>
        <w:jc w:val="center"/>
        <w:rPr>
          <w:sz w:val="40"/>
          <w:szCs w:val="40"/>
          <w:lang w:val="en-US"/>
        </w:rPr>
      </w:pPr>
      <w:r w:rsidRPr="0096530F">
        <w:rPr>
          <w:sz w:val="40"/>
          <w:szCs w:val="40"/>
          <w:lang w:val="en-US"/>
        </w:rPr>
        <w:t>AlphaV</w:t>
      </w:r>
      <w:r w:rsidR="00894951">
        <w:rPr>
          <w:sz w:val="40"/>
          <w:szCs w:val="40"/>
          <w:lang w:val="en-US"/>
        </w:rPr>
        <w:t>a</w:t>
      </w:r>
      <w:r w:rsidRPr="0096530F">
        <w:rPr>
          <w:sz w:val="40"/>
          <w:szCs w:val="40"/>
          <w:lang w:val="en-US"/>
        </w:rPr>
        <w:t>lue resp</w:t>
      </w:r>
      <w:r w:rsidR="0096530F">
        <w:rPr>
          <w:sz w:val="40"/>
          <w:szCs w:val="40"/>
          <w:lang w:val="en-US"/>
        </w:rPr>
        <w:t>o</w:t>
      </w:r>
      <w:r w:rsidRPr="0096530F">
        <w:rPr>
          <w:sz w:val="40"/>
          <w:szCs w:val="40"/>
          <w:lang w:val="en-US"/>
        </w:rPr>
        <w:t xml:space="preserve">nse to ESMA </w:t>
      </w:r>
      <w:r w:rsidR="0096530F" w:rsidRPr="0096530F">
        <w:rPr>
          <w:sz w:val="40"/>
          <w:szCs w:val="40"/>
          <w:lang w:val="en-US"/>
        </w:rPr>
        <w:t>consultation</w:t>
      </w:r>
      <w:r w:rsidRPr="0096530F">
        <w:rPr>
          <w:sz w:val="40"/>
          <w:szCs w:val="40"/>
          <w:lang w:val="en-US"/>
        </w:rPr>
        <w:t xml:space="preserve"> paper regarding the </w:t>
      </w:r>
      <w:r w:rsidR="0096530F" w:rsidRPr="0096530F">
        <w:rPr>
          <w:sz w:val="40"/>
          <w:szCs w:val="40"/>
          <w:lang w:val="en-US"/>
        </w:rPr>
        <w:t>amendments</w:t>
      </w:r>
      <w:r w:rsidRPr="0096530F">
        <w:rPr>
          <w:sz w:val="40"/>
          <w:szCs w:val="40"/>
          <w:lang w:val="en-US"/>
        </w:rPr>
        <w:t xml:space="preserve"> to the research provisions In the MIFID 2 Delegated directive</w:t>
      </w:r>
    </w:p>
    <w:p w14:paraId="1552DDC7" w14:textId="77777777" w:rsidR="009D0EC2" w:rsidRDefault="009D0EC2">
      <w:pPr>
        <w:rPr>
          <w:lang w:val="en-US"/>
        </w:rPr>
      </w:pPr>
    </w:p>
    <w:p w14:paraId="17A18C98" w14:textId="044AD84D" w:rsidR="009D0EC2" w:rsidRDefault="009D0EC2">
      <w:pPr>
        <w:rPr>
          <w:lang w:val="en-US"/>
        </w:rPr>
      </w:pPr>
      <w:r w:rsidRPr="00894951">
        <w:rPr>
          <w:b/>
          <w:bCs/>
          <w:u w:val="single"/>
          <w:lang w:val="en-US"/>
        </w:rPr>
        <w:t xml:space="preserve">Question </w:t>
      </w:r>
      <w:proofErr w:type="gramStart"/>
      <w:r w:rsidRPr="00894951">
        <w:rPr>
          <w:b/>
          <w:bCs/>
          <w:u w:val="single"/>
          <w:lang w:val="en-US"/>
        </w:rPr>
        <w:t>1</w:t>
      </w:r>
      <w:r>
        <w:rPr>
          <w:lang w:val="en-US"/>
        </w:rPr>
        <w:t xml:space="preserve"> :</w:t>
      </w:r>
      <w:proofErr w:type="gramEnd"/>
      <w:r>
        <w:rPr>
          <w:lang w:val="en-US"/>
        </w:rPr>
        <w:t xml:space="preserve"> Do you agree with the proposed approach ? Or would you prefer a </w:t>
      </w:r>
      <w:proofErr w:type="gramStart"/>
      <w:r>
        <w:rPr>
          <w:lang w:val="en-US"/>
        </w:rPr>
        <w:t>more or less detailed</w:t>
      </w:r>
      <w:proofErr w:type="gramEnd"/>
      <w:r>
        <w:rPr>
          <w:lang w:val="en-US"/>
        </w:rPr>
        <w:t xml:space="preserve"> </w:t>
      </w:r>
      <w:r w:rsidR="00FF5BA1">
        <w:rPr>
          <w:lang w:val="en-US"/>
        </w:rPr>
        <w:t>approach?</w:t>
      </w:r>
      <w:r>
        <w:rPr>
          <w:lang w:val="en-US"/>
        </w:rPr>
        <w:t xml:space="preserve"> Please state the reasons </w:t>
      </w:r>
      <w:proofErr w:type="gramStart"/>
      <w:r>
        <w:rPr>
          <w:lang w:val="en-US"/>
        </w:rPr>
        <w:t>of</w:t>
      </w:r>
      <w:proofErr w:type="gramEnd"/>
      <w:r>
        <w:rPr>
          <w:lang w:val="en-US"/>
        </w:rPr>
        <w:t xml:space="preserve"> your answer</w:t>
      </w:r>
    </w:p>
    <w:p w14:paraId="59758C23" w14:textId="073969AD" w:rsidR="00F60986" w:rsidRPr="00F60986" w:rsidRDefault="002C5333" w:rsidP="00F60986">
      <w:pPr>
        <w:rPr>
          <w:lang w:val="en-US"/>
        </w:rPr>
      </w:pPr>
      <w:r>
        <w:rPr>
          <w:lang w:val="en-US"/>
        </w:rPr>
        <w:t>Answer</w:t>
      </w:r>
      <w:r w:rsidR="0003403A">
        <w:rPr>
          <w:lang w:val="en-US"/>
        </w:rPr>
        <w:t xml:space="preserve"> </w:t>
      </w:r>
      <w:proofErr w:type="gramStart"/>
      <w:r w:rsidR="0003403A">
        <w:rPr>
          <w:lang w:val="en-US"/>
        </w:rPr>
        <w:t>1</w:t>
      </w:r>
      <w:r>
        <w:rPr>
          <w:lang w:val="en-US"/>
        </w:rPr>
        <w:t xml:space="preserve"> :</w:t>
      </w:r>
      <w:proofErr w:type="gramEnd"/>
      <w:r>
        <w:rPr>
          <w:lang w:val="en-US"/>
        </w:rPr>
        <w:t xml:space="preserve"> </w:t>
      </w:r>
      <w:r>
        <w:rPr>
          <w:lang w:val="en-US"/>
        </w:rPr>
        <w:br/>
      </w:r>
      <w:r w:rsidR="00F60986" w:rsidRPr="00F60986">
        <w:rPr>
          <w:lang w:val="en-US"/>
        </w:rPr>
        <w:t>We support the proposed approach and agree on the need to increase the production of quality research in Europe. Simplifying payment options through the amended RPA is a step in the right direction.</w:t>
      </w:r>
    </w:p>
    <w:p w14:paraId="0D8DFBC0" w14:textId="58F7B589" w:rsidR="00F60986" w:rsidRPr="00F60986" w:rsidRDefault="00F60986" w:rsidP="00F60986">
      <w:pPr>
        <w:rPr>
          <w:lang w:val="en-US"/>
        </w:rPr>
      </w:pPr>
      <w:r w:rsidRPr="00F60986">
        <w:rPr>
          <w:lang w:val="en-US"/>
        </w:rPr>
        <w:t>However, it is crucial to ensure that research is not used as an inducement to trade or use other bank services. Adequate disclosure levels must be implemented to prevent conflicts of interest, but these disclosures should not create barriers for switching to new research providers.</w:t>
      </w:r>
      <w:r w:rsidR="00CB6C6F">
        <w:rPr>
          <w:lang w:val="en-US"/>
        </w:rPr>
        <w:t xml:space="preserve"> We are therefore worried that in the new text, </w:t>
      </w:r>
      <w:r w:rsidR="00846562">
        <w:rPr>
          <w:lang w:val="en-US"/>
        </w:rPr>
        <w:t xml:space="preserve">the emphasis on inducement risks </w:t>
      </w:r>
      <w:r w:rsidR="00C01E51">
        <w:rPr>
          <w:lang w:val="en-US"/>
        </w:rPr>
        <w:t xml:space="preserve">is lower than in the previous version. </w:t>
      </w:r>
    </w:p>
    <w:p w14:paraId="1AFFB0D8" w14:textId="77777777" w:rsidR="00F60986" w:rsidRDefault="00F60986" w:rsidP="00F60986">
      <w:pPr>
        <w:rPr>
          <w:lang w:val="en-US"/>
        </w:rPr>
      </w:pPr>
      <w:r w:rsidRPr="00F60986">
        <w:rPr>
          <w:lang w:val="en-US"/>
        </w:rPr>
        <w:t xml:space="preserve">Maintaining the original goals of MiFID II's unbundling </w:t>
      </w:r>
      <w:proofErr w:type="gramStart"/>
      <w:r w:rsidRPr="00F60986">
        <w:rPr>
          <w:lang w:val="en-US"/>
        </w:rPr>
        <w:t>rule—</w:t>
      </w:r>
      <w:proofErr w:type="gramEnd"/>
      <w:r w:rsidRPr="00F60986">
        <w:rPr>
          <w:lang w:val="en-US"/>
        </w:rPr>
        <w:t>such as transparency in research costs and minimizing conflicts of interest—remains essential.</w:t>
      </w:r>
    </w:p>
    <w:p w14:paraId="442F5AC2" w14:textId="77777777" w:rsidR="00A072B4" w:rsidRDefault="00A072B4" w:rsidP="00F60986">
      <w:pPr>
        <w:rPr>
          <w:lang w:val="en-US"/>
        </w:rPr>
      </w:pPr>
    </w:p>
    <w:p w14:paraId="54D653CC" w14:textId="77777777" w:rsidR="00A072B4" w:rsidRPr="00F60986" w:rsidRDefault="00A072B4" w:rsidP="00F60986">
      <w:pPr>
        <w:rPr>
          <w:lang w:val="en-US"/>
        </w:rPr>
      </w:pPr>
    </w:p>
    <w:p w14:paraId="4A29BB60" w14:textId="77777777" w:rsidR="003A1794" w:rsidRDefault="009D0EC2">
      <w:pPr>
        <w:rPr>
          <w:lang w:val="en-US"/>
        </w:rPr>
      </w:pPr>
      <w:r w:rsidRPr="00894951">
        <w:rPr>
          <w:b/>
          <w:bCs/>
          <w:u w:val="single"/>
          <w:lang w:val="en-US"/>
        </w:rPr>
        <w:t xml:space="preserve">Question </w:t>
      </w:r>
      <w:proofErr w:type="gramStart"/>
      <w:r w:rsidRPr="00894951">
        <w:rPr>
          <w:b/>
          <w:bCs/>
          <w:u w:val="single"/>
          <w:lang w:val="en-US"/>
        </w:rPr>
        <w:t>2</w:t>
      </w:r>
      <w:r>
        <w:rPr>
          <w:lang w:val="en-US"/>
        </w:rPr>
        <w:t xml:space="preserve"> :</w:t>
      </w:r>
      <w:proofErr w:type="gramEnd"/>
      <w:r>
        <w:rPr>
          <w:lang w:val="en-US"/>
        </w:rPr>
        <w:t xml:space="preserve"> Do you agree with the introduction of new paragraph </w:t>
      </w:r>
      <w:r w:rsidR="00517338">
        <w:rPr>
          <w:lang w:val="en-US"/>
        </w:rPr>
        <w:t>1</w:t>
      </w:r>
      <w:r>
        <w:rPr>
          <w:lang w:val="en-US"/>
        </w:rPr>
        <w:t>b in article 13 of Commission Delegated directive 2017/593? Pleas</w:t>
      </w:r>
      <w:r w:rsidR="00A2064F">
        <w:rPr>
          <w:lang w:val="en-US"/>
        </w:rPr>
        <w:t>e</w:t>
      </w:r>
      <w:r>
        <w:rPr>
          <w:lang w:val="en-US"/>
        </w:rPr>
        <w:t xml:space="preserve"> explain why.</w:t>
      </w:r>
    </w:p>
    <w:p w14:paraId="2680DADC" w14:textId="49FE2DEF" w:rsidR="002C5333" w:rsidRDefault="002C5333" w:rsidP="00B95CC9">
      <w:pPr>
        <w:rPr>
          <w:lang w:val="en-US"/>
        </w:rPr>
      </w:pPr>
      <w:r>
        <w:rPr>
          <w:lang w:val="en-US"/>
        </w:rPr>
        <w:t>Answer</w:t>
      </w:r>
      <w:r w:rsidR="0003403A">
        <w:rPr>
          <w:lang w:val="en-US"/>
        </w:rPr>
        <w:t xml:space="preserve"> </w:t>
      </w:r>
      <w:proofErr w:type="gramStart"/>
      <w:r w:rsidR="0003403A">
        <w:rPr>
          <w:lang w:val="en-US"/>
        </w:rPr>
        <w:t>2</w:t>
      </w:r>
      <w:r>
        <w:rPr>
          <w:lang w:val="en-US"/>
        </w:rPr>
        <w:t xml:space="preserve"> :</w:t>
      </w:r>
      <w:proofErr w:type="gramEnd"/>
    </w:p>
    <w:p w14:paraId="01E6D9F2" w14:textId="1300F342" w:rsidR="00B95CC9" w:rsidRPr="00B95CC9" w:rsidRDefault="00B95CC9" w:rsidP="00B95CC9">
      <w:pPr>
        <w:rPr>
          <w:lang w:val="en-US"/>
        </w:rPr>
      </w:pPr>
      <w:r w:rsidRPr="00B95CC9">
        <w:rPr>
          <w:lang w:val="en-US"/>
        </w:rPr>
        <w:t>We partially agree with this introduction. While assessing research quality is important, it is inherently challenging due to the lack of universally objective criteria.</w:t>
      </w:r>
    </w:p>
    <w:p w14:paraId="1043D6CF" w14:textId="77777777" w:rsidR="00B95CC9" w:rsidRPr="00B95CC9" w:rsidRDefault="00B95CC9" w:rsidP="00B95CC9">
      <w:pPr>
        <w:rPr>
          <w:lang w:val="en-US"/>
        </w:rPr>
      </w:pPr>
      <w:r w:rsidRPr="00B95CC9">
        <w:rPr>
          <w:b/>
          <w:bCs/>
          <w:lang w:val="en-US"/>
        </w:rPr>
        <w:t>Objective Criteria</w:t>
      </w:r>
      <w:r w:rsidRPr="00B95CC9">
        <w:rPr>
          <w:lang w:val="en-US"/>
        </w:rPr>
        <w:t>: Metrics such as the performance of ratings (e.g., tracked by Bloomberg) or the predictive accuracy of future earnings should form part of any quality assessment. Additionally, the availability of research during critical market moments, such as when deals occur, is crucial. For investment banks, research is often suspended during deals, leaving the market without access to information. In contrast, independent research providers can maintain coverage, offering a significant advantage that should be considered when evaluating research quality.</w:t>
      </w:r>
    </w:p>
    <w:p w14:paraId="15947807" w14:textId="77777777" w:rsidR="00B95CC9" w:rsidRPr="00B95CC9" w:rsidRDefault="00B95CC9" w:rsidP="00B95CC9">
      <w:pPr>
        <w:rPr>
          <w:lang w:val="en-US"/>
        </w:rPr>
      </w:pPr>
      <w:r w:rsidRPr="00B95CC9">
        <w:rPr>
          <w:b/>
          <w:bCs/>
          <w:lang w:val="en-US"/>
        </w:rPr>
        <w:t>Subjective and Problematic Factors</w:t>
      </w:r>
      <w:r w:rsidRPr="00B95CC9">
        <w:rPr>
          <w:lang w:val="en-US"/>
        </w:rPr>
        <w:t>: Some evaluation criteria, like the proximity of analysts to a company's top management, are subjective and potentially problematic. While closer relationships can improve understanding of a firm's strategy, they may also lead to biased judgment or risks of preferential information.</w:t>
      </w:r>
    </w:p>
    <w:p w14:paraId="7BCD7131" w14:textId="77777777" w:rsidR="00B95CC9" w:rsidRPr="00B95CC9" w:rsidRDefault="00B95CC9" w:rsidP="00B95CC9">
      <w:pPr>
        <w:rPr>
          <w:lang w:val="en-US"/>
        </w:rPr>
      </w:pPr>
      <w:r w:rsidRPr="00B95CC9">
        <w:rPr>
          <w:lang w:val="en-US"/>
        </w:rPr>
        <w:t>Similarly, the level of service (e.g., research dissemination by sales teams in investment banks) is often linked to marketing efforts rather than the intrinsic quality of the research itself. Marketing-driven distribution, supported by commissions and subsidies from investment banking, does not reflect the research's actual value but rather serves to maintain trading relationships.</w:t>
      </w:r>
    </w:p>
    <w:p w14:paraId="137C5E0A" w14:textId="77777777" w:rsidR="00B95CC9" w:rsidRPr="00B95CC9" w:rsidRDefault="00B95CC9" w:rsidP="00B95CC9">
      <w:r w:rsidRPr="00B95CC9">
        <w:rPr>
          <w:b/>
          <w:bCs/>
          <w:lang w:val="en-US"/>
        </w:rPr>
        <w:lastRenderedPageBreak/>
        <w:t>Key Distinction</w:t>
      </w:r>
      <w:r w:rsidRPr="00B95CC9">
        <w:rPr>
          <w:lang w:val="en-US"/>
        </w:rPr>
        <w:t xml:space="preserve">: To improve transparency and fair competition, research providers should indeed be compared. </w:t>
      </w:r>
      <w:proofErr w:type="spellStart"/>
      <w:r w:rsidRPr="00B95CC9">
        <w:t>However</w:t>
      </w:r>
      <w:proofErr w:type="spellEnd"/>
      <w:r w:rsidRPr="00B95CC9">
        <w:t xml:space="preserve">, a </w:t>
      </w:r>
      <w:proofErr w:type="spellStart"/>
      <w:r w:rsidRPr="00B95CC9">
        <w:t>clear</w:t>
      </w:r>
      <w:proofErr w:type="spellEnd"/>
      <w:r w:rsidRPr="00B95CC9">
        <w:t xml:space="preserve"> distinction must </w:t>
      </w:r>
      <w:proofErr w:type="spellStart"/>
      <w:r w:rsidRPr="00B95CC9">
        <w:t>be</w:t>
      </w:r>
      <w:proofErr w:type="spellEnd"/>
      <w:r w:rsidRPr="00B95CC9">
        <w:t xml:space="preserve"> made </w:t>
      </w:r>
      <w:proofErr w:type="spellStart"/>
      <w:proofErr w:type="gramStart"/>
      <w:r w:rsidRPr="00B95CC9">
        <w:t>between</w:t>
      </w:r>
      <w:proofErr w:type="spellEnd"/>
      <w:r w:rsidRPr="00B95CC9">
        <w:t>:</w:t>
      </w:r>
      <w:proofErr w:type="gramEnd"/>
    </w:p>
    <w:p w14:paraId="25305537" w14:textId="7FAAFF24" w:rsidR="00B95CC9" w:rsidRPr="00B95CC9" w:rsidRDefault="00B95CC9" w:rsidP="00B95CC9">
      <w:pPr>
        <w:numPr>
          <w:ilvl w:val="0"/>
          <w:numId w:val="1"/>
        </w:numPr>
        <w:rPr>
          <w:lang w:val="en-US"/>
        </w:rPr>
      </w:pPr>
      <w:r w:rsidRPr="147CE90A">
        <w:rPr>
          <w:b/>
          <w:bCs/>
          <w:lang w:val="en-US"/>
        </w:rPr>
        <w:t xml:space="preserve">Independent research </w:t>
      </w:r>
      <w:r w:rsidRPr="008E5F04">
        <w:rPr>
          <w:b/>
          <w:bCs/>
          <w:lang w:val="en-US"/>
        </w:rPr>
        <w:t>providers</w:t>
      </w:r>
      <w:r w:rsidR="28593E4E" w:rsidRPr="008E5F04">
        <w:rPr>
          <w:b/>
          <w:bCs/>
          <w:lang w:val="en-US"/>
        </w:rPr>
        <w:t xml:space="preserve"> </w:t>
      </w:r>
      <w:proofErr w:type="gramStart"/>
      <w:r w:rsidR="28593E4E" w:rsidRPr="008E5F04">
        <w:rPr>
          <w:lang w:val="en-US"/>
        </w:rPr>
        <w:t>clearly</w:t>
      </w:r>
      <w:proofErr w:type="gramEnd"/>
      <w:r w:rsidR="28593E4E" w:rsidRPr="008E5F04">
        <w:rPr>
          <w:lang w:val="en-US"/>
        </w:rPr>
        <w:t xml:space="preserve"> defined as unconnected providers</w:t>
      </w:r>
      <w:r w:rsidRPr="008E5F04">
        <w:rPr>
          <w:lang w:val="en-US"/>
        </w:rPr>
        <w:t>, which</w:t>
      </w:r>
      <w:r w:rsidRPr="147CE90A">
        <w:rPr>
          <w:lang w:val="en-US"/>
        </w:rPr>
        <w:t xml:space="preserve"> do not derive revenue from investment banking, trading, or corporate services and are free from conflicts of interest.</w:t>
      </w:r>
    </w:p>
    <w:p w14:paraId="4A41DF91" w14:textId="3B3CDE8B" w:rsidR="00B95CC9" w:rsidRPr="008E5F04" w:rsidRDefault="00B95CC9" w:rsidP="00B95CC9">
      <w:pPr>
        <w:numPr>
          <w:ilvl w:val="0"/>
          <w:numId w:val="1"/>
        </w:numPr>
        <w:rPr>
          <w:lang w:val="en-US"/>
        </w:rPr>
      </w:pPr>
      <w:r w:rsidRPr="147CE90A">
        <w:rPr>
          <w:b/>
          <w:bCs/>
          <w:lang w:val="en-US"/>
        </w:rPr>
        <w:t>Broker/investment bank research providers</w:t>
      </w:r>
      <w:r w:rsidRPr="147CE90A">
        <w:rPr>
          <w:lang w:val="en-US"/>
        </w:rPr>
        <w:t xml:space="preserve">, which benefit from bank or issuer subsidies, often enabling them to sell research below cost, creating unfair </w:t>
      </w:r>
      <w:r w:rsidRPr="008E5F04">
        <w:rPr>
          <w:lang w:val="en-US"/>
        </w:rPr>
        <w:t>competition</w:t>
      </w:r>
      <w:r w:rsidR="77441ED2" w:rsidRPr="008E5F04">
        <w:rPr>
          <w:lang w:val="en-US"/>
        </w:rPr>
        <w:t xml:space="preserve"> and distorting markets (research focused on largest tradable stocks)</w:t>
      </w:r>
      <w:r w:rsidRPr="008E5F04">
        <w:rPr>
          <w:lang w:val="en-US"/>
        </w:rPr>
        <w:t>.</w:t>
      </w:r>
    </w:p>
    <w:p w14:paraId="5C2AAD8B" w14:textId="77777777" w:rsidR="00B95CC9" w:rsidRPr="00B95CC9" w:rsidRDefault="00B95CC9" w:rsidP="00B95CC9">
      <w:pPr>
        <w:rPr>
          <w:lang w:val="en-US"/>
        </w:rPr>
      </w:pPr>
      <w:r w:rsidRPr="00B95CC9">
        <w:rPr>
          <w:b/>
          <w:bCs/>
          <w:lang w:val="en-US"/>
        </w:rPr>
        <w:t>Recommendation</w:t>
      </w:r>
      <w:r w:rsidRPr="00B95CC9">
        <w:rPr>
          <w:lang w:val="en-US"/>
        </w:rPr>
        <w:t>: We recommend that any evaluation framework for research providers explicitly differentiate between independent providers and broker/investment bank providers to ensure transparency and fairness in the market.</w:t>
      </w:r>
    </w:p>
    <w:p w14:paraId="64A2B2E7" w14:textId="6C508E9A" w:rsidR="009D0EC2" w:rsidRDefault="009D0EC2" w:rsidP="00B95CC9">
      <w:pPr>
        <w:rPr>
          <w:lang w:val="en-US"/>
        </w:rPr>
      </w:pPr>
    </w:p>
    <w:p w14:paraId="334FC474" w14:textId="77777777" w:rsidR="00A072B4" w:rsidRDefault="00A072B4" w:rsidP="00B95CC9">
      <w:pPr>
        <w:rPr>
          <w:lang w:val="en-US"/>
        </w:rPr>
      </w:pPr>
    </w:p>
    <w:p w14:paraId="363C6B8A" w14:textId="6B75B987" w:rsidR="00012457" w:rsidRDefault="009D0EC2">
      <w:pPr>
        <w:rPr>
          <w:lang w:val="en-US"/>
        </w:rPr>
      </w:pPr>
      <w:r w:rsidRPr="00894951">
        <w:rPr>
          <w:b/>
          <w:bCs/>
          <w:u w:val="single"/>
          <w:lang w:val="en-US"/>
        </w:rPr>
        <w:t xml:space="preserve">Question </w:t>
      </w:r>
      <w:proofErr w:type="gramStart"/>
      <w:r w:rsidRPr="00894951">
        <w:rPr>
          <w:b/>
          <w:bCs/>
          <w:u w:val="single"/>
          <w:lang w:val="en-US"/>
        </w:rPr>
        <w:t>3</w:t>
      </w:r>
      <w:r>
        <w:rPr>
          <w:lang w:val="en-US"/>
        </w:rPr>
        <w:t xml:space="preserve"> :</w:t>
      </w:r>
      <w:proofErr w:type="gramEnd"/>
      <w:r>
        <w:rPr>
          <w:lang w:val="en-US"/>
        </w:rPr>
        <w:t xml:space="preserve"> If you do not agree with the introduction of new paragraph 1b , please provide alternative suggestions and /or explain how investment firms operating a research payment account currently assess the quality of research purchased ? </w:t>
      </w:r>
    </w:p>
    <w:p w14:paraId="6FC92A21" w14:textId="136235B1" w:rsidR="002C5333" w:rsidRPr="002C5333" w:rsidRDefault="002C5333">
      <w:pPr>
        <w:rPr>
          <w:u w:val="single"/>
          <w:lang w:val="en-US"/>
        </w:rPr>
      </w:pPr>
      <w:proofErr w:type="gramStart"/>
      <w:r w:rsidRPr="002C5333">
        <w:rPr>
          <w:u w:val="single"/>
          <w:lang w:val="en-US"/>
        </w:rPr>
        <w:t>Answer :</w:t>
      </w:r>
      <w:proofErr w:type="gramEnd"/>
    </w:p>
    <w:p w14:paraId="468093E9" w14:textId="77777777" w:rsidR="00B969D1" w:rsidRPr="00B969D1" w:rsidRDefault="00B969D1" w:rsidP="00B969D1">
      <w:pPr>
        <w:rPr>
          <w:lang w:val="en-US"/>
        </w:rPr>
      </w:pPr>
      <w:r w:rsidRPr="00B969D1">
        <w:rPr>
          <w:lang w:val="en-US"/>
        </w:rPr>
        <w:t>To enhance the evaluation and fairness of research services, we propose the following framework:</w:t>
      </w:r>
    </w:p>
    <w:p w14:paraId="4DB73500" w14:textId="77777777" w:rsidR="00B969D1" w:rsidRPr="00B969D1" w:rsidRDefault="00B969D1" w:rsidP="00B969D1">
      <w:pPr>
        <w:rPr>
          <w:b/>
          <w:bCs/>
          <w:lang w:val="en-US"/>
        </w:rPr>
      </w:pPr>
      <w:r w:rsidRPr="00B969D1">
        <w:rPr>
          <w:b/>
          <w:bCs/>
          <w:lang w:val="en-US"/>
        </w:rPr>
        <w:t>1. Distinction Between Independent Research and Broker/Investment Bank Research</w:t>
      </w:r>
    </w:p>
    <w:p w14:paraId="0879154C" w14:textId="77777777" w:rsidR="00B969D1" w:rsidRPr="00B969D1" w:rsidRDefault="00B969D1" w:rsidP="00B969D1">
      <w:pPr>
        <w:numPr>
          <w:ilvl w:val="0"/>
          <w:numId w:val="2"/>
        </w:numPr>
        <w:rPr>
          <w:lang w:val="en-US"/>
        </w:rPr>
      </w:pPr>
      <w:r w:rsidRPr="00B969D1">
        <w:rPr>
          <w:lang w:val="en-US"/>
        </w:rPr>
        <w:t xml:space="preserve">Clearly define </w:t>
      </w:r>
      <w:r w:rsidRPr="00B969D1">
        <w:rPr>
          <w:b/>
          <w:bCs/>
          <w:lang w:val="en-US"/>
        </w:rPr>
        <w:t>independent research</w:t>
      </w:r>
      <w:r w:rsidRPr="00B969D1">
        <w:rPr>
          <w:lang w:val="en-US"/>
        </w:rPr>
        <w:t xml:space="preserve"> as research provided by firms that do not derive any revenue from investment banking, trading, or corporate services, ensuring no conflict of interest.</w:t>
      </w:r>
    </w:p>
    <w:p w14:paraId="3EC9BEC6" w14:textId="3A863164" w:rsidR="00B969D1" w:rsidRPr="00B969D1" w:rsidRDefault="00B969D1" w:rsidP="00B969D1">
      <w:pPr>
        <w:numPr>
          <w:ilvl w:val="0"/>
          <w:numId w:val="2"/>
        </w:numPr>
        <w:rPr>
          <w:lang w:val="en-US"/>
        </w:rPr>
      </w:pPr>
      <w:r w:rsidRPr="147CE90A">
        <w:rPr>
          <w:lang w:val="en-US"/>
        </w:rPr>
        <w:t xml:space="preserve">Differentiate this from </w:t>
      </w:r>
      <w:r w:rsidRPr="147CE90A">
        <w:rPr>
          <w:b/>
          <w:bCs/>
          <w:lang w:val="en-US"/>
        </w:rPr>
        <w:t>broker/investment bank research</w:t>
      </w:r>
      <w:r w:rsidRPr="147CE90A">
        <w:rPr>
          <w:lang w:val="en-US"/>
        </w:rPr>
        <w:t xml:space="preserve">, which benefits from subsidies and involve inherent </w:t>
      </w:r>
      <w:r w:rsidR="003921FE">
        <w:rPr>
          <w:lang w:val="en-US"/>
        </w:rPr>
        <w:t xml:space="preserve">potential </w:t>
      </w:r>
      <w:r w:rsidRPr="147CE90A">
        <w:rPr>
          <w:lang w:val="en-US"/>
        </w:rPr>
        <w:t>conflicts of interest due to ties with issuers and other services.</w:t>
      </w:r>
    </w:p>
    <w:p w14:paraId="5CA88ACB" w14:textId="77777777" w:rsidR="00B969D1" w:rsidRPr="00B969D1" w:rsidRDefault="00B969D1" w:rsidP="00B969D1">
      <w:pPr>
        <w:rPr>
          <w:b/>
          <w:bCs/>
          <w:lang w:val="en-US"/>
        </w:rPr>
      </w:pPr>
      <w:r w:rsidRPr="00B969D1">
        <w:rPr>
          <w:b/>
          <w:bCs/>
          <w:lang w:val="en-US"/>
        </w:rPr>
        <w:t>2. Introduce Objective Metrics for Research Quality Assessment</w:t>
      </w:r>
    </w:p>
    <w:p w14:paraId="48E177EB" w14:textId="7567BA1A" w:rsidR="00B969D1" w:rsidRPr="003921FE" w:rsidRDefault="00B969D1" w:rsidP="147CE90A">
      <w:pPr>
        <w:numPr>
          <w:ilvl w:val="0"/>
          <w:numId w:val="3"/>
        </w:numPr>
        <w:rPr>
          <w:lang w:val="en-US"/>
        </w:rPr>
      </w:pPr>
      <w:r w:rsidRPr="003921FE">
        <w:rPr>
          <w:lang w:val="en-US"/>
        </w:rPr>
        <w:t xml:space="preserve">Establish a set of </w:t>
      </w:r>
      <w:r w:rsidRPr="003921FE">
        <w:rPr>
          <w:b/>
          <w:lang w:val="en-US"/>
        </w:rPr>
        <w:t>compulsory, objective metrics</w:t>
      </w:r>
      <w:r w:rsidRPr="003921FE">
        <w:rPr>
          <w:lang w:val="en-US"/>
        </w:rPr>
        <w:t xml:space="preserve"> to evaluate research quality</w:t>
      </w:r>
      <w:r w:rsidR="004E4C79" w:rsidRPr="003921FE">
        <w:rPr>
          <w:lang w:val="en-US"/>
        </w:rPr>
        <w:t xml:space="preserve"> </w:t>
      </w:r>
      <w:r w:rsidR="00461557" w:rsidRPr="003921FE">
        <w:rPr>
          <w:lang w:val="en-US"/>
        </w:rPr>
        <w:t xml:space="preserve">when </w:t>
      </w:r>
      <w:proofErr w:type="gramStart"/>
      <w:r w:rsidR="00461557" w:rsidRPr="003921FE">
        <w:rPr>
          <w:lang w:val="en-US"/>
        </w:rPr>
        <w:t xml:space="preserve">and </w:t>
      </w:r>
      <w:r w:rsidRPr="003921FE">
        <w:rPr>
          <w:lang w:val="en-US"/>
        </w:rPr>
        <w:t xml:space="preserve"> where</w:t>
      </w:r>
      <w:proofErr w:type="gramEnd"/>
      <w:r w:rsidRPr="003921FE">
        <w:rPr>
          <w:lang w:val="en-US"/>
        </w:rPr>
        <w:t xml:space="preserve"> applicable, such as:</w:t>
      </w:r>
      <w:r w:rsidR="606B5620" w:rsidRPr="003921FE">
        <w:rPr>
          <w:lang w:val="en-US"/>
        </w:rPr>
        <w:t xml:space="preserve"> </w:t>
      </w:r>
    </w:p>
    <w:p w14:paraId="0CC25AF9" w14:textId="77777777" w:rsidR="00B969D1" w:rsidRPr="00B969D1" w:rsidRDefault="00B969D1" w:rsidP="00B969D1">
      <w:pPr>
        <w:numPr>
          <w:ilvl w:val="1"/>
          <w:numId w:val="3"/>
        </w:numPr>
        <w:rPr>
          <w:lang w:val="en-US"/>
        </w:rPr>
      </w:pPr>
      <w:r w:rsidRPr="00B969D1">
        <w:rPr>
          <w:b/>
          <w:bCs/>
          <w:lang w:val="en-US"/>
        </w:rPr>
        <w:t>Performance of Ratings</w:t>
      </w:r>
      <w:r w:rsidRPr="00B969D1">
        <w:rPr>
          <w:lang w:val="en-US"/>
        </w:rPr>
        <w:t>: Measure the accuracy of recommendations, as tracked by systems like Bloomberg.</w:t>
      </w:r>
    </w:p>
    <w:p w14:paraId="1728CBD1" w14:textId="58E3E45C" w:rsidR="00B969D1" w:rsidRPr="003921FE" w:rsidRDefault="00B969D1" w:rsidP="00B969D1">
      <w:pPr>
        <w:numPr>
          <w:ilvl w:val="1"/>
          <w:numId w:val="3"/>
        </w:numPr>
        <w:rPr>
          <w:lang w:val="en-US"/>
        </w:rPr>
      </w:pPr>
      <w:r w:rsidRPr="147CE90A">
        <w:rPr>
          <w:b/>
          <w:bCs/>
          <w:lang w:val="en-US"/>
        </w:rPr>
        <w:t>Availability of Research</w:t>
      </w:r>
      <w:r w:rsidRPr="147CE90A">
        <w:rPr>
          <w:lang w:val="en-US"/>
        </w:rPr>
        <w:t xml:space="preserve">: Assess how </w:t>
      </w:r>
      <w:proofErr w:type="gramStart"/>
      <w:r w:rsidRPr="147CE90A">
        <w:rPr>
          <w:lang w:val="en-US"/>
        </w:rPr>
        <w:t>consistently</w:t>
      </w:r>
      <w:proofErr w:type="gramEnd"/>
      <w:r w:rsidRPr="147CE90A">
        <w:rPr>
          <w:lang w:val="en-US"/>
        </w:rPr>
        <w:t xml:space="preserve"> research is available, especially during critical market periods (e.g., during corporate </w:t>
      </w:r>
      <w:r w:rsidRPr="003921FE">
        <w:rPr>
          <w:lang w:val="en-US"/>
        </w:rPr>
        <w:t>deals</w:t>
      </w:r>
      <w:r w:rsidR="63FF2B3F" w:rsidRPr="003921FE">
        <w:rPr>
          <w:lang w:val="en-US"/>
        </w:rPr>
        <w:t xml:space="preserve"> or market crises or falling floats</w:t>
      </w:r>
      <w:r w:rsidRPr="003921FE">
        <w:rPr>
          <w:lang w:val="en-US"/>
        </w:rPr>
        <w:t>).</w:t>
      </w:r>
    </w:p>
    <w:p w14:paraId="43BEA09A" w14:textId="06E8C530" w:rsidR="00B969D1" w:rsidRDefault="00B969D1" w:rsidP="00B969D1">
      <w:pPr>
        <w:numPr>
          <w:ilvl w:val="1"/>
          <w:numId w:val="3"/>
        </w:numPr>
        <w:rPr>
          <w:lang w:val="en-US"/>
        </w:rPr>
      </w:pPr>
      <w:r w:rsidRPr="00B969D1">
        <w:rPr>
          <w:b/>
          <w:bCs/>
          <w:lang w:val="en-US"/>
        </w:rPr>
        <w:t>Predictive Quality</w:t>
      </w:r>
      <w:r w:rsidRPr="00B969D1">
        <w:rPr>
          <w:lang w:val="en-US"/>
        </w:rPr>
        <w:t xml:space="preserve">: Evaluate the accuracy of earnings forecasts, particularly in relation to the </w:t>
      </w:r>
      <w:proofErr w:type="gramStart"/>
      <w:r w:rsidRPr="00B969D1">
        <w:rPr>
          <w:lang w:val="en-US"/>
        </w:rPr>
        <w:t>fund's</w:t>
      </w:r>
      <w:proofErr w:type="gramEnd"/>
      <w:r w:rsidRPr="00B969D1">
        <w:rPr>
          <w:lang w:val="en-US"/>
        </w:rPr>
        <w:t xml:space="preserve"> holdings over the year.</w:t>
      </w:r>
    </w:p>
    <w:p w14:paraId="5CD6347F" w14:textId="7E1C3AD2" w:rsidR="0012604D" w:rsidRPr="00B969D1" w:rsidRDefault="0012604D" w:rsidP="0012604D">
      <w:pPr>
        <w:numPr>
          <w:ilvl w:val="0"/>
          <w:numId w:val="3"/>
        </w:numPr>
        <w:rPr>
          <w:lang w:val="en-US"/>
        </w:rPr>
      </w:pPr>
      <w:r>
        <w:rPr>
          <w:lang w:val="en-US"/>
        </w:rPr>
        <w:t>We do acknowledge that fo</w:t>
      </w:r>
      <w:r w:rsidR="00211596">
        <w:rPr>
          <w:lang w:val="en-US"/>
        </w:rPr>
        <w:t>r a significant part of the research provided, there are no objective</w:t>
      </w:r>
      <w:r w:rsidR="000149B6">
        <w:rPr>
          <w:lang w:val="en-US"/>
        </w:rPr>
        <w:t xml:space="preserve"> (at least in the sense of</w:t>
      </w:r>
      <w:r w:rsidR="00211596">
        <w:rPr>
          <w:lang w:val="en-US"/>
        </w:rPr>
        <w:t xml:space="preserve"> numeri</w:t>
      </w:r>
      <w:r w:rsidR="005D31C1">
        <w:rPr>
          <w:lang w:val="en-US"/>
        </w:rPr>
        <w:t>cal</w:t>
      </w:r>
      <w:r w:rsidR="000149B6">
        <w:rPr>
          <w:lang w:val="en-US"/>
        </w:rPr>
        <w:t xml:space="preserve">) ways to assess the quality of research. </w:t>
      </w:r>
      <w:r w:rsidR="00E4186A">
        <w:rPr>
          <w:lang w:val="en-US"/>
        </w:rPr>
        <w:t xml:space="preserve">In no way do we suggest that the subjective part of the assessment should be removed as it is the most essential </w:t>
      </w:r>
      <w:r w:rsidR="00D4672C">
        <w:rPr>
          <w:lang w:val="en-US"/>
        </w:rPr>
        <w:t>part of in</w:t>
      </w:r>
      <w:r w:rsidR="00737E68">
        <w:rPr>
          <w:lang w:val="en-US"/>
        </w:rPr>
        <w:t>vestment research</w:t>
      </w:r>
      <w:r w:rsidR="00E4380E">
        <w:rPr>
          <w:lang w:val="en-US"/>
        </w:rPr>
        <w:t xml:space="preserve">. </w:t>
      </w:r>
      <w:r w:rsidR="00BA0AD2">
        <w:rPr>
          <w:lang w:val="en-US"/>
        </w:rPr>
        <w:t xml:space="preserve">Yet, when these are available, they should be </w:t>
      </w:r>
      <w:proofErr w:type="gramStart"/>
      <w:r w:rsidR="004129C9">
        <w:rPr>
          <w:lang w:val="en-US"/>
        </w:rPr>
        <w:t>taken into account</w:t>
      </w:r>
      <w:proofErr w:type="gramEnd"/>
      <w:r w:rsidR="004129C9">
        <w:rPr>
          <w:lang w:val="en-US"/>
        </w:rPr>
        <w:t xml:space="preserve">. </w:t>
      </w:r>
    </w:p>
    <w:p w14:paraId="0323FC7B" w14:textId="77777777" w:rsidR="00B969D1" w:rsidRPr="00B969D1" w:rsidRDefault="00B969D1" w:rsidP="00B969D1">
      <w:pPr>
        <w:rPr>
          <w:b/>
          <w:bCs/>
          <w:lang w:val="en-US"/>
        </w:rPr>
      </w:pPr>
      <w:r w:rsidRPr="00B969D1">
        <w:rPr>
          <w:b/>
          <w:bCs/>
          <w:lang w:val="en-US"/>
        </w:rPr>
        <w:lastRenderedPageBreak/>
        <w:t>3. Separate Research Dissemination from Quality Assessment</w:t>
      </w:r>
    </w:p>
    <w:p w14:paraId="1699A792" w14:textId="77777777" w:rsidR="00B969D1" w:rsidRPr="00B969D1" w:rsidRDefault="00B969D1" w:rsidP="00B969D1">
      <w:pPr>
        <w:numPr>
          <w:ilvl w:val="0"/>
          <w:numId w:val="4"/>
        </w:numPr>
        <w:rPr>
          <w:lang w:val="en-US"/>
        </w:rPr>
      </w:pPr>
      <w:r w:rsidRPr="00B969D1">
        <w:rPr>
          <w:lang w:val="en-US"/>
        </w:rPr>
        <w:t xml:space="preserve">Distinguish between the </w:t>
      </w:r>
      <w:r w:rsidRPr="00B969D1">
        <w:rPr>
          <w:b/>
          <w:bCs/>
          <w:lang w:val="en-US"/>
        </w:rPr>
        <w:t>dissemination of research</w:t>
      </w:r>
      <w:r w:rsidRPr="00B969D1">
        <w:rPr>
          <w:lang w:val="en-US"/>
        </w:rPr>
        <w:t xml:space="preserve"> (e.g., the level of service provided by sales teams) and the </w:t>
      </w:r>
      <w:r w:rsidRPr="00B969D1">
        <w:rPr>
          <w:b/>
          <w:bCs/>
          <w:lang w:val="en-US"/>
        </w:rPr>
        <w:t>intrinsic quality of research itself</w:t>
      </w:r>
      <w:r w:rsidRPr="00B969D1">
        <w:rPr>
          <w:lang w:val="en-US"/>
        </w:rPr>
        <w:t>.</w:t>
      </w:r>
    </w:p>
    <w:p w14:paraId="5F7540B0" w14:textId="7718C26C" w:rsidR="00B969D1" w:rsidRPr="00B969D1" w:rsidRDefault="00B969D1" w:rsidP="00B969D1">
      <w:pPr>
        <w:numPr>
          <w:ilvl w:val="0"/>
          <w:numId w:val="4"/>
        </w:numPr>
        <w:rPr>
          <w:lang w:val="en-US"/>
        </w:rPr>
      </w:pPr>
      <w:r w:rsidRPr="00B969D1">
        <w:rPr>
          <w:lang w:val="en-US"/>
        </w:rPr>
        <w:t>Marketing and sales-driven efforts, which are comparable to advertising, should not influence assessments of research quality. These elements primarily reflect distribution efficiency rather than the actual value of the research.</w:t>
      </w:r>
    </w:p>
    <w:p w14:paraId="303F90DB" w14:textId="77777777" w:rsidR="00B969D1" w:rsidRPr="00B969D1" w:rsidRDefault="00B969D1" w:rsidP="00B969D1">
      <w:pPr>
        <w:rPr>
          <w:b/>
          <w:bCs/>
          <w:lang w:val="en-US"/>
        </w:rPr>
      </w:pPr>
      <w:r w:rsidRPr="00B969D1">
        <w:rPr>
          <w:b/>
          <w:bCs/>
          <w:lang w:val="en-US"/>
        </w:rPr>
        <w:t>4. Exclude Corporate Access from Research Assessment</w:t>
      </w:r>
    </w:p>
    <w:p w14:paraId="11A4F123" w14:textId="77777777" w:rsidR="00B969D1" w:rsidRPr="00B969D1" w:rsidRDefault="00B969D1" w:rsidP="00B969D1">
      <w:pPr>
        <w:numPr>
          <w:ilvl w:val="0"/>
          <w:numId w:val="5"/>
        </w:numPr>
        <w:rPr>
          <w:lang w:val="en-US"/>
        </w:rPr>
      </w:pPr>
      <w:r w:rsidRPr="00B969D1">
        <w:rPr>
          <w:lang w:val="en-US"/>
        </w:rPr>
        <w:t xml:space="preserve">Prohibit </w:t>
      </w:r>
      <w:r w:rsidRPr="00B969D1">
        <w:rPr>
          <w:b/>
          <w:bCs/>
          <w:lang w:val="en-US"/>
        </w:rPr>
        <w:t>corporate access</w:t>
      </w:r>
      <w:r w:rsidRPr="00B969D1">
        <w:rPr>
          <w:lang w:val="en-US"/>
        </w:rPr>
        <w:t xml:space="preserve"> from being included in research evaluations, as it creates significant conflicts of interest.</w:t>
      </w:r>
    </w:p>
    <w:p w14:paraId="7FC37B71" w14:textId="77777777" w:rsidR="00B969D1" w:rsidRPr="00B969D1" w:rsidRDefault="00B969D1" w:rsidP="00B969D1">
      <w:pPr>
        <w:numPr>
          <w:ilvl w:val="1"/>
          <w:numId w:val="5"/>
        </w:numPr>
      </w:pPr>
      <w:r w:rsidRPr="00B969D1">
        <w:rPr>
          <w:lang w:val="en-US"/>
        </w:rPr>
        <w:t xml:space="preserve">Issuers often prioritize brokers who provide favorable research, rewarding them with access to corporate roadshows. </w:t>
      </w:r>
      <w:r w:rsidRPr="00B969D1">
        <w:t xml:space="preserve">This </w:t>
      </w:r>
      <w:proofErr w:type="spellStart"/>
      <w:r w:rsidRPr="00B969D1">
        <w:t>creates</w:t>
      </w:r>
      <w:proofErr w:type="spellEnd"/>
      <w:r w:rsidRPr="00B969D1">
        <w:t xml:space="preserve"> direct and indirect </w:t>
      </w:r>
      <w:proofErr w:type="spellStart"/>
      <w:r w:rsidRPr="00B969D1">
        <w:t>financial</w:t>
      </w:r>
      <w:proofErr w:type="spellEnd"/>
      <w:r w:rsidRPr="00B969D1">
        <w:t xml:space="preserve"> </w:t>
      </w:r>
      <w:proofErr w:type="spellStart"/>
      <w:r w:rsidRPr="00B969D1">
        <w:t>benefits</w:t>
      </w:r>
      <w:proofErr w:type="spellEnd"/>
      <w:r w:rsidRPr="00B969D1">
        <w:t xml:space="preserve"> for brokers.</w:t>
      </w:r>
    </w:p>
    <w:p w14:paraId="096392F1" w14:textId="77777777" w:rsidR="00B969D1" w:rsidRPr="00B969D1" w:rsidRDefault="00B969D1" w:rsidP="00B969D1">
      <w:pPr>
        <w:numPr>
          <w:ilvl w:val="0"/>
          <w:numId w:val="5"/>
        </w:numPr>
        <w:rPr>
          <w:lang w:val="en-US"/>
        </w:rPr>
      </w:pPr>
      <w:r w:rsidRPr="00B969D1">
        <w:rPr>
          <w:lang w:val="en-US"/>
        </w:rPr>
        <w:t>While corporate access is valuable to asset managers, it must be treated as a separate service and completely disentangled from the evaluation of research quality.</w:t>
      </w:r>
    </w:p>
    <w:p w14:paraId="0CD8556C" w14:textId="77777777" w:rsidR="00B969D1" w:rsidRPr="00B969D1" w:rsidRDefault="00B969D1" w:rsidP="00B969D1">
      <w:pPr>
        <w:rPr>
          <w:b/>
          <w:bCs/>
          <w:lang w:val="en-US"/>
        </w:rPr>
      </w:pPr>
      <w:r w:rsidRPr="00B969D1">
        <w:rPr>
          <w:b/>
          <w:bCs/>
          <w:lang w:val="en-US"/>
        </w:rPr>
        <w:t>Conclusion:</w:t>
      </w:r>
    </w:p>
    <w:p w14:paraId="6251CC40" w14:textId="77777777" w:rsidR="00B969D1" w:rsidRPr="00B969D1" w:rsidRDefault="00B969D1" w:rsidP="00B969D1">
      <w:pPr>
        <w:rPr>
          <w:lang w:val="en-US"/>
        </w:rPr>
      </w:pPr>
      <w:r w:rsidRPr="00B969D1">
        <w:rPr>
          <w:lang w:val="en-US"/>
        </w:rPr>
        <w:t>This framework ensures that research assessment focuses on transparency, quality, and fairness, preventing conflicts of interest and fostering a competitive and objective environment for research providers.</w:t>
      </w:r>
    </w:p>
    <w:p w14:paraId="7E31910D" w14:textId="77777777" w:rsidR="003D0D89" w:rsidRDefault="003D0D89">
      <w:pPr>
        <w:rPr>
          <w:lang w:val="en-US"/>
        </w:rPr>
      </w:pPr>
    </w:p>
    <w:p w14:paraId="5C3916DD" w14:textId="77777777" w:rsidR="00A072B4" w:rsidRDefault="00A072B4">
      <w:pPr>
        <w:rPr>
          <w:lang w:val="en-US"/>
        </w:rPr>
      </w:pPr>
    </w:p>
    <w:p w14:paraId="5541205A" w14:textId="422E1D94" w:rsidR="009D0EC2" w:rsidRDefault="009D0EC2">
      <w:pPr>
        <w:rPr>
          <w:lang w:val="en-US"/>
        </w:rPr>
      </w:pPr>
      <w:r w:rsidRPr="003D0D89">
        <w:rPr>
          <w:b/>
          <w:bCs/>
          <w:u w:val="single"/>
          <w:lang w:val="en-US"/>
        </w:rPr>
        <w:t xml:space="preserve">Question </w:t>
      </w:r>
      <w:proofErr w:type="gramStart"/>
      <w:r w:rsidRPr="003D0D89">
        <w:rPr>
          <w:b/>
          <w:bCs/>
          <w:u w:val="single"/>
          <w:lang w:val="en-US"/>
        </w:rPr>
        <w:t>4</w:t>
      </w:r>
      <w:r>
        <w:rPr>
          <w:lang w:val="en-US"/>
        </w:rPr>
        <w:t xml:space="preserve"> :</w:t>
      </w:r>
      <w:proofErr w:type="gramEnd"/>
      <w:r>
        <w:rPr>
          <w:lang w:val="en-US"/>
        </w:rPr>
        <w:t xml:space="preserve"> do you agree that, when conducting the annual assessment provided in new article 24 (9a) of MIFID2, an investment firm could be required to include a comparison with potential alternative research providers ? Please state the reasons for your answer. Please also provide feedback on the availability of free trials for research services and why they may or may not be appropriate for investment firms to fulfill their obligations under Article 24(9a). If free trials are not appropriate, which other methods could be used for comparison? </w:t>
      </w:r>
    </w:p>
    <w:p w14:paraId="08E7D70C" w14:textId="4097C579" w:rsidR="002C5333" w:rsidRPr="002C5333" w:rsidRDefault="002C5333" w:rsidP="002C5333">
      <w:pPr>
        <w:rPr>
          <w:u w:val="single"/>
          <w:lang w:val="en-US"/>
        </w:rPr>
      </w:pPr>
      <w:r w:rsidRPr="002C5333">
        <w:rPr>
          <w:u w:val="single"/>
          <w:lang w:val="en-US"/>
        </w:rPr>
        <w:t xml:space="preserve">Answer </w:t>
      </w:r>
      <w:r w:rsidR="0003403A">
        <w:rPr>
          <w:u w:val="single"/>
          <w:lang w:val="en-US"/>
        </w:rPr>
        <w:t>4</w:t>
      </w:r>
      <w:r w:rsidRPr="002C5333">
        <w:rPr>
          <w:u w:val="single"/>
          <w:lang w:val="en-US"/>
        </w:rPr>
        <w:t>:</w:t>
      </w:r>
    </w:p>
    <w:p w14:paraId="42499AD7" w14:textId="77777777" w:rsidR="00BF43C6" w:rsidRPr="00BF43C6" w:rsidRDefault="00BF43C6" w:rsidP="00BF43C6">
      <w:pPr>
        <w:rPr>
          <w:lang w:val="en-US"/>
        </w:rPr>
      </w:pPr>
      <w:r w:rsidRPr="00BF43C6">
        <w:rPr>
          <w:b/>
          <w:bCs/>
          <w:lang w:val="en-US"/>
        </w:rPr>
        <w:t>1. Comparison of Research Providers</w:t>
      </w:r>
    </w:p>
    <w:p w14:paraId="1CC5F303" w14:textId="77777777" w:rsidR="00BF43C6" w:rsidRPr="00BF43C6" w:rsidRDefault="00BF43C6" w:rsidP="00BF43C6">
      <w:pPr>
        <w:numPr>
          <w:ilvl w:val="0"/>
          <w:numId w:val="6"/>
        </w:numPr>
        <w:rPr>
          <w:lang w:val="en-US"/>
        </w:rPr>
      </w:pPr>
      <w:r w:rsidRPr="00BF43C6">
        <w:rPr>
          <w:lang w:val="en-US"/>
        </w:rPr>
        <w:t>Comparing alternative research providers is essential to ensure asset managers receive the best research services tailored to their needs.</w:t>
      </w:r>
    </w:p>
    <w:p w14:paraId="710889D0" w14:textId="77777777" w:rsidR="00BF43C6" w:rsidRPr="00BF43C6" w:rsidRDefault="00BF43C6" w:rsidP="00BF43C6">
      <w:pPr>
        <w:numPr>
          <w:ilvl w:val="0"/>
          <w:numId w:val="6"/>
        </w:numPr>
        <w:rPr>
          <w:lang w:val="en-US"/>
        </w:rPr>
      </w:pPr>
      <w:r w:rsidRPr="00BF43C6">
        <w:rPr>
          <w:lang w:val="en-US"/>
        </w:rPr>
        <w:t xml:space="preserve">However, </w:t>
      </w:r>
      <w:r w:rsidRPr="00BF43C6">
        <w:rPr>
          <w:b/>
          <w:bCs/>
          <w:lang w:val="en-US"/>
        </w:rPr>
        <w:t>discovery mechanisms</w:t>
      </w:r>
      <w:r w:rsidRPr="00BF43C6">
        <w:rPr>
          <w:lang w:val="en-US"/>
        </w:rPr>
        <w:t xml:space="preserve"> for evaluating research can be time-consuming and may require external consulting firms to handle the process. While this adds complexity, it can ultimately benefit both asset managers and end investors by ensuring quality research.</w:t>
      </w:r>
    </w:p>
    <w:p w14:paraId="48379194" w14:textId="77777777" w:rsidR="00BF43C6" w:rsidRPr="00BF43C6" w:rsidRDefault="00BF43C6" w:rsidP="00BF43C6">
      <w:r w:rsidRPr="00BF43C6">
        <w:rPr>
          <w:b/>
          <w:bCs/>
        </w:rPr>
        <w:t xml:space="preserve">2. Free Trials for </w:t>
      </w:r>
      <w:proofErr w:type="spellStart"/>
      <w:r w:rsidRPr="00BF43C6">
        <w:rPr>
          <w:b/>
          <w:bCs/>
        </w:rPr>
        <w:t>Research</w:t>
      </w:r>
      <w:proofErr w:type="spellEnd"/>
    </w:p>
    <w:p w14:paraId="16D8A3D3" w14:textId="77777777" w:rsidR="00BF43C6" w:rsidRPr="00BF43C6" w:rsidRDefault="00BF43C6" w:rsidP="00BF43C6">
      <w:pPr>
        <w:numPr>
          <w:ilvl w:val="0"/>
          <w:numId w:val="7"/>
        </w:numPr>
        <w:rPr>
          <w:lang w:val="en-US"/>
        </w:rPr>
      </w:pPr>
      <w:r w:rsidRPr="00BF43C6">
        <w:rPr>
          <w:lang w:val="en-US"/>
        </w:rPr>
        <w:t>Free trials are a practical way for asset managers to sample research and assess its relevance.</w:t>
      </w:r>
    </w:p>
    <w:p w14:paraId="10118CF4" w14:textId="5741A302" w:rsidR="00BF43C6" w:rsidRPr="00BF43C6" w:rsidRDefault="00BF43C6" w:rsidP="00BF43C6">
      <w:pPr>
        <w:numPr>
          <w:ilvl w:val="0"/>
          <w:numId w:val="7"/>
        </w:numPr>
        <w:rPr>
          <w:lang w:val="en-US"/>
        </w:rPr>
      </w:pPr>
      <w:r w:rsidRPr="00BF43C6">
        <w:rPr>
          <w:lang w:val="en-US"/>
        </w:rPr>
        <w:t xml:space="preserve">In the UK, obligations for research dissemination were eased for independent research advisers in mid-2022, but this change had little effect on adoption rates </w:t>
      </w:r>
      <w:r w:rsidR="002C5333">
        <w:rPr>
          <w:lang w:val="en-US"/>
        </w:rPr>
        <w:t xml:space="preserve">of independent research </w:t>
      </w:r>
      <w:r w:rsidRPr="00BF43C6">
        <w:rPr>
          <w:lang w:val="en-US"/>
        </w:rPr>
        <w:t>by asset managers.</w:t>
      </w:r>
    </w:p>
    <w:p w14:paraId="6225657A" w14:textId="54F9397C" w:rsidR="00BF43C6" w:rsidRDefault="00BF43C6" w:rsidP="00BF43C6">
      <w:pPr>
        <w:numPr>
          <w:ilvl w:val="0"/>
          <w:numId w:val="7"/>
        </w:numPr>
        <w:rPr>
          <w:lang w:val="en-US"/>
        </w:rPr>
      </w:pPr>
      <w:r w:rsidRPr="00BF43C6">
        <w:rPr>
          <w:lang w:val="en-US"/>
        </w:rPr>
        <w:lastRenderedPageBreak/>
        <w:t>We believe free trials are appropriate, but providers should have the flexibility to terminate trials at their discretion.</w:t>
      </w:r>
    </w:p>
    <w:p w14:paraId="408AA442" w14:textId="235D4296" w:rsidR="00F15554" w:rsidRDefault="00F15554" w:rsidP="00F15554">
      <w:pPr>
        <w:numPr>
          <w:ilvl w:val="0"/>
          <w:numId w:val="9"/>
        </w:numPr>
        <w:rPr>
          <w:lang w:val="en-US"/>
        </w:rPr>
      </w:pPr>
      <w:r w:rsidRPr="147CE90A">
        <w:rPr>
          <w:lang w:val="en-US"/>
        </w:rPr>
        <w:t xml:space="preserve">There </w:t>
      </w:r>
      <w:proofErr w:type="gramStart"/>
      <w:r w:rsidRPr="147CE90A">
        <w:rPr>
          <w:lang w:val="en-US"/>
        </w:rPr>
        <w:t>has</w:t>
      </w:r>
      <w:proofErr w:type="gramEnd"/>
      <w:r w:rsidRPr="147CE90A">
        <w:rPr>
          <w:lang w:val="en-US"/>
        </w:rPr>
        <w:t xml:space="preserve"> been suggestion</w:t>
      </w:r>
      <w:r w:rsidR="1B3FA46E" w:rsidRPr="147CE90A">
        <w:rPr>
          <w:lang w:val="en-US"/>
        </w:rPr>
        <w:t>s</w:t>
      </w:r>
      <w:r w:rsidRPr="147CE90A">
        <w:rPr>
          <w:lang w:val="en-US"/>
        </w:rPr>
        <w:t xml:space="preserve"> that research offered on free trials could be subjected to the same assessment criteria as paid research if the trial period exceeds a specific duration (e.g., 6 months or more in a given year). While this ensures fair evaluation, it </w:t>
      </w:r>
      <w:r w:rsidR="0003403A" w:rsidRPr="147CE90A">
        <w:rPr>
          <w:lang w:val="en-US"/>
        </w:rPr>
        <w:t>may</w:t>
      </w:r>
      <w:r w:rsidRPr="147CE90A">
        <w:rPr>
          <w:lang w:val="en-US"/>
        </w:rPr>
        <w:t xml:space="preserve"> discourage asset managers from exploring new research trials due to the added administrative burden. We therefore consider that such a move would be </w:t>
      </w:r>
      <w:r w:rsidR="5A58B412" w:rsidRPr="147CE90A">
        <w:rPr>
          <w:lang w:val="en-US"/>
        </w:rPr>
        <w:t>counterproductive</w:t>
      </w:r>
      <w:r w:rsidRPr="147CE90A">
        <w:rPr>
          <w:lang w:val="en-US"/>
        </w:rPr>
        <w:t xml:space="preserve">. </w:t>
      </w:r>
    </w:p>
    <w:p w14:paraId="02EDE03A" w14:textId="38DE43DB" w:rsidR="00F15554" w:rsidRPr="00BF43C6" w:rsidRDefault="00B32CBE" w:rsidP="00F15554">
      <w:pPr>
        <w:numPr>
          <w:ilvl w:val="0"/>
          <w:numId w:val="9"/>
        </w:numPr>
        <w:rPr>
          <w:lang w:val="en-US"/>
        </w:rPr>
      </w:pPr>
      <w:r>
        <w:rPr>
          <w:lang w:val="en-US"/>
        </w:rPr>
        <w:t xml:space="preserve">However, this could be done through external consulting firms that assess research. </w:t>
      </w:r>
    </w:p>
    <w:p w14:paraId="140DAB97" w14:textId="77777777" w:rsidR="00BF43C6" w:rsidRPr="00BF43C6" w:rsidRDefault="00BF43C6" w:rsidP="00BF43C6">
      <w:r w:rsidRPr="00BF43C6">
        <w:rPr>
          <w:b/>
          <w:bCs/>
        </w:rPr>
        <w:t xml:space="preserve">3. Risk of </w:t>
      </w:r>
      <w:proofErr w:type="spellStart"/>
      <w:r w:rsidRPr="00BF43C6">
        <w:rPr>
          <w:b/>
          <w:bCs/>
        </w:rPr>
        <w:t>Inducements</w:t>
      </w:r>
      <w:proofErr w:type="spellEnd"/>
    </w:p>
    <w:p w14:paraId="6B7C7175" w14:textId="77777777" w:rsidR="00BF43C6" w:rsidRPr="00BF43C6" w:rsidRDefault="00BF43C6" w:rsidP="00BF43C6">
      <w:pPr>
        <w:numPr>
          <w:ilvl w:val="0"/>
          <w:numId w:val="8"/>
        </w:numPr>
        <w:rPr>
          <w:lang w:val="en-US"/>
        </w:rPr>
      </w:pPr>
      <w:r w:rsidRPr="00BF43C6">
        <w:rPr>
          <w:lang w:val="en-US"/>
        </w:rPr>
        <w:t>A significant concern is the potential for research to be offered for free as an inducement to use other services, particularly from banks or brokers.</w:t>
      </w:r>
    </w:p>
    <w:p w14:paraId="6253EF0F" w14:textId="760E7D5B" w:rsidR="00BF43C6" w:rsidRPr="00BF43C6" w:rsidRDefault="00BF43C6" w:rsidP="00BF43C6">
      <w:pPr>
        <w:numPr>
          <w:ilvl w:val="0"/>
          <w:numId w:val="8"/>
        </w:numPr>
        <w:rPr>
          <w:lang w:val="en-US"/>
        </w:rPr>
      </w:pPr>
      <w:r w:rsidRPr="00BF43C6">
        <w:rPr>
          <w:lang w:val="en-US"/>
        </w:rPr>
        <w:t xml:space="preserve">The risk of inducement differs significantly between </w:t>
      </w:r>
      <w:r w:rsidRPr="00BF43C6">
        <w:rPr>
          <w:b/>
          <w:bCs/>
          <w:lang w:val="en-US"/>
        </w:rPr>
        <w:t>brokers</w:t>
      </w:r>
      <w:r w:rsidRPr="00BF43C6">
        <w:rPr>
          <w:lang w:val="en-US"/>
        </w:rPr>
        <w:t xml:space="preserve"> (who have broader service offerings tied to trading or corporate access) and </w:t>
      </w:r>
      <w:r w:rsidRPr="00BF43C6">
        <w:rPr>
          <w:b/>
          <w:bCs/>
          <w:lang w:val="en-US"/>
        </w:rPr>
        <w:t>independent research providers</w:t>
      </w:r>
      <w:r w:rsidRPr="00BF43C6">
        <w:rPr>
          <w:lang w:val="en-US"/>
        </w:rPr>
        <w:t xml:space="preserve"> (who lack such conflicts of interest).</w:t>
      </w:r>
    </w:p>
    <w:p w14:paraId="4E1B3E35" w14:textId="77777777" w:rsidR="00BF43C6" w:rsidRPr="00BF43C6" w:rsidRDefault="00BF43C6" w:rsidP="00BF43C6">
      <w:pPr>
        <w:rPr>
          <w:lang w:val="en-US"/>
        </w:rPr>
      </w:pPr>
      <w:r w:rsidRPr="00BF43C6">
        <w:rPr>
          <w:b/>
          <w:bCs/>
          <w:lang w:val="en-US"/>
        </w:rPr>
        <w:t>Conclusion</w:t>
      </w:r>
      <w:r w:rsidRPr="00BF43C6">
        <w:rPr>
          <w:lang w:val="en-US"/>
        </w:rPr>
        <w:br/>
        <w:t>Free trials remain the most effective way to evaluate research, but care must be taken to prevent their misuse as inducements. Clear guidelines on trial duration and evaluation criteria, along with distinctions between independent providers and brokers, can promote fair competition and transparency without deterring asset managers from exploring new options.</w:t>
      </w:r>
    </w:p>
    <w:p w14:paraId="6029288A" w14:textId="77777777" w:rsidR="000C555C" w:rsidRDefault="000C555C">
      <w:pPr>
        <w:rPr>
          <w:lang w:val="en-US"/>
        </w:rPr>
      </w:pPr>
    </w:p>
    <w:p w14:paraId="4E9E109B" w14:textId="1D3BB364" w:rsidR="003D0D89" w:rsidRDefault="009D0EC2">
      <w:pPr>
        <w:rPr>
          <w:lang w:val="en-US"/>
        </w:rPr>
      </w:pPr>
      <w:r w:rsidRPr="003D0D89">
        <w:rPr>
          <w:b/>
          <w:bCs/>
          <w:u w:val="single"/>
          <w:lang w:val="en-US"/>
        </w:rPr>
        <w:t>Question 5</w:t>
      </w:r>
      <w:r>
        <w:rPr>
          <w:lang w:val="en-US"/>
        </w:rPr>
        <w:t xml:space="preserve"> Do you agree with the introduction of New Paragrap</w:t>
      </w:r>
      <w:r w:rsidR="003C1828">
        <w:rPr>
          <w:lang w:val="en-US"/>
        </w:rPr>
        <w:t>h</w:t>
      </w:r>
      <w:r>
        <w:rPr>
          <w:lang w:val="en-US"/>
        </w:rPr>
        <w:t xml:space="preserve"> 10 in article 13 of Commission delegated Directive 2017/</w:t>
      </w:r>
      <w:r w:rsidR="00D422A3">
        <w:rPr>
          <w:lang w:val="en-US"/>
        </w:rPr>
        <w:t>593?</w:t>
      </w:r>
      <w:r>
        <w:rPr>
          <w:lang w:val="en-US"/>
        </w:rPr>
        <w:t xml:space="preserve"> </w:t>
      </w:r>
      <w:r w:rsidR="000C555C">
        <w:rPr>
          <w:lang w:val="en-US"/>
        </w:rPr>
        <w:t>Please state the reasons for your answer</w:t>
      </w:r>
    </w:p>
    <w:p w14:paraId="4B12106F" w14:textId="669A091F" w:rsidR="0003403A" w:rsidRPr="0003403A" w:rsidRDefault="0003403A">
      <w:pPr>
        <w:rPr>
          <w:lang w:val="en-US"/>
        </w:rPr>
      </w:pPr>
      <w:r w:rsidRPr="0003403A">
        <w:rPr>
          <w:u w:val="single"/>
          <w:lang w:val="en-US"/>
        </w:rPr>
        <w:t xml:space="preserve">Answer </w:t>
      </w:r>
      <w:r>
        <w:rPr>
          <w:u w:val="single"/>
          <w:lang w:val="en-US"/>
        </w:rPr>
        <w:t>5</w:t>
      </w:r>
      <w:r w:rsidRPr="0003403A">
        <w:rPr>
          <w:u w:val="single"/>
          <w:lang w:val="en-US"/>
        </w:rPr>
        <w:t>:</w:t>
      </w:r>
      <w:r w:rsidRPr="0003403A">
        <w:rPr>
          <w:lang w:val="en-US"/>
        </w:rPr>
        <w:t xml:space="preserve"> </w:t>
      </w:r>
    </w:p>
    <w:p w14:paraId="2ED3CEAF" w14:textId="0E440784" w:rsidR="003D0D89" w:rsidRDefault="00CB6C6F">
      <w:pPr>
        <w:rPr>
          <w:lang w:val="en-US"/>
        </w:rPr>
      </w:pPr>
      <w:proofErr w:type="gramStart"/>
      <w:r>
        <w:rPr>
          <w:lang w:val="en-US"/>
        </w:rPr>
        <w:t>Yes</w:t>
      </w:r>
      <w:proofErr w:type="gramEnd"/>
      <w:r>
        <w:rPr>
          <w:lang w:val="en-US"/>
        </w:rPr>
        <w:t xml:space="preserve"> t</w:t>
      </w:r>
      <w:r w:rsidR="00B25977">
        <w:rPr>
          <w:lang w:val="en-US"/>
        </w:rPr>
        <w:t xml:space="preserve">he possibility </w:t>
      </w:r>
      <w:proofErr w:type="gramStart"/>
      <w:r w:rsidR="00B25977">
        <w:rPr>
          <w:lang w:val="en-US"/>
        </w:rPr>
        <w:t>to bundle</w:t>
      </w:r>
      <w:proofErr w:type="gramEnd"/>
      <w:r w:rsidR="00B25977">
        <w:rPr>
          <w:lang w:val="en-US"/>
        </w:rPr>
        <w:t xml:space="preserve"> research and trading is overall a good possibility.</w:t>
      </w:r>
      <w:r w:rsidR="00280E96" w:rsidRPr="00A072B4">
        <w:rPr>
          <w:lang w:val="en-US"/>
        </w:rPr>
        <w:br/>
      </w:r>
      <w:r w:rsidR="00D422A3" w:rsidRPr="00A072B4">
        <w:rPr>
          <w:lang w:val="en-US"/>
        </w:rPr>
        <w:br/>
      </w:r>
      <w:r w:rsidR="00B25977">
        <w:rPr>
          <w:lang w:val="en-US"/>
        </w:rPr>
        <w:t xml:space="preserve">However, this should not induce any specific advantage for the trading firm in question. It is therefore </w:t>
      </w:r>
      <w:proofErr w:type="gramStart"/>
      <w:r w:rsidR="00B25977">
        <w:rPr>
          <w:lang w:val="en-US"/>
        </w:rPr>
        <w:t>absolutely crucial</w:t>
      </w:r>
      <w:proofErr w:type="gramEnd"/>
      <w:r w:rsidR="00B25977">
        <w:rPr>
          <w:lang w:val="en-US"/>
        </w:rPr>
        <w:t xml:space="preserve"> that the research provided by the trading firm be subject to the same standards as other research providers. The trading fee allocated to the research wallet under the RPA new version (which is awfully close in our opinion to the mechanism formerly called CSA) should be set in advance and be available to pay for all research. </w:t>
      </w:r>
    </w:p>
    <w:p w14:paraId="6E9C2196" w14:textId="77777777" w:rsidR="000628BC" w:rsidRDefault="00D422A3">
      <w:pPr>
        <w:rPr>
          <w:lang w:val="en-US"/>
        </w:rPr>
      </w:pPr>
      <w:r>
        <w:rPr>
          <w:lang w:val="en-US"/>
        </w:rPr>
        <w:t>Best execution (although it is extremely hard to</w:t>
      </w:r>
      <w:r w:rsidR="00F874AB">
        <w:rPr>
          <w:lang w:val="en-US"/>
        </w:rPr>
        <w:t xml:space="preserve"> correctly</w:t>
      </w:r>
      <w:r>
        <w:rPr>
          <w:lang w:val="en-US"/>
        </w:rPr>
        <w:t xml:space="preserve"> assess pre trade) is key </w:t>
      </w:r>
      <w:proofErr w:type="gramStart"/>
      <w:r>
        <w:rPr>
          <w:lang w:val="en-US"/>
        </w:rPr>
        <w:t>for</w:t>
      </w:r>
      <w:proofErr w:type="gramEnd"/>
      <w:r>
        <w:rPr>
          <w:lang w:val="en-US"/>
        </w:rPr>
        <w:t xml:space="preserve"> a </w:t>
      </w:r>
      <w:r w:rsidR="00A8403B">
        <w:rPr>
          <w:lang w:val="en-US"/>
        </w:rPr>
        <w:t>well-functioning</w:t>
      </w:r>
      <w:r>
        <w:rPr>
          <w:lang w:val="en-US"/>
        </w:rPr>
        <w:t xml:space="preserve"> equity market</w:t>
      </w:r>
      <w:r w:rsidR="00E72F96">
        <w:rPr>
          <w:lang w:val="en-US"/>
        </w:rPr>
        <w:t xml:space="preserve"> and should be the </w:t>
      </w:r>
      <w:r w:rsidR="00F50A1A">
        <w:rPr>
          <w:lang w:val="en-US"/>
        </w:rPr>
        <w:t xml:space="preserve">main </w:t>
      </w:r>
      <w:r w:rsidR="00F42432">
        <w:rPr>
          <w:lang w:val="en-US"/>
        </w:rPr>
        <w:t>(</w:t>
      </w:r>
      <w:r w:rsidR="00F50A1A">
        <w:rPr>
          <w:lang w:val="en-US"/>
        </w:rPr>
        <w:t>if not only</w:t>
      </w:r>
      <w:r w:rsidR="00F42432">
        <w:rPr>
          <w:lang w:val="en-US"/>
        </w:rPr>
        <w:t>)</w:t>
      </w:r>
      <w:r w:rsidR="00E72F96">
        <w:rPr>
          <w:lang w:val="en-US"/>
        </w:rPr>
        <w:t xml:space="preserve"> </w:t>
      </w:r>
      <w:r w:rsidR="00F50A1A">
        <w:rPr>
          <w:lang w:val="en-US"/>
        </w:rPr>
        <w:t xml:space="preserve">consideration when picking a trading firm. </w:t>
      </w:r>
    </w:p>
    <w:p w14:paraId="3F539ED9" w14:textId="093FC82C" w:rsidR="009D0EC2" w:rsidRDefault="00FE28A4">
      <w:pPr>
        <w:rPr>
          <w:lang w:val="en-US"/>
        </w:rPr>
      </w:pPr>
      <w:r>
        <w:rPr>
          <w:lang w:val="en-US"/>
        </w:rPr>
        <w:t>We believe that m</w:t>
      </w:r>
      <w:r w:rsidR="00554B3E">
        <w:rPr>
          <w:lang w:val="en-US"/>
        </w:rPr>
        <w:t>o</w:t>
      </w:r>
      <w:r>
        <w:rPr>
          <w:lang w:val="en-US"/>
        </w:rPr>
        <w:t>re details on the amended RPA</w:t>
      </w:r>
      <w:r w:rsidR="00554B3E">
        <w:rPr>
          <w:lang w:val="en-US"/>
        </w:rPr>
        <w:t xml:space="preserve"> would be welcome. </w:t>
      </w:r>
      <w:proofErr w:type="gramStart"/>
      <w:r w:rsidR="00554B3E">
        <w:rPr>
          <w:lang w:val="en-US"/>
        </w:rPr>
        <w:t>In order to</w:t>
      </w:r>
      <w:proofErr w:type="gramEnd"/>
      <w:r w:rsidR="00554B3E">
        <w:rPr>
          <w:lang w:val="en-US"/>
        </w:rPr>
        <w:t xml:space="preserve"> </w:t>
      </w:r>
      <w:r w:rsidR="006222EF">
        <w:rPr>
          <w:lang w:val="en-US"/>
        </w:rPr>
        <w:t xml:space="preserve">enhance the take-up of that mechanism, rules that were applied on RPA should be explicitly removed </w:t>
      </w:r>
      <w:r w:rsidR="00A76893">
        <w:rPr>
          <w:lang w:val="en-US"/>
        </w:rPr>
        <w:t xml:space="preserve">(notably </w:t>
      </w:r>
      <w:proofErr w:type="gramStart"/>
      <w:r w:rsidR="00A76893">
        <w:rPr>
          <w:lang w:val="en-US"/>
        </w:rPr>
        <w:t>on</w:t>
      </w:r>
      <w:proofErr w:type="gramEnd"/>
      <w:r w:rsidR="00A76893">
        <w:rPr>
          <w:lang w:val="en-US"/>
        </w:rPr>
        <w:t xml:space="preserve"> the custody of the monies </w:t>
      </w:r>
      <w:r w:rsidR="00584FC6">
        <w:rPr>
          <w:lang w:val="en-US"/>
        </w:rPr>
        <w:t xml:space="preserve">on an account by the asset manager) </w:t>
      </w:r>
      <w:r w:rsidR="008F1BDB">
        <w:rPr>
          <w:lang w:val="en-US"/>
        </w:rPr>
        <w:t xml:space="preserve">and revert to former practices with monies held on the execution broker account. </w:t>
      </w:r>
      <w:r w:rsidR="00D06070">
        <w:rPr>
          <w:lang w:val="en-US"/>
        </w:rPr>
        <w:t>It would simplify greatly t</w:t>
      </w:r>
      <w:r w:rsidR="00890971">
        <w:rPr>
          <w:lang w:val="en-US"/>
        </w:rPr>
        <w:t xml:space="preserve">he ability for asset managers to </w:t>
      </w:r>
      <w:r w:rsidR="00D025A0">
        <w:rPr>
          <w:lang w:val="en-US"/>
        </w:rPr>
        <w:t xml:space="preserve">potentially use several </w:t>
      </w:r>
      <w:r w:rsidR="00C8049F">
        <w:rPr>
          <w:lang w:val="en-US"/>
        </w:rPr>
        <w:t>trading counterparties to build their research wallet.</w:t>
      </w:r>
      <w:r w:rsidR="00D025A0">
        <w:rPr>
          <w:lang w:val="en-US"/>
        </w:rPr>
        <w:t xml:space="preserve"> </w:t>
      </w:r>
      <w:r>
        <w:rPr>
          <w:lang w:val="en-US"/>
        </w:rPr>
        <w:t xml:space="preserve"> </w:t>
      </w:r>
      <w:r w:rsidR="000C555C">
        <w:rPr>
          <w:lang w:val="en-US"/>
        </w:rPr>
        <w:br/>
      </w:r>
      <w:r w:rsidR="000C555C">
        <w:rPr>
          <w:lang w:val="en-US"/>
        </w:rPr>
        <w:br/>
      </w:r>
      <w:r w:rsidR="000C555C">
        <w:rPr>
          <w:lang w:val="en-US"/>
        </w:rPr>
        <w:br/>
      </w:r>
      <w:r w:rsidR="000C555C" w:rsidRPr="003D0D89">
        <w:rPr>
          <w:b/>
          <w:bCs/>
          <w:u w:val="single"/>
          <w:lang w:val="en-US"/>
        </w:rPr>
        <w:t xml:space="preserve">Question </w:t>
      </w:r>
      <w:proofErr w:type="gramStart"/>
      <w:r w:rsidR="000C555C" w:rsidRPr="003D0D89">
        <w:rPr>
          <w:b/>
          <w:bCs/>
          <w:u w:val="single"/>
          <w:lang w:val="en-US"/>
        </w:rPr>
        <w:t>6</w:t>
      </w:r>
      <w:r w:rsidR="000C555C">
        <w:rPr>
          <w:lang w:val="en-US"/>
        </w:rPr>
        <w:t xml:space="preserve"> :</w:t>
      </w:r>
      <w:proofErr w:type="gramEnd"/>
      <w:r w:rsidR="000C555C">
        <w:rPr>
          <w:lang w:val="en-US"/>
        </w:rPr>
        <w:t xml:space="preserve"> Do you agree that any further requirements of conditions applicable to investment </w:t>
      </w:r>
      <w:r w:rsidR="000C555C">
        <w:rPr>
          <w:lang w:val="en-US"/>
        </w:rPr>
        <w:lastRenderedPageBreak/>
        <w:t xml:space="preserve">research provided by third parties to investment firms should be introduced in the </w:t>
      </w:r>
      <w:r w:rsidR="00231B64">
        <w:rPr>
          <w:lang w:val="en-US"/>
        </w:rPr>
        <w:t>proposed</w:t>
      </w:r>
      <w:r w:rsidR="000C555C">
        <w:rPr>
          <w:lang w:val="en-US"/>
        </w:rPr>
        <w:t xml:space="preserve"> amendments to commission delegated Directive 2017/593? Please state the reasons for your answer. </w:t>
      </w:r>
    </w:p>
    <w:p w14:paraId="375D1134" w14:textId="7D6D08CD" w:rsidR="002C5333" w:rsidRPr="00990C29" w:rsidRDefault="00FC5743">
      <w:pPr>
        <w:rPr>
          <w:lang w:val="en-US"/>
        </w:rPr>
      </w:pPr>
      <w:r w:rsidRPr="00990C29">
        <w:rPr>
          <w:lang w:val="en-US"/>
        </w:rPr>
        <w:t xml:space="preserve">We believe that more guardrails should be </w:t>
      </w:r>
      <w:r w:rsidR="00DB1A0C" w:rsidRPr="00990C29">
        <w:rPr>
          <w:lang w:val="en-US"/>
        </w:rPr>
        <w:t>indicated</w:t>
      </w:r>
      <w:r w:rsidR="00DB6BCB" w:rsidRPr="00990C29">
        <w:rPr>
          <w:lang w:val="en-US"/>
        </w:rPr>
        <w:t xml:space="preserve">, even if we understand that some of these will be </w:t>
      </w:r>
      <w:r w:rsidR="00356C27" w:rsidRPr="00990C29">
        <w:rPr>
          <w:lang w:val="en-US"/>
        </w:rPr>
        <w:t>Level 2 or Level 3</w:t>
      </w:r>
      <w:r w:rsidR="00D77AD9" w:rsidRPr="00990C29">
        <w:rPr>
          <w:lang w:val="en-US"/>
        </w:rPr>
        <w:t xml:space="preserve"> and from the </w:t>
      </w:r>
      <w:proofErr w:type="gramStart"/>
      <w:r w:rsidR="00D77AD9" w:rsidRPr="00990C29">
        <w:rPr>
          <w:lang w:val="en-US"/>
        </w:rPr>
        <w:t xml:space="preserve">NCAs </w:t>
      </w:r>
      <w:r w:rsidR="00B172B1">
        <w:rPr>
          <w:lang w:val="en-US"/>
        </w:rPr>
        <w:t>.</w:t>
      </w:r>
      <w:proofErr w:type="gramEnd"/>
      <w:r w:rsidR="00B172B1">
        <w:rPr>
          <w:lang w:val="en-US"/>
        </w:rPr>
        <w:br/>
        <w:t xml:space="preserve">Here are a few suggestions. </w:t>
      </w:r>
    </w:p>
    <w:p w14:paraId="3517DD86" w14:textId="00A774A4" w:rsidR="004929AF" w:rsidRDefault="004929AF" w:rsidP="004929AF">
      <w:pPr>
        <w:pStyle w:val="ListParagraph"/>
        <w:numPr>
          <w:ilvl w:val="1"/>
          <w:numId w:val="9"/>
        </w:numPr>
        <w:rPr>
          <w:lang w:val="en-US"/>
        </w:rPr>
      </w:pPr>
      <w:r w:rsidRPr="4092D462">
        <w:rPr>
          <w:lang w:val="en-US"/>
        </w:rPr>
        <w:t xml:space="preserve">Because they are different by nature, </w:t>
      </w:r>
      <w:r w:rsidR="00210223" w:rsidRPr="4092D462">
        <w:rPr>
          <w:lang w:val="en-US"/>
        </w:rPr>
        <w:t>the split between research c</w:t>
      </w:r>
      <w:r w:rsidR="00BA40D9" w:rsidRPr="4092D462">
        <w:rPr>
          <w:lang w:val="en-US"/>
        </w:rPr>
        <w:t xml:space="preserve">ost </w:t>
      </w:r>
      <w:r w:rsidR="005B15E6" w:rsidRPr="4092D462">
        <w:rPr>
          <w:lang w:val="en-US"/>
        </w:rPr>
        <w:t>of independent research and brokers research should be provided</w:t>
      </w:r>
      <w:r w:rsidR="00291A8D" w:rsidRPr="4092D462">
        <w:rPr>
          <w:lang w:val="en-US"/>
        </w:rPr>
        <w:t xml:space="preserve"> at the end of the year in the research </w:t>
      </w:r>
      <w:r w:rsidR="72891DA0" w:rsidRPr="4092D462">
        <w:rPr>
          <w:lang w:val="en-US"/>
        </w:rPr>
        <w:t xml:space="preserve">purchase </w:t>
      </w:r>
      <w:r w:rsidR="00291A8D" w:rsidRPr="4092D462">
        <w:rPr>
          <w:lang w:val="en-US"/>
        </w:rPr>
        <w:t>report</w:t>
      </w:r>
      <w:r w:rsidR="005B15E6" w:rsidRPr="4092D462">
        <w:rPr>
          <w:lang w:val="en-US"/>
        </w:rPr>
        <w:t xml:space="preserve">. </w:t>
      </w:r>
      <w:r w:rsidRPr="00A072B4">
        <w:rPr>
          <w:lang w:val="en-US"/>
        </w:rPr>
        <w:br/>
      </w:r>
      <w:r w:rsidR="005B15E6" w:rsidRPr="4092D462">
        <w:rPr>
          <w:lang w:val="en-US"/>
        </w:rPr>
        <w:t xml:space="preserve">We don’t believe any </w:t>
      </w:r>
      <w:r w:rsidR="00530B6E" w:rsidRPr="4092D462">
        <w:rPr>
          <w:lang w:val="en-US"/>
        </w:rPr>
        <w:t xml:space="preserve">floor or cap should be </w:t>
      </w:r>
      <w:r w:rsidR="00850F1F" w:rsidRPr="4092D462">
        <w:rPr>
          <w:lang w:val="en-US"/>
        </w:rPr>
        <w:t xml:space="preserve">made compulsory, but it is important that end investors know whether the asset manager allocates </w:t>
      </w:r>
      <w:r w:rsidR="00D26737" w:rsidRPr="4092D462">
        <w:rPr>
          <w:lang w:val="en-US"/>
        </w:rPr>
        <w:t xml:space="preserve">100% of </w:t>
      </w:r>
      <w:proofErr w:type="gramStart"/>
      <w:r w:rsidR="00D26737" w:rsidRPr="4092D462">
        <w:rPr>
          <w:lang w:val="en-US"/>
        </w:rPr>
        <w:t>its</w:t>
      </w:r>
      <w:proofErr w:type="gramEnd"/>
      <w:r w:rsidR="00D26737" w:rsidRPr="4092D462">
        <w:rPr>
          <w:lang w:val="en-US"/>
        </w:rPr>
        <w:t xml:space="preserve"> research wallet to </w:t>
      </w:r>
      <w:r w:rsidR="008B4708" w:rsidRPr="4092D462">
        <w:rPr>
          <w:lang w:val="en-US"/>
        </w:rPr>
        <w:t>potentially conflicted research</w:t>
      </w:r>
      <w:r w:rsidR="00A90655" w:rsidRPr="4092D462">
        <w:rPr>
          <w:lang w:val="en-US"/>
        </w:rPr>
        <w:t xml:space="preserve">. </w:t>
      </w:r>
      <w:r w:rsidR="002F1064" w:rsidRPr="4092D462">
        <w:rPr>
          <w:lang w:val="en-US"/>
        </w:rPr>
        <w:t xml:space="preserve"> Once again, the reason for that is that </w:t>
      </w:r>
      <w:r w:rsidR="3A7CD864" w:rsidRPr="4092D462">
        <w:rPr>
          <w:lang w:val="en-US"/>
        </w:rPr>
        <w:t>independent</w:t>
      </w:r>
      <w:r w:rsidR="002F1064" w:rsidRPr="4092D462">
        <w:rPr>
          <w:lang w:val="en-US"/>
        </w:rPr>
        <w:t xml:space="preserve"> research provides benefits that </w:t>
      </w:r>
      <w:proofErr w:type="gramStart"/>
      <w:r w:rsidR="002F1064" w:rsidRPr="4092D462">
        <w:rPr>
          <w:lang w:val="en-US"/>
        </w:rPr>
        <w:t>broker</w:t>
      </w:r>
      <w:proofErr w:type="gramEnd"/>
      <w:r w:rsidR="002F1064" w:rsidRPr="4092D462">
        <w:rPr>
          <w:lang w:val="en-US"/>
        </w:rPr>
        <w:t xml:space="preserve"> can</w:t>
      </w:r>
      <w:r w:rsidR="005935E1" w:rsidRPr="4092D462">
        <w:rPr>
          <w:lang w:val="en-US"/>
        </w:rPr>
        <w:t xml:space="preserve">not </w:t>
      </w:r>
      <w:proofErr w:type="gramStart"/>
      <w:r w:rsidR="00CB7DA7" w:rsidRPr="4092D462">
        <w:rPr>
          <w:lang w:val="en-US"/>
        </w:rPr>
        <w:t xml:space="preserve">provide </w:t>
      </w:r>
      <w:r w:rsidR="006F75D1" w:rsidRPr="4092D462">
        <w:rPr>
          <w:lang w:val="en-US"/>
        </w:rPr>
        <w:t>:</w:t>
      </w:r>
      <w:proofErr w:type="gramEnd"/>
      <w:r w:rsidR="006F75D1" w:rsidRPr="4092D462">
        <w:rPr>
          <w:lang w:val="en-US"/>
        </w:rPr>
        <w:t xml:space="preserve"> no buyer bias, </w:t>
      </w:r>
      <w:r w:rsidR="006E66B6" w:rsidRPr="4092D462">
        <w:rPr>
          <w:lang w:val="en-US"/>
        </w:rPr>
        <w:t>absence of potential conflict of interest and continuity of coverage.</w:t>
      </w:r>
      <w:r w:rsidR="00990C29" w:rsidRPr="4092D462">
        <w:rPr>
          <w:lang w:val="en-US"/>
        </w:rPr>
        <w:t xml:space="preserve"> </w:t>
      </w:r>
    </w:p>
    <w:p w14:paraId="4E1BF4AD" w14:textId="1ACDE513" w:rsidR="00D02DE3" w:rsidRDefault="008D4803" w:rsidP="00D02DE3">
      <w:pPr>
        <w:pStyle w:val="ListParagraph"/>
        <w:numPr>
          <w:ilvl w:val="1"/>
          <w:numId w:val="9"/>
        </w:numPr>
        <w:rPr>
          <w:lang w:val="en-US"/>
        </w:rPr>
      </w:pPr>
      <w:proofErr w:type="gramStart"/>
      <w:r w:rsidRPr="4092D462">
        <w:rPr>
          <w:lang w:val="en-US"/>
        </w:rPr>
        <w:t>Research</w:t>
      </w:r>
      <w:proofErr w:type="gramEnd"/>
      <w:r w:rsidRPr="4092D462">
        <w:rPr>
          <w:lang w:val="en-US"/>
        </w:rPr>
        <w:t xml:space="preserve"> budget should be forecast </w:t>
      </w:r>
      <w:r w:rsidRPr="4092D462">
        <w:rPr>
          <w:i/>
          <w:iCs/>
          <w:lang w:val="en-US"/>
        </w:rPr>
        <w:t>e</w:t>
      </w:r>
      <w:r w:rsidR="00B5530A" w:rsidRPr="4092D462">
        <w:rPr>
          <w:i/>
          <w:iCs/>
          <w:lang w:val="en-US"/>
        </w:rPr>
        <w:t>x ante</w:t>
      </w:r>
      <w:r w:rsidR="00D02DE3" w:rsidRPr="4092D462">
        <w:rPr>
          <w:lang w:val="en-US"/>
        </w:rPr>
        <w:t xml:space="preserve"> and be </w:t>
      </w:r>
      <w:r w:rsidR="00E926F5" w:rsidRPr="4092D462">
        <w:rPr>
          <w:lang w:val="en-US"/>
        </w:rPr>
        <w:t xml:space="preserve">paid from the </w:t>
      </w:r>
      <w:r w:rsidR="007C366B" w:rsidRPr="4092D462">
        <w:rPr>
          <w:lang w:val="en-US"/>
        </w:rPr>
        <w:t xml:space="preserve">RPA. If </w:t>
      </w:r>
      <w:r w:rsidR="00D02DE3" w:rsidRPr="4092D462">
        <w:rPr>
          <w:lang w:val="en-US"/>
        </w:rPr>
        <w:t xml:space="preserve">the research </w:t>
      </w:r>
      <w:r w:rsidR="007C366B" w:rsidRPr="4092D462">
        <w:rPr>
          <w:lang w:val="en-US"/>
        </w:rPr>
        <w:t xml:space="preserve">budget is consumed </w:t>
      </w:r>
      <w:r w:rsidR="3765A6DA" w:rsidRPr="4092D462">
        <w:rPr>
          <w:lang w:val="en-US"/>
        </w:rPr>
        <w:t xml:space="preserve">more quickly </w:t>
      </w:r>
      <w:r w:rsidR="007C366B" w:rsidRPr="4092D462">
        <w:rPr>
          <w:lang w:val="en-US"/>
        </w:rPr>
        <w:t>than expected</w:t>
      </w:r>
      <w:r w:rsidR="00D02DE3" w:rsidRPr="4092D462">
        <w:rPr>
          <w:lang w:val="en-US"/>
        </w:rPr>
        <w:t xml:space="preserve"> (say after 6 months), it should be possible to easily extend the budget</w:t>
      </w:r>
      <w:r w:rsidR="008B54DB" w:rsidRPr="4092D462">
        <w:rPr>
          <w:lang w:val="en-US"/>
        </w:rPr>
        <w:t xml:space="preserve">. The goal is to provide the ability for the asset manager to keep </w:t>
      </w:r>
      <w:proofErr w:type="gramStart"/>
      <w:r w:rsidR="008B54DB" w:rsidRPr="4092D462">
        <w:rPr>
          <w:lang w:val="en-US"/>
        </w:rPr>
        <w:t>benefitting</w:t>
      </w:r>
      <w:proofErr w:type="gramEnd"/>
      <w:r w:rsidR="008B54DB" w:rsidRPr="4092D462">
        <w:rPr>
          <w:lang w:val="en-US"/>
        </w:rPr>
        <w:t xml:space="preserve"> from services he values.</w:t>
      </w:r>
    </w:p>
    <w:p w14:paraId="04AEC835" w14:textId="1F3568C3" w:rsidR="00B86301" w:rsidRPr="004929AF" w:rsidRDefault="008B54DB" w:rsidP="004929AF">
      <w:pPr>
        <w:pStyle w:val="ListParagraph"/>
        <w:numPr>
          <w:ilvl w:val="1"/>
          <w:numId w:val="9"/>
        </w:numPr>
        <w:rPr>
          <w:lang w:val="en-US"/>
        </w:rPr>
      </w:pPr>
      <w:r w:rsidRPr="4092D462">
        <w:rPr>
          <w:lang w:val="en-US"/>
        </w:rPr>
        <w:t>W</w:t>
      </w:r>
      <w:r w:rsidR="00B86301" w:rsidRPr="4092D462">
        <w:rPr>
          <w:lang w:val="en-US"/>
        </w:rPr>
        <w:t xml:space="preserve">e believe that when appropriate a difference should be made between providing written research </w:t>
      </w:r>
      <w:r w:rsidR="006D0045" w:rsidRPr="4092D462">
        <w:rPr>
          <w:lang w:val="en-US"/>
        </w:rPr>
        <w:t>(received through generic mail or via a website</w:t>
      </w:r>
      <w:r w:rsidR="00B07D49" w:rsidRPr="4092D462">
        <w:rPr>
          <w:lang w:val="en-US"/>
        </w:rPr>
        <w:t>) and tailored service. This is usually done</w:t>
      </w:r>
      <w:r w:rsidR="00E67BBF" w:rsidRPr="4092D462">
        <w:rPr>
          <w:lang w:val="en-US"/>
        </w:rPr>
        <w:t xml:space="preserve"> ex </w:t>
      </w:r>
      <w:proofErr w:type="gramStart"/>
      <w:r w:rsidR="00E67BBF" w:rsidRPr="4092D462">
        <w:rPr>
          <w:lang w:val="en-US"/>
        </w:rPr>
        <w:t>post</w:t>
      </w:r>
      <w:proofErr w:type="gramEnd"/>
      <w:r w:rsidR="00B07D49" w:rsidRPr="4092D462">
        <w:rPr>
          <w:lang w:val="en-US"/>
        </w:rPr>
        <w:t xml:space="preserve"> but this should be priced </w:t>
      </w:r>
      <w:r w:rsidR="00EA0845" w:rsidRPr="4092D462">
        <w:rPr>
          <w:lang w:val="en-US"/>
        </w:rPr>
        <w:t>separately ex ante</w:t>
      </w:r>
      <w:r w:rsidR="00593B2D" w:rsidRPr="4092D462">
        <w:rPr>
          <w:lang w:val="en-US"/>
        </w:rPr>
        <w:t xml:space="preserve"> so that the written </w:t>
      </w:r>
      <w:r w:rsidR="4B07C64D" w:rsidRPr="4092D462">
        <w:rPr>
          <w:lang w:val="en-US"/>
        </w:rPr>
        <w:t xml:space="preserve">section of the </w:t>
      </w:r>
      <w:r w:rsidR="00593B2D" w:rsidRPr="4092D462">
        <w:rPr>
          <w:lang w:val="en-US"/>
        </w:rPr>
        <w:t xml:space="preserve">research be </w:t>
      </w:r>
      <w:r w:rsidR="3C360ACF" w:rsidRPr="4092D462">
        <w:rPr>
          <w:lang w:val="en-US"/>
        </w:rPr>
        <w:t xml:space="preserve">made </w:t>
      </w:r>
      <w:r w:rsidR="00593B2D" w:rsidRPr="4092D462">
        <w:rPr>
          <w:lang w:val="en-US"/>
        </w:rPr>
        <w:t xml:space="preserve">easily comparable between research providers. </w:t>
      </w:r>
      <w:r w:rsidR="00EA0845" w:rsidRPr="4092D462">
        <w:rPr>
          <w:lang w:val="en-US"/>
        </w:rPr>
        <w:t xml:space="preserve"> </w:t>
      </w:r>
    </w:p>
    <w:sectPr w:rsidR="00B86301" w:rsidRPr="00492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C12"/>
    <w:multiLevelType w:val="multilevel"/>
    <w:tmpl w:val="0D1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74B4"/>
    <w:multiLevelType w:val="multilevel"/>
    <w:tmpl w:val="D6D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66E"/>
    <w:multiLevelType w:val="multilevel"/>
    <w:tmpl w:val="7068D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01CDA"/>
    <w:multiLevelType w:val="multilevel"/>
    <w:tmpl w:val="F67C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B23BA"/>
    <w:multiLevelType w:val="multilevel"/>
    <w:tmpl w:val="55B22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76988"/>
    <w:multiLevelType w:val="multilevel"/>
    <w:tmpl w:val="8C8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B53A4"/>
    <w:multiLevelType w:val="multilevel"/>
    <w:tmpl w:val="063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75D29"/>
    <w:multiLevelType w:val="multilevel"/>
    <w:tmpl w:val="85160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A4BBA"/>
    <w:multiLevelType w:val="multilevel"/>
    <w:tmpl w:val="A3F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298781">
    <w:abstractNumId w:val="0"/>
  </w:num>
  <w:num w:numId="2" w16cid:durableId="387415442">
    <w:abstractNumId w:val="3"/>
  </w:num>
  <w:num w:numId="3" w16cid:durableId="2115052209">
    <w:abstractNumId w:val="2"/>
  </w:num>
  <w:num w:numId="4" w16cid:durableId="333344010">
    <w:abstractNumId w:val="1"/>
  </w:num>
  <w:num w:numId="5" w16cid:durableId="1281112123">
    <w:abstractNumId w:val="7"/>
  </w:num>
  <w:num w:numId="6" w16cid:durableId="1928271358">
    <w:abstractNumId w:val="8"/>
  </w:num>
  <w:num w:numId="7" w16cid:durableId="1247887159">
    <w:abstractNumId w:val="5"/>
  </w:num>
  <w:num w:numId="8" w16cid:durableId="78914433">
    <w:abstractNumId w:val="6"/>
  </w:num>
  <w:num w:numId="9" w16cid:durableId="665397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C2"/>
    <w:rsid w:val="00010F04"/>
    <w:rsid w:val="00012457"/>
    <w:rsid w:val="000149B6"/>
    <w:rsid w:val="0003403A"/>
    <w:rsid w:val="000628BC"/>
    <w:rsid w:val="000C555C"/>
    <w:rsid w:val="0012604D"/>
    <w:rsid w:val="00210223"/>
    <w:rsid w:val="00211596"/>
    <w:rsid w:val="00227A22"/>
    <w:rsid w:val="00231B64"/>
    <w:rsid w:val="00280E96"/>
    <w:rsid w:val="00291A8D"/>
    <w:rsid w:val="002C5333"/>
    <w:rsid w:val="002F1064"/>
    <w:rsid w:val="003377A7"/>
    <w:rsid w:val="00344DDB"/>
    <w:rsid w:val="00350217"/>
    <w:rsid w:val="00356C27"/>
    <w:rsid w:val="003921FE"/>
    <w:rsid w:val="003A1794"/>
    <w:rsid w:val="003C1828"/>
    <w:rsid w:val="003D0D89"/>
    <w:rsid w:val="004129C9"/>
    <w:rsid w:val="00433870"/>
    <w:rsid w:val="00461557"/>
    <w:rsid w:val="004929AF"/>
    <w:rsid w:val="004A03C3"/>
    <w:rsid w:val="004A1A16"/>
    <w:rsid w:val="004D3E11"/>
    <w:rsid w:val="004E4C79"/>
    <w:rsid w:val="004F6D4E"/>
    <w:rsid w:val="005170F3"/>
    <w:rsid w:val="00517338"/>
    <w:rsid w:val="00530B6E"/>
    <w:rsid w:val="0053737E"/>
    <w:rsid w:val="00554B3E"/>
    <w:rsid w:val="00584FC6"/>
    <w:rsid w:val="005935E1"/>
    <w:rsid w:val="00593B2D"/>
    <w:rsid w:val="005B15E6"/>
    <w:rsid w:val="005D31C1"/>
    <w:rsid w:val="006222EF"/>
    <w:rsid w:val="006D0045"/>
    <w:rsid w:val="006D7854"/>
    <w:rsid w:val="006E66B6"/>
    <w:rsid w:val="006F75D1"/>
    <w:rsid w:val="00737E68"/>
    <w:rsid w:val="00747997"/>
    <w:rsid w:val="007C366B"/>
    <w:rsid w:val="00846562"/>
    <w:rsid w:val="00850F1F"/>
    <w:rsid w:val="00890971"/>
    <w:rsid w:val="00894951"/>
    <w:rsid w:val="008B4708"/>
    <w:rsid w:val="008B54DB"/>
    <w:rsid w:val="008D4803"/>
    <w:rsid w:val="008E5F04"/>
    <w:rsid w:val="008F1BDB"/>
    <w:rsid w:val="0096530F"/>
    <w:rsid w:val="00990C29"/>
    <w:rsid w:val="009D0EC2"/>
    <w:rsid w:val="00A072B4"/>
    <w:rsid w:val="00A2064F"/>
    <w:rsid w:val="00A27ECB"/>
    <w:rsid w:val="00A76893"/>
    <w:rsid w:val="00A8403B"/>
    <w:rsid w:val="00A90655"/>
    <w:rsid w:val="00B07D49"/>
    <w:rsid w:val="00B172B1"/>
    <w:rsid w:val="00B25977"/>
    <w:rsid w:val="00B32CBE"/>
    <w:rsid w:val="00B5530A"/>
    <w:rsid w:val="00B86301"/>
    <w:rsid w:val="00B95CC9"/>
    <w:rsid w:val="00B969D1"/>
    <w:rsid w:val="00BA0AD2"/>
    <w:rsid w:val="00BA40D9"/>
    <w:rsid w:val="00BC497A"/>
    <w:rsid w:val="00BF43C6"/>
    <w:rsid w:val="00C01E51"/>
    <w:rsid w:val="00C8049F"/>
    <w:rsid w:val="00CB6C6F"/>
    <w:rsid w:val="00CB7DA7"/>
    <w:rsid w:val="00D025A0"/>
    <w:rsid w:val="00D02DE3"/>
    <w:rsid w:val="00D055B3"/>
    <w:rsid w:val="00D06070"/>
    <w:rsid w:val="00D26737"/>
    <w:rsid w:val="00D422A3"/>
    <w:rsid w:val="00D4672C"/>
    <w:rsid w:val="00D54256"/>
    <w:rsid w:val="00D77AD9"/>
    <w:rsid w:val="00DB1A0C"/>
    <w:rsid w:val="00DB6BCB"/>
    <w:rsid w:val="00E24707"/>
    <w:rsid w:val="00E4186A"/>
    <w:rsid w:val="00E4380E"/>
    <w:rsid w:val="00E6566C"/>
    <w:rsid w:val="00E67BBF"/>
    <w:rsid w:val="00E72F96"/>
    <w:rsid w:val="00E926F5"/>
    <w:rsid w:val="00EA0845"/>
    <w:rsid w:val="00EE286E"/>
    <w:rsid w:val="00EE31D6"/>
    <w:rsid w:val="00F15554"/>
    <w:rsid w:val="00F42432"/>
    <w:rsid w:val="00F50A1A"/>
    <w:rsid w:val="00F60986"/>
    <w:rsid w:val="00F874AB"/>
    <w:rsid w:val="00F96079"/>
    <w:rsid w:val="00FC5743"/>
    <w:rsid w:val="00FE28A4"/>
    <w:rsid w:val="00FF5BA1"/>
    <w:rsid w:val="01A9DE0C"/>
    <w:rsid w:val="10A5A6F1"/>
    <w:rsid w:val="12BE6CA2"/>
    <w:rsid w:val="147CE90A"/>
    <w:rsid w:val="1562B05A"/>
    <w:rsid w:val="157CF88F"/>
    <w:rsid w:val="1B3FA46E"/>
    <w:rsid w:val="28593E4E"/>
    <w:rsid w:val="306B5A82"/>
    <w:rsid w:val="3081DC4F"/>
    <w:rsid w:val="32C36478"/>
    <w:rsid w:val="3765A6DA"/>
    <w:rsid w:val="3A7CD864"/>
    <w:rsid w:val="3C360ACF"/>
    <w:rsid w:val="4092D462"/>
    <w:rsid w:val="49757949"/>
    <w:rsid w:val="4B07C64D"/>
    <w:rsid w:val="5A58B412"/>
    <w:rsid w:val="606B5620"/>
    <w:rsid w:val="63FF2B3F"/>
    <w:rsid w:val="6B75982F"/>
    <w:rsid w:val="71581C8F"/>
    <w:rsid w:val="72891DA0"/>
    <w:rsid w:val="77441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2049"/>
  <w15:chartTrackingRefBased/>
  <w15:docId w15:val="{3D9ECBFF-CC1D-4357-B5FF-952B116A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E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E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E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C2"/>
    <w:rPr>
      <w:rFonts w:eastAsiaTheme="majorEastAsia" w:cstheme="majorBidi"/>
      <w:color w:val="272727" w:themeColor="text1" w:themeTint="D8"/>
    </w:rPr>
  </w:style>
  <w:style w:type="paragraph" w:styleId="Title">
    <w:name w:val="Title"/>
    <w:basedOn w:val="Normal"/>
    <w:next w:val="Normal"/>
    <w:link w:val="TitleChar"/>
    <w:uiPriority w:val="10"/>
    <w:qFormat/>
    <w:rsid w:val="009D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EC2"/>
    <w:pPr>
      <w:spacing w:before="160"/>
      <w:jc w:val="center"/>
    </w:pPr>
    <w:rPr>
      <w:i/>
      <w:iCs/>
      <w:color w:val="404040" w:themeColor="text1" w:themeTint="BF"/>
    </w:rPr>
  </w:style>
  <w:style w:type="character" w:customStyle="1" w:styleId="QuoteChar">
    <w:name w:val="Quote Char"/>
    <w:basedOn w:val="DefaultParagraphFont"/>
    <w:link w:val="Quote"/>
    <w:uiPriority w:val="29"/>
    <w:rsid w:val="009D0EC2"/>
    <w:rPr>
      <w:i/>
      <w:iCs/>
      <w:color w:val="404040" w:themeColor="text1" w:themeTint="BF"/>
    </w:rPr>
  </w:style>
  <w:style w:type="paragraph" w:styleId="ListParagraph">
    <w:name w:val="List Paragraph"/>
    <w:basedOn w:val="Normal"/>
    <w:uiPriority w:val="34"/>
    <w:qFormat/>
    <w:rsid w:val="009D0EC2"/>
    <w:pPr>
      <w:ind w:left="720"/>
      <w:contextualSpacing/>
    </w:pPr>
  </w:style>
  <w:style w:type="character" w:styleId="IntenseEmphasis">
    <w:name w:val="Intense Emphasis"/>
    <w:basedOn w:val="DefaultParagraphFont"/>
    <w:uiPriority w:val="21"/>
    <w:qFormat/>
    <w:rsid w:val="009D0EC2"/>
    <w:rPr>
      <w:i/>
      <w:iCs/>
      <w:color w:val="2F5496" w:themeColor="accent1" w:themeShade="BF"/>
    </w:rPr>
  </w:style>
  <w:style w:type="paragraph" w:styleId="IntenseQuote">
    <w:name w:val="Intense Quote"/>
    <w:basedOn w:val="Normal"/>
    <w:next w:val="Normal"/>
    <w:link w:val="IntenseQuoteChar"/>
    <w:uiPriority w:val="30"/>
    <w:qFormat/>
    <w:rsid w:val="009D0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EC2"/>
    <w:rPr>
      <w:i/>
      <w:iCs/>
      <w:color w:val="2F5496" w:themeColor="accent1" w:themeShade="BF"/>
    </w:rPr>
  </w:style>
  <w:style w:type="character" w:styleId="IntenseReference">
    <w:name w:val="Intense Reference"/>
    <w:basedOn w:val="DefaultParagraphFont"/>
    <w:uiPriority w:val="32"/>
    <w:qFormat/>
    <w:rsid w:val="009D0EC2"/>
    <w:rPr>
      <w:b/>
      <w:bCs/>
      <w:smallCaps/>
      <w:color w:val="2F5496" w:themeColor="accent1" w:themeShade="BF"/>
      <w:spacing w:val="5"/>
    </w:rPr>
  </w:style>
  <w:style w:type="paragraph" w:styleId="NormalWeb">
    <w:name w:val="Normal (Web)"/>
    <w:basedOn w:val="Normal"/>
    <w:uiPriority w:val="99"/>
    <w:semiHidden/>
    <w:unhideWhenUsed/>
    <w:rsid w:val="00B95C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11148">
      <w:bodyDiv w:val="1"/>
      <w:marLeft w:val="0"/>
      <w:marRight w:val="0"/>
      <w:marTop w:val="0"/>
      <w:marBottom w:val="0"/>
      <w:divBdr>
        <w:top w:val="none" w:sz="0" w:space="0" w:color="auto"/>
        <w:left w:val="none" w:sz="0" w:space="0" w:color="auto"/>
        <w:bottom w:val="none" w:sz="0" w:space="0" w:color="auto"/>
        <w:right w:val="none" w:sz="0" w:space="0" w:color="auto"/>
      </w:divBdr>
    </w:div>
    <w:div w:id="724526727">
      <w:bodyDiv w:val="1"/>
      <w:marLeft w:val="0"/>
      <w:marRight w:val="0"/>
      <w:marTop w:val="0"/>
      <w:marBottom w:val="0"/>
      <w:divBdr>
        <w:top w:val="none" w:sz="0" w:space="0" w:color="auto"/>
        <w:left w:val="none" w:sz="0" w:space="0" w:color="auto"/>
        <w:bottom w:val="none" w:sz="0" w:space="0" w:color="auto"/>
        <w:right w:val="none" w:sz="0" w:space="0" w:color="auto"/>
      </w:divBdr>
    </w:div>
    <w:div w:id="1119029403">
      <w:bodyDiv w:val="1"/>
      <w:marLeft w:val="0"/>
      <w:marRight w:val="0"/>
      <w:marTop w:val="0"/>
      <w:marBottom w:val="0"/>
      <w:divBdr>
        <w:top w:val="none" w:sz="0" w:space="0" w:color="auto"/>
        <w:left w:val="none" w:sz="0" w:space="0" w:color="auto"/>
        <w:bottom w:val="none" w:sz="0" w:space="0" w:color="auto"/>
        <w:right w:val="none" w:sz="0" w:space="0" w:color="auto"/>
      </w:divBdr>
    </w:div>
    <w:div w:id="1195575588">
      <w:bodyDiv w:val="1"/>
      <w:marLeft w:val="0"/>
      <w:marRight w:val="0"/>
      <w:marTop w:val="0"/>
      <w:marBottom w:val="0"/>
      <w:divBdr>
        <w:top w:val="none" w:sz="0" w:space="0" w:color="auto"/>
        <w:left w:val="none" w:sz="0" w:space="0" w:color="auto"/>
        <w:bottom w:val="none" w:sz="0" w:space="0" w:color="auto"/>
        <w:right w:val="none" w:sz="0" w:space="0" w:color="auto"/>
      </w:divBdr>
    </w:div>
    <w:div w:id="1417439188">
      <w:bodyDiv w:val="1"/>
      <w:marLeft w:val="0"/>
      <w:marRight w:val="0"/>
      <w:marTop w:val="0"/>
      <w:marBottom w:val="0"/>
      <w:divBdr>
        <w:top w:val="none" w:sz="0" w:space="0" w:color="auto"/>
        <w:left w:val="none" w:sz="0" w:space="0" w:color="auto"/>
        <w:bottom w:val="none" w:sz="0" w:space="0" w:color="auto"/>
        <w:right w:val="none" w:sz="0" w:space="0" w:color="auto"/>
      </w:divBdr>
    </w:div>
    <w:div w:id="1435127526">
      <w:bodyDiv w:val="1"/>
      <w:marLeft w:val="0"/>
      <w:marRight w:val="0"/>
      <w:marTop w:val="0"/>
      <w:marBottom w:val="0"/>
      <w:divBdr>
        <w:top w:val="none" w:sz="0" w:space="0" w:color="auto"/>
        <w:left w:val="none" w:sz="0" w:space="0" w:color="auto"/>
        <w:bottom w:val="none" w:sz="0" w:space="0" w:color="auto"/>
        <w:right w:val="none" w:sz="0" w:space="0" w:color="auto"/>
      </w:divBdr>
    </w:div>
    <w:div w:id="1453859270">
      <w:bodyDiv w:val="1"/>
      <w:marLeft w:val="0"/>
      <w:marRight w:val="0"/>
      <w:marTop w:val="0"/>
      <w:marBottom w:val="0"/>
      <w:divBdr>
        <w:top w:val="none" w:sz="0" w:space="0" w:color="auto"/>
        <w:left w:val="none" w:sz="0" w:space="0" w:color="auto"/>
        <w:bottom w:val="none" w:sz="0" w:space="0" w:color="auto"/>
        <w:right w:val="none" w:sz="0" w:space="0" w:color="auto"/>
      </w:divBdr>
    </w:div>
    <w:div w:id="16700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1882</Words>
  <Characters>10355</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LAMAGNERE</dc:creator>
  <cp:keywords/>
  <dc:description/>
  <cp:lastModifiedBy>Laurent LAMAGNERE</cp:lastModifiedBy>
  <cp:revision>88</cp:revision>
  <dcterms:created xsi:type="dcterms:W3CDTF">2024-11-29T08:46:00Z</dcterms:created>
  <dcterms:modified xsi:type="dcterms:W3CDTF">2024-12-09T08:38:00Z</dcterms:modified>
</cp:coreProperties>
</file>