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9BBC" w14:textId="1533A22E" w:rsidR="00060172" w:rsidRPr="00B729CC" w:rsidRDefault="00125434" w:rsidP="00983E8A">
      <w:pPr>
        <w:pStyle w:val="Heading1"/>
        <w:jc w:val="both"/>
        <w:rPr>
          <w:color w:val="050449" w:themeColor="text2"/>
        </w:rPr>
      </w:pPr>
      <w:r>
        <w:rPr>
          <w:color w:val="050449" w:themeColor="text2"/>
        </w:rPr>
        <w:t xml:space="preserve">ESMA: Consultation Paper on Draft Technical Advice Concerning the Prospectus Regulation and on </w:t>
      </w:r>
      <w:r w:rsidR="0081582F">
        <w:rPr>
          <w:color w:val="050449" w:themeColor="text2"/>
        </w:rPr>
        <w:t>Updating the CDR Metadata.</w:t>
      </w:r>
    </w:p>
    <w:p w14:paraId="2BC88064" w14:textId="77777777" w:rsidR="00060172" w:rsidRPr="00B729CC" w:rsidRDefault="00060172" w:rsidP="00432023">
      <w:pPr>
        <w:jc w:val="both"/>
        <w:rPr>
          <w:color w:val="050449" w:themeColor="text2"/>
        </w:rPr>
      </w:pPr>
    </w:p>
    <w:tbl>
      <w:tblPr>
        <w:tblStyle w:val="TableGrid"/>
        <w:tblW w:w="0" w:type="auto"/>
        <w:tblLook w:val="04A0" w:firstRow="1" w:lastRow="0" w:firstColumn="1" w:lastColumn="0" w:noHBand="0" w:noVBand="1"/>
      </w:tblPr>
      <w:tblGrid>
        <w:gridCol w:w="10450"/>
      </w:tblGrid>
      <w:tr w:rsidR="008C6E3E" w:rsidRPr="00B729CC" w14:paraId="4393A0B7" w14:textId="77777777">
        <w:tc>
          <w:tcPr>
            <w:tcW w:w="10450" w:type="dxa"/>
          </w:tcPr>
          <w:p w14:paraId="1194735F" w14:textId="154AB669" w:rsidR="00A55BB3" w:rsidRPr="00B729CC" w:rsidRDefault="00060172" w:rsidP="00432023">
            <w:pPr>
              <w:pStyle w:val="Heading2SpaceAfter"/>
              <w:jc w:val="both"/>
              <w:rPr>
                <w:color w:val="050449" w:themeColor="text2"/>
              </w:rPr>
            </w:pPr>
            <w:r w:rsidRPr="00B729CC">
              <w:rPr>
                <w:color w:val="050449" w:themeColor="text2"/>
              </w:rPr>
              <w:t>Executive Summary</w:t>
            </w:r>
          </w:p>
          <w:p w14:paraId="663746B0" w14:textId="6B336A9F" w:rsidR="00C838F2" w:rsidRPr="00B729CC" w:rsidRDefault="00F77343" w:rsidP="007641BB">
            <w:pPr>
              <w:pStyle w:val="Bullet"/>
              <w:numPr>
                <w:ilvl w:val="0"/>
                <w:numId w:val="0"/>
              </w:numPr>
              <w:ind w:left="227"/>
              <w:jc w:val="both"/>
              <w:rPr>
                <w:b/>
                <w:bCs/>
                <w:color w:val="050449" w:themeColor="text2"/>
                <w:lang w:val="en-GB"/>
              </w:rPr>
            </w:pPr>
            <w:r w:rsidRPr="00B729CC">
              <w:rPr>
                <w:b/>
                <w:bCs/>
                <w:color w:val="050449" w:themeColor="text2"/>
                <w:lang w:val="en-GB"/>
              </w:rPr>
              <w:t>The b</w:t>
            </w:r>
            <w:r w:rsidR="00C838F2" w:rsidRPr="00B729CC">
              <w:rPr>
                <w:b/>
                <w:bCs/>
                <w:color w:val="050449" w:themeColor="text2"/>
                <w:lang w:val="en-GB"/>
              </w:rPr>
              <w:t>elow</w:t>
            </w:r>
            <w:r w:rsidRPr="00B729CC">
              <w:rPr>
                <w:b/>
                <w:bCs/>
                <w:color w:val="050449" w:themeColor="text2"/>
                <w:lang w:val="en-GB"/>
              </w:rPr>
              <w:t xml:space="preserve"> is</w:t>
            </w:r>
            <w:r w:rsidR="00C838F2" w:rsidRPr="00B729CC">
              <w:rPr>
                <w:b/>
                <w:bCs/>
                <w:color w:val="050449" w:themeColor="text2"/>
                <w:lang w:val="en-GB"/>
              </w:rPr>
              <w:t xml:space="preserve"> the Institutional Investors Group on Climate Change's (IIGCC) formal response to</w:t>
            </w:r>
            <w:r w:rsidR="0081582F">
              <w:rPr>
                <w:b/>
                <w:bCs/>
                <w:color w:val="050449" w:themeColor="text2"/>
                <w:lang w:val="en-GB"/>
              </w:rPr>
              <w:t xml:space="preserve"> ESMA’s </w:t>
            </w:r>
            <w:hyperlink r:id="rId11" w:history="1">
              <w:r w:rsidR="0081582F" w:rsidRPr="0081582F">
                <w:rPr>
                  <w:rStyle w:val="Hyperlink"/>
                  <w:rFonts w:asciiTheme="minorHAnsi" w:hAnsiTheme="minorHAnsi"/>
                  <w:b/>
                  <w:bCs/>
                  <w:lang w:val="en-GB"/>
                </w:rPr>
                <w:t>Consultation Paper on Draft Technical Advice Concerning the Prospectus Regulation and on Updating the CDR Metadata</w:t>
              </w:r>
              <w:r w:rsidR="00B56D17">
                <w:rPr>
                  <w:rStyle w:val="FootnoteReference"/>
                  <w:rFonts w:asciiTheme="minorHAnsi" w:hAnsiTheme="minorHAnsi"/>
                  <w:b/>
                  <w:bCs/>
                  <w:color w:val="0563C1" w:themeColor="hyperlink"/>
                  <w:u w:val="single"/>
                  <w:lang w:val="en-GB"/>
                </w:rPr>
                <w:footnoteReference w:id="2"/>
              </w:r>
              <w:r w:rsidR="0081582F" w:rsidRPr="0081582F">
                <w:rPr>
                  <w:rStyle w:val="Hyperlink"/>
                  <w:b/>
                  <w:bCs/>
                  <w:lang w:val="en-GB"/>
                </w:rPr>
                <w:t>.</w:t>
              </w:r>
            </w:hyperlink>
            <w:r w:rsidR="0081582F">
              <w:rPr>
                <w:b/>
                <w:bCs/>
                <w:color w:val="050449" w:themeColor="text2"/>
                <w:lang w:val="en-GB"/>
              </w:rPr>
              <w:t xml:space="preserve"> </w:t>
            </w:r>
          </w:p>
          <w:p w14:paraId="77E64C9B" w14:textId="77777777" w:rsidR="00276714" w:rsidRPr="00B729CC" w:rsidRDefault="00276714" w:rsidP="007641BB">
            <w:pPr>
              <w:pStyle w:val="Bullet"/>
              <w:numPr>
                <w:ilvl w:val="0"/>
                <w:numId w:val="0"/>
              </w:numPr>
              <w:ind w:left="227"/>
              <w:jc w:val="both"/>
              <w:rPr>
                <w:b/>
                <w:bCs/>
                <w:color w:val="050449" w:themeColor="text2"/>
                <w:lang w:val="en-GB"/>
              </w:rPr>
            </w:pPr>
          </w:p>
          <w:p w14:paraId="5AEB78DF" w14:textId="24466E61" w:rsidR="004168D6" w:rsidRDefault="00C838F2" w:rsidP="007641BB">
            <w:pPr>
              <w:pStyle w:val="Bullet"/>
              <w:numPr>
                <w:ilvl w:val="0"/>
                <w:numId w:val="0"/>
              </w:numPr>
              <w:ind w:left="227"/>
              <w:jc w:val="both"/>
              <w:rPr>
                <w:b/>
                <w:bCs/>
                <w:color w:val="050449" w:themeColor="text2"/>
                <w:lang w:val="en-GB"/>
              </w:rPr>
            </w:pPr>
            <w:r w:rsidRPr="00B729CC">
              <w:rPr>
                <w:b/>
                <w:bCs/>
                <w:color w:val="050449" w:themeColor="text2"/>
                <w:lang w:val="en-GB"/>
              </w:rPr>
              <w:t xml:space="preserve">IIGCC has provided detailed responses to the proposals outlined in </w:t>
            </w:r>
            <w:r w:rsidR="00F10E6A">
              <w:rPr>
                <w:b/>
                <w:bCs/>
                <w:color w:val="050449" w:themeColor="text2"/>
                <w:lang w:val="en-GB"/>
              </w:rPr>
              <w:t xml:space="preserve">section 5, Draft Technical Advice on the Disclosure Requirements for Non-Equity Securities Advertised as </w:t>
            </w:r>
            <w:proofErr w:type="gramStart"/>
            <w:r w:rsidR="00F10E6A">
              <w:rPr>
                <w:b/>
                <w:bCs/>
                <w:color w:val="050449" w:themeColor="text2"/>
                <w:lang w:val="en-GB"/>
              </w:rPr>
              <w:t>Taking into Account</w:t>
            </w:r>
            <w:proofErr w:type="gramEnd"/>
            <w:r w:rsidR="00F10E6A">
              <w:rPr>
                <w:b/>
                <w:bCs/>
                <w:color w:val="050449" w:themeColor="text2"/>
                <w:lang w:val="en-GB"/>
              </w:rPr>
              <w:t xml:space="preserve"> ESG Factors or Pursuing ESG </w:t>
            </w:r>
            <w:r w:rsidR="002A60B3">
              <w:rPr>
                <w:b/>
                <w:bCs/>
                <w:color w:val="050449" w:themeColor="text2"/>
                <w:lang w:val="en-GB"/>
              </w:rPr>
              <w:t>Objectives. Specifically, IIGCC addresses questions 8</w:t>
            </w:r>
            <w:r w:rsidR="00961AB4">
              <w:rPr>
                <w:b/>
                <w:bCs/>
                <w:color w:val="050449" w:themeColor="text2"/>
                <w:lang w:val="en-GB"/>
              </w:rPr>
              <w:t xml:space="preserve"> – </w:t>
            </w:r>
            <w:r w:rsidR="0039117B">
              <w:rPr>
                <w:b/>
                <w:bCs/>
                <w:color w:val="050449" w:themeColor="text2"/>
                <w:lang w:val="en-GB"/>
              </w:rPr>
              <w:t>1</w:t>
            </w:r>
            <w:r w:rsidR="001C163B">
              <w:rPr>
                <w:b/>
                <w:bCs/>
                <w:color w:val="050449" w:themeColor="text2"/>
                <w:lang w:val="en-GB"/>
              </w:rPr>
              <w:t>7</w:t>
            </w:r>
            <w:r w:rsidR="00961AB4">
              <w:rPr>
                <w:b/>
                <w:bCs/>
                <w:color w:val="050449" w:themeColor="text2"/>
                <w:lang w:val="en-GB"/>
              </w:rPr>
              <w:t xml:space="preserve">. </w:t>
            </w:r>
          </w:p>
          <w:p w14:paraId="0F0C5EE7" w14:textId="77777777" w:rsidR="001C163B" w:rsidRDefault="001C163B" w:rsidP="007641BB">
            <w:pPr>
              <w:pStyle w:val="Bullet"/>
              <w:numPr>
                <w:ilvl w:val="0"/>
                <w:numId w:val="0"/>
              </w:numPr>
              <w:ind w:left="227"/>
              <w:jc w:val="both"/>
              <w:rPr>
                <w:b/>
                <w:bCs/>
                <w:color w:val="050449" w:themeColor="text2"/>
                <w:lang w:val="en-GB"/>
              </w:rPr>
            </w:pPr>
          </w:p>
          <w:p w14:paraId="29913B10" w14:textId="1E36628E" w:rsidR="00040553" w:rsidRPr="00040553" w:rsidRDefault="001C163B" w:rsidP="00040553">
            <w:pPr>
              <w:pStyle w:val="Bullet"/>
              <w:numPr>
                <w:ilvl w:val="0"/>
                <w:numId w:val="0"/>
              </w:numPr>
              <w:ind w:left="227"/>
              <w:jc w:val="both"/>
              <w:rPr>
                <w:b/>
                <w:bCs/>
                <w:color w:val="050449" w:themeColor="text2"/>
                <w:lang w:val="en-GB"/>
              </w:rPr>
            </w:pPr>
            <w:r>
              <w:rPr>
                <w:b/>
                <w:bCs/>
                <w:color w:val="050449" w:themeColor="text2"/>
                <w:lang w:val="en-GB"/>
              </w:rPr>
              <w:t>The responses are supportive of ESMA’s proposal</w:t>
            </w:r>
            <w:r w:rsidR="003554A4">
              <w:rPr>
                <w:b/>
                <w:bCs/>
                <w:color w:val="050449" w:themeColor="text2"/>
                <w:lang w:val="en-GB"/>
              </w:rPr>
              <w:t xml:space="preserve">s, while identifying areas for improvement. Throughout, IIGCC stresses the importance of </w:t>
            </w:r>
            <w:r w:rsidR="00FC5C5D">
              <w:rPr>
                <w:b/>
                <w:bCs/>
                <w:color w:val="050449" w:themeColor="text2"/>
                <w:lang w:val="en-GB"/>
              </w:rPr>
              <w:t xml:space="preserve">harmonising reporting expectations </w:t>
            </w:r>
            <w:r w:rsidR="00FC5C5D" w:rsidRPr="0097338F">
              <w:rPr>
                <w:b/>
                <w:bCs/>
                <w:color w:val="002060"/>
                <w:lang w:val="en-GB"/>
              </w:rPr>
              <w:t>while</w:t>
            </w:r>
            <w:r w:rsidR="00FC5C5D">
              <w:rPr>
                <w:b/>
                <w:bCs/>
                <w:color w:val="050449" w:themeColor="text2"/>
                <w:lang w:val="en-GB"/>
              </w:rPr>
              <w:t xml:space="preserve"> integrating sustainability-related disclosures into prospectus requirements for GSS+ bonds.</w:t>
            </w:r>
            <w:r w:rsidR="00040553">
              <w:rPr>
                <w:b/>
                <w:bCs/>
                <w:color w:val="050449" w:themeColor="text2"/>
                <w:lang w:val="en-GB"/>
              </w:rPr>
              <w:t xml:space="preserve"> This is critical to creating accountability and </w:t>
            </w:r>
            <w:proofErr w:type="gramStart"/>
            <w:r w:rsidR="00040553">
              <w:rPr>
                <w:b/>
                <w:bCs/>
                <w:color w:val="050449" w:themeColor="text2"/>
                <w:lang w:val="en-GB"/>
              </w:rPr>
              <w:t>transparency, and</w:t>
            </w:r>
            <w:proofErr w:type="gramEnd"/>
            <w:r w:rsidR="00040553">
              <w:rPr>
                <w:b/>
                <w:bCs/>
                <w:color w:val="050449" w:themeColor="text2"/>
                <w:lang w:val="en-GB"/>
              </w:rPr>
              <w:t xml:space="preserve"> growing the credibility of the GSS+ debt market. </w:t>
            </w:r>
            <w:r w:rsidR="00FC5C5D">
              <w:rPr>
                <w:b/>
                <w:bCs/>
                <w:color w:val="050449" w:themeColor="text2"/>
                <w:lang w:val="en-GB"/>
              </w:rPr>
              <w:t xml:space="preserve"> </w:t>
            </w:r>
          </w:p>
        </w:tc>
      </w:tr>
    </w:tbl>
    <w:p w14:paraId="14165FB4" w14:textId="77777777" w:rsidR="00F30D3E" w:rsidRPr="00B729CC" w:rsidRDefault="00F30D3E" w:rsidP="00E6644A">
      <w:pPr>
        <w:pStyle w:val="BodytextIndent"/>
        <w:jc w:val="both"/>
      </w:pPr>
    </w:p>
    <w:p w14:paraId="7C09F428" w14:textId="747F0CBF" w:rsidR="001F5A26" w:rsidRPr="00B729CC" w:rsidRDefault="00274126" w:rsidP="00432023">
      <w:pPr>
        <w:pStyle w:val="Heading3SpaceAfter"/>
        <w:jc w:val="both"/>
        <w:rPr>
          <w:color w:val="050449" w:themeColor="text2"/>
          <w:sz w:val="24"/>
        </w:rPr>
      </w:pPr>
      <w:r>
        <w:rPr>
          <w:color w:val="050449" w:themeColor="text2"/>
          <w:sz w:val="24"/>
        </w:rPr>
        <w:t>Q8</w:t>
      </w:r>
      <w:r w:rsidR="001F5A26" w:rsidRPr="00B729CC">
        <w:rPr>
          <w:color w:val="050449" w:themeColor="text2"/>
          <w:sz w:val="24"/>
        </w:rPr>
        <w:t xml:space="preserve">. </w:t>
      </w:r>
      <w:r w:rsidRPr="00274126">
        <w:rPr>
          <w:color w:val="050449" w:themeColor="text2"/>
          <w:sz w:val="24"/>
        </w:rPr>
        <w:t xml:space="preserve">Do you agree with ESMA’s approach to the disclosure requirements for nonequity securities that are advertised as </w:t>
      </w:r>
      <w:proofErr w:type="gramStart"/>
      <w:r w:rsidRPr="00274126">
        <w:rPr>
          <w:color w:val="050449" w:themeColor="text2"/>
          <w:sz w:val="24"/>
        </w:rPr>
        <w:t>taking into account</w:t>
      </w:r>
      <w:proofErr w:type="gramEnd"/>
      <w:r w:rsidRPr="00274126">
        <w:rPr>
          <w:color w:val="050449" w:themeColor="text2"/>
          <w:sz w:val="24"/>
        </w:rPr>
        <w:t xml:space="preserve"> ESG factors or pursuing ESG objectives? Please explain your answer and provide any suggestions for amendments.</w:t>
      </w:r>
    </w:p>
    <w:p w14:paraId="14360EB0" w14:textId="13D69A5A" w:rsidR="00103B47" w:rsidRDefault="00C6189B" w:rsidP="00103B47">
      <w:pPr>
        <w:pStyle w:val="BodytextIndent"/>
        <w:jc w:val="both"/>
        <w:rPr>
          <w:sz w:val="22"/>
          <w:szCs w:val="22"/>
        </w:rPr>
      </w:pPr>
      <w:r w:rsidRPr="00074F67">
        <w:rPr>
          <w:b/>
          <w:bCs/>
          <w:sz w:val="22"/>
          <w:szCs w:val="22"/>
        </w:rPr>
        <w:t>Y</w:t>
      </w:r>
      <w:r w:rsidR="00074F67">
        <w:rPr>
          <w:b/>
          <w:bCs/>
          <w:sz w:val="22"/>
          <w:szCs w:val="22"/>
        </w:rPr>
        <w:t xml:space="preserve">es </w:t>
      </w:r>
      <w:r w:rsidRPr="00074F67">
        <w:rPr>
          <w:b/>
          <w:bCs/>
          <w:sz w:val="22"/>
          <w:szCs w:val="22"/>
        </w:rPr>
        <w:t>-</w:t>
      </w:r>
      <w:r>
        <w:rPr>
          <w:b/>
          <w:bCs/>
          <w:i/>
          <w:iCs/>
          <w:sz w:val="22"/>
          <w:szCs w:val="22"/>
        </w:rPr>
        <w:t xml:space="preserve"> </w:t>
      </w:r>
      <w:r w:rsidR="00103B47" w:rsidRPr="00103B47">
        <w:rPr>
          <w:sz w:val="22"/>
          <w:szCs w:val="22"/>
        </w:rPr>
        <w:t>IIGCC supports ESMA’s approach</w:t>
      </w:r>
      <w:r w:rsidR="00841104">
        <w:rPr>
          <w:sz w:val="22"/>
          <w:szCs w:val="22"/>
        </w:rPr>
        <w:t xml:space="preserve"> but have identified a number of areas that could be improved. </w:t>
      </w:r>
    </w:p>
    <w:p w14:paraId="154EC081" w14:textId="6268DA78" w:rsidR="000F0EB2" w:rsidRPr="000F0EB2" w:rsidRDefault="000F0EB2" w:rsidP="00103B47">
      <w:pPr>
        <w:pStyle w:val="BodytextIndent"/>
        <w:jc w:val="both"/>
        <w:rPr>
          <w:i/>
          <w:iCs/>
          <w:sz w:val="22"/>
          <w:szCs w:val="22"/>
        </w:rPr>
      </w:pPr>
      <w:r>
        <w:rPr>
          <w:i/>
          <w:iCs/>
          <w:sz w:val="22"/>
          <w:szCs w:val="22"/>
        </w:rPr>
        <w:t>Context</w:t>
      </w:r>
    </w:p>
    <w:p w14:paraId="391FA5C4" w14:textId="77777777" w:rsidR="00953E6E" w:rsidRDefault="00B8536B" w:rsidP="00953E6E">
      <w:pPr>
        <w:pStyle w:val="BodytextIndent"/>
        <w:numPr>
          <w:ilvl w:val="0"/>
          <w:numId w:val="16"/>
        </w:numPr>
        <w:jc w:val="both"/>
        <w:rPr>
          <w:sz w:val="22"/>
          <w:szCs w:val="22"/>
        </w:rPr>
      </w:pPr>
      <w:r w:rsidRPr="00DF495C">
        <w:rPr>
          <w:sz w:val="22"/>
          <w:szCs w:val="22"/>
        </w:rPr>
        <w:t xml:space="preserve">Non-equity securities that are advertised as </w:t>
      </w:r>
      <w:proofErr w:type="gramStart"/>
      <w:r w:rsidRPr="00DF495C">
        <w:rPr>
          <w:sz w:val="22"/>
          <w:szCs w:val="22"/>
        </w:rPr>
        <w:t>taking into account</w:t>
      </w:r>
      <w:proofErr w:type="gramEnd"/>
      <w:r w:rsidRPr="00DF495C">
        <w:rPr>
          <w:sz w:val="22"/>
          <w:szCs w:val="22"/>
        </w:rPr>
        <w:t xml:space="preserve"> ESG factors or pursuing ESG objectives, henceforth </w:t>
      </w:r>
      <w:r w:rsidR="00DF495C" w:rsidRPr="00DF495C">
        <w:rPr>
          <w:sz w:val="22"/>
          <w:szCs w:val="22"/>
        </w:rPr>
        <w:t xml:space="preserve">‘GSS+ debt’, </w:t>
      </w:r>
      <w:r w:rsidRPr="00DF495C">
        <w:rPr>
          <w:sz w:val="22"/>
          <w:szCs w:val="22"/>
        </w:rPr>
        <w:t xml:space="preserve">will play an important role in providing the capital </w:t>
      </w:r>
      <w:r w:rsidRPr="00DF495C">
        <w:rPr>
          <w:sz w:val="22"/>
          <w:szCs w:val="22"/>
        </w:rPr>
        <w:lastRenderedPageBreak/>
        <w:t xml:space="preserve">and accountability needed to support the net zero transition. </w:t>
      </w:r>
      <w:r w:rsidR="00DF495C" w:rsidRPr="00DF495C">
        <w:rPr>
          <w:sz w:val="22"/>
          <w:szCs w:val="22"/>
        </w:rPr>
        <w:t>GSS+</w:t>
      </w:r>
      <w:r w:rsidRPr="00DF495C">
        <w:rPr>
          <w:sz w:val="22"/>
          <w:szCs w:val="22"/>
        </w:rPr>
        <w:t xml:space="preserve"> debt is a valuable tool for investors seeking</w:t>
      </w:r>
      <w:r w:rsidR="00DF495C" w:rsidRPr="00DF495C">
        <w:rPr>
          <w:sz w:val="22"/>
          <w:szCs w:val="22"/>
        </w:rPr>
        <w:t xml:space="preserve"> </w:t>
      </w:r>
      <w:r w:rsidRPr="00DF495C">
        <w:rPr>
          <w:sz w:val="22"/>
          <w:szCs w:val="22"/>
        </w:rPr>
        <w:t>to mitigate the financial risks of climate change and decarbonise their portfolios through real</w:t>
      </w:r>
      <w:r w:rsidR="00DF495C" w:rsidRPr="00DF495C">
        <w:rPr>
          <w:sz w:val="22"/>
          <w:szCs w:val="22"/>
        </w:rPr>
        <w:t xml:space="preserve"> </w:t>
      </w:r>
      <w:r w:rsidRPr="00DF495C">
        <w:rPr>
          <w:sz w:val="22"/>
          <w:szCs w:val="22"/>
        </w:rPr>
        <w:t>economy emission reductions. For issuers, labelled debt can help finance transition plans, signal</w:t>
      </w:r>
      <w:r w:rsidR="00DF495C">
        <w:rPr>
          <w:sz w:val="22"/>
          <w:szCs w:val="22"/>
        </w:rPr>
        <w:t xml:space="preserve"> </w:t>
      </w:r>
      <w:r w:rsidRPr="00DF495C">
        <w:rPr>
          <w:sz w:val="22"/>
          <w:szCs w:val="22"/>
        </w:rPr>
        <w:t>credibility and open new pools of capital.</w:t>
      </w:r>
    </w:p>
    <w:p w14:paraId="1871D396" w14:textId="22C4EEDD" w:rsidR="002D680F" w:rsidRPr="00EF2221" w:rsidRDefault="002D680F" w:rsidP="000B3001">
      <w:pPr>
        <w:pStyle w:val="BodytextIndent"/>
        <w:numPr>
          <w:ilvl w:val="0"/>
          <w:numId w:val="16"/>
        </w:numPr>
        <w:jc w:val="both"/>
        <w:rPr>
          <w:sz w:val="22"/>
          <w:szCs w:val="22"/>
        </w:rPr>
      </w:pPr>
      <w:r w:rsidRPr="00EF2221">
        <w:rPr>
          <w:sz w:val="22"/>
          <w:szCs w:val="22"/>
        </w:rPr>
        <w:t>We note that current disclosure expectations are crystalising, based on voluntary best practice standards such as those provided by the International Capital Market Association (ICMA) and the Climate Bonds Initiative (CBI)</w:t>
      </w:r>
      <w:r w:rsidR="004640C8" w:rsidRPr="00EF2221">
        <w:rPr>
          <w:sz w:val="22"/>
          <w:szCs w:val="22"/>
        </w:rPr>
        <w:t xml:space="preserve">, as well as ESMA’s </w:t>
      </w:r>
      <w:r w:rsidR="00A44739" w:rsidRPr="00EF2221">
        <w:rPr>
          <w:sz w:val="22"/>
          <w:szCs w:val="22"/>
        </w:rPr>
        <w:t xml:space="preserve">2023 </w:t>
      </w:r>
      <w:hyperlink r:id="rId12" w:history="1">
        <w:r w:rsidR="00A44739" w:rsidRPr="00EF2221">
          <w:rPr>
            <w:rStyle w:val="Hyperlink"/>
            <w:sz w:val="22"/>
            <w:szCs w:val="22"/>
          </w:rPr>
          <w:t>public statement</w:t>
        </w:r>
      </w:hyperlink>
      <w:r w:rsidRPr="00EF2221">
        <w:rPr>
          <w:sz w:val="22"/>
          <w:szCs w:val="22"/>
        </w:rPr>
        <w:t>. More than 90% of issuers reference ICMA principles when issuing sustainable bonds</w:t>
      </w:r>
      <w:r w:rsidR="00460020">
        <w:rPr>
          <w:rStyle w:val="FootnoteReference"/>
          <w:sz w:val="22"/>
          <w:szCs w:val="22"/>
        </w:rPr>
        <w:footnoteReference w:id="3"/>
      </w:r>
      <w:r w:rsidR="00460020" w:rsidRPr="00EF2221">
        <w:rPr>
          <w:sz w:val="22"/>
          <w:szCs w:val="22"/>
        </w:rPr>
        <w:t>,</w:t>
      </w:r>
      <w:r w:rsidRPr="00EF2221">
        <w:rPr>
          <w:sz w:val="22"/>
          <w:szCs w:val="22"/>
        </w:rPr>
        <w:t xml:space="preserve"> although outside the prospectus. Further </w:t>
      </w:r>
      <w:r w:rsidR="004640C8" w:rsidRPr="00EF2221">
        <w:rPr>
          <w:sz w:val="22"/>
          <w:szCs w:val="22"/>
        </w:rPr>
        <w:t xml:space="preserve">regulatory </w:t>
      </w:r>
      <w:r w:rsidRPr="00EF2221">
        <w:rPr>
          <w:sz w:val="22"/>
          <w:szCs w:val="22"/>
        </w:rPr>
        <w:t>evolution including</w:t>
      </w:r>
      <w:r w:rsidR="004640C8" w:rsidRPr="00EF2221">
        <w:rPr>
          <w:sz w:val="22"/>
          <w:szCs w:val="22"/>
        </w:rPr>
        <w:t xml:space="preserve"> </w:t>
      </w:r>
      <w:r w:rsidRPr="00EF2221">
        <w:rPr>
          <w:sz w:val="22"/>
          <w:szCs w:val="22"/>
        </w:rPr>
        <w:t>mandatory</w:t>
      </w:r>
      <w:r w:rsidR="00A44739" w:rsidRPr="00EF2221">
        <w:rPr>
          <w:sz w:val="22"/>
          <w:szCs w:val="22"/>
        </w:rPr>
        <w:t xml:space="preserve"> requirements are</w:t>
      </w:r>
      <w:r w:rsidRPr="00EF2221">
        <w:rPr>
          <w:sz w:val="22"/>
          <w:szCs w:val="22"/>
        </w:rPr>
        <w:t xml:space="preserve"> needed to address concerns</w:t>
      </w:r>
      <w:r w:rsidR="00EF2221">
        <w:rPr>
          <w:rStyle w:val="FootnoteReference"/>
          <w:sz w:val="22"/>
          <w:szCs w:val="22"/>
        </w:rPr>
        <w:footnoteReference w:id="4"/>
      </w:r>
      <w:r w:rsidRPr="00EF2221">
        <w:rPr>
          <w:sz w:val="22"/>
          <w:szCs w:val="22"/>
        </w:rPr>
        <w:t xml:space="preserve"> about the longevity, efficacy and</w:t>
      </w:r>
      <w:r w:rsidR="00EF2221">
        <w:rPr>
          <w:sz w:val="22"/>
          <w:szCs w:val="22"/>
        </w:rPr>
        <w:t xml:space="preserve"> </w:t>
      </w:r>
      <w:r w:rsidRPr="00EF2221">
        <w:rPr>
          <w:sz w:val="22"/>
          <w:szCs w:val="22"/>
        </w:rPr>
        <w:t xml:space="preserve">credibility of the </w:t>
      </w:r>
      <w:r w:rsidR="00EF2221">
        <w:rPr>
          <w:sz w:val="22"/>
          <w:szCs w:val="22"/>
        </w:rPr>
        <w:t>GSS+</w:t>
      </w:r>
      <w:r w:rsidRPr="00EF2221">
        <w:rPr>
          <w:sz w:val="22"/>
          <w:szCs w:val="22"/>
        </w:rPr>
        <w:t xml:space="preserve"> debt market.</w:t>
      </w:r>
    </w:p>
    <w:p w14:paraId="2E6DD14F" w14:textId="608ED1A3" w:rsidR="000F61DE" w:rsidRDefault="000303E7" w:rsidP="000F61DE">
      <w:pPr>
        <w:pStyle w:val="BodytextIndent"/>
        <w:numPr>
          <w:ilvl w:val="0"/>
          <w:numId w:val="16"/>
        </w:numPr>
        <w:jc w:val="both"/>
        <w:rPr>
          <w:sz w:val="22"/>
          <w:szCs w:val="22"/>
        </w:rPr>
      </w:pPr>
      <w:r>
        <w:rPr>
          <w:sz w:val="22"/>
          <w:szCs w:val="22"/>
        </w:rPr>
        <w:t>Nonetheless, s</w:t>
      </w:r>
      <w:r w:rsidR="002D680F" w:rsidRPr="000303E7">
        <w:rPr>
          <w:sz w:val="22"/>
          <w:szCs w:val="22"/>
        </w:rPr>
        <w:t>ustainability-related disclosure practices, especially those provided in the bond</w:t>
      </w:r>
      <w:r w:rsidRPr="000303E7">
        <w:rPr>
          <w:sz w:val="22"/>
          <w:szCs w:val="22"/>
        </w:rPr>
        <w:t xml:space="preserve"> </w:t>
      </w:r>
      <w:r w:rsidR="002D680F" w:rsidRPr="000303E7">
        <w:rPr>
          <w:sz w:val="22"/>
          <w:szCs w:val="22"/>
        </w:rPr>
        <w:t>documentation, such as the prospectus, remain a major challenge for bond investors seeking</w:t>
      </w:r>
      <w:r>
        <w:rPr>
          <w:sz w:val="22"/>
          <w:szCs w:val="22"/>
        </w:rPr>
        <w:t xml:space="preserve"> </w:t>
      </w:r>
      <w:r w:rsidR="002D680F" w:rsidRPr="000303E7">
        <w:rPr>
          <w:sz w:val="22"/>
          <w:szCs w:val="22"/>
        </w:rPr>
        <w:t>to appropriately integrate climate into their investment decision-making process</w:t>
      </w:r>
      <w:r w:rsidR="009E4EFF">
        <w:rPr>
          <w:rStyle w:val="FootnoteReference"/>
          <w:sz w:val="22"/>
          <w:szCs w:val="22"/>
        </w:rPr>
        <w:footnoteReference w:id="5"/>
      </w:r>
      <w:r w:rsidR="002D680F" w:rsidRPr="000303E7">
        <w:rPr>
          <w:sz w:val="22"/>
          <w:szCs w:val="22"/>
        </w:rPr>
        <w:t>.</w:t>
      </w:r>
    </w:p>
    <w:p w14:paraId="54C88DC1" w14:textId="77777777" w:rsidR="000F0EB2" w:rsidRDefault="000F0EB2" w:rsidP="000F0EB2">
      <w:pPr>
        <w:pStyle w:val="BodytextIndent"/>
        <w:jc w:val="both"/>
        <w:rPr>
          <w:i/>
          <w:iCs/>
          <w:sz w:val="22"/>
          <w:szCs w:val="22"/>
        </w:rPr>
      </w:pPr>
      <w:r w:rsidRPr="000F0EB2">
        <w:rPr>
          <w:i/>
          <w:iCs/>
          <w:sz w:val="22"/>
          <w:szCs w:val="22"/>
        </w:rPr>
        <w:t>Support</w:t>
      </w:r>
    </w:p>
    <w:p w14:paraId="45D81BB3" w14:textId="77777777" w:rsidR="00197663" w:rsidRDefault="00103B47" w:rsidP="00197663">
      <w:pPr>
        <w:pStyle w:val="BodytextIndent"/>
        <w:numPr>
          <w:ilvl w:val="0"/>
          <w:numId w:val="16"/>
        </w:numPr>
        <w:jc w:val="both"/>
        <w:rPr>
          <w:i/>
          <w:iCs/>
          <w:sz w:val="22"/>
          <w:szCs w:val="22"/>
        </w:rPr>
      </w:pPr>
      <w:r w:rsidRPr="00103B47">
        <w:rPr>
          <w:sz w:val="22"/>
          <w:szCs w:val="22"/>
        </w:rPr>
        <w:t xml:space="preserve">The proposals are broadly in line with existing standards, such as ICMA, and the FCA’s recent proposals. Regarding the latter, there remain opportunities to further harmonise requirements. </w:t>
      </w:r>
    </w:p>
    <w:p w14:paraId="4623D91B" w14:textId="77777777" w:rsidR="00197663" w:rsidRDefault="00103B47" w:rsidP="00197663">
      <w:pPr>
        <w:pStyle w:val="BodytextIndent"/>
        <w:numPr>
          <w:ilvl w:val="0"/>
          <w:numId w:val="16"/>
        </w:numPr>
        <w:jc w:val="both"/>
        <w:rPr>
          <w:i/>
          <w:iCs/>
          <w:sz w:val="22"/>
          <w:szCs w:val="22"/>
        </w:rPr>
      </w:pPr>
      <w:r w:rsidRPr="00103B47">
        <w:rPr>
          <w:sz w:val="22"/>
          <w:szCs w:val="22"/>
        </w:rPr>
        <w:t xml:space="preserve">We strongly support the mandatory nature of the disclosures required in the prospectus, as argued in IIGCC’s FCA consultation response. </w:t>
      </w:r>
    </w:p>
    <w:p w14:paraId="63DDF432" w14:textId="77777777" w:rsidR="00197663" w:rsidRDefault="00103B47" w:rsidP="00197663">
      <w:pPr>
        <w:pStyle w:val="BodytextIndent"/>
        <w:numPr>
          <w:ilvl w:val="0"/>
          <w:numId w:val="16"/>
        </w:numPr>
        <w:jc w:val="both"/>
        <w:rPr>
          <w:i/>
          <w:iCs/>
          <w:sz w:val="22"/>
          <w:szCs w:val="22"/>
        </w:rPr>
      </w:pPr>
      <w:r w:rsidRPr="00103B47">
        <w:rPr>
          <w:sz w:val="22"/>
          <w:szCs w:val="22"/>
        </w:rPr>
        <w:t xml:space="preserve">We also welcome the clear links throughout Annex 21 to the issuer’s overall green/sustainability strategy, and the contribution of activities financed by use of proceeds to that strategy, or consistency of KPIs with that strategy. It is critical that issuers demonstrate how issuances are aligned with broader transition plans/corporate strategy. </w:t>
      </w:r>
    </w:p>
    <w:p w14:paraId="40A5F058" w14:textId="6735E6DC" w:rsidR="00C6189B" w:rsidRPr="00197663" w:rsidRDefault="00197663" w:rsidP="00197663">
      <w:pPr>
        <w:pStyle w:val="BodytextIndent"/>
        <w:numPr>
          <w:ilvl w:val="0"/>
          <w:numId w:val="16"/>
        </w:numPr>
        <w:jc w:val="both"/>
        <w:rPr>
          <w:i/>
          <w:iCs/>
          <w:sz w:val="22"/>
          <w:szCs w:val="22"/>
        </w:rPr>
      </w:pPr>
      <w:r w:rsidRPr="00F9794D">
        <w:rPr>
          <w:sz w:val="22"/>
          <w:szCs w:val="22"/>
        </w:rPr>
        <w:t>Finally</w:t>
      </w:r>
      <w:r>
        <w:rPr>
          <w:i/>
          <w:iCs/>
          <w:sz w:val="22"/>
          <w:szCs w:val="22"/>
        </w:rPr>
        <w:t xml:space="preserve">, </w:t>
      </w:r>
      <w:r w:rsidR="00F9794D">
        <w:rPr>
          <w:sz w:val="22"/>
          <w:szCs w:val="22"/>
        </w:rPr>
        <w:t>we</w:t>
      </w:r>
      <w:r w:rsidR="00103B47" w:rsidRPr="00197663">
        <w:rPr>
          <w:sz w:val="22"/>
          <w:szCs w:val="22"/>
        </w:rPr>
        <w:t xml:space="preserve"> welcome the evolution since the Statement, namely requiring post-issuance reporting and greater clarity on “partial” alignment (for more, see our response to Q13)</w:t>
      </w:r>
    </w:p>
    <w:p w14:paraId="248A9638" w14:textId="713563C2" w:rsidR="00C6189B" w:rsidRDefault="000F0EB2" w:rsidP="00E6644A">
      <w:pPr>
        <w:pStyle w:val="BodytextIndent"/>
        <w:jc w:val="both"/>
        <w:rPr>
          <w:i/>
          <w:iCs/>
          <w:sz w:val="22"/>
          <w:szCs w:val="22"/>
        </w:rPr>
      </w:pPr>
      <w:r w:rsidRPr="000F0EB2">
        <w:rPr>
          <w:i/>
          <w:iCs/>
          <w:sz w:val="22"/>
          <w:szCs w:val="22"/>
        </w:rPr>
        <w:t>Areas for Improvement</w:t>
      </w:r>
    </w:p>
    <w:p w14:paraId="5E3D76A6" w14:textId="0E276CF4" w:rsidR="000F0EB2" w:rsidRDefault="000F0EB2" w:rsidP="000F0EB2">
      <w:pPr>
        <w:pStyle w:val="BodytextIndent"/>
        <w:numPr>
          <w:ilvl w:val="0"/>
          <w:numId w:val="16"/>
        </w:numPr>
        <w:jc w:val="both"/>
        <w:rPr>
          <w:sz w:val="22"/>
          <w:szCs w:val="22"/>
        </w:rPr>
      </w:pPr>
      <w:r>
        <w:rPr>
          <w:sz w:val="22"/>
          <w:szCs w:val="22"/>
        </w:rPr>
        <w:t xml:space="preserve">The </w:t>
      </w:r>
      <w:r w:rsidR="00197663">
        <w:rPr>
          <w:sz w:val="22"/>
          <w:szCs w:val="22"/>
        </w:rPr>
        <w:t xml:space="preserve">proposals could be improved by addressing the following. </w:t>
      </w:r>
    </w:p>
    <w:p w14:paraId="325A28FF" w14:textId="538EFF76" w:rsidR="0007662A" w:rsidRDefault="0007662A" w:rsidP="000F0EB2">
      <w:pPr>
        <w:pStyle w:val="BodytextIndent"/>
        <w:numPr>
          <w:ilvl w:val="0"/>
          <w:numId w:val="16"/>
        </w:numPr>
        <w:jc w:val="both"/>
        <w:rPr>
          <w:sz w:val="22"/>
          <w:szCs w:val="22"/>
        </w:rPr>
      </w:pPr>
      <w:r w:rsidRPr="000B21A8">
        <w:rPr>
          <w:b/>
          <w:bCs/>
          <w:sz w:val="22"/>
          <w:szCs w:val="22"/>
        </w:rPr>
        <w:t>Bond Frameworks:</w:t>
      </w:r>
      <w:r>
        <w:rPr>
          <w:sz w:val="22"/>
          <w:szCs w:val="22"/>
        </w:rPr>
        <w:t xml:space="preserve"> </w:t>
      </w:r>
      <w:r w:rsidR="000B21A8" w:rsidRPr="000B21A8">
        <w:rPr>
          <w:sz w:val="22"/>
          <w:szCs w:val="22"/>
        </w:rPr>
        <w:t xml:space="preserve">The revised Annex 21 makes limited reference to the issuer’s bond framework. Inconsistencies between prospectus and bond frameworks has been correctly identified as a challenge by the FCA. For instance, the FCA’s proposals in the UK include a </w:t>
      </w:r>
      <w:r w:rsidR="000B21A8" w:rsidRPr="000B21A8">
        <w:rPr>
          <w:sz w:val="22"/>
          <w:szCs w:val="22"/>
        </w:rPr>
        <w:lastRenderedPageBreak/>
        <w:t>requirement to set out “the process and standards through which the issuer has satisfied itself that the projects to be financed fit within the categories of eligible projects described in the bond framework. At present, Annex 21 only requires “a summary of the material provisions of the applicable framework”.</w:t>
      </w:r>
    </w:p>
    <w:p w14:paraId="22698152" w14:textId="152FFA98" w:rsidR="000B21A8" w:rsidRDefault="000B21A8" w:rsidP="000F0EB2">
      <w:pPr>
        <w:pStyle w:val="BodytextIndent"/>
        <w:numPr>
          <w:ilvl w:val="0"/>
          <w:numId w:val="16"/>
        </w:numPr>
        <w:jc w:val="both"/>
        <w:rPr>
          <w:sz w:val="22"/>
          <w:szCs w:val="22"/>
        </w:rPr>
      </w:pPr>
      <w:r>
        <w:rPr>
          <w:b/>
          <w:bCs/>
          <w:sz w:val="22"/>
          <w:szCs w:val="22"/>
        </w:rPr>
        <w:t>Use of Proceeds:</w:t>
      </w:r>
      <w:r>
        <w:rPr>
          <w:sz w:val="22"/>
          <w:szCs w:val="22"/>
        </w:rPr>
        <w:t xml:space="preserve"> </w:t>
      </w:r>
      <w:r w:rsidR="00603DD0" w:rsidRPr="00603DD0">
        <w:rPr>
          <w:sz w:val="22"/>
          <w:szCs w:val="22"/>
        </w:rPr>
        <w:t>Item 3.1.3, concerning the use of proceeds and relevant activities, could be improved by expanding the description to include details on the issuer’s approach to refinancing and lookback periods. The FCA proposals, for instance, call on issuers to consider “whether the proceeds can be used for refinancing existing commitments”, including details on the maximum proportion of proceeds that could be used for refinancing and the look-back period. This in line with ICMA’s Green Bond Principles. ESMA may also want to consider including a “rationale for approach” to Item 3.1.4, in line with the FCA’s proposals.</w:t>
      </w:r>
    </w:p>
    <w:p w14:paraId="0226046D" w14:textId="3714BAD5" w:rsidR="00C6189B" w:rsidRPr="00E0548F" w:rsidRDefault="00603DD0" w:rsidP="00E0548F">
      <w:pPr>
        <w:pStyle w:val="BodytextIndent"/>
        <w:numPr>
          <w:ilvl w:val="0"/>
          <w:numId w:val="16"/>
        </w:numPr>
        <w:jc w:val="both"/>
        <w:rPr>
          <w:sz w:val="22"/>
          <w:szCs w:val="22"/>
        </w:rPr>
      </w:pPr>
      <w:r w:rsidRPr="00603DD0">
        <w:rPr>
          <w:b/>
          <w:bCs/>
          <w:sz w:val="22"/>
          <w:szCs w:val="22"/>
        </w:rPr>
        <w:t>Sustainability-Linked Bonds</w:t>
      </w:r>
      <w:r>
        <w:rPr>
          <w:b/>
          <w:bCs/>
          <w:sz w:val="22"/>
          <w:szCs w:val="22"/>
        </w:rPr>
        <w:t xml:space="preserve">: </w:t>
      </w:r>
      <w:r w:rsidR="001D0664" w:rsidRPr="001D0664">
        <w:rPr>
          <w:sz w:val="22"/>
          <w:szCs w:val="22"/>
        </w:rPr>
        <w:t xml:space="preserve">The efficacy of SLBs relies on a) material targets and b) material incentives. Item 4.1.2 requires an explanation as to the materiality of the former through consistency with “relevant sector-specific science-based targets…and the issuer’s sustainability strategy”. The latter, however, is not considered. While </w:t>
      </w:r>
      <w:proofErr w:type="gramStart"/>
      <w:r w:rsidR="001D0664" w:rsidRPr="001D0664">
        <w:rPr>
          <w:sz w:val="22"/>
          <w:szCs w:val="22"/>
        </w:rPr>
        <w:t>issuer’s</w:t>
      </w:r>
      <w:proofErr w:type="gramEnd"/>
      <w:r w:rsidR="001D0664" w:rsidRPr="001D0664">
        <w:rPr>
          <w:sz w:val="22"/>
          <w:szCs w:val="22"/>
        </w:rPr>
        <w:t xml:space="preserve"> are required to provide a description of financial features linked to ESG objectives, no explanation of why the financial consequences are deemed an adequate incentive is required. ICMA recommends that these be “commensurate and meaningful to the issuer’s original bond financial characteristics”. </w:t>
      </w:r>
      <w:r w:rsidR="001D0664">
        <w:rPr>
          <w:sz w:val="22"/>
          <w:szCs w:val="22"/>
        </w:rPr>
        <w:t>IIGCC</w:t>
      </w:r>
      <w:r w:rsidR="001D0664" w:rsidRPr="001D0664">
        <w:rPr>
          <w:sz w:val="22"/>
          <w:szCs w:val="22"/>
        </w:rPr>
        <w:t xml:space="preserve"> would welcome an approach aligned with the FCA’s proposal for an explanation.</w:t>
      </w:r>
    </w:p>
    <w:p w14:paraId="4AB3AFC1" w14:textId="4BBCACA5" w:rsidR="001F5A26" w:rsidRPr="00B729CC" w:rsidRDefault="00044513" w:rsidP="00432023">
      <w:pPr>
        <w:pStyle w:val="Heading3SpaceAfter"/>
        <w:jc w:val="both"/>
        <w:rPr>
          <w:color w:val="050449" w:themeColor="text2"/>
          <w:sz w:val="24"/>
        </w:rPr>
      </w:pPr>
      <w:r>
        <w:rPr>
          <w:color w:val="050449" w:themeColor="text2"/>
          <w:sz w:val="24"/>
        </w:rPr>
        <w:t>Q9</w:t>
      </w:r>
      <w:r w:rsidR="001F5A26" w:rsidRPr="00B729CC">
        <w:rPr>
          <w:color w:val="050449" w:themeColor="text2"/>
          <w:sz w:val="24"/>
        </w:rPr>
        <w:t xml:space="preserve">. </w:t>
      </w:r>
      <w:r w:rsidRPr="00044513">
        <w:rPr>
          <w:color w:val="050449" w:themeColor="text2"/>
          <w:sz w:val="24"/>
        </w:rPr>
        <w:t xml:space="preserve">Do you agree with the definitions proposed for ‘use of proceeds bonds’ and ‘sustainability-linked non-equity </w:t>
      </w:r>
      <w:proofErr w:type="gramStart"/>
      <w:r w:rsidRPr="00044513">
        <w:rPr>
          <w:color w:val="050449" w:themeColor="text2"/>
          <w:sz w:val="24"/>
        </w:rPr>
        <w:t>securities’</w:t>
      </w:r>
      <w:proofErr w:type="gramEnd"/>
      <w:r w:rsidRPr="00044513">
        <w:rPr>
          <w:color w:val="050449" w:themeColor="text2"/>
          <w:sz w:val="24"/>
        </w:rPr>
        <w:t>? If not, what changes to the definition would you suggest?</w:t>
      </w:r>
    </w:p>
    <w:p w14:paraId="3BBE103C" w14:textId="248D3A1B" w:rsidR="00F9474F" w:rsidRDefault="00F9474F" w:rsidP="00E6644A">
      <w:pPr>
        <w:pStyle w:val="BodytextIndent"/>
        <w:jc w:val="both"/>
        <w:rPr>
          <w:sz w:val="22"/>
          <w:szCs w:val="22"/>
        </w:rPr>
      </w:pPr>
      <w:r w:rsidRPr="00F9474F">
        <w:rPr>
          <w:b/>
          <w:bCs/>
          <w:sz w:val="22"/>
          <w:szCs w:val="22"/>
        </w:rPr>
        <w:t>N</w:t>
      </w:r>
      <w:r w:rsidR="00243088">
        <w:rPr>
          <w:b/>
          <w:bCs/>
          <w:sz w:val="22"/>
          <w:szCs w:val="22"/>
        </w:rPr>
        <w:t>o</w:t>
      </w:r>
      <w:r w:rsidRPr="00F9474F">
        <w:rPr>
          <w:b/>
          <w:bCs/>
          <w:sz w:val="22"/>
          <w:szCs w:val="22"/>
        </w:rPr>
        <w:t xml:space="preserve"> – </w:t>
      </w:r>
      <w:r>
        <w:rPr>
          <w:sz w:val="22"/>
          <w:szCs w:val="22"/>
        </w:rPr>
        <w:t xml:space="preserve">IIGCC </w:t>
      </w:r>
      <w:r w:rsidR="00C9533A">
        <w:rPr>
          <w:sz w:val="22"/>
          <w:szCs w:val="22"/>
        </w:rPr>
        <w:t xml:space="preserve">encourages ESMA to adopt definitions more in line with existing regulatory requirements. </w:t>
      </w:r>
    </w:p>
    <w:p w14:paraId="79852F4C" w14:textId="77777777" w:rsidR="001C6D87" w:rsidRPr="001C6D87" w:rsidRDefault="00BA7E39" w:rsidP="001C6D87">
      <w:pPr>
        <w:pStyle w:val="BodytextIndent"/>
        <w:numPr>
          <w:ilvl w:val="0"/>
          <w:numId w:val="16"/>
        </w:numPr>
        <w:jc w:val="both"/>
        <w:rPr>
          <w:sz w:val="22"/>
          <w:szCs w:val="22"/>
        </w:rPr>
      </w:pPr>
      <w:r w:rsidRPr="001C6D87">
        <w:rPr>
          <w:sz w:val="22"/>
          <w:szCs w:val="22"/>
        </w:rPr>
        <w:t xml:space="preserve">IIGCC strongly supports ESMA’s </w:t>
      </w:r>
      <w:r w:rsidR="001C6D87" w:rsidRPr="001C6D87">
        <w:rPr>
          <w:sz w:val="22"/>
          <w:szCs w:val="22"/>
        </w:rPr>
        <w:t>goal to “help ensure legal certainty”.</w:t>
      </w:r>
      <w:r w:rsidR="001C6D87" w:rsidRPr="001C6D87">
        <w:t xml:space="preserve"> </w:t>
      </w:r>
    </w:p>
    <w:p w14:paraId="3BDF4B1B" w14:textId="7EC0A596" w:rsidR="001C6D87" w:rsidRPr="001C6D87" w:rsidRDefault="001C6D87" w:rsidP="001C6D87">
      <w:pPr>
        <w:pStyle w:val="BodytextIndent"/>
        <w:numPr>
          <w:ilvl w:val="0"/>
          <w:numId w:val="16"/>
        </w:numPr>
        <w:jc w:val="both"/>
        <w:rPr>
          <w:sz w:val="22"/>
          <w:szCs w:val="22"/>
        </w:rPr>
      </w:pPr>
      <w:r w:rsidRPr="001C6D87">
        <w:rPr>
          <w:sz w:val="22"/>
          <w:szCs w:val="22"/>
        </w:rPr>
        <w:t xml:space="preserve">Wherever possible, and in order to uphold consistency with other regulations, the language used for definitions of non-equity securities should align to the wording set out in the </w:t>
      </w:r>
      <w:r>
        <w:rPr>
          <w:sz w:val="22"/>
          <w:szCs w:val="22"/>
        </w:rPr>
        <w:t>European Green Bond regulation</w:t>
      </w:r>
      <w:r w:rsidRPr="001C6D87">
        <w:rPr>
          <w:sz w:val="22"/>
          <w:szCs w:val="22"/>
        </w:rPr>
        <w:t xml:space="preserve">. </w:t>
      </w:r>
    </w:p>
    <w:p w14:paraId="22FC124E" w14:textId="77777777" w:rsidR="001C6D87" w:rsidRDefault="001C6D87" w:rsidP="001C6D87">
      <w:pPr>
        <w:pStyle w:val="BodytextIndent"/>
        <w:numPr>
          <w:ilvl w:val="0"/>
          <w:numId w:val="16"/>
        </w:numPr>
        <w:jc w:val="both"/>
        <w:rPr>
          <w:sz w:val="22"/>
          <w:szCs w:val="22"/>
        </w:rPr>
      </w:pPr>
      <w:r>
        <w:rPr>
          <w:sz w:val="22"/>
          <w:szCs w:val="22"/>
        </w:rPr>
        <w:t xml:space="preserve">Accordingly: </w:t>
      </w:r>
    </w:p>
    <w:p w14:paraId="51207338" w14:textId="5489F62A" w:rsidR="001C6D87" w:rsidRDefault="001C6D87" w:rsidP="001C6D87">
      <w:pPr>
        <w:pStyle w:val="BodytextIndent"/>
        <w:numPr>
          <w:ilvl w:val="1"/>
          <w:numId w:val="16"/>
        </w:numPr>
        <w:jc w:val="both"/>
        <w:rPr>
          <w:sz w:val="22"/>
          <w:szCs w:val="22"/>
        </w:rPr>
      </w:pPr>
      <w:r w:rsidRPr="001C6D87">
        <w:rPr>
          <w:sz w:val="22"/>
          <w:szCs w:val="22"/>
        </w:rPr>
        <w:t>For UOPs, proceeds should be “allocated to” activities rather than “applied to”</w:t>
      </w:r>
      <w:r w:rsidR="0070705B">
        <w:rPr>
          <w:sz w:val="22"/>
          <w:szCs w:val="22"/>
        </w:rPr>
        <w:t>, resulting in the following definition:</w:t>
      </w:r>
      <w:r w:rsidR="00912E29" w:rsidRPr="00912E29">
        <w:rPr>
          <w:color w:val="10142A"/>
        </w:rPr>
        <w:t xml:space="preserve"> </w:t>
      </w:r>
      <w:r w:rsidR="00912E29">
        <w:rPr>
          <w:color w:val="10142A"/>
        </w:rPr>
        <w:t>“</w:t>
      </w:r>
      <w:proofErr w:type="gramStart"/>
      <w:r w:rsidR="00912E29" w:rsidRPr="00912E29">
        <w:rPr>
          <w:sz w:val="22"/>
          <w:szCs w:val="22"/>
        </w:rPr>
        <w:t>Non-equity</w:t>
      </w:r>
      <w:proofErr w:type="gramEnd"/>
      <w:r w:rsidR="00912E29" w:rsidRPr="00912E29">
        <w:rPr>
          <w:sz w:val="22"/>
          <w:szCs w:val="22"/>
        </w:rPr>
        <w:t xml:space="preserve"> whose proceeds are </w:t>
      </w:r>
      <w:r w:rsidR="00912E29">
        <w:rPr>
          <w:sz w:val="22"/>
          <w:szCs w:val="22"/>
        </w:rPr>
        <w:t>allocated</w:t>
      </w:r>
      <w:r w:rsidR="00912E29" w:rsidRPr="00912E29">
        <w:rPr>
          <w:sz w:val="22"/>
          <w:szCs w:val="22"/>
        </w:rPr>
        <w:t xml:space="preserve"> to finance or re-finance green and/or social projects or activities</w:t>
      </w:r>
      <w:r w:rsidR="00912E29">
        <w:rPr>
          <w:sz w:val="22"/>
          <w:szCs w:val="22"/>
        </w:rPr>
        <w:t xml:space="preserve">”. </w:t>
      </w:r>
      <w:r w:rsidRPr="001C6D87">
        <w:rPr>
          <w:sz w:val="22"/>
          <w:szCs w:val="22"/>
        </w:rPr>
        <w:t xml:space="preserve">This reflects the language of the EU GBS and entails a more restrictive application of funds to certain activities. </w:t>
      </w:r>
    </w:p>
    <w:p w14:paraId="3C55E38C" w14:textId="21499E61" w:rsidR="00C9533A" w:rsidRPr="001C6D87" w:rsidRDefault="001C6D87" w:rsidP="001C6D87">
      <w:pPr>
        <w:pStyle w:val="BodytextIndent"/>
        <w:numPr>
          <w:ilvl w:val="1"/>
          <w:numId w:val="16"/>
        </w:numPr>
        <w:jc w:val="both"/>
        <w:rPr>
          <w:sz w:val="22"/>
          <w:szCs w:val="22"/>
        </w:rPr>
      </w:pPr>
      <w:r w:rsidRPr="001C6D87">
        <w:rPr>
          <w:sz w:val="22"/>
          <w:szCs w:val="22"/>
        </w:rPr>
        <w:t xml:space="preserve">For SLBs, the definition provided in the EU GBS should be used. </w:t>
      </w:r>
      <w:r w:rsidR="00FD2D5C">
        <w:rPr>
          <w:sz w:val="22"/>
          <w:szCs w:val="22"/>
        </w:rPr>
        <w:t>We recognise that d</w:t>
      </w:r>
      <w:r w:rsidRPr="001C6D87">
        <w:rPr>
          <w:sz w:val="22"/>
          <w:szCs w:val="22"/>
        </w:rPr>
        <w:t xml:space="preserve">eviation from </w:t>
      </w:r>
      <w:r w:rsidR="00FD2D5C">
        <w:rPr>
          <w:sz w:val="22"/>
          <w:szCs w:val="22"/>
        </w:rPr>
        <w:t>this</w:t>
      </w:r>
      <w:r w:rsidRPr="001C6D87">
        <w:rPr>
          <w:sz w:val="22"/>
          <w:szCs w:val="22"/>
        </w:rPr>
        <w:t xml:space="preserve"> definition </w:t>
      </w:r>
      <w:r w:rsidR="00FD2D5C">
        <w:rPr>
          <w:sz w:val="22"/>
          <w:szCs w:val="22"/>
        </w:rPr>
        <w:t>is needed to cover broa</w:t>
      </w:r>
      <w:r w:rsidRPr="001C6D87">
        <w:rPr>
          <w:sz w:val="22"/>
          <w:szCs w:val="22"/>
        </w:rPr>
        <w:t xml:space="preserve">der sustainability objectives beyond climate. Accordingly, the definition should be: “non-equity securities whose </w:t>
      </w:r>
      <w:r w:rsidRPr="001C6D87">
        <w:rPr>
          <w:sz w:val="22"/>
          <w:szCs w:val="22"/>
        </w:rPr>
        <w:lastRenderedPageBreak/>
        <w:t xml:space="preserve">financial or structural characteristics vary depending on the achievement by the issuer of predefined ESG objectives”.  </w:t>
      </w:r>
    </w:p>
    <w:p w14:paraId="63978E68" w14:textId="4DE9E015" w:rsidR="001F5A26" w:rsidRPr="00B729CC" w:rsidRDefault="004E31F8" w:rsidP="00432023">
      <w:pPr>
        <w:pStyle w:val="Heading3SpaceAfter"/>
        <w:jc w:val="both"/>
        <w:rPr>
          <w:color w:val="050449" w:themeColor="text2"/>
          <w:sz w:val="24"/>
        </w:rPr>
      </w:pPr>
      <w:r w:rsidRPr="00B729CC">
        <w:rPr>
          <w:color w:val="050449" w:themeColor="text2"/>
          <w:sz w:val="24"/>
        </w:rPr>
        <w:t>Q</w:t>
      </w:r>
      <w:r w:rsidR="00044513">
        <w:rPr>
          <w:color w:val="050449" w:themeColor="text2"/>
          <w:sz w:val="24"/>
        </w:rPr>
        <w:t>10</w:t>
      </w:r>
      <w:r w:rsidR="001F5A26" w:rsidRPr="00B729CC">
        <w:rPr>
          <w:color w:val="050449" w:themeColor="text2"/>
          <w:sz w:val="24"/>
        </w:rPr>
        <w:t>.</w:t>
      </w:r>
      <w:r w:rsidRPr="00B729CC">
        <w:rPr>
          <w:color w:val="050449" w:themeColor="text2"/>
          <w:sz w:val="24"/>
        </w:rPr>
        <w:t xml:space="preserve"> </w:t>
      </w:r>
      <w:r w:rsidR="00044513" w:rsidRPr="00044513">
        <w:rPr>
          <w:color w:val="050449" w:themeColor="text2"/>
          <w:sz w:val="24"/>
        </w:rPr>
        <w:t xml:space="preserve">Do you agree with ESMA’s approach to dealing with </w:t>
      </w:r>
      <w:proofErr w:type="spellStart"/>
      <w:r w:rsidR="00044513" w:rsidRPr="00044513">
        <w:rPr>
          <w:color w:val="050449" w:themeColor="text2"/>
          <w:sz w:val="24"/>
        </w:rPr>
        <w:t>i</w:t>
      </w:r>
      <w:proofErr w:type="spellEnd"/>
      <w:r w:rsidR="00044513" w:rsidRPr="00044513">
        <w:rPr>
          <w:color w:val="050449" w:themeColor="text2"/>
          <w:sz w:val="24"/>
        </w:rPr>
        <w:t xml:space="preserve">) prospectuses relating to </w:t>
      </w:r>
      <w:proofErr w:type="spellStart"/>
      <w:r w:rsidR="00044513" w:rsidRPr="00044513">
        <w:rPr>
          <w:color w:val="050449" w:themeColor="text2"/>
          <w:sz w:val="24"/>
        </w:rPr>
        <w:t>EuGBs</w:t>
      </w:r>
      <w:proofErr w:type="spellEnd"/>
      <w:r w:rsidR="00044513" w:rsidRPr="00044513">
        <w:rPr>
          <w:color w:val="050449" w:themeColor="text2"/>
          <w:sz w:val="24"/>
        </w:rPr>
        <w:t xml:space="preserve"> and ii) prospectuses from issuers who have opted to use the templates for voluntary pre-issuance disclosures, as referred to in the European Green Bond Regulation? Please explain your answer and provide any additional proposals to alleviate regulatory burden.</w:t>
      </w:r>
    </w:p>
    <w:p w14:paraId="45F3583A" w14:textId="7C961414" w:rsidR="00191EF1" w:rsidRDefault="00191EF1" w:rsidP="00E6644A">
      <w:pPr>
        <w:pStyle w:val="BodytextIndent"/>
        <w:jc w:val="both"/>
        <w:rPr>
          <w:sz w:val="22"/>
          <w:szCs w:val="22"/>
        </w:rPr>
      </w:pPr>
      <w:r w:rsidRPr="00191EF1">
        <w:rPr>
          <w:b/>
          <w:bCs/>
          <w:sz w:val="22"/>
          <w:szCs w:val="22"/>
        </w:rPr>
        <w:t>Y</w:t>
      </w:r>
      <w:r w:rsidR="00243088">
        <w:rPr>
          <w:b/>
          <w:bCs/>
          <w:sz w:val="22"/>
          <w:szCs w:val="22"/>
        </w:rPr>
        <w:t>es</w:t>
      </w:r>
      <w:r w:rsidR="00E31741" w:rsidRPr="00191EF1">
        <w:rPr>
          <w:b/>
          <w:bCs/>
          <w:sz w:val="22"/>
          <w:szCs w:val="22"/>
        </w:rPr>
        <w:t xml:space="preserve"> </w:t>
      </w:r>
      <w:r>
        <w:rPr>
          <w:b/>
          <w:bCs/>
          <w:sz w:val="22"/>
          <w:szCs w:val="22"/>
        </w:rPr>
        <w:t>–</w:t>
      </w:r>
      <w:r w:rsidR="00E31741" w:rsidRPr="00191EF1">
        <w:rPr>
          <w:sz w:val="22"/>
          <w:szCs w:val="22"/>
        </w:rPr>
        <w:t xml:space="preserve"> </w:t>
      </w:r>
      <w:r>
        <w:rPr>
          <w:sz w:val="22"/>
          <w:szCs w:val="22"/>
        </w:rPr>
        <w:t xml:space="preserve">IIGCC supports the proposed approach. </w:t>
      </w:r>
    </w:p>
    <w:p w14:paraId="2DEB85E6" w14:textId="4A197E6A" w:rsidR="00F348D5" w:rsidRPr="00F348D5" w:rsidRDefault="00F348D5" w:rsidP="00FB19CC">
      <w:pPr>
        <w:pStyle w:val="BodytextIndent"/>
        <w:numPr>
          <w:ilvl w:val="0"/>
          <w:numId w:val="16"/>
        </w:numPr>
        <w:jc w:val="both"/>
        <w:rPr>
          <w:sz w:val="22"/>
          <w:szCs w:val="22"/>
        </w:rPr>
      </w:pPr>
      <w:r w:rsidRPr="00F348D5">
        <w:rPr>
          <w:sz w:val="22"/>
          <w:szCs w:val="22"/>
        </w:rPr>
        <w:t xml:space="preserve">IIGCC welcomes </w:t>
      </w:r>
      <w:r w:rsidR="00E5323E">
        <w:rPr>
          <w:sz w:val="22"/>
          <w:szCs w:val="22"/>
        </w:rPr>
        <w:t xml:space="preserve">ESMA’s desire to “promote the use of </w:t>
      </w:r>
      <w:proofErr w:type="spellStart"/>
      <w:r w:rsidR="00E5323E">
        <w:rPr>
          <w:sz w:val="22"/>
          <w:szCs w:val="22"/>
        </w:rPr>
        <w:t>EuGB</w:t>
      </w:r>
      <w:proofErr w:type="spellEnd"/>
      <w:r w:rsidR="00E5323E">
        <w:rPr>
          <w:sz w:val="22"/>
          <w:szCs w:val="22"/>
        </w:rPr>
        <w:t xml:space="preserve"> label and the voluntary disclosure templates by trying to minimise the additional regulatory burden associated with publishing a prospectus”</w:t>
      </w:r>
      <w:r w:rsidR="00FB19CC">
        <w:rPr>
          <w:sz w:val="22"/>
          <w:szCs w:val="22"/>
        </w:rPr>
        <w:t xml:space="preserve"> by avoiding overlap. </w:t>
      </w:r>
    </w:p>
    <w:p w14:paraId="53C7A52A" w14:textId="195317A2" w:rsidR="00F348D5" w:rsidRDefault="00F348D5" w:rsidP="008B6349">
      <w:pPr>
        <w:pStyle w:val="BodytextIndent"/>
        <w:numPr>
          <w:ilvl w:val="0"/>
          <w:numId w:val="16"/>
        </w:numPr>
        <w:jc w:val="both"/>
        <w:rPr>
          <w:sz w:val="22"/>
          <w:szCs w:val="22"/>
        </w:rPr>
      </w:pPr>
      <w:r w:rsidRPr="00F348D5">
        <w:rPr>
          <w:sz w:val="22"/>
          <w:szCs w:val="22"/>
        </w:rPr>
        <w:t xml:space="preserve">This is especially important in the context of </w:t>
      </w:r>
      <w:proofErr w:type="spellStart"/>
      <w:r w:rsidRPr="00F348D5">
        <w:rPr>
          <w:sz w:val="22"/>
          <w:szCs w:val="22"/>
        </w:rPr>
        <w:t>EuGBs</w:t>
      </w:r>
      <w:proofErr w:type="spellEnd"/>
      <w:r w:rsidRPr="00F348D5">
        <w:rPr>
          <w:sz w:val="22"/>
          <w:szCs w:val="22"/>
        </w:rPr>
        <w:t>, so as not to hamper the label’s adoption by issuers</w:t>
      </w:r>
      <w:r w:rsidR="00FB19CC" w:rsidRPr="00FB19CC">
        <w:rPr>
          <w:sz w:val="22"/>
          <w:szCs w:val="22"/>
        </w:rPr>
        <w:t xml:space="preserve">. </w:t>
      </w:r>
    </w:p>
    <w:p w14:paraId="0C36CF33" w14:textId="2CCF19A0" w:rsidR="00FA3D86" w:rsidRPr="009C45D5" w:rsidRDefault="00B07D7F" w:rsidP="00F04E86">
      <w:pPr>
        <w:pStyle w:val="BodytextIndent"/>
        <w:numPr>
          <w:ilvl w:val="0"/>
          <w:numId w:val="16"/>
        </w:numPr>
        <w:jc w:val="both"/>
        <w:rPr>
          <w:sz w:val="22"/>
          <w:szCs w:val="22"/>
        </w:rPr>
      </w:pPr>
      <w:r w:rsidRPr="009C45D5">
        <w:rPr>
          <w:sz w:val="22"/>
          <w:szCs w:val="22"/>
        </w:rPr>
        <w:t xml:space="preserve">We also support the proposal to </w:t>
      </w:r>
      <w:r w:rsidR="008A15DC" w:rsidRPr="009C45D5">
        <w:rPr>
          <w:sz w:val="22"/>
          <w:szCs w:val="22"/>
        </w:rPr>
        <w:t>update the list of documents that can be incorporated by reference under Article 19(1) PR to include the voluntary pre-issuance disclosures.</w:t>
      </w:r>
      <w:r w:rsidR="00286A53" w:rsidRPr="009C45D5">
        <w:rPr>
          <w:sz w:val="22"/>
          <w:szCs w:val="22"/>
        </w:rPr>
        <w:t xml:space="preserve"> </w:t>
      </w:r>
      <w:r w:rsidR="006B3989" w:rsidRPr="009C45D5">
        <w:rPr>
          <w:sz w:val="22"/>
          <w:szCs w:val="22"/>
        </w:rPr>
        <w:t xml:space="preserve"> </w:t>
      </w:r>
    </w:p>
    <w:p w14:paraId="06A7483B" w14:textId="2D9C515B" w:rsidR="00F30D3E" w:rsidRPr="00B729CC" w:rsidRDefault="004E31F8" w:rsidP="00432023">
      <w:pPr>
        <w:pStyle w:val="Heading3SpaceAfter"/>
        <w:jc w:val="both"/>
        <w:rPr>
          <w:color w:val="050449" w:themeColor="text2"/>
          <w:sz w:val="24"/>
        </w:rPr>
      </w:pPr>
      <w:r w:rsidRPr="00B729CC">
        <w:rPr>
          <w:color w:val="050449" w:themeColor="text2"/>
          <w:sz w:val="24"/>
        </w:rPr>
        <w:t>Q</w:t>
      </w:r>
      <w:r w:rsidR="002C6488">
        <w:rPr>
          <w:color w:val="050449" w:themeColor="text2"/>
          <w:sz w:val="24"/>
        </w:rPr>
        <w:t>11</w:t>
      </w:r>
      <w:r w:rsidR="001F5A26" w:rsidRPr="00B729CC">
        <w:rPr>
          <w:color w:val="050449" w:themeColor="text2"/>
          <w:sz w:val="24"/>
        </w:rPr>
        <w:t>.</w:t>
      </w:r>
      <w:r w:rsidRPr="00B729CC">
        <w:rPr>
          <w:color w:val="050449" w:themeColor="text2"/>
          <w:sz w:val="24"/>
        </w:rPr>
        <w:t xml:space="preserve"> </w:t>
      </w:r>
      <w:r w:rsidR="002C6488" w:rsidRPr="002C6488">
        <w:rPr>
          <w:color w:val="050449" w:themeColor="text2"/>
          <w:sz w:val="24"/>
        </w:rPr>
        <w:t xml:space="preserve">Should Annex 21 be disapplied in relation to prospectuses relating to </w:t>
      </w:r>
      <w:proofErr w:type="spellStart"/>
      <w:r w:rsidR="002C6488" w:rsidRPr="002C6488">
        <w:rPr>
          <w:color w:val="050449" w:themeColor="text2"/>
          <w:sz w:val="24"/>
        </w:rPr>
        <w:t>EuGBs</w:t>
      </w:r>
      <w:proofErr w:type="spellEnd"/>
      <w:r w:rsidR="002C6488" w:rsidRPr="002C6488">
        <w:rPr>
          <w:color w:val="050449" w:themeColor="text2"/>
          <w:sz w:val="24"/>
        </w:rPr>
        <w:t xml:space="preserve"> and/or prospectuses drawn up using the templates for voluntary pre-issuance disclosures? Please explain your answer.</w:t>
      </w:r>
    </w:p>
    <w:p w14:paraId="3820D2B3" w14:textId="0BFB3726" w:rsidR="00243088" w:rsidRPr="00243088" w:rsidRDefault="00243088" w:rsidP="00E6644A">
      <w:pPr>
        <w:pStyle w:val="BodytextIndent"/>
        <w:jc w:val="both"/>
        <w:rPr>
          <w:b/>
          <w:bCs/>
          <w:sz w:val="22"/>
          <w:szCs w:val="22"/>
        </w:rPr>
      </w:pPr>
      <w:r w:rsidRPr="00243088">
        <w:rPr>
          <w:b/>
          <w:bCs/>
          <w:sz w:val="22"/>
          <w:szCs w:val="22"/>
        </w:rPr>
        <w:t>Undecided</w:t>
      </w:r>
      <w:r>
        <w:rPr>
          <w:b/>
          <w:bCs/>
          <w:sz w:val="22"/>
          <w:szCs w:val="22"/>
        </w:rPr>
        <w:t xml:space="preserve"> – </w:t>
      </w:r>
      <w:r w:rsidRPr="00770767">
        <w:rPr>
          <w:sz w:val="22"/>
          <w:szCs w:val="22"/>
        </w:rPr>
        <w:t xml:space="preserve">IIGCC would welcome further </w:t>
      </w:r>
      <w:r w:rsidR="00770767" w:rsidRPr="00770767">
        <w:rPr>
          <w:sz w:val="22"/>
          <w:szCs w:val="22"/>
        </w:rPr>
        <w:t>clarification from ESMA on the proposals</w:t>
      </w:r>
      <w:r w:rsidR="00770767">
        <w:rPr>
          <w:b/>
          <w:bCs/>
          <w:sz w:val="22"/>
          <w:szCs w:val="22"/>
        </w:rPr>
        <w:t xml:space="preserve">. </w:t>
      </w:r>
    </w:p>
    <w:p w14:paraId="550FE170" w14:textId="77777777" w:rsidR="00770767" w:rsidRPr="00770767" w:rsidRDefault="00770767" w:rsidP="00770767">
      <w:pPr>
        <w:pStyle w:val="BodytextIndent"/>
        <w:numPr>
          <w:ilvl w:val="0"/>
          <w:numId w:val="16"/>
        </w:numPr>
        <w:jc w:val="both"/>
        <w:rPr>
          <w:sz w:val="22"/>
          <w:szCs w:val="22"/>
        </w:rPr>
      </w:pPr>
      <w:r w:rsidRPr="00770767">
        <w:rPr>
          <w:sz w:val="22"/>
          <w:szCs w:val="22"/>
        </w:rPr>
        <w:t xml:space="preserve">IIGCC supports efforts to streamline reporting and ease the adoption of the </w:t>
      </w:r>
      <w:proofErr w:type="spellStart"/>
      <w:r w:rsidRPr="00770767">
        <w:rPr>
          <w:sz w:val="22"/>
          <w:szCs w:val="22"/>
        </w:rPr>
        <w:t>EuGBs</w:t>
      </w:r>
      <w:proofErr w:type="spellEnd"/>
      <w:r w:rsidRPr="00770767">
        <w:rPr>
          <w:sz w:val="22"/>
          <w:szCs w:val="22"/>
        </w:rPr>
        <w:t>.</w:t>
      </w:r>
    </w:p>
    <w:p w14:paraId="5D486020" w14:textId="77777777" w:rsidR="00770767" w:rsidRPr="00770767" w:rsidRDefault="00770767" w:rsidP="00770767">
      <w:pPr>
        <w:pStyle w:val="BodytextIndent"/>
        <w:numPr>
          <w:ilvl w:val="0"/>
          <w:numId w:val="16"/>
        </w:numPr>
        <w:jc w:val="both"/>
        <w:rPr>
          <w:sz w:val="22"/>
          <w:szCs w:val="22"/>
        </w:rPr>
      </w:pPr>
      <w:r w:rsidRPr="00770767">
        <w:rPr>
          <w:sz w:val="22"/>
          <w:szCs w:val="22"/>
        </w:rPr>
        <w:t xml:space="preserve">IIGCC would welcome further clarity from ESMA on how Annex 21 would be disapplied in relation to </w:t>
      </w:r>
      <w:proofErr w:type="spellStart"/>
      <w:r w:rsidRPr="00770767">
        <w:rPr>
          <w:sz w:val="22"/>
          <w:szCs w:val="22"/>
        </w:rPr>
        <w:t>EuGB</w:t>
      </w:r>
      <w:proofErr w:type="spellEnd"/>
      <w:r w:rsidRPr="00770767">
        <w:rPr>
          <w:sz w:val="22"/>
          <w:szCs w:val="22"/>
        </w:rPr>
        <w:t xml:space="preserve"> prospectuses. ESMA itself notes that the </w:t>
      </w:r>
      <w:proofErr w:type="spellStart"/>
      <w:r w:rsidRPr="00770767">
        <w:rPr>
          <w:sz w:val="22"/>
          <w:szCs w:val="22"/>
        </w:rPr>
        <w:t>EuGB</w:t>
      </w:r>
      <w:proofErr w:type="spellEnd"/>
      <w:r w:rsidRPr="00770767">
        <w:rPr>
          <w:sz w:val="22"/>
          <w:szCs w:val="22"/>
        </w:rPr>
        <w:t xml:space="preserve"> factsheet does not appear to include any disclosure on risk factors that would satisfy that prospectus requirement. It would therefore require an item-by-item approach, rather than a wholesale disapplication. </w:t>
      </w:r>
    </w:p>
    <w:p w14:paraId="53FD5634" w14:textId="269C673C" w:rsidR="00243088" w:rsidRPr="00597C01" w:rsidRDefault="00770767" w:rsidP="00597C01">
      <w:pPr>
        <w:pStyle w:val="BodytextIndent"/>
        <w:numPr>
          <w:ilvl w:val="0"/>
          <w:numId w:val="16"/>
        </w:numPr>
        <w:jc w:val="both"/>
        <w:rPr>
          <w:sz w:val="22"/>
          <w:szCs w:val="22"/>
        </w:rPr>
      </w:pPr>
      <w:r w:rsidRPr="00770767">
        <w:rPr>
          <w:sz w:val="22"/>
          <w:szCs w:val="22"/>
        </w:rPr>
        <w:t xml:space="preserve">ESMA should provide further mapping of the </w:t>
      </w:r>
      <w:proofErr w:type="spellStart"/>
      <w:r w:rsidRPr="00770767">
        <w:rPr>
          <w:sz w:val="22"/>
          <w:szCs w:val="22"/>
        </w:rPr>
        <w:t>EuGB</w:t>
      </w:r>
      <w:proofErr w:type="spellEnd"/>
      <w:r w:rsidRPr="00770767">
        <w:rPr>
          <w:sz w:val="22"/>
          <w:szCs w:val="22"/>
        </w:rPr>
        <w:t xml:space="preserve"> factsheets and voluntary disclosures onto Annex 21, item-by-item, and identify specific items that would be disapplied in the case of </w:t>
      </w:r>
      <w:proofErr w:type="spellStart"/>
      <w:r w:rsidRPr="00770767">
        <w:rPr>
          <w:sz w:val="22"/>
          <w:szCs w:val="22"/>
        </w:rPr>
        <w:t>EuGBs</w:t>
      </w:r>
      <w:proofErr w:type="spellEnd"/>
      <w:r w:rsidRPr="00770767">
        <w:rPr>
          <w:sz w:val="22"/>
          <w:szCs w:val="22"/>
        </w:rPr>
        <w:t>. Otherwise, the regulations risk a situation in which non-</w:t>
      </w:r>
      <w:proofErr w:type="spellStart"/>
      <w:r w:rsidRPr="00770767">
        <w:rPr>
          <w:sz w:val="22"/>
          <w:szCs w:val="22"/>
        </w:rPr>
        <w:t>EuGBs</w:t>
      </w:r>
      <w:proofErr w:type="spellEnd"/>
      <w:r w:rsidRPr="00770767">
        <w:rPr>
          <w:sz w:val="22"/>
          <w:szCs w:val="22"/>
        </w:rPr>
        <w:t xml:space="preserve"> incorporate more detail into their prospectus than their ‘gold standard’ counterpart. </w:t>
      </w:r>
    </w:p>
    <w:p w14:paraId="1D8A0004" w14:textId="0677A9D1" w:rsidR="005413E7" w:rsidRPr="00B729CC" w:rsidRDefault="005413E7" w:rsidP="00432023">
      <w:pPr>
        <w:pStyle w:val="Heading3SpaceAfter"/>
        <w:jc w:val="both"/>
        <w:rPr>
          <w:color w:val="050449" w:themeColor="text2"/>
          <w:sz w:val="24"/>
        </w:rPr>
      </w:pPr>
      <w:r w:rsidRPr="00B729CC">
        <w:rPr>
          <w:color w:val="050449" w:themeColor="text2"/>
          <w:sz w:val="24"/>
        </w:rPr>
        <w:t>Q</w:t>
      </w:r>
      <w:r w:rsidR="00EB574A">
        <w:rPr>
          <w:color w:val="050449" w:themeColor="text2"/>
          <w:sz w:val="24"/>
        </w:rPr>
        <w:t>12</w:t>
      </w:r>
      <w:r w:rsidRPr="00B729CC">
        <w:rPr>
          <w:color w:val="050449" w:themeColor="text2"/>
          <w:sz w:val="24"/>
        </w:rPr>
        <w:t xml:space="preserve">: </w:t>
      </w:r>
      <w:r w:rsidR="00EB574A" w:rsidRPr="00EB574A">
        <w:rPr>
          <w:color w:val="050449" w:themeColor="text2"/>
          <w:sz w:val="24"/>
        </w:rPr>
        <w:t>Are the proposed disclosure requirements in Annex 21 proportionate? If not, please (</w:t>
      </w:r>
      <w:proofErr w:type="spellStart"/>
      <w:r w:rsidR="00EB574A" w:rsidRPr="00EB574A">
        <w:rPr>
          <w:color w:val="050449" w:themeColor="text2"/>
          <w:sz w:val="24"/>
        </w:rPr>
        <w:t>i</w:t>
      </w:r>
      <w:proofErr w:type="spellEnd"/>
      <w:r w:rsidR="00EB574A" w:rsidRPr="00EB574A">
        <w:rPr>
          <w:color w:val="050449" w:themeColor="text2"/>
          <w:sz w:val="24"/>
        </w:rPr>
        <w:t>) identify disclosure requirements that could be alleviated and (ii) provide a (quantitative) description of the costs of compliance.</w:t>
      </w:r>
    </w:p>
    <w:p w14:paraId="644420F3" w14:textId="1816FDFF" w:rsidR="00612CE3" w:rsidRDefault="72D3F2CC" w:rsidP="00E6644A">
      <w:pPr>
        <w:pStyle w:val="BodytextIndent"/>
        <w:jc w:val="both"/>
        <w:rPr>
          <w:i/>
          <w:iCs/>
          <w:sz w:val="22"/>
          <w:szCs w:val="22"/>
        </w:rPr>
      </w:pPr>
      <w:r w:rsidRPr="003B6EE1">
        <w:rPr>
          <w:b/>
          <w:bCs/>
          <w:i/>
          <w:iCs/>
          <w:sz w:val="22"/>
          <w:szCs w:val="22"/>
        </w:rPr>
        <w:t>Y</w:t>
      </w:r>
      <w:r w:rsidR="00597C01">
        <w:rPr>
          <w:b/>
          <w:bCs/>
          <w:i/>
          <w:iCs/>
          <w:sz w:val="22"/>
          <w:szCs w:val="22"/>
        </w:rPr>
        <w:t>es</w:t>
      </w:r>
      <w:r w:rsidRPr="003B6EE1">
        <w:rPr>
          <w:b/>
          <w:bCs/>
          <w:i/>
          <w:iCs/>
          <w:sz w:val="22"/>
          <w:szCs w:val="22"/>
        </w:rPr>
        <w:t xml:space="preserve"> </w:t>
      </w:r>
      <w:r w:rsidR="00597C01">
        <w:rPr>
          <w:b/>
          <w:bCs/>
          <w:i/>
          <w:iCs/>
          <w:sz w:val="22"/>
          <w:szCs w:val="22"/>
        </w:rPr>
        <w:t>–</w:t>
      </w:r>
      <w:r w:rsidRPr="003B6EE1">
        <w:rPr>
          <w:i/>
          <w:iCs/>
          <w:sz w:val="22"/>
          <w:szCs w:val="22"/>
        </w:rPr>
        <w:t xml:space="preserve"> </w:t>
      </w:r>
      <w:r w:rsidR="00597C01" w:rsidRPr="00DE6D9B">
        <w:rPr>
          <w:sz w:val="22"/>
          <w:szCs w:val="22"/>
        </w:rPr>
        <w:t>IIGCC believes the proposed disclosure requirements are proportionate</w:t>
      </w:r>
      <w:r w:rsidR="00597C01">
        <w:rPr>
          <w:i/>
          <w:iCs/>
          <w:sz w:val="22"/>
          <w:szCs w:val="22"/>
        </w:rPr>
        <w:t xml:space="preserve">. </w:t>
      </w:r>
    </w:p>
    <w:p w14:paraId="5B2DBE58" w14:textId="6A82871B" w:rsidR="00312B54" w:rsidRPr="00312B54" w:rsidRDefault="00312B54" w:rsidP="00312B54">
      <w:pPr>
        <w:pStyle w:val="BodytextIndent"/>
        <w:numPr>
          <w:ilvl w:val="0"/>
          <w:numId w:val="16"/>
        </w:numPr>
        <w:jc w:val="both"/>
        <w:rPr>
          <w:sz w:val="22"/>
          <w:szCs w:val="22"/>
        </w:rPr>
      </w:pPr>
      <w:r w:rsidRPr="00312B54">
        <w:rPr>
          <w:sz w:val="22"/>
          <w:szCs w:val="22"/>
        </w:rPr>
        <w:t xml:space="preserve">GSS+ debt will play an important role in providing the capital and accountability needed to support the net zero transition. </w:t>
      </w:r>
    </w:p>
    <w:p w14:paraId="04EC2A30" w14:textId="1E9A9CAF" w:rsidR="00312B54" w:rsidRPr="00312B54" w:rsidRDefault="00312B54" w:rsidP="00312B54">
      <w:pPr>
        <w:pStyle w:val="BodytextIndent"/>
        <w:numPr>
          <w:ilvl w:val="0"/>
          <w:numId w:val="16"/>
        </w:numPr>
        <w:jc w:val="both"/>
        <w:rPr>
          <w:sz w:val="22"/>
          <w:szCs w:val="22"/>
        </w:rPr>
      </w:pPr>
      <w:r w:rsidRPr="00312B54">
        <w:rPr>
          <w:sz w:val="22"/>
          <w:szCs w:val="22"/>
        </w:rPr>
        <w:lastRenderedPageBreak/>
        <w:t>The proposed prospectus requirements provide transparency, help streamline data collection by investors</w:t>
      </w:r>
      <w:r>
        <w:rPr>
          <w:sz w:val="22"/>
          <w:szCs w:val="22"/>
        </w:rPr>
        <w:t xml:space="preserve"> </w:t>
      </w:r>
      <w:r w:rsidRPr="00312B54">
        <w:rPr>
          <w:sz w:val="22"/>
          <w:szCs w:val="22"/>
        </w:rPr>
        <w:t>and play an important role in bringing sustainability-related information into legally binding prospectuses, facilitating more effective stewardship, comparison and capital allocation decisions.</w:t>
      </w:r>
    </w:p>
    <w:p w14:paraId="731B1C58" w14:textId="77777777" w:rsidR="00312B54" w:rsidRPr="00312B54" w:rsidRDefault="00312B54" w:rsidP="00312B54">
      <w:pPr>
        <w:pStyle w:val="BodytextIndent"/>
        <w:numPr>
          <w:ilvl w:val="0"/>
          <w:numId w:val="16"/>
        </w:numPr>
        <w:jc w:val="both"/>
        <w:rPr>
          <w:sz w:val="22"/>
          <w:szCs w:val="22"/>
        </w:rPr>
      </w:pPr>
      <w:r w:rsidRPr="00312B54">
        <w:rPr>
          <w:sz w:val="22"/>
          <w:szCs w:val="22"/>
        </w:rPr>
        <w:t xml:space="preserve">The proposed requirements are in line with the Statement, existing standards such as ICMA principles, and the proposals recently put forward by the FCA. </w:t>
      </w:r>
    </w:p>
    <w:p w14:paraId="30B775FE" w14:textId="0508F1BA" w:rsidR="00597C01" w:rsidRPr="00DE6D9B" w:rsidRDefault="00312B54" w:rsidP="00DE6D9B">
      <w:pPr>
        <w:pStyle w:val="BodytextIndent"/>
        <w:numPr>
          <w:ilvl w:val="0"/>
          <w:numId w:val="16"/>
        </w:numPr>
        <w:jc w:val="both"/>
        <w:rPr>
          <w:sz w:val="22"/>
          <w:szCs w:val="22"/>
        </w:rPr>
      </w:pPr>
      <w:r w:rsidRPr="00312B54">
        <w:rPr>
          <w:sz w:val="22"/>
          <w:szCs w:val="22"/>
        </w:rPr>
        <w:t xml:space="preserve">As explored in our response to Q8, there are a number of areas where the requirements could be extended to better reflect good practice. </w:t>
      </w:r>
    </w:p>
    <w:p w14:paraId="7C56703E" w14:textId="5D235FC2" w:rsidR="005413E7" w:rsidRPr="00B729CC" w:rsidRDefault="005413E7" w:rsidP="00432023">
      <w:pPr>
        <w:pStyle w:val="Heading3SpaceAfter"/>
        <w:jc w:val="both"/>
        <w:rPr>
          <w:color w:val="050449" w:themeColor="text2"/>
          <w:sz w:val="24"/>
        </w:rPr>
      </w:pPr>
      <w:r w:rsidRPr="00B729CC">
        <w:rPr>
          <w:color w:val="050449" w:themeColor="text2"/>
          <w:sz w:val="24"/>
        </w:rPr>
        <w:t>Q</w:t>
      </w:r>
      <w:r w:rsidR="00EB574A">
        <w:rPr>
          <w:color w:val="050449" w:themeColor="text2"/>
          <w:sz w:val="24"/>
        </w:rPr>
        <w:t>13</w:t>
      </w:r>
      <w:r w:rsidRPr="00B729CC">
        <w:rPr>
          <w:color w:val="050449" w:themeColor="text2"/>
          <w:sz w:val="24"/>
        </w:rPr>
        <w:t xml:space="preserve">: </w:t>
      </w:r>
      <w:r w:rsidR="00EB574A" w:rsidRPr="00EB574A">
        <w:rPr>
          <w:color w:val="050449" w:themeColor="text2"/>
          <w:sz w:val="24"/>
        </w:rPr>
        <w:t>Do you agree with the proposal to require disclosure about whether post-issuance shall be provided and the scope of this disclosure in items 6.3 and 6.4 of Annex 21? If not, what changes would you propose? Please explain your answer.</w:t>
      </w:r>
    </w:p>
    <w:p w14:paraId="1C8CBFC7" w14:textId="77777777" w:rsidR="003B13FC" w:rsidRPr="003B13FC" w:rsidRDefault="003B13FC" w:rsidP="003B13FC">
      <w:pPr>
        <w:pStyle w:val="BodytextIndent"/>
        <w:numPr>
          <w:ilvl w:val="0"/>
          <w:numId w:val="16"/>
        </w:numPr>
        <w:jc w:val="both"/>
        <w:rPr>
          <w:sz w:val="22"/>
          <w:szCs w:val="22"/>
        </w:rPr>
      </w:pPr>
      <w:r w:rsidRPr="003B13FC">
        <w:rPr>
          <w:sz w:val="22"/>
          <w:szCs w:val="22"/>
        </w:rPr>
        <w:t xml:space="preserve">IIGCC strongly supportive of the additional disclosure requirements relating to post-issuance reporting. </w:t>
      </w:r>
    </w:p>
    <w:p w14:paraId="610CC6E7" w14:textId="7D523CDB" w:rsidR="008D0C2B" w:rsidRPr="006817CC" w:rsidRDefault="003B13FC" w:rsidP="006817CC">
      <w:pPr>
        <w:pStyle w:val="BodytextIndent"/>
        <w:numPr>
          <w:ilvl w:val="0"/>
          <w:numId w:val="16"/>
        </w:numPr>
        <w:jc w:val="both"/>
        <w:rPr>
          <w:sz w:val="22"/>
          <w:szCs w:val="22"/>
        </w:rPr>
      </w:pPr>
      <w:r w:rsidRPr="003B13FC">
        <w:rPr>
          <w:sz w:val="22"/>
          <w:szCs w:val="22"/>
        </w:rPr>
        <w:t xml:space="preserve">It is important that investors know whether, when and where </w:t>
      </w:r>
      <w:r w:rsidR="006817CC">
        <w:rPr>
          <w:sz w:val="22"/>
          <w:szCs w:val="22"/>
        </w:rPr>
        <w:t>ESG-related</w:t>
      </w:r>
      <w:r w:rsidRPr="003B13FC">
        <w:rPr>
          <w:sz w:val="22"/>
          <w:szCs w:val="22"/>
        </w:rPr>
        <w:t xml:space="preserve"> information</w:t>
      </w:r>
      <w:r w:rsidR="006817CC">
        <w:rPr>
          <w:sz w:val="22"/>
          <w:szCs w:val="22"/>
        </w:rPr>
        <w:t xml:space="preserve">, critical to the bond, </w:t>
      </w:r>
      <w:r w:rsidRPr="003B13FC">
        <w:rPr>
          <w:sz w:val="22"/>
          <w:szCs w:val="22"/>
        </w:rPr>
        <w:t xml:space="preserve">will be available. </w:t>
      </w:r>
      <w:r w:rsidR="008D0C2B" w:rsidRPr="006817CC">
        <w:rPr>
          <w:sz w:val="22"/>
          <w:szCs w:val="22"/>
        </w:rPr>
        <w:t>Post-issuance disclosure “provides transparency, ensures accountability and underpins the credibility of green bonds”</w:t>
      </w:r>
      <w:r w:rsidR="00C3086A">
        <w:rPr>
          <w:rStyle w:val="FootnoteReference"/>
          <w:sz w:val="22"/>
          <w:szCs w:val="22"/>
        </w:rPr>
        <w:footnoteReference w:id="6"/>
      </w:r>
      <w:r w:rsidR="008D0C2B" w:rsidRPr="006817CC">
        <w:rPr>
          <w:sz w:val="22"/>
          <w:szCs w:val="22"/>
        </w:rPr>
        <w:t xml:space="preserve"> . Post-issuance reviews and disclosure are equally critical for SLBs, especially given concerns of greenwashing and unambitious targets. ICMA’s SLB Principles calls on issuers to publish regularly (at least annually), “up-to-date information on the performance of the selected KPI(s)” and “any information enabling investors to monitor the level of ambition of the SPTs”</w:t>
      </w:r>
      <w:r w:rsidR="00C3086A">
        <w:rPr>
          <w:rStyle w:val="FootnoteReference"/>
          <w:sz w:val="22"/>
          <w:szCs w:val="22"/>
        </w:rPr>
        <w:footnoteReference w:id="7"/>
      </w:r>
      <w:r w:rsidR="00C3086A" w:rsidRPr="006817CC">
        <w:rPr>
          <w:sz w:val="22"/>
          <w:szCs w:val="22"/>
        </w:rPr>
        <w:t xml:space="preserve">. We therefore welcome the application of this to all GSS+ bonds. </w:t>
      </w:r>
    </w:p>
    <w:p w14:paraId="5771EF00" w14:textId="77777777" w:rsidR="003B13FC" w:rsidRPr="003B13FC" w:rsidRDefault="003B13FC" w:rsidP="003B13FC">
      <w:pPr>
        <w:pStyle w:val="BodytextIndent"/>
        <w:numPr>
          <w:ilvl w:val="0"/>
          <w:numId w:val="16"/>
        </w:numPr>
        <w:jc w:val="both"/>
        <w:rPr>
          <w:sz w:val="22"/>
          <w:szCs w:val="22"/>
        </w:rPr>
      </w:pPr>
      <w:r w:rsidRPr="003B13FC">
        <w:rPr>
          <w:sz w:val="22"/>
          <w:szCs w:val="22"/>
        </w:rPr>
        <w:t xml:space="preserve">We also welcome the expectations around third party review on post-issuance reporting. </w:t>
      </w:r>
    </w:p>
    <w:p w14:paraId="3E8CC8C5" w14:textId="22672F57" w:rsidR="005413E7" w:rsidRPr="00B729CC" w:rsidRDefault="003B6EE1" w:rsidP="00432023">
      <w:pPr>
        <w:pStyle w:val="Heading3SpaceAfter"/>
        <w:jc w:val="both"/>
        <w:rPr>
          <w:color w:val="050449" w:themeColor="text2"/>
          <w:sz w:val="24"/>
        </w:rPr>
      </w:pPr>
      <w:r>
        <w:rPr>
          <w:color w:val="050449" w:themeColor="text2"/>
          <w:sz w:val="24"/>
        </w:rPr>
        <w:t>Q14</w:t>
      </w:r>
      <w:r w:rsidR="005413E7" w:rsidRPr="00B729CC">
        <w:rPr>
          <w:color w:val="050449" w:themeColor="text2"/>
          <w:sz w:val="24"/>
        </w:rPr>
        <w:t xml:space="preserve">: </w:t>
      </w:r>
      <w:r w:rsidR="008D2494" w:rsidRPr="008D2494">
        <w:rPr>
          <w:color w:val="050449" w:themeColor="text2"/>
          <w:sz w:val="24"/>
        </w:rPr>
        <w:t>Do you agree with ESMA’s proposal in item 2.1 of Annex 21 concerning unequivocal statements about how the criteria or standard are met and that they are significant in relation to the ESG features or objectives of the security?</w:t>
      </w:r>
    </w:p>
    <w:p w14:paraId="41F394D0" w14:textId="49647FAE" w:rsidR="00A04908" w:rsidRDefault="008D2494" w:rsidP="00324A5E">
      <w:pPr>
        <w:pStyle w:val="BodytextIndent"/>
        <w:jc w:val="both"/>
        <w:rPr>
          <w:i/>
          <w:iCs/>
          <w:sz w:val="22"/>
          <w:szCs w:val="22"/>
        </w:rPr>
      </w:pPr>
      <w:r w:rsidRPr="008D2494">
        <w:rPr>
          <w:b/>
          <w:bCs/>
          <w:i/>
          <w:iCs/>
          <w:sz w:val="22"/>
          <w:szCs w:val="22"/>
        </w:rPr>
        <w:t>Y</w:t>
      </w:r>
      <w:r w:rsidR="00324A5E">
        <w:rPr>
          <w:b/>
          <w:bCs/>
          <w:i/>
          <w:iCs/>
          <w:sz w:val="22"/>
          <w:szCs w:val="22"/>
        </w:rPr>
        <w:t>es</w:t>
      </w:r>
      <w:r>
        <w:rPr>
          <w:i/>
          <w:iCs/>
          <w:sz w:val="22"/>
          <w:szCs w:val="22"/>
        </w:rPr>
        <w:t xml:space="preserve"> </w:t>
      </w:r>
      <w:r w:rsidR="00324A5E">
        <w:rPr>
          <w:i/>
          <w:iCs/>
          <w:sz w:val="22"/>
          <w:szCs w:val="22"/>
        </w:rPr>
        <w:t>–</w:t>
      </w:r>
      <w:r>
        <w:rPr>
          <w:i/>
          <w:iCs/>
          <w:sz w:val="22"/>
          <w:szCs w:val="22"/>
        </w:rPr>
        <w:t xml:space="preserve"> </w:t>
      </w:r>
      <w:r w:rsidR="00324A5E" w:rsidRPr="00CF31B7">
        <w:rPr>
          <w:sz w:val="22"/>
          <w:szCs w:val="22"/>
        </w:rPr>
        <w:t>IIGCC s</w:t>
      </w:r>
      <w:r w:rsidR="00CF31B7" w:rsidRPr="00CF31B7">
        <w:rPr>
          <w:sz w:val="22"/>
          <w:szCs w:val="22"/>
        </w:rPr>
        <w:t>upports the proposal.</w:t>
      </w:r>
      <w:r w:rsidR="00CF31B7">
        <w:rPr>
          <w:i/>
          <w:iCs/>
          <w:sz w:val="22"/>
          <w:szCs w:val="22"/>
        </w:rPr>
        <w:t xml:space="preserve"> </w:t>
      </w:r>
    </w:p>
    <w:p w14:paraId="3F8F2191" w14:textId="77777777" w:rsidR="00324A5E" w:rsidRPr="00324A5E" w:rsidRDefault="00324A5E" w:rsidP="00324A5E">
      <w:pPr>
        <w:pStyle w:val="BodytextIndent"/>
        <w:numPr>
          <w:ilvl w:val="0"/>
          <w:numId w:val="16"/>
        </w:numPr>
        <w:jc w:val="both"/>
        <w:rPr>
          <w:sz w:val="22"/>
          <w:szCs w:val="22"/>
        </w:rPr>
      </w:pPr>
      <w:r w:rsidRPr="00324A5E">
        <w:rPr>
          <w:sz w:val="22"/>
          <w:szCs w:val="22"/>
        </w:rPr>
        <w:t xml:space="preserve">IIGCC supports the requirement for clarity on the nature of alignment with relevant standards, regulations and taxonomies. </w:t>
      </w:r>
    </w:p>
    <w:p w14:paraId="71077CFB" w14:textId="77777777" w:rsidR="00324A5E" w:rsidRPr="00324A5E" w:rsidRDefault="00324A5E" w:rsidP="00324A5E">
      <w:pPr>
        <w:pStyle w:val="BodytextIndent"/>
        <w:numPr>
          <w:ilvl w:val="0"/>
          <w:numId w:val="16"/>
        </w:numPr>
        <w:jc w:val="both"/>
        <w:rPr>
          <w:sz w:val="22"/>
          <w:szCs w:val="22"/>
        </w:rPr>
      </w:pPr>
      <w:r w:rsidRPr="00324A5E">
        <w:rPr>
          <w:sz w:val="22"/>
          <w:szCs w:val="22"/>
        </w:rPr>
        <w:t xml:space="preserve">We agree that additional disclosures setting out how the criteria or standard constitute a significant feature of the security (rather than simply confirming that the standard/criteria </w:t>
      </w:r>
      <w:proofErr w:type="gramStart"/>
      <w:r w:rsidRPr="00324A5E">
        <w:rPr>
          <w:sz w:val="22"/>
          <w:szCs w:val="22"/>
        </w:rPr>
        <w:t>is</w:t>
      </w:r>
      <w:proofErr w:type="gramEnd"/>
      <w:r w:rsidRPr="00324A5E">
        <w:rPr>
          <w:sz w:val="22"/>
          <w:szCs w:val="22"/>
        </w:rPr>
        <w:t xml:space="preserve"> adhered to) could enhance the credibility and integrity of the ESG features of the security. </w:t>
      </w:r>
    </w:p>
    <w:p w14:paraId="4752AA0F" w14:textId="77777777" w:rsidR="00324A5E" w:rsidRPr="00324A5E" w:rsidRDefault="00324A5E" w:rsidP="00324A5E">
      <w:pPr>
        <w:pStyle w:val="BodytextIndent"/>
        <w:numPr>
          <w:ilvl w:val="0"/>
          <w:numId w:val="16"/>
        </w:numPr>
        <w:jc w:val="both"/>
        <w:rPr>
          <w:sz w:val="22"/>
          <w:szCs w:val="22"/>
        </w:rPr>
      </w:pPr>
      <w:r w:rsidRPr="00324A5E">
        <w:rPr>
          <w:sz w:val="22"/>
          <w:szCs w:val="22"/>
        </w:rPr>
        <w:lastRenderedPageBreak/>
        <w:t xml:space="preserve">However, more clarity is needed on what is meant by 'significant' in this context. For example, this could be evidenced by minimum thresholds or binding criteria that are embedded in the security. </w:t>
      </w:r>
    </w:p>
    <w:p w14:paraId="085E03BE" w14:textId="2D7434F7" w:rsidR="00324A5E" w:rsidRPr="00324A5E" w:rsidRDefault="00324A5E" w:rsidP="00324A5E">
      <w:pPr>
        <w:pStyle w:val="BodytextIndent"/>
        <w:numPr>
          <w:ilvl w:val="0"/>
          <w:numId w:val="16"/>
        </w:numPr>
        <w:jc w:val="both"/>
        <w:rPr>
          <w:sz w:val="22"/>
          <w:szCs w:val="22"/>
        </w:rPr>
      </w:pPr>
      <w:r w:rsidRPr="00324A5E">
        <w:rPr>
          <w:sz w:val="22"/>
          <w:szCs w:val="22"/>
        </w:rPr>
        <w:t xml:space="preserve">To ensure greater clarity in instances of partial alignment, Item 2.1 of Annex 21 should explicitly request which elements of a standard, regulation or taxonomy is and, crucially, is </w:t>
      </w:r>
      <w:r w:rsidRPr="00324A5E">
        <w:rPr>
          <w:i/>
          <w:iCs/>
          <w:sz w:val="22"/>
          <w:szCs w:val="22"/>
        </w:rPr>
        <w:t>not</w:t>
      </w:r>
      <w:r w:rsidRPr="00324A5E">
        <w:rPr>
          <w:sz w:val="22"/>
          <w:szCs w:val="22"/>
        </w:rPr>
        <w:t xml:space="preserve"> met.  </w:t>
      </w:r>
    </w:p>
    <w:p w14:paraId="147777E8" w14:textId="412935E4" w:rsidR="00F30D3E" w:rsidRPr="00B729CC" w:rsidRDefault="736E54B7" w:rsidP="00432023">
      <w:pPr>
        <w:pStyle w:val="Heading3SpaceAfter"/>
        <w:jc w:val="both"/>
        <w:rPr>
          <w:color w:val="050449" w:themeColor="text2"/>
          <w:sz w:val="24"/>
        </w:rPr>
      </w:pPr>
      <w:r w:rsidRPr="00B729CC">
        <w:rPr>
          <w:color w:val="050449" w:themeColor="text2"/>
          <w:sz w:val="24"/>
        </w:rPr>
        <w:t>Q</w:t>
      </w:r>
      <w:r w:rsidR="00565A57">
        <w:rPr>
          <w:color w:val="050449" w:themeColor="text2"/>
          <w:sz w:val="24"/>
        </w:rPr>
        <w:t>15</w:t>
      </w:r>
      <w:r w:rsidRPr="00B729CC">
        <w:rPr>
          <w:color w:val="050449" w:themeColor="text2"/>
          <w:sz w:val="24"/>
        </w:rPr>
        <w:t xml:space="preserve">: </w:t>
      </w:r>
      <w:r w:rsidR="0039117B" w:rsidRPr="0039117B">
        <w:rPr>
          <w:color w:val="050449" w:themeColor="text2"/>
          <w:sz w:val="24"/>
        </w:rPr>
        <w:t>Do you agree with the ‘Category A’, ‘Category B’ and ‘Category C’ classification of the items included in Annex 21, in particular in relation to items 2.1, 2.2 and 2.3? Please provide any suggestions for alternative categorisations and explain your answer</w:t>
      </w:r>
    </w:p>
    <w:p w14:paraId="2A77AE93" w14:textId="40435AB6" w:rsidR="003F1107" w:rsidRPr="00B729CC" w:rsidRDefault="009A48C1" w:rsidP="00095F96">
      <w:pPr>
        <w:pStyle w:val="BodytextIndent"/>
        <w:jc w:val="both"/>
        <w:rPr>
          <w:sz w:val="22"/>
          <w:szCs w:val="22"/>
        </w:rPr>
      </w:pPr>
      <w:r>
        <w:rPr>
          <w:b/>
          <w:bCs/>
          <w:sz w:val="22"/>
          <w:szCs w:val="22"/>
        </w:rPr>
        <w:t xml:space="preserve">No response. </w:t>
      </w:r>
    </w:p>
    <w:p w14:paraId="0515FB2E" w14:textId="496BF8BF" w:rsidR="000F4AC2" w:rsidRPr="00B729CC" w:rsidRDefault="65D3004B" w:rsidP="00432023">
      <w:pPr>
        <w:pStyle w:val="Heading3SpaceAfter"/>
        <w:jc w:val="both"/>
        <w:rPr>
          <w:color w:val="050449" w:themeColor="text2"/>
          <w:sz w:val="24"/>
        </w:rPr>
      </w:pPr>
      <w:r w:rsidRPr="00B729CC">
        <w:rPr>
          <w:color w:val="050449" w:themeColor="text2"/>
          <w:sz w:val="24"/>
        </w:rPr>
        <w:t>Q</w:t>
      </w:r>
      <w:r w:rsidR="0039117B">
        <w:rPr>
          <w:color w:val="050449" w:themeColor="text2"/>
          <w:sz w:val="24"/>
        </w:rPr>
        <w:t>16:</w:t>
      </w:r>
      <w:r w:rsidRPr="00B729CC">
        <w:rPr>
          <w:color w:val="050449" w:themeColor="text2"/>
          <w:sz w:val="24"/>
        </w:rPr>
        <w:t xml:space="preserve"> </w:t>
      </w:r>
      <w:r w:rsidR="00B52916" w:rsidRPr="00B52916">
        <w:rPr>
          <w:color w:val="050449" w:themeColor="text2"/>
          <w:sz w:val="24"/>
        </w:rPr>
        <w:t>Do you agree with ESMA’s approach to disclosure for structured products with a sustainability component? Please explain your answer and include any suggestions to improve the approach.</w:t>
      </w:r>
    </w:p>
    <w:p w14:paraId="672D3267" w14:textId="2344667B" w:rsidR="00094EB8" w:rsidRDefault="008370C0" w:rsidP="00432023">
      <w:pPr>
        <w:pStyle w:val="BulletSpaceAfter"/>
        <w:numPr>
          <w:ilvl w:val="0"/>
          <w:numId w:val="0"/>
        </w:numPr>
        <w:jc w:val="both"/>
        <w:rPr>
          <w:color w:val="050449" w:themeColor="text2"/>
          <w:sz w:val="22"/>
          <w:szCs w:val="22"/>
          <w:lang w:val="en-GB"/>
        </w:rPr>
      </w:pPr>
      <w:r w:rsidRPr="00B729CC">
        <w:rPr>
          <w:b/>
          <w:color w:val="050449" w:themeColor="text2"/>
          <w:sz w:val="22"/>
          <w:szCs w:val="22"/>
          <w:lang w:val="en-GB"/>
        </w:rPr>
        <w:t>Y</w:t>
      </w:r>
      <w:r w:rsidR="00094EB8">
        <w:rPr>
          <w:b/>
          <w:color w:val="050449" w:themeColor="text2"/>
          <w:sz w:val="22"/>
          <w:szCs w:val="22"/>
          <w:lang w:val="en-GB"/>
        </w:rPr>
        <w:t>es</w:t>
      </w:r>
    </w:p>
    <w:p w14:paraId="2D099B8B" w14:textId="77777777" w:rsidR="00094EB8" w:rsidRPr="00094EB8" w:rsidRDefault="00094EB8" w:rsidP="00094EB8">
      <w:pPr>
        <w:pStyle w:val="BulletSpaceAfter"/>
        <w:ind w:left="587"/>
        <w:jc w:val="both"/>
        <w:rPr>
          <w:color w:val="050449" w:themeColor="text2"/>
          <w:sz w:val="22"/>
          <w:szCs w:val="22"/>
        </w:rPr>
      </w:pPr>
      <w:r w:rsidRPr="00094EB8">
        <w:rPr>
          <w:color w:val="050449" w:themeColor="text2"/>
          <w:sz w:val="22"/>
          <w:szCs w:val="22"/>
        </w:rPr>
        <w:t>IIGCC agrees that it would not be sensible to align disclosures under the two regulations until the revisions to SFDR have been adopted (timelines remain unclear but likely to be some point next year).</w:t>
      </w:r>
    </w:p>
    <w:p w14:paraId="64A0EEF2" w14:textId="77777777" w:rsidR="00094EB8" w:rsidRPr="00094EB8" w:rsidRDefault="00094EB8" w:rsidP="00094EB8">
      <w:pPr>
        <w:pStyle w:val="BulletSpaceAfter"/>
        <w:ind w:left="587"/>
        <w:jc w:val="both"/>
        <w:rPr>
          <w:color w:val="050449" w:themeColor="text2"/>
          <w:sz w:val="22"/>
          <w:szCs w:val="22"/>
        </w:rPr>
      </w:pPr>
      <w:r w:rsidRPr="00094EB8">
        <w:rPr>
          <w:color w:val="050449" w:themeColor="text2"/>
          <w:sz w:val="22"/>
          <w:szCs w:val="22"/>
        </w:rPr>
        <w:t>However, ESMA could be stronger on the need to avoid inconsistencies between requirements under the Prospectus Regulation and the revised requirements under SFDR.</w:t>
      </w:r>
    </w:p>
    <w:p w14:paraId="0CFBB6BF" w14:textId="77777777" w:rsidR="00094EB8" w:rsidRPr="00094EB8" w:rsidRDefault="00094EB8" w:rsidP="00094EB8">
      <w:pPr>
        <w:pStyle w:val="BulletSpaceAfter"/>
        <w:ind w:left="587"/>
        <w:jc w:val="both"/>
        <w:rPr>
          <w:color w:val="050449" w:themeColor="text2"/>
          <w:sz w:val="22"/>
          <w:szCs w:val="22"/>
        </w:rPr>
      </w:pPr>
      <w:r w:rsidRPr="00094EB8">
        <w:rPr>
          <w:color w:val="050449" w:themeColor="text2"/>
          <w:sz w:val="22"/>
          <w:szCs w:val="22"/>
        </w:rPr>
        <w:t>We suggest that efforts should be made to assess and align disclosure requirements between the two regimes once the SFDR review is complete.</w:t>
      </w:r>
    </w:p>
    <w:p w14:paraId="498500A9" w14:textId="401514B4" w:rsidR="00060172" w:rsidRPr="00B729CC" w:rsidRDefault="00060172" w:rsidP="00432023">
      <w:pPr>
        <w:pStyle w:val="Heading3SpaceAfter"/>
        <w:jc w:val="both"/>
        <w:rPr>
          <w:color w:val="050449" w:themeColor="text2"/>
          <w:sz w:val="24"/>
        </w:rPr>
      </w:pPr>
      <w:r w:rsidRPr="00B729CC">
        <w:rPr>
          <w:color w:val="050449" w:themeColor="text2"/>
          <w:sz w:val="24"/>
        </w:rPr>
        <w:t>Q</w:t>
      </w:r>
      <w:r w:rsidR="00B52916">
        <w:rPr>
          <w:color w:val="050449" w:themeColor="text2"/>
          <w:sz w:val="24"/>
        </w:rPr>
        <w:t>17</w:t>
      </w:r>
      <w:r w:rsidRPr="00B729CC">
        <w:rPr>
          <w:color w:val="050449" w:themeColor="text2"/>
          <w:sz w:val="24"/>
        </w:rPr>
        <w:t xml:space="preserve">. </w:t>
      </w:r>
      <w:r w:rsidR="00B52916" w:rsidRPr="00B52916">
        <w:rPr>
          <w:color w:val="050449" w:themeColor="text2"/>
          <w:sz w:val="24"/>
        </w:rPr>
        <w:t xml:space="preserve">Do you support ESMA’s proposal to amend Article 26 CDR on scrutiny and disclosure to facilitate the incorporation by reference of the relevant information from </w:t>
      </w:r>
      <w:proofErr w:type="spellStart"/>
      <w:r w:rsidR="00B52916" w:rsidRPr="00B52916">
        <w:rPr>
          <w:color w:val="050449" w:themeColor="text2"/>
          <w:sz w:val="24"/>
        </w:rPr>
        <w:t>EuGB</w:t>
      </w:r>
      <w:proofErr w:type="spellEnd"/>
      <w:r w:rsidR="00B52916" w:rsidRPr="00B52916">
        <w:rPr>
          <w:color w:val="050449" w:themeColor="text2"/>
          <w:sz w:val="24"/>
        </w:rPr>
        <w:t xml:space="preserve"> factsheets and the templates for voluntary pre-issuance disclosures into base prospectuses via final terms? Please explain your answer and provide any alternative proposals</w:t>
      </w:r>
    </w:p>
    <w:p w14:paraId="6E2427AA" w14:textId="0664110A" w:rsidR="00CE36CA" w:rsidRPr="008C6E3E" w:rsidRDefault="00D011D2" w:rsidP="001C163B">
      <w:pPr>
        <w:pStyle w:val="BulletSpaceAfter"/>
        <w:numPr>
          <w:ilvl w:val="0"/>
          <w:numId w:val="0"/>
        </w:numPr>
        <w:jc w:val="both"/>
        <w:rPr>
          <w:color w:val="050449" w:themeColor="text2"/>
          <w:sz w:val="22"/>
          <w:szCs w:val="22"/>
        </w:rPr>
      </w:pPr>
      <w:r w:rsidRPr="00D011D2">
        <w:rPr>
          <w:b/>
          <w:bCs/>
          <w:color w:val="050449" w:themeColor="text2"/>
          <w:sz w:val="22"/>
          <w:szCs w:val="22"/>
          <w:lang w:val="en-GB"/>
        </w:rPr>
        <w:t>Yes</w:t>
      </w:r>
      <w:r>
        <w:rPr>
          <w:color w:val="050449" w:themeColor="text2"/>
          <w:sz w:val="22"/>
          <w:szCs w:val="22"/>
          <w:lang w:val="en-GB"/>
        </w:rPr>
        <w:t xml:space="preserve"> - </w:t>
      </w:r>
      <w:r w:rsidRPr="00D011D2">
        <w:rPr>
          <w:color w:val="050449" w:themeColor="text2"/>
          <w:sz w:val="22"/>
          <w:szCs w:val="22"/>
        </w:rPr>
        <w:t xml:space="preserve">IIGCC supports the proposal to integrate </w:t>
      </w:r>
      <w:proofErr w:type="spellStart"/>
      <w:r w:rsidRPr="00D011D2">
        <w:rPr>
          <w:color w:val="050449" w:themeColor="text2"/>
          <w:sz w:val="22"/>
          <w:szCs w:val="22"/>
        </w:rPr>
        <w:t>EuGB</w:t>
      </w:r>
      <w:proofErr w:type="spellEnd"/>
      <w:r w:rsidRPr="00D011D2">
        <w:rPr>
          <w:color w:val="050449" w:themeColor="text2"/>
          <w:sz w:val="22"/>
          <w:szCs w:val="22"/>
        </w:rPr>
        <w:t xml:space="preserve"> factsheets into the prospectus in a proportionate manner, in line with calls for increased </w:t>
      </w:r>
      <w:proofErr w:type="spellStart"/>
      <w:r w:rsidRPr="00D011D2">
        <w:rPr>
          <w:color w:val="050449" w:themeColor="text2"/>
          <w:sz w:val="22"/>
          <w:szCs w:val="22"/>
        </w:rPr>
        <w:t>harmonisation</w:t>
      </w:r>
      <w:proofErr w:type="spellEnd"/>
      <w:r w:rsidRPr="00D011D2">
        <w:rPr>
          <w:color w:val="050449" w:themeColor="text2"/>
          <w:sz w:val="22"/>
          <w:szCs w:val="22"/>
        </w:rPr>
        <w:t xml:space="preserve">. </w:t>
      </w:r>
    </w:p>
    <w:sectPr w:rsidR="00CE36CA" w:rsidRPr="008C6E3E" w:rsidSect="00CE36CA">
      <w:headerReference w:type="even" r:id="rId13"/>
      <w:headerReference w:type="default" r:id="rId14"/>
      <w:footerReference w:type="even" r:id="rId15"/>
      <w:footerReference w:type="default" r:id="rId16"/>
      <w:headerReference w:type="first" r:id="rId17"/>
      <w:footerReference w:type="first" r:id="rId18"/>
      <w:pgSz w:w="11900" w:h="16840"/>
      <w:pgMar w:top="2268" w:right="720" w:bottom="720" w:left="720"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773F6" w14:textId="77777777" w:rsidR="00FA32A8" w:rsidRPr="00B729CC" w:rsidRDefault="00FA32A8" w:rsidP="003F27CF">
      <w:r w:rsidRPr="00B729CC">
        <w:separator/>
      </w:r>
    </w:p>
  </w:endnote>
  <w:endnote w:type="continuationSeparator" w:id="0">
    <w:p w14:paraId="4C2530DF" w14:textId="77777777" w:rsidR="00FA32A8" w:rsidRPr="00B729CC" w:rsidRDefault="00FA32A8" w:rsidP="003F27CF">
      <w:r w:rsidRPr="00B729CC">
        <w:continuationSeparator/>
      </w:r>
    </w:p>
  </w:endnote>
  <w:endnote w:type="continuationNotice" w:id="1">
    <w:p w14:paraId="66C26059" w14:textId="77777777" w:rsidR="00FA32A8" w:rsidRPr="00B729CC" w:rsidRDefault="00FA3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w:altName w:val="Cambria"/>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78836" w14:textId="77777777" w:rsidR="00E90EF1" w:rsidRDefault="00E90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8965076"/>
      <w:docPartObj>
        <w:docPartGallery w:val="Page Numbers (Bottom of Page)"/>
        <w:docPartUnique/>
      </w:docPartObj>
    </w:sdtPr>
    <w:sdtEndPr/>
    <w:sdtContent>
      <w:p w14:paraId="0EAF7EA2" w14:textId="08C38571" w:rsidR="00FB36E2" w:rsidRPr="00B729CC" w:rsidRDefault="00FB36E2">
        <w:pPr>
          <w:pStyle w:val="Footer"/>
          <w:jc w:val="center"/>
        </w:pPr>
        <w:r w:rsidRPr="00B729CC">
          <w:fldChar w:fldCharType="begin"/>
        </w:r>
        <w:r w:rsidRPr="00B729CC">
          <w:instrText xml:space="preserve"> PAGE   \* MERGEFORMAT </w:instrText>
        </w:r>
        <w:r w:rsidRPr="00B729CC">
          <w:fldChar w:fldCharType="separate"/>
        </w:r>
        <w:r w:rsidRPr="00B729CC">
          <w:t>2</w:t>
        </w:r>
        <w:r w:rsidRPr="00B729CC">
          <w:fldChar w:fldCharType="end"/>
        </w:r>
      </w:p>
    </w:sdtContent>
  </w:sdt>
  <w:p w14:paraId="323175BD" w14:textId="75D1DA45" w:rsidR="63DA2256" w:rsidRPr="00B729CC" w:rsidRDefault="63DA2256" w:rsidP="63DA2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3DA2256" w:rsidRPr="00B729CC" w14:paraId="74C054D6" w14:textId="77777777" w:rsidTr="63DA2256">
      <w:trPr>
        <w:trHeight w:val="300"/>
      </w:trPr>
      <w:tc>
        <w:tcPr>
          <w:tcW w:w="3485" w:type="dxa"/>
        </w:tcPr>
        <w:p w14:paraId="413DFA2D" w14:textId="63A8B3AC" w:rsidR="63DA2256" w:rsidRPr="00B729CC" w:rsidRDefault="63DA2256" w:rsidP="63DA2256">
          <w:pPr>
            <w:pStyle w:val="Header"/>
            <w:ind w:left="-115"/>
          </w:pPr>
        </w:p>
      </w:tc>
      <w:tc>
        <w:tcPr>
          <w:tcW w:w="3485" w:type="dxa"/>
        </w:tcPr>
        <w:p w14:paraId="2BF38154" w14:textId="59E0D727" w:rsidR="63DA2256" w:rsidRPr="00B729CC" w:rsidRDefault="63DA2256" w:rsidP="63DA2256">
          <w:pPr>
            <w:pStyle w:val="Header"/>
            <w:jc w:val="center"/>
          </w:pPr>
        </w:p>
      </w:tc>
      <w:tc>
        <w:tcPr>
          <w:tcW w:w="3485" w:type="dxa"/>
        </w:tcPr>
        <w:p w14:paraId="53B4531C" w14:textId="60BF586F" w:rsidR="63DA2256" w:rsidRPr="00B729CC" w:rsidRDefault="63DA2256" w:rsidP="63DA2256">
          <w:pPr>
            <w:pStyle w:val="Header"/>
            <w:ind w:right="-115"/>
            <w:jc w:val="right"/>
          </w:pPr>
        </w:p>
      </w:tc>
    </w:tr>
  </w:tbl>
  <w:p w14:paraId="46EC1F78" w14:textId="45FED942" w:rsidR="63DA2256" w:rsidRPr="00B729CC" w:rsidRDefault="00017F67" w:rsidP="63DA2256">
    <w:pPr>
      <w:pStyle w:val="Footer"/>
    </w:pPr>
    <w:r w:rsidRPr="00B729CC">
      <w:t xml:space="preserve">All written materials, communications, surveys and initiatives undertaken by IIGCC are designed solely to support investors in understanding risks and opportunities associated with climate change and take action to address them. Our work is conducted in accordance with all relevant laws, including data protection, competition laws and acting in concert rules. </w:t>
    </w:r>
    <w:r w:rsidR="00B07D99" w:rsidRPr="00B729CC">
      <w:t xml:space="preserve">This </w:t>
    </w:r>
    <w:r w:rsidR="008873AF" w:rsidRPr="00B729CC">
      <w:t xml:space="preserve">response </w:t>
    </w:r>
    <w:r w:rsidR="00B07D99" w:rsidRPr="00B729CC">
      <w:t>was prep</w:t>
    </w:r>
    <w:r w:rsidR="008873AF" w:rsidRPr="00B729CC">
      <w:t xml:space="preserve">ared by IIGCC in consultation with its members but does not necessarily represent the views of </w:t>
    </w:r>
    <w:r w:rsidR="0086108F" w:rsidRPr="00B729CC">
      <w:t>its entire</w:t>
    </w:r>
    <w:r w:rsidR="008873AF" w:rsidRPr="00B729CC">
      <w:t xml:space="preserve"> members</w:t>
    </w:r>
    <w:r w:rsidR="0086108F" w:rsidRPr="00B729CC">
      <w:t>hip</w:t>
    </w:r>
    <w:r w:rsidR="008873AF" w:rsidRPr="00B729CC">
      <w:t xml:space="preserve"> either </w:t>
    </w:r>
    <w:r w:rsidR="000233AB" w:rsidRPr="00B729CC">
      <w:t xml:space="preserve">individually or collectively. </w:t>
    </w:r>
    <w:r w:rsidRPr="00B729CC">
      <w:t xml:space="preserve">IIGCC’s materials and services to members do not include financial, legal or investment advice.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4959" w14:textId="77777777" w:rsidR="00FA32A8" w:rsidRPr="00B729CC" w:rsidRDefault="00FA32A8" w:rsidP="003F27CF">
      <w:r w:rsidRPr="00B729CC">
        <w:separator/>
      </w:r>
    </w:p>
  </w:footnote>
  <w:footnote w:type="continuationSeparator" w:id="0">
    <w:p w14:paraId="6A52213B" w14:textId="77777777" w:rsidR="00FA32A8" w:rsidRPr="00B729CC" w:rsidRDefault="00FA32A8" w:rsidP="003F27CF">
      <w:r w:rsidRPr="00B729CC">
        <w:continuationSeparator/>
      </w:r>
    </w:p>
  </w:footnote>
  <w:footnote w:type="continuationNotice" w:id="1">
    <w:p w14:paraId="67EEEFE4" w14:textId="77777777" w:rsidR="00FA32A8" w:rsidRPr="00B729CC" w:rsidRDefault="00FA32A8">
      <w:pPr>
        <w:spacing w:after="0" w:line="240" w:lineRule="auto"/>
      </w:pPr>
    </w:p>
  </w:footnote>
  <w:footnote w:id="2">
    <w:p w14:paraId="2E8E43FC" w14:textId="5BDFE990" w:rsidR="00B56D17" w:rsidRPr="00460020" w:rsidRDefault="00B56D17">
      <w:pPr>
        <w:pStyle w:val="FootnoteText"/>
        <w:rPr>
          <w:color w:val="050449" w:themeColor="text2"/>
        </w:rPr>
      </w:pPr>
      <w:r w:rsidRPr="00460020">
        <w:rPr>
          <w:rStyle w:val="FootnoteReference"/>
          <w:color w:val="050449" w:themeColor="text2"/>
        </w:rPr>
        <w:footnoteRef/>
      </w:r>
      <w:r w:rsidRPr="00460020">
        <w:rPr>
          <w:color w:val="050449" w:themeColor="text2"/>
        </w:rPr>
        <w:t xml:space="preserve"> </w:t>
      </w:r>
      <w:r w:rsidRPr="00460020">
        <w:rPr>
          <w:color w:val="050449" w:themeColor="text2"/>
          <w:sz w:val="16"/>
          <w:szCs w:val="16"/>
        </w:rPr>
        <w:t>ESMA32-117195963-1276</w:t>
      </w:r>
    </w:p>
  </w:footnote>
  <w:footnote w:id="3">
    <w:p w14:paraId="496449B8" w14:textId="759ECABE" w:rsidR="00460020" w:rsidRPr="00460020" w:rsidRDefault="00460020">
      <w:pPr>
        <w:pStyle w:val="FootnoteText"/>
        <w:rPr>
          <w:color w:val="050449" w:themeColor="text2"/>
        </w:rPr>
      </w:pPr>
      <w:r w:rsidRPr="00460020">
        <w:rPr>
          <w:rStyle w:val="FootnoteReference"/>
          <w:color w:val="050449" w:themeColor="text2"/>
        </w:rPr>
        <w:footnoteRef/>
      </w:r>
      <w:r w:rsidRPr="00460020">
        <w:rPr>
          <w:color w:val="050449" w:themeColor="text2"/>
        </w:rPr>
        <w:t xml:space="preserve"> </w:t>
      </w:r>
      <w:r w:rsidRPr="00460020">
        <w:rPr>
          <w:color w:val="050449" w:themeColor="text2"/>
          <w:sz w:val="16"/>
          <w:szCs w:val="16"/>
        </w:rPr>
        <w:t>https://www.icmagroup.org/sustainable-finance/#:~:text=ICMA%20Paper,-Transition%20Finance%20in&amp;text=ICMA%20provides%20the%20Secretariat%20for,Sustainable%20Finance%20website%20section%20are:</w:t>
      </w:r>
    </w:p>
  </w:footnote>
  <w:footnote w:id="4">
    <w:p w14:paraId="3D76B424" w14:textId="5860745B" w:rsidR="00EF2221" w:rsidRDefault="00EF2221">
      <w:pPr>
        <w:pStyle w:val="FootnoteText"/>
      </w:pPr>
      <w:r>
        <w:rPr>
          <w:rStyle w:val="FootnoteReference"/>
        </w:rPr>
        <w:footnoteRef/>
      </w:r>
      <w:r>
        <w:t xml:space="preserve"> </w:t>
      </w:r>
      <w:r w:rsidRPr="00EF2221">
        <w:rPr>
          <w:sz w:val="16"/>
          <w:szCs w:val="16"/>
        </w:rPr>
        <w:t>https://papers.ssrn.com/sol3/papers.cfm?abstract_id=4350209</w:t>
      </w:r>
    </w:p>
  </w:footnote>
  <w:footnote w:id="5">
    <w:p w14:paraId="620D48E2" w14:textId="6465D5B2" w:rsidR="009E4EFF" w:rsidRDefault="009E4EFF">
      <w:pPr>
        <w:pStyle w:val="FootnoteText"/>
      </w:pPr>
      <w:r>
        <w:rPr>
          <w:rStyle w:val="FootnoteReference"/>
        </w:rPr>
        <w:footnoteRef/>
      </w:r>
      <w:r>
        <w:t xml:space="preserve"> </w:t>
      </w:r>
      <w:r w:rsidRPr="009E4EFF">
        <w:rPr>
          <w:sz w:val="16"/>
          <w:szCs w:val="16"/>
        </w:rPr>
        <w:t>https://www.iigcc.org/resources/net-zero-bondholder-stewardship-guidance</w:t>
      </w:r>
    </w:p>
  </w:footnote>
  <w:footnote w:id="6">
    <w:p w14:paraId="17AA70C7" w14:textId="123A477D" w:rsidR="00C3086A" w:rsidRDefault="00C3086A">
      <w:pPr>
        <w:pStyle w:val="FootnoteText"/>
      </w:pPr>
      <w:r>
        <w:rPr>
          <w:rStyle w:val="FootnoteReference"/>
        </w:rPr>
        <w:footnoteRef/>
      </w:r>
      <w:r>
        <w:t xml:space="preserve"> </w:t>
      </w:r>
      <w:r w:rsidRPr="00C3086A">
        <w:t>https://www.climatebonds.net/files/reports/cbi_post-issuance-reporting_032019_web.pdf</w:t>
      </w:r>
    </w:p>
  </w:footnote>
  <w:footnote w:id="7">
    <w:p w14:paraId="49392EA8" w14:textId="200611B2" w:rsidR="00C3086A" w:rsidRDefault="00C3086A">
      <w:pPr>
        <w:pStyle w:val="FootnoteText"/>
      </w:pPr>
      <w:r>
        <w:rPr>
          <w:rStyle w:val="FootnoteReference"/>
        </w:rPr>
        <w:footnoteRef/>
      </w:r>
      <w:r>
        <w:t xml:space="preserve"> </w:t>
      </w:r>
      <w:r w:rsidRPr="00C3086A">
        <w:t>https://www.icmagroup.org/assets/documents/Sustainable-finance/2024-updates/Sustainability-Linked-Bond-Principles-June-2024.pdf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34B66" w14:textId="77777777" w:rsidR="00E90EF1" w:rsidRDefault="00E90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4653" w14:textId="477AB354" w:rsidR="00CE36CA" w:rsidRPr="00B729CC" w:rsidRDefault="00CE36CA" w:rsidP="00017F67">
    <w:pPr>
      <w:pStyle w:val="Header"/>
      <w:jc w:val="right"/>
    </w:pPr>
    <w:r w:rsidRPr="00B729CC">
      <w:rPr>
        <w:noProof/>
      </w:rPr>
      <w:drawing>
        <wp:anchor distT="0" distB="0" distL="114300" distR="114300" simplePos="0" relativeHeight="251657728" behindDoc="1" locked="0" layoutInCell="1" allowOverlap="1" wp14:anchorId="05A0CD86" wp14:editId="04F93D31">
          <wp:simplePos x="0" y="0"/>
          <wp:positionH relativeFrom="page">
            <wp:posOffset>457200</wp:posOffset>
          </wp:positionH>
          <wp:positionV relativeFrom="page">
            <wp:posOffset>457200</wp:posOffset>
          </wp:positionV>
          <wp:extent cx="864000" cy="367200"/>
          <wp:effectExtent l="0" t="0" r="0" b="1270"/>
          <wp:wrapNone/>
          <wp:docPr id="179305721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4000" cy="36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21C92" w14:textId="5DDE8AE2" w:rsidR="005E5A20" w:rsidRPr="00B729CC" w:rsidRDefault="00A11381" w:rsidP="00D4645A">
    <w:pPr>
      <w:pStyle w:val="Header"/>
      <w:tabs>
        <w:tab w:val="clear" w:pos="4513"/>
        <w:tab w:val="clear" w:pos="9026"/>
        <w:tab w:val="left" w:pos="2949"/>
      </w:tabs>
      <w:jc w:val="right"/>
      <w:rPr>
        <w:color w:val="auto"/>
      </w:rPr>
    </w:pPr>
    <w:sdt>
      <w:sdtPr>
        <w:id w:val="2063975838"/>
        <w:docPartObj>
          <w:docPartGallery w:val="Watermarks"/>
          <w:docPartUnique/>
        </w:docPartObj>
      </w:sdtPr>
      <w:sdtEndPr/>
      <w:sdtContent>
        <w:r>
          <w:rPr>
            <w:noProof/>
          </w:rPr>
          <w:pict w14:anchorId="53F8A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D4645A" w:rsidRPr="00B729CC">
      <w:t xml:space="preserve">                      </w:t>
    </w:r>
    <w:r w:rsidR="005E5A20" w:rsidRPr="00B729CC">
      <w:rPr>
        <w:noProof/>
        <w:color w:val="auto"/>
      </w:rPr>
      <w:drawing>
        <wp:anchor distT="0" distB="0" distL="114300" distR="114300" simplePos="0" relativeHeight="251656704" behindDoc="1" locked="0" layoutInCell="1" allowOverlap="1" wp14:anchorId="68AD21B6" wp14:editId="54F33181">
          <wp:simplePos x="0" y="0"/>
          <wp:positionH relativeFrom="page">
            <wp:posOffset>457200</wp:posOffset>
          </wp:positionH>
          <wp:positionV relativeFrom="page">
            <wp:posOffset>457200</wp:posOffset>
          </wp:positionV>
          <wp:extent cx="864000" cy="367200"/>
          <wp:effectExtent l="0" t="0" r="0" b="1270"/>
          <wp:wrapNone/>
          <wp:docPr id="3"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4000" cy="36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6A70"/>
    <w:multiLevelType w:val="hybridMultilevel"/>
    <w:tmpl w:val="1B96B8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C36D45"/>
    <w:multiLevelType w:val="hybridMultilevel"/>
    <w:tmpl w:val="4C56D0A0"/>
    <w:lvl w:ilvl="0" w:tplc="5A0A96B6">
      <w:numFmt w:val="bullet"/>
      <w:lvlText w:val="-"/>
      <w:lvlJc w:val="left"/>
      <w:pPr>
        <w:ind w:left="587" w:hanging="360"/>
      </w:pPr>
      <w:rPr>
        <w:rFonts w:ascii="Poppins" w:eastAsiaTheme="minorHAnsi" w:hAnsi="Poppins" w:cs="Poppins" w:hint="default"/>
      </w:rPr>
    </w:lvl>
    <w:lvl w:ilvl="1" w:tplc="08090003">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 w15:restartNumberingAfterBreak="0">
    <w:nsid w:val="13927D81"/>
    <w:multiLevelType w:val="hybridMultilevel"/>
    <w:tmpl w:val="2968FD04"/>
    <w:lvl w:ilvl="0" w:tplc="3A44BB96">
      <w:start w:val="1"/>
      <w:numFmt w:val="bullet"/>
      <w:lvlText w:val="-"/>
      <w:lvlJc w:val="left"/>
      <w:pPr>
        <w:tabs>
          <w:tab w:val="num" w:pos="720"/>
        </w:tabs>
        <w:ind w:left="720" w:hanging="360"/>
      </w:pPr>
      <w:rPr>
        <w:rFonts w:ascii="Times New Roman" w:hAnsi="Times New Roman" w:hint="default"/>
      </w:rPr>
    </w:lvl>
    <w:lvl w:ilvl="1" w:tplc="EF0E9696" w:tentative="1">
      <w:start w:val="1"/>
      <w:numFmt w:val="bullet"/>
      <w:lvlText w:val="-"/>
      <w:lvlJc w:val="left"/>
      <w:pPr>
        <w:tabs>
          <w:tab w:val="num" w:pos="1440"/>
        </w:tabs>
        <w:ind w:left="1440" w:hanging="360"/>
      </w:pPr>
      <w:rPr>
        <w:rFonts w:ascii="Times New Roman" w:hAnsi="Times New Roman" w:hint="default"/>
      </w:rPr>
    </w:lvl>
    <w:lvl w:ilvl="2" w:tplc="7CECC5F2" w:tentative="1">
      <w:start w:val="1"/>
      <w:numFmt w:val="bullet"/>
      <w:lvlText w:val="-"/>
      <w:lvlJc w:val="left"/>
      <w:pPr>
        <w:tabs>
          <w:tab w:val="num" w:pos="2160"/>
        </w:tabs>
        <w:ind w:left="2160" w:hanging="360"/>
      </w:pPr>
      <w:rPr>
        <w:rFonts w:ascii="Times New Roman" w:hAnsi="Times New Roman" w:hint="default"/>
      </w:rPr>
    </w:lvl>
    <w:lvl w:ilvl="3" w:tplc="8BA0E41E" w:tentative="1">
      <w:start w:val="1"/>
      <w:numFmt w:val="bullet"/>
      <w:lvlText w:val="-"/>
      <w:lvlJc w:val="left"/>
      <w:pPr>
        <w:tabs>
          <w:tab w:val="num" w:pos="2880"/>
        </w:tabs>
        <w:ind w:left="2880" w:hanging="360"/>
      </w:pPr>
      <w:rPr>
        <w:rFonts w:ascii="Times New Roman" w:hAnsi="Times New Roman" w:hint="default"/>
      </w:rPr>
    </w:lvl>
    <w:lvl w:ilvl="4" w:tplc="02D40284" w:tentative="1">
      <w:start w:val="1"/>
      <w:numFmt w:val="bullet"/>
      <w:lvlText w:val="-"/>
      <w:lvlJc w:val="left"/>
      <w:pPr>
        <w:tabs>
          <w:tab w:val="num" w:pos="3600"/>
        </w:tabs>
        <w:ind w:left="3600" w:hanging="360"/>
      </w:pPr>
      <w:rPr>
        <w:rFonts w:ascii="Times New Roman" w:hAnsi="Times New Roman" w:hint="default"/>
      </w:rPr>
    </w:lvl>
    <w:lvl w:ilvl="5" w:tplc="0104427E" w:tentative="1">
      <w:start w:val="1"/>
      <w:numFmt w:val="bullet"/>
      <w:lvlText w:val="-"/>
      <w:lvlJc w:val="left"/>
      <w:pPr>
        <w:tabs>
          <w:tab w:val="num" w:pos="4320"/>
        </w:tabs>
        <w:ind w:left="4320" w:hanging="360"/>
      </w:pPr>
      <w:rPr>
        <w:rFonts w:ascii="Times New Roman" w:hAnsi="Times New Roman" w:hint="default"/>
      </w:rPr>
    </w:lvl>
    <w:lvl w:ilvl="6" w:tplc="35DA69BE" w:tentative="1">
      <w:start w:val="1"/>
      <w:numFmt w:val="bullet"/>
      <w:lvlText w:val="-"/>
      <w:lvlJc w:val="left"/>
      <w:pPr>
        <w:tabs>
          <w:tab w:val="num" w:pos="5040"/>
        </w:tabs>
        <w:ind w:left="5040" w:hanging="360"/>
      </w:pPr>
      <w:rPr>
        <w:rFonts w:ascii="Times New Roman" w:hAnsi="Times New Roman" w:hint="default"/>
      </w:rPr>
    </w:lvl>
    <w:lvl w:ilvl="7" w:tplc="07D618A6" w:tentative="1">
      <w:start w:val="1"/>
      <w:numFmt w:val="bullet"/>
      <w:lvlText w:val="-"/>
      <w:lvlJc w:val="left"/>
      <w:pPr>
        <w:tabs>
          <w:tab w:val="num" w:pos="5760"/>
        </w:tabs>
        <w:ind w:left="5760" w:hanging="360"/>
      </w:pPr>
      <w:rPr>
        <w:rFonts w:ascii="Times New Roman" w:hAnsi="Times New Roman" w:hint="default"/>
      </w:rPr>
    </w:lvl>
    <w:lvl w:ilvl="8" w:tplc="E0F828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E309E9"/>
    <w:multiLevelType w:val="hybridMultilevel"/>
    <w:tmpl w:val="0C4AB2D6"/>
    <w:lvl w:ilvl="0" w:tplc="3E108032">
      <w:start w:val="1"/>
      <w:numFmt w:val="bullet"/>
      <w:lvlText w:val=""/>
      <w:lvlJc w:val="left"/>
      <w:pPr>
        <w:ind w:left="720" w:hanging="360"/>
      </w:pPr>
      <w:rPr>
        <w:rFonts w:ascii="Symbol" w:hAnsi="Symbol"/>
      </w:rPr>
    </w:lvl>
    <w:lvl w:ilvl="1" w:tplc="365E2ACA">
      <w:start w:val="1"/>
      <w:numFmt w:val="bullet"/>
      <w:lvlText w:val=""/>
      <w:lvlJc w:val="left"/>
      <w:pPr>
        <w:ind w:left="720" w:hanging="360"/>
      </w:pPr>
      <w:rPr>
        <w:rFonts w:ascii="Symbol" w:hAnsi="Symbol"/>
      </w:rPr>
    </w:lvl>
    <w:lvl w:ilvl="2" w:tplc="57140C08">
      <w:start w:val="1"/>
      <w:numFmt w:val="bullet"/>
      <w:lvlText w:val=""/>
      <w:lvlJc w:val="left"/>
      <w:pPr>
        <w:ind w:left="720" w:hanging="360"/>
      </w:pPr>
      <w:rPr>
        <w:rFonts w:ascii="Symbol" w:hAnsi="Symbol"/>
      </w:rPr>
    </w:lvl>
    <w:lvl w:ilvl="3" w:tplc="031EE232">
      <w:start w:val="1"/>
      <w:numFmt w:val="bullet"/>
      <w:lvlText w:val=""/>
      <w:lvlJc w:val="left"/>
      <w:pPr>
        <w:ind w:left="720" w:hanging="360"/>
      </w:pPr>
      <w:rPr>
        <w:rFonts w:ascii="Symbol" w:hAnsi="Symbol"/>
      </w:rPr>
    </w:lvl>
    <w:lvl w:ilvl="4" w:tplc="4726E03A">
      <w:start w:val="1"/>
      <w:numFmt w:val="bullet"/>
      <w:lvlText w:val=""/>
      <w:lvlJc w:val="left"/>
      <w:pPr>
        <w:ind w:left="720" w:hanging="360"/>
      </w:pPr>
      <w:rPr>
        <w:rFonts w:ascii="Symbol" w:hAnsi="Symbol"/>
      </w:rPr>
    </w:lvl>
    <w:lvl w:ilvl="5" w:tplc="A24CB228">
      <w:start w:val="1"/>
      <w:numFmt w:val="bullet"/>
      <w:lvlText w:val=""/>
      <w:lvlJc w:val="left"/>
      <w:pPr>
        <w:ind w:left="720" w:hanging="360"/>
      </w:pPr>
      <w:rPr>
        <w:rFonts w:ascii="Symbol" w:hAnsi="Symbol"/>
      </w:rPr>
    </w:lvl>
    <w:lvl w:ilvl="6" w:tplc="575CC224">
      <w:start w:val="1"/>
      <w:numFmt w:val="bullet"/>
      <w:lvlText w:val=""/>
      <w:lvlJc w:val="left"/>
      <w:pPr>
        <w:ind w:left="720" w:hanging="360"/>
      </w:pPr>
      <w:rPr>
        <w:rFonts w:ascii="Symbol" w:hAnsi="Symbol"/>
      </w:rPr>
    </w:lvl>
    <w:lvl w:ilvl="7" w:tplc="650A9078">
      <w:start w:val="1"/>
      <w:numFmt w:val="bullet"/>
      <w:lvlText w:val=""/>
      <w:lvlJc w:val="left"/>
      <w:pPr>
        <w:ind w:left="720" w:hanging="360"/>
      </w:pPr>
      <w:rPr>
        <w:rFonts w:ascii="Symbol" w:hAnsi="Symbol"/>
      </w:rPr>
    </w:lvl>
    <w:lvl w:ilvl="8" w:tplc="EEFE4D26">
      <w:start w:val="1"/>
      <w:numFmt w:val="bullet"/>
      <w:lvlText w:val=""/>
      <w:lvlJc w:val="left"/>
      <w:pPr>
        <w:ind w:left="720" w:hanging="360"/>
      </w:pPr>
      <w:rPr>
        <w:rFonts w:ascii="Symbol" w:hAnsi="Symbol"/>
      </w:rPr>
    </w:lvl>
  </w:abstractNum>
  <w:abstractNum w:abstractNumId="4" w15:restartNumberingAfterBreak="0">
    <w:nsid w:val="1C3B3185"/>
    <w:multiLevelType w:val="hybridMultilevel"/>
    <w:tmpl w:val="03948526"/>
    <w:lvl w:ilvl="0" w:tplc="8CB80A06">
      <w:start w:val="1"/>
      <w:numFmt w:val="bullet"/>
      <w:lvlText w:val=""/>
      <w:lvlJc w:val="left"/>
      <w:pPr>
        <w:ind w:left="1440" w:hanging="360"/>
      </w:pPr>
      <w:rPr>
        <w:rFonts w:ascii="Symbol" w:hAnsi="Symbol"/>
      </w:rPr>
    </w:lvl>
    <w:lvl w:ilvl="1" w:tplc="EA7AD236">
      <w:start w:val="1"/>
      <w:numFmt w:val="bullet"/>
      <w:lvlText w:val=""/>
      <w:lvlJc w:val="left"/>
      <w:pPr>
        <w:ind w:left="1440" w:hanging="360"/>
      </w:pPr>
      <w:rPr>
        <w:rFonts w:ascii="Symbol" w:hAnsi="Symbol"/>
      </w:rPr>
    </w:lvl>
    <w:lvl w:ilvl="2" w:tplc="FCC80902">
      <w:start w:val="1"/>
      <w:numFmt w:val="bullet"/>
      <w:lvlText w:val=""/>
      <w:lvlJc w:val="left"/>
      <w:pPr>
        <w:ind w:left="1440" w:hanging="360"/>
      </w:pPr>
      <w:rPr>
        <w:rFonts w:ascii="Symbol" w:hAnsi="Symbol"/>
      </w:rPr>
    </w:lvl>
    <w:lvl w:ilvl="3" w:tplc="E4C26AB6">
      <w:start w:val="1"/>
      <w:numFmt w:val="bullet"/>
      <w:lvlText w:val=""/>
      <w:lvlJc w:val="left"/>
      <w:pPr>
        <w:ind w:left="1440" w:hanging="360"/>
      </w:pPr>
      <w:rPr>
        <w:rFonts w:ascii="Symbol" w:hAnsi="Symbol"/>
      </w:rPr>
    </w:lvl>
    <w:lvl w:ilvl="4" w:tplc="4A84FA5A">
      <w:start w:val="1"/>
      <w:numFmt w:val="bullet"/>
      <w:lvlText w:val=""/>
      <w:lvlJc w:val="left"/>
      <w:pPr>
        <w:ind w:left="1440" w:hanging="360"/>
      </w:pPr>
      <w:rPr>
        <w:rFonts w:ascii="Symbol" w:hAnsi="Symbol"/>
      </w:rPr>
    </w:lvl>
    <w:lvl w:ilvl="5" w:tplc="1A78B0C8">
      <w:start w:val="1"/>
      <w:numFmt w:val="bullet"/>
      <w:lvlText w:val=""/>
      <w:lvlJc w:val="left"/>
      <w:pPr>
        <w:ind w:left="1440" w:hanging="360"/>
      </w:pPr>
      <w:rPr>
        <w:rFonts w:ascii="Symbol" w:hAnsi="Symbol"/>
      </w:rPr>
    </w:lvl>
    <w:lvl w:ilvl="6" w:tplc="8E06175E">
      <w:start w:val="1"/>
      <w:numFmt w:val="bullet"/>
      <w:lvlText w:val=""/>
      <w:lvlJc w:val="left"/>
      <w:pPr>
        <w:ind w:left="1440" w:hanging="360"/>
      </w:pPr>
      <w:rPr>
        <w:rFonts w:ascii="Symbol" w:hAnsi="Symbol"/>
      </w:rPr>
    </w:lvl>
    <w:lvl w:ilvl="7" w:tplc="D466CB8E">
      <w:start w:val="1"/>
      <w:numFmt w:val="bullet"/>
      <w:lvlText w:val=""/>
      <w:lvlJc w:val="left"/>
      <w:pPr>
        <w:ind w:left="1440" w:hanging="360"/>
      </w:pPr>
      <w:rPr>
        <w:rFonts w:ascii="Symbol" w:hAnsi="Symbol"/>
      </w:rPr>
    </w:lvl>
    <w:lvl w:ilvl="8" w:tplc="8FB6A4A6">
      <w:start w:val="1"/>
      <w:numFmt w:val="bullet"/>
      <w:lvlText w:val=""/>
      <w:lvlJc w:val="left"/>
      <w:pPr>
        <w:ind w:left="1440" w:hanging="360"/>
      </w:pPr>
      <w:rPr>
        <w:rFonts w:ascii="Symbol" w:hAnsi="Symbol"/>
      </w:rPr>
    </w:lvl>
  </w:abstractNum>
  <w:abstractNum w:abstractNumId="5" w15:restartNumberingAfterBreak="0">
    <w:nsid w:val="1F3E3657"/>
    <w:multiLevelType w:val="hybridMultilevel"/>
    <w:tmpl w:val="18746BDE"/>
    <w:lvl w:ilvl="0" w:tplc="1452FCA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76A6D"/>
    <w:multiLevelType w:val="hybridMultilevel"/>
    <w:tmpl w:val="58D8B618"/>
    <w:lvl w:ilvl="0" w:tplc="5CAA801A">
      <w:start w:val="1"/>
      <w:numFmt w:val="bullet"/>
      <w:lvlText w:val="-"/>
      <w:lvlJc w:val="left"/>
      <w:pPr>
        <w:tabs>
          <w:tab w:val="num" w:pos="720"/>
        </w:tabs>
        <w:ind w:left="720" w:hanging="360"/>
      </w:pPr>
      <w:rPr>
        <w:rFonts w:ascii="Times New Roman" w:hAnsi="Times New Roman" w:hint="default"/>
      </w:rPr>
    </w:lvl>
    <w:lvl w:ilvl="1" w:tplc="E8F0D540" w:tentative="1">
      <w:start w:val="1"/>
      <w:numFmt w:val="bullet"/>
      <w:lvlText w:val="-"/>
      <w:lvlJc w:val="left"/>
      <w:pPr>
        <w:tabs>
          <w:tab w:val="num" w:pos="1440"/>
        </w:tabs>
        <w:ind w:left="1440" w:hanging="360"/>
      </w:pPr>
      <w:rPr>
        <w:rFonts w:ascii="Times New Roman" w:hAnsi="Times New Roman" w:hint="default"/>
      </w:rPr>
    </w:lvl>
    <w:lvl w:ilvl="2" w:tplc="A1000074" w:tentative="1">
      <w:start w:val="1"/>
      <w:numFmt w:val="bullet"/>
      <w:lvlText w:val="-"/>
      <w:lvlJc w:val="left"/>
      <w:pPr>
        <w:tabs>
          <w:tab w:val="num" w:pos="2160"/>
        </w:tabs>
        <w:ind w:left="2160" w:hanging="360"/>
      </w:pPr>
      <w:rPr>
        <w:rFonts w:ascii="Times New Roman" w:hAnsi="Times New Roman" w:hint="default"/>
      </w:rPr>
    </w:lvl>
    <w:lvl w:ilvl="3" w:tplc="B6461CEA" w:tentative="1">
      <w:start w:val="1"/>
      <w:numFmt w:val="bullet"/>
      <w:lvlText w:val="-"/>
      <w:lvlJc w:val="left"/>
      <w:pPr>
        <w:tabs>
          <w:tab w:val="num" w:pos="2880"/>
        </w:tabs>
        <w:ind w:left="2880" w:hanging="360"/>
      </w:pPr>
      <w:rPr>
        <w:rFonts w:ascii="Times New Roman" w:hAnsi="Times New Roman" w:hint="default"/>
      </w:rPr>
    </w:lvl>
    <w:lvl w:ilvl="4" w:tplc="94F27030" w:tentative="1">
      <w:start w:val="1"/>
      <w:numFmt w:val="bullet"/>
      <w:lvlText w:val="-"/>
      <w:lvlJc w:val="left"/>
      <w:pPr>
        <w:tabs>
          <w:tab w:val="num" w:pos="3600"/>
        </w:tabs>
        <w:ind w:left="3600" w:hanging="360"/>
      </w:pPr>
      <w:rPr>
        <w:rFonts w:ascii="Times New Roman" w:hAnsi="Times New Roman" w:hint="default"/>
      </w:rPr>
    </w:lvl>
    <w:lvl w:ilvl="5" w:tplc="737A84EA" w:tentative="1">
      <w:start w:val="1"/>
      <w:numFmt w:val="bullet"/>
      <w:lvlText w:val="-"/>
      <w:lvlJc w:val="left"/>
      <w:pPr>
        <w:tabs>
          <w:tab w:val="num" w:pos="4320"/>
        </w:tabs>
        <w:ind w:left="4320" w:hanging="360"/>
      </w:pPr>
      <w:rPr>
        <w:rFonts w:ascii="Times New Roman" w:hAnsi="Times New Roman" w:hint="default"/>
      </w:rPr>
    </w:lvl>
    <w:lvl w:ilvl="6" w:tplc="A82AF280" w:tentative="1">
      <w:start w:val="1"/>
      <w:numFmt w:val="bullet"/>
      <w:lvlText w:val="-"/>
      <w:lvlJc w:val="left"/>
      <w:pPr>
        <w:tabs>
          <w:tab w:val="num" w:pos="5040"/>
        </w:tabs>
        <w:ind w:left="5040" w:hanging="360"/>
      </w:pPr>
      <w:rPr>
        <w:rFonts w:ascii="Times New Roman" w:hAnsi="Times New Roman" w:hint="default"/>
      </w:rPr>
    </w:lvl>
    <w:lvl w:ilvl="7" w:tplc="C7BAD8F6" w:tentative="1">
      <w:start w:val="1"/>
      <w:numFmt w:val="bullet"/>
      <w:lvlText w:val="-"/>
      <w:lvlJc w:val="left"/>
      <w:pPr>
        <w:tabs>
          <w:tab w:val="num" w:pos="5760"/>
        </w:tabs>
        <w:ind w:left="5760" w:hanging="360"/>
      </w:pPr>
      <w:rPr>
        <w:rFonts w:ascii="Times New Roman" w:hAnsi="Times New Roman" w:hint="default"/>
      </w:rPr>
    </w:lvl>
    <w:lvl w:ilvl="8" w:tplc="F12AA20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EE5B47"/>
    <w:multiLevelType w:val="hybridMultilevel"/>
    <w:tmpl w:val="926CAD90"/>
    <w:lvl w:ilvl="0" w:tplc="271A9A9A">
      <w:numFmt w:val="bullet"/>
      <w:lvlText w:val="-"/>
      <w:lvlJc w:val="left"/>
      <w:pPr>
        <w:ind w:left="720" w:hanging="360"/>
      </w:pPr>
      <w:rPr>
        <w:rFonts w:ascii="Poppins" w:eastAsiaTheme="majorEastAsia"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B60FF"/>
    <w:multiLevelType w:val="hybridMultilevel"/>
    <w:tmpl w:val="4C1E9C80"/>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1DC7279"/>
    <w:multiLevelType w:val="hybridMultilevel"/>
    <w:tmpl w:val="DBB8B6C8"/>
    <w:lvl w:ilvl="0" w:tplc="C98A6B90">
      <w:start w:val="1"/>
      <w:numFmt w:val="bullet"/>
      <w:lvlText w:val=""/>
      <w:lvlJc w:val="left"/>
      <w:pPr>
        <w:ind w:left="1440" w:hanging="360"/>
      </w:pPr>
      <w:rPr>
        <w:rFonts w:ascii="Symbol" w:hAnsi="Symbol"/>
      </w:rPr>
    </w:lvl>
    <w:lvl w:ilvl="1" w:tplc="0FBE2C42">
      <w:start w:val="1"/>
      <w:numFmt w:val="bullet"/>
      <w:lvlText w:val=""/>
      <w:lvlJc w:val="left"/>
      <w:pPr>
        <w:ind w:left="1440" w:hanging="360"/>
      </w:pPr>
      <w:rPr>
        <w:rFonts w:ascii="Symbol" w:hAnsi="Symbol"/>
      </w:rPr>
    </w:lvl>
    <w:lvl w:ilvl="2" w:tplc="2CF417B0">
      <w:start w:val="1"/>
      <w:numFmt w:val="bullet"/>
      <w:lvlText w:val=""/>
      <w:lvlJc w:val="left"/>
      <w:pPr>
        <w:ind w:left="1440" w:hanging="360"/>
      </w:pPr>
      <w:rPr>
        <w:rFonts w:ascii="Symbol" w:hAnsi="Symbol"/>
      </w:rPr>
    </w:lvl>
    <w:lvl w:ilvl="3" w:tplc="29A05F78">
      <w:start w:val="1"/>
      <w:numFmt w:val="bullet"/>
      <w:lvlText w:val=""/>
      <w:lvlJc w:val="left"/>
      <w:pPr>
        <w:ind w:left="1440" w:hanging="360"/>
      </w:pPr>
      <w:rPr>
        <w:rFonts w:ascii="Symbol" w:hAnsi="Symbol"/>
      </w:rPr>
    </w:lvl>
    <w:lvl w:ilvl="4" w:tplc="05E80706">
      <w:start w:val="1"/>
      <w:numFmt w:val="bullet"/>
      <w:lvlText w:val=""/>
      <w:lvlJc w:val="left"/>
      <w:pPr>
        <w:ind w:left="1440" w:hanging="360"/>
      </w:pPr>
      <w:rPr>
        <w:rFonts w:ascii="Symbol" w:hAnsi="Symbol"/>
      </w:rPr>
    </w:lvl>
    <w:lvl w:ilvl="5" w:tplc="E4A2DF98">
      <w:start w:val="1"/>
      <w:numFmt w:val="bullet"/>
      <w:lvlText w:val=""/>
      <w:lvlJc w:val="left"/>
      <w:pPr>
        <w:ind w:left="1440" w:hanging="360"/>
      </w:pPr>
      <w:rPr>
        <w:rFonts w:ascii="Symbol" w:hAnsi="Symbol"/>
      </w:rPr>
    </w:lvl>
    <w:lvl w:ilvl="6" w:tplc="606A4E7C">
      <w:start w:val="1"/>
      <w:numFmt w:val="bullet"/>
      <w:lvlText w:val=""/>
      <w:lvlJc w:val="left"/>
      <w:pPr>
        <w:ind w:left="1440" w:hanging="360"/>
      </w:pPr>
      <w:rPr>
        <w:rFonts w:ascii="Symbol" w:hAnsi="Symbol"/>
      </w:rPr>
    </w:lvl>
    <w:lvl w:ilvl="7" w:tplc="7C5A189A">
      <w:start w:val="1"/>
      <w:numFmt w:val="bullet"/>
      <w:lvlText w:val=""/>
      <w:lvlJc w:val="left"/>
      <w:pPr>
        <w:ind w:left="1440" w:hanging="360"/>
      </w:pPr>
      <w:rPr>
        <w:rFonts w:ascii="Symbol" w:hAnsi="Symbol"/>
      </w:rPr>
    </w:lvl>
    <w:lvl w:ilvl="8" w:tplc="379E0BE2">
      <w:start w:val="1"/>
      <w:numFmt w:val="bullet"/>
      <w:lvlText w:val=""/>
      <w:lvlJc w:val="left"/>
      <w:pPr>
        <w:ind w:left="1440" w:hanging="360"/>
      </w:pPr>
      <w:rPr>
        <w:rFonts w:ascii="Symbol" w:hAnsi="Symbol"/>
      </w:rPr>
    </w:lvl>
  </w:abstractNum>
  <w:abstractNum w:abstractNumId="10" w15:restartNumberingAfterBreak="0">
    <w:nsid w:val="35BA4C1C"/>
    <w:multiLevelType w:val="hybridMultilevel"/>
    <w:tmpl w:val="02B68114"/>
    <w:lvl w:ilvl="0" w:tplc="4A5ABA7C">
      <w:start w:val="1"/>
      <w:numFmt w:val="bullet"/>
      <w:lvlText w:val="-"/>
      <w:lvlJc w:val="left"/>
      <w:pPr>
        <w:tabs>
          <w:tab w:val="num" w:pos="720"/>
        </w:tabs>
        <w:ind w:left="720" w:hanging="360"/>
      </w:pPr>
      <w:rPr>
        <w:rFonts w:ascii="Times New Roman" w:hAnsi="Times New Roman" w:hint="default"/>
      </w:rPr>
    </w:lvl>
    <w:lvl w:ilvl="1" w:tplc="AFCC98C0" w:tentative="1">
      <w:start w:val="1"/>
      <w:numFmt w:val="bullet"/>
      <w:lvlText w:val="-"/>
      <w:lvlJc w:val="left"/>
      <w:pPr>
        <w:tabs>
          <w:tab w:val="num" w:pos="1440"/>
        </w:tabs>
        <w:ind w:left="1440" w:hanging="360"/>
      </w:pPr>
      <w:rPr>
        <w:rFonts w:ascii="Times New Roman" w:hAnsi="Times New Roman" w:hint="default"/>
      </w:rPr>
    </w:lvl>
    <w:lvl w:ilvl="2" w:tplc="7126208A" w:tentative="1">
      <w:start w:val="1"/>
      <w:numFmt w:val="bullet"/>
      <w:lvlText w:val="-"/>
      <w:lvlJc w:val="left"/>
      <w:pPr>
        <w:tabs>
          <w:tab w:val="num" w:pos="2160"/>
        </w:tabs>
        <w:ind w:left="2160" w:hanging="360"/>
      </w:pPr>
      <w:rPr>
        <w:rFonts w:ascii="Times New Roman" w:hAnsi="Times New Roman" w:hint="default"/>
      </w:rPr>
    </w:lvl>
    <w:lvl w:ilvl="3" w:tplc="D862E6B6" w:tentative="1">
      <w:start w:val="1"/>
      <w:numFmt w:val="bullet"/>
      <w:lvlText w:val="-"/>
      <w:lvlJc w:val="left"/>
      <w:pPr>
        <w:tabs>
          <w:tab w:val="num" w:pos="2880"/>
        </w:tabs>
        <w:ind w:left="2880" w:hanging="360"/>
      </w:pPr>
      <w:rPr>
        <w:rFonts w:ascii="Times New Roman" w:hAnsi="Times New Roman" w:hint="default"/>
      </w:rPr>
    </w:lvl>
    <w:lvl w:ilvl="4" w:tplc="670E19B0" w:tentative="1">
      <w:start w:val="1"/>
      <w:numFmt w:val="bullet"/>
      <w:lvlText w:val="-"/>
      <w:lvlJc w:val="left"/>
      <w:pPr>
        <w:tabs>
          <w:tab w:val="num" w:pos="3600"/>
        </w:tabs>
        <w:ind w:left="3600" w:hanging="360"/>
      </w:pPr>
      <w:rPr>
        <w:rFonts w:ascii="Times New Roman" w:hAnsi="Times New Roman" w:hint="default"/>
      </w:rPr>
    </w:lvl>
    <w:lvl w:ilvl="5" w:tplc="CE820D70" w:tentative="1">
      <w:start w:val="1"/>
      <w:numFmt w:val="bullet"/>
      <w:lvlText w:val="-"/>
      <w:lvlJc w:val="left"/>
      <w:pPr>
        <w:tabs>
          <w:tab w:val="num" w:pos="4320"/>
        </w:tabs>
        <w:ind w:left="4320" w:hanging="360"/>
      </w:pPr>
      <w:rPr>
        <w:rFonts w:ascii="Times New Roman" w:hAnsi="Times New Roman" w:hint="default"/>
      </w:rPr>
    </w:lvl>
    <w:lvl w:ilvl="6" w:tplc="EDA8D95E" w:tentative="1">
      <w:start w:val="1"/>
      <w:numFmt w:val="bullet"/>
      <w:lvlText w:val="-"/>
      <w:lvlJc w:val="left"/>
      <w:pPr>
        <w:tabs>
          <w:tab w:val="num" w:pos="5040"/>
        </w:tabs>
        <w:ind w:left="5040" w:hanging="360"/>
      </w:pPr>
      <w:rPr>
        <w:rFonts w:ascii="Times New Roman" w:hAnsi="Times New Roman" w:hint="default"/>
      </w:rPr>
    </w:lvl>
    <w:lvl w:ilvl="7" w:tplc="A00A0DF4" w:tentative="1">
      <w:start w:val="1"/>
      <w:numFmt w:val="bullet"/>
      <w:lvlText w:val="-"/>
      <w:lvlJc w:val="left"/>
      <w:pPr>
        <w:tabs>
          <w:tab w:val="num" w:pos="5760"/>
        </w:tabs>
        <w:ind w:left="5760" w:hanging="360"/>
      </w:pPr>
      <w:rPr>
        <w:rFonts w:ascii="Times New Roman" w:hAnsi="Times New Roman" w:hint="default"/>
      </w:rPr>
    </w:lvl>
    <w:lvl w:ilvl="8" w:tplc="B32C30A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29E7608"/>
    <w:multiLevelType w:val="hybridMultilevel"/>
    <w:tmpl w:val="797632C2"/>
    <w:lvl w:ilvl="0" w:tplc="89E6AE3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640F3F"/>
    <w:multiLevelType w:val="hybridMultilevel"/>
    <w:tmpl w:val="59520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9C151E"/>
    <w:multiLevelType w:val="hybridMultilevel"/>
    <w:tmpl w:val="8C26EEB8"/>
    <w:lvl w:ilvl="0" w:tplc="9FFE4A9C">
      <w:start w:val="1"/>
      <w:numFmt w:val="bullet"/>
      <w:lvlText w:val="-"/>
      <w:lvlJc w:val="left"/>
      <w:pPr>
        <w:tabs>
          <w:tab w:val="num" w:pos="720"/>
        </w:tabs>
        <w:ind w:left="720" w:hanging="360"/>
      </w:pPr>
      <w:rPr>
        <w:rFonts w:ascii="Times New Roman" w:hAnsi="Times New Roman" w:hint="default"/>
      </w:rPr>
    </w:lvl>
    <w:lvl w:ilvl="1" w:tplc="B894B7E2" w:tentative="1">
      <w:start w:val="1"/>
      <w:numFmt w:val="bullet"/>
      <w:lvlText w:val="-"/>
      <w:lvlJc w:val="left"/>
      <w:pPr>
        <w:tabs>
          <w:tab w:val="num" w:pos="1440"/>
        </w:tabs>
        <w:ind w:left="1440" w:hanging="360"/>
      </w:pPr>
      <w:rPr>
        <w:rFonts w:ascii="Times New Roman" w:hAnsi="Times New Roman" w:hint="default"/>
      </w:rPr>
    </w:lvl>
    <w:lvl w:ilvl="2" w:tplc="C84C984E" w:tentative="1">
      <w:start w:val="1"/>
      <w:numFmt w:val="bullet"/>
      <w:lvlText w:val="-"/>
      <w:lvlJc w:val="left"/>
      <w:pPr>
        <w:tabs>
          <w:tab w:val="num" w:pos="2160"/>
        </w:tabs>
        <w:ind w:left="2160" w:hanging="360"/>
      </w:pPr>
      <w:rPr>
        <w:rFonts w:ascii="Times New Roman" w:hAnsi="Times New Roman" w:hint="default"/>
      </w:rPr>
    </w:lvl>
    <w:lvl w:ilvl="3" w:tplc="688C46B8" w:tentative="1">
      <w:start w:val="1"/>
      <w:numFmt w:val="bullet"/>
      <w:lvlText w:val="-"/>
      <w:lvlJc w:val="left"/>
      <w:pPr>
        <w:tabs>
          <w:tab w:val="num" w:pos="2880"/>
        </w:tabs>
        <w:ind w:left="2880" w:hanging="360"/>
      </w:pPr>
      <w:rPr>
        <w:rFonts w:ascii="Times New Roman" w:hAnsi="Times New Roman" w:hint="default"/>
      </w:rPr>
    </w:lvl>
    <w:lvl w:ilvl="4" w:tplc="6C6ABA88" w:tentative="1">
      <w:start w:val="1"/>
      <w:numFmt w:val="bullet"/>
      <w:lvlText w:val="-"/>
      <w:lvlJc w:val="left"/>
      <w:pPr>
        <w:tabs>
          <w:tab w:val="num" w:pos="3600"/>
        </w:tabs>
        <w:ind w:left="3600" w:hanging="360"/>
      </w:pPr>
      <w:rPr>
        <w:rFonts w:ascii="Times New Roman" w:hAnsi="Times New Roman" w:hint="default"/>
      </w:rPr>
    </w:lvl>
    <w:lvl w:ilvl="5" w:tplc="74EC0ACC" w:tentative="1">
      <w:start w:val="1"/>
      <w:numFmt w:val="bullet"/>
      <w:lvlText w:val="-"/>
      <w:lvlJc w:val="left"/>
      <w:pPr>
        <w:tabs>
          <w:tab w:val="num" w:pos="4320"/>
        </w:tabs>
        <w:ind w:left="4320" w:hanging="360"/>
      </w:pPr>
      <w:rPr>
        <w:rFonts w:ascii="Times New Roman" w:hAnsi="Times New Roman" w:hint="default"/>
      </w:rPr>
    </w:lvl>
    <w:lvl w:ilvl="6" w:tplc="AA8E91DA" w:tentative="1">
      <w:start w:val="1"/>
      <w:numFmt w:val="bullet"/>
      <w:lvlText w:val="-"/>
      <w:lvlJc w:val="left"/>
      <w:pPr>
        <w:tabs>
          <w:tab w:val="num" w:pos="5040"/>
        </w:tabs>
        <w:ind w:left="5040" w:hanging="360"/>
      </w:pPr>
      <w:rPr>
        <w:rFonts w:ascii="Times New Roman" w:hAnsi="Times New Roman" w:hint="default"/>
      </w:rPr>
    </w:lvl>
    <w:lvl w:ilvl="7" w:tplc="F5401B62" w:tentative="1">
      <w:start w:val="1"/>
      <w:numFmt w:val="bullet"/>
      <w:lvlText w:val="-"/>
      <w:lvlJc w:val="left"/>
      <w:pPr>
        <w:tabs>
          <w:tab w:val="num" w:pos="5760"/>
        </w:tabs>
        <w:ind w:left="5760" w:hanging="360"/>
      </w:pPr>
      <w:rPr>
        <w:rFonts w:ascii="Times New Roman" w:hAnsi="Times New Roman" w:hint="default"/>
      </w:rPr>
    </w:lvl>
    <w:lvl w:ilvl="8" w:tplc="CEAE8FB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F52454E"/>
    <w:multiLevelType w:val="hybridMultilevel"/>
    <w:tmpl w:val="F32203F6"/>
    <w:lvl w:ilvl="0" w:tplc="55F4025A">
      <w:start w:val="1"/>
      <w:numFmt w:val="bullet"/>
      <w:lvlText w:val="-"/>
      <w:lvlJc w:val="left"/>
      <w:pPr>
        <w:tabs>
          <w:tab w:val="num" w:pos="720"/>
        </w:tabs>
        <w:ind w:left="720" w:hanging="360"/>
      </w:pPr>
      <w:rPr>
        <w:rFonts w:ascii="Times New Roman" w:hAnsi="Times New Roman" w:hint="default"/>
      </w:rPr>
    </w:lvl>
    <w:lvl w:ilvl="1" w:tplc="B47EBEB4" w:tentative="1">
      <w:start w:val="1"/>
      <w:numFmt w:val="bullet"/>
      <w:lvlText w:val="-"/>
      <w:lvlJc w:val="left"/>
      <w:pPr>
        <w:tabs>
          <w:tab w:val="num" w:pos="1440"/>
        </w:tabs>
        <w:ind w:left="1440" w:hanging="360"/>
      </w:pPr>
      <w:rPr>
        <w:rFonts w:ascii="Times New Roman" w:hAnsi="Times New Roman" w:hint="default"/>
      </w:rPr>
    </w:lvl>
    <w:lvl w:ilvl="2" w:tplc="97564454" w:tentative="1">
      <w:start w:val="1"/>
      <w:numFmt w:val="bullet"/>
      <w:lvlText w:val="-"/>
      <w:lvlJc w:val="left"/>
      <w:pPr>
        <w:tabs>
          <w:tab w:val="num" w:pos="2160"/>
        </w:tabs>
        <w:ind w:left="2160" w:hanging="360"/>
      </w:pPr>
      <w:rPr>
        <w:rFonts w:ascii="Times New Roman" w:hAnsi="Times New Roman" w:hint="default"/>
      </w:rPr>
    </w:lvl>
    <w:lvl w:ilvl="3" w:tplc="B62C6274" w:tentative="1">
      <w:start w:val="1"/>
      <w:numFmt w:val="bullet"/>
      <w:lvlText w:val="-"/>
      <w:lvlJc w:val="left"/>
      <w:pPr>
        <w:tabs>
          <w:tab w:val="num" w:pos="2880"/>
        </w:tabs>
        <w:ind w:left="2880" w:hanging="360"/>
      </w:pPr>
      <w:rPr>
        <w:rFonts w:ascii="Times New Roman" w:hAnsi="Times New Roman" w:hint="default"/>
      </w:rPr>
    </w:lvl>
    <w:lvl w:ilvl="4" w:tplc="924C1878" w:tentative="1">
      <w:start w:val="1"/>
      <w:numFmt w:val="bullet"/>
      <w:lvlText w:val="-"/>
      <w:lvlJc w:val="left"/>
      <w:pPr>
        <w:tabs>
          <w:tab w:val="num" w:pos="3600"/>
        </w:tabs>
        <w:ind w:left="3600" w:hanging="360"/>
      </w:pPr>
      <w:rPr>
        <w:rFonts w:ascii="Times New Roman" w:hAnsi="Times New Roman" w:hint="default"/>
      </w:rPr>
    </w:lvl>
    <w:lvl w:ilvl="5" w:tplc="198ED896" w:tentative="1">
      <w:start w:val="1"/>
      <w:numFmt w:val="bullet"/>
      <w:lvlText w:val="-"/>
      <w:lvlJc w:val="left"/>
      <w:pPr>
        <w:tabs>
          <w:tab w:val="num" w:pos="4320"/>
        </w:tabs>
        <w:ind w:left="4320" w:hanging="360"/>
      </w:pPr>
      <w:rPr>
        <w:rFonts w:ascii="Times New Roman" w:hAnsi="Times New Roman" w:hint="default"/>
      </w:rPr>
    </w:lvl>
    <w:lvl w:ilvl="6" w:tplc="7C72C0B8" w:tentative="1">
      <w:start w:val="1"/>
      <w:numFmt w:val="bullet"/>
      <w:lvlText w:val="-"/>
      <w:lvlJc w:val="left"/>
      <w:pPr>
        <w:tabs>
          <w:tab w:val="num" w:pos="5040"/>
        </w:tabs>
        <w:ind w:left="5040" w:hanging="360"/>
      </w:pPr>
      <w:rPr>
        <w:rFonts w:ascii="Times New Roman" w:hAnsi="Times New Roman" w:hint="default"/>
      </w:rPr>
    </w:lvl>
    <w:lvl w:ilvl="7" w:tplc="F37A48DE" w:tentative="1">
      <w:start w:val="1"/>
      <w:numFmt w:val="bullet"/>
      <w:lvlText w:val="-"/>
      <w:lvlJc w:val="left"/>
      <w:pPr>
        <w:tabs>
          <w:tab w:val="num" w:pos="5760"/>
        </w:tabs>
        <w:ind w:left="5760" w:hanging="360"/>
      </w:pPr>
      <w:rPr>
        <w:rFonts w:ascii="Times New Roman" w:hAnsi="Times New Roman" w:hint="default"/>
      </w:rPr>
    </w:lvl>
    <w:lvl w:ilvl="8" w:tplc="BE44E94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822C8B"/>
    <w:multiLevelType w:val="hybridMultilevel"/>
    <w:tmpl w:val="F9446F3E"/>
    <w:lvl w:ilvl="0" w:tplc="2D3262C4">
      <w:start w:val="1"/>
      <w:numFmt w:val="bullet"/>
      <w:lvlText w:val=""/>
      <w:lvlJc w:val="left"/>
      <w:pPr>
        <w:tabs>
          <w:tab w:val="num" w:pos="720"/>
        </w:tabs>
        <w:ind w:left="720" w:hanging="360"/>
      </w:pPr>
      <w:rPr>
        <w:rFonts w:ascii="Symbol" w:hAnsi="Symbol" w:hint="default"/>
      </w:rPr>
    </w:lvl>
    <w:lvl w:ilvl="1" w:tplc="87C4E992" w:tentative="1">
      <w:start w:val="1"/>
      <w:numFmt w:val="bullet"/>
      <w:lvlText w:val=""/>
      <w:lvlJc w:val="left"/>
      <w:pPr>
        <w:tabs>
          <w:tab w:val="num" w:pos="1440"/>
        </w:tabs>
        <w:ind w:left="1440" w:hanging="360"/>
      </w:pPr>
      <w:rPr>
        <w:rFonts w:ascii="Symbol" w:hAnsi="Symbol" w:hint="default"/>
      </w:rPr>
    </w:lvl>
    <w:lvl w:ilvl="2" w:tplc="1D8CD99A" w:tentative="1">
      <w:start w:val="1"/>
      <w:numFmt w:val="bullet"/>
      <w:lvlText w:val=""/>
      <w:lvlJc w:val="left"/>
      <w:pPr>
        <w:tabs>
          <w:tab w:val="num" w:pos="2160"/>
        </w:tabs>
        <w:ind w:left="2160" w:hanging="360"/>
      </w:pPr>
      <w:rPr>
        <w:rFonts w:ascii="Symbol" w:hAnsi="Symbol" w:hint="default"/>
      </w:rPr>
    </w:lvl>
    <w:lvl w:ilvl="3" w:tplc="A0D23AC0" w:tentative="1">
      <w:start w:val="1"/>
      <w:numFmt w:val="bullet"/>
      <w:lvlText w:val=""/>
      <w:lvlJc w:val="left"/>
      <w:pPr>
        <w:tabs>
          <w:tab w:val="num" w:pos="2880"/>
        </w:tabs>
        <w:ind w:left="2880" w:hanging="360"/>
      </w:pPr>
      <w:rPr>
        <w:rFonts w:ascii="Symbol" w:hAnsi="Symbol" w:hint="default"/>
      </w:rPr>
    </w:lvl>
    <w:lvl w:ilvl="4" w:tplc="244CFE7A" w:tentative="1">
      <w:start w:val="1"/>
      <w:numFmt w:val="bullet"/>
      <w:lvlText w:val=""/>
      <w:lvlJc w:val="left"/>
      <w:pPr>
        <w:tabs>
          <w:tab w:val="num" w:pos="3600"/>
        </w:tabs>
        <w:ind w:left="3600" w:hanging="360"/>
      </w:pPr>
      <w:rPr>
        <w:rFonts w:ascii="Symbol" w:hAnsi="Symbol" w:hint="default"/>
      </w:rPr>
    </w:lvl>
    <w:lvl w:ilvl="5" w:tplc="1B9A442A" w:tentative="1">
      <w:start w:val="1"/>
      <w:numFmt w:val="bullet"/>
      <w:lvlText w:val=""/>
      <w:lvlJc w:val="left"/>
      <w:pPr>
        <w:tabs>
          <w:tab w:val="num" w:pos="4320"/>
        </w:tabs>
        <w:ind w:left="4320" w:hanging="360"/>
      </w:pPr>
      <w:rPr>
        <w:rFonts w:ascii="Symbol" w:hAnsi="Symbol" w:hint="default"/>
      </w:rPr>
    </w:lvl>
    <w:lvl w:ilvl="6" w:tplc="8C841DE0" w:tentative="1">
      <w:start w:val="1"/>
      <w:numFmt w:val="bullet"/>
      <w:lvlText w:val=""/>
      <w:lvlJc w:val="left"/>
      <w:pPr>
        <w:tabs>
          <w:tab w:val="num" w:pos="5040"/>
        </w:tabs>
        <w:ind w:left="5040" w:hanging="360"/>
      </w:pPr>
      <w:rPr>
        <w:rFonts w:ascii="Symbol" w:hAnsi="Symbol" w:hint="default"/>
      </w:rPr>
    </w:lvl>
    <w:lvl w:ilvl="7" w:tplc="777A0F5A" w:tentative="1">
      <w:start w:val="1"/>
      <w:numFmt w:val="bullet"/>
      <w:lvlText w:val=""/>
      <w:lvlJc w:val="left"/>
      <w:pPr>
        <w:tabs>
          <w:tab w:val="num" w:pos="5760"/>
        </w:tabs>
        <w:ind w:left="5760" w:hanging="360"/>
      </w:pPr>
      <w:rPr>
        <w:rFonts w:ascii="Symbol" w:hAnsi="Symbol" w:hint="default"/>
      </w:rPr>
    </w:lvl>
    <w:lvl w:ilvl="8" w:tplc="69C66F7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E8562E5"/>
    <w:multiLevelType w:val="hybridMultilevel"/>
    <w:tmpl w:val="584835E6"/>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7" w15:restartNumberingAfterBreak="0">
    <w:nsid w:val="612B0659"/>
    <w:multiLevelType w:val="hybridMultilevel"/>
    <w:tmpl w:val="516893A6"/>
    <w:lvl w:ilvl="0" w:tplc="E4AC3468">
      <w:start w:val="1"/>
      <w:numFmt w:val="bullet"/>
      <w:lvlText w:val="-"/>
      <w:lvlJc w:val="left"/>
      <w:pPr>
        <w:tabs>
          <w:tab w:val="num" w:pos="720"/>
        </w:tabs>
        <w:ind w:left="720" w:hanging="360"/>
      </w:pPr>
      <w:rPr>
        <w:rFonts w:ascii="Times New Roman" w:hAnsi="Times New Roman" w:hint="default"/>
      </w:rPr>
    </w:lvl>
    <w:lvl w:ilvl="1" w:tplc="F5C8991A" w:tentative="1">
      <w:start w:val="1"/>
      <w:numFmt w:val="bullet"/>
      <w:lvlText w:val="-"/>
      <w:lvlJc w:val="left"/>
      <w:pPr>
        <w:tabs>
          <w:tab w:val="num" w:pos="1440"/>
        </w:tabs>
        <w:ind w:left="1440" w:hanging="360"/>
      </w:pPr>
      <w:rPr>
        <w:rFonts w:ascii="Times New Roman" w:hAnsi="Times New Roman" w:hint="default"/>
      </w:rPr>
    </w:lvl>
    <w:lvl w:ilvl="2" w:tplc="11703E0C" w:tentative="1">
      <w:start w:val="1"/>
      <w:numFmt w:val="bullet"/>
      <w:lvlText w:val="-"/>
      <w:lvlJc w:val="left"/>
      <w:pPr>
        <w:tabs>
          <w:tab w:val="num" w:pos="2160"/>
        </w:tabs>
        <w:ind w:left="2160" w:hanging="360"/>
      </w:pPr>
      <w:rPr>
        <w:rFonts w:ascii="Times New Roman" w:hAnsi="Times New Roman" w:hint="default"/>
      </w:rPr>
    </w:lvl>
    <w:lvl w:ilvl="3" w:tplc="A7C6D0B8" w:tentative="1">
      <w:start w:val="1"/>
      <w:numFmt w:val="bullet"/>
      <w:lvlText w:val="-"/>
      <w:lvlJc w:val="left"/>
      <w:pPr>
        <w:tabs>
          <w:tab w:val="num" w:pos="2880"/>
        </w:tabs>
        <w:ind w:left="2880" w:hanging="360"/>
      </w:pPr>
      <w:rPr>
        <w:rFonts w:ascii="Times New Roman" w:hAnsi="Times New Roman" w:hint="default"/>
      </w:rPr>
    </w:lvl>
    <w:lvl w:ilvl="4" w:tplc="A99087B4" w:tentative="1">
      <w:start w:val="1"/>
      <w:numFmt w:val="bullet"/>
      <w:lvlText w:val="-"/>
      <w:lvlJc w:val="left"/>
      <w:pPr>
        <w:tabs>
          <w:tab w:val="num" w:pos="3600"/>
        </w:tabs>
        <w:ind w:left="3600" w:hanging="360"/>
      </w:pPr>
      <w:rPr>
        <w:rFonts w:ascii="Times New Roman" w:hAnsi="Times New Roman" w:hint="default"/>
      </w:rPr>
    </w:lvl>
    <w:lvl w:ilvl="5" w:tplc="671067BC" w:tentative="1">
      <w:start w:val="1"/>
      <w:numFmt w:val="bullet"/>
      <w:lvlText w:val="-"/>
      <w:lvlJc w:val="left"/>
      <w:pPr>
        <w:tabs>
          <w:tab w:val="num" w:pos="4320"/>
        </w:tabs>
        <w:ind w:left="4320" w:hanging="360"/>
      </w:pPr>
      <w:rPr>
        <w:rFonts w:ascii="Times New Roman" w:hAnsi="Times New Roman" w:hint="default"/>
      </w:rPr>
    </w:lvl>
    <w:lvl w:ilvl="6" w:tplc="11067F7C" w:tentative="1">
      <w:start w:val="1"/>
      <w:numFmt w:val="bullet"/>
      <w:lvlText w:val="-"/>
      <w:lvlJc w:val="left"/>
      <w:pPr>
        <w:tabs>
          <w:tab w:val="num" w:pos="5040"/>
        </w:tabs>
        <w:ind w:left="5040" w:hanging="360"/>
      </w:pPr>
      <w:rPr>
        <w:rFonts w:ascii="Times New Roman" w:hAnsi="Times New Roman" w:hint="default"/>
      </w:rPr>
    </w:lvl>
    <w:lvl w:ilvl="7" w:tplc="488485E8" w:tentative="1">
      <w:start w:val="1"/>
      <w:numFmt w:val="bullet"/>
      <w:lvlText w:val="-"/>
      <w:lvlJc w:val="left"/>
      <w:pPr>
        <w:tabs>
          <w:tab w:val="num" w:pos="5760"/>
        </w:tabs>
        <w:ind w:left="5760" w:hanging="360"/>
      </w:pPr>
      <w:rPr>
        <w:rFonts w:ascii="Times New Roman" w:hAnsi="Times New Roman" w:hint="default"/>
      </w:rPr>
    </w:lvl>
    <w:lvl w:ilvl="8" w:tplc="7ADA67B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074800"/>
    <w:multiLevelType w:val="hybridMultilevel"/>
    <w:tmpl w:val="F7B09FDC"/>
    <w:lvl w:ilvl="0" w:tplc="44F0F712">
      <w:start w:val="1"/>
      <w:numFmt w:val="bullet"/>
      <w:lvlText w:val="-"/>
      <w:lvlJc w:val="left"/>
      <w:pPr>
        <w:tabs>
          <w:tab w:val="num" w:pos="720"/>
        </w:tabs>
        <w:ind w:left="720" w:hanging="360"/>
      </w:pPr>
      <w:rPr>
        <w:rFonts w:ascii="Times New Roman" w:hAnsi="Times New Roman" w:hint="default"/>
      </w:rPr>
    </w:lvl>
    <w:lvl w:ilvl="1" w:tplc="0040D374" w:tentative="1">
      <w:start w:val="1"/>
      <w:numFmt w:val="bullet"/>
      <w:lvlText w:val="-"/>
      <w:lvlJc w:val="left"/>
      <w:pPr>
        <w:tabs>
          <w:tab w:val="num" w:pos="1440"/>
        </w:tabs>
        <w:ind w:left="1440" w:hanging="360"/>
      </w:pPr>
      <w:rPr>
        <w:rFonts w:ascii="Times New Roman" w:hAnsi="Times New Roman" w:hint="default"/>
      </w:rPr>
    </w:lvl>
    <w:lvl w:ilvl="2" w:tplc="A13CE33A" w:tentative="1">
      <w:start w:val="1"/>
      <w:numFmt w:val="bullet"/>
      <w:lvlText w:val="-"/>
      <w:lvlJc w:val="left"/>
      <w:pPr>
        <w:tabs>
          <w:tab w:val="num" w:pos="2160"/>
        </w:tabs>
        <w:ind w:left="2160" w:hanging="360"/>
      </w:pPr>
      <w:rPr>
        <w:rFonts w:ascii="Times New Roman" w:hAnsi="Times New Roman" w:hint="default"/>
      </w:rPr>
    </w:lvl>
    <w:lvl w:ilvl="3" w:tplc="BE429A02" w:tentative="1">
      <w:start w:val="1"/>
      <w:numFmt w:val="bullet"/>
      <w:lvlText w:val="-"/>
      <w:lvlJc w:val="left"/>
      <w:pPr>
        <w:tabs>
          <w:tab w:val="num" w:pos="2880"/>
        </w:tabs>
        <w:ind w:left="2880" w:hanging="360"/>
      </w:pPr>
      <w:rPr>
        <w:rFonts w:ascii="Times New Roman" w:hAnsi="Times New Roman" w:hint="default"/>
      </w:rPr>
    </w:lvl>
    <w:lvl w:ilvl="4" w:tplc="E64C70B2" w:tentative="1">
      <w:start w:val="1"/>
      <w:numFmt w:val="bullet"/>
      <w:lvlText w:val="-"/>
      <w:lvlJc w:val="left"/>
      <w:pPr>
        <w:tabs>
          <w:tab w:val="num" w:pos="3600"/>
        </w:tabs>
        <w:ind w:left="3600" w:hanging="360"/>
      </w:pPr>
      <w:rPr>
        <w:rFonts w:ascii="Times New Roman" w:hAnsi="Times New Roman" w:hint="default"/>
      </w:rPr>
    </w:lvl>
    <w:lvl w:ilvl="5" w:tplc="CB88BD24" w:tentative="1">
      <w:start w:val="1"/>
      <w:numFmt w:val="bullet"/>
      <w:lvlText w:val="-"/>
      <w:lvlJc w:val="left"/>
      <w:pPr>
        <w:tabs>
          <w:tab w:val="num" w:pos="4320"/>
        </w:tabs>
        <w:ind w:left="4320" w:hanging="360"/>
      </w:pPr>
      <w:rPr>
        <w:rFonts w:ascii="Times New Roman" w:hAnsi="Times New Roman" w:hint="default"/>
      </w:rPr>
    </w:lvl>
    <w:lvl w:ilvl="6" w:tplc="8EC0D7A6" w:tentative="1">
      <w:start w:val="1"/>
      <w:numFmt w:val="bullet"/>
      <w:lvlText w:val="-"/>
      <w:lvlJc w:val="left"/>
      <w:pPr>
        <w:tabs>
          <w:tab w:val="num" w:pos="5040"/>
        </w:tabs>
        <w:ind w:left="5040" w:hanging="360"/>
      </w:pPr>
      <w:rPr>
        <w:rFonts w:ascii="Times New Roman" w:hAnsi="Times New Roman" w:hint="default"/>
      </w:rPr>
    </w:lvl>
    <w:lvl w:ilvl="7" w:tplc="77C8BF1A" w:tentative="1">
      <w:start w:val="1"/>
      <w:numFmt w:val="bullet"/>
      <w:lvlText w:val="-"/>
      <w:lvlJc w:val="left"/>
      <w:pPr>
        <w:tabs>
          <w:tab w:val="num" w:pos="5760"/>
        </w:tabs>
        <w:ind w:left="5760" w:hanging="360"/>
      </w:pPr>
      <w:rPr>
        <w:rFonts w:ascii="Times New Roman" w:hAnsi="Times New Roman" w:hint="default"/>
      </w:rPr>
    </w:lvl>
    <w:lvl w:ilvl="8" w:tplc="D8DE6A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EBB3F2A"/>
    <w:multiLevelType w:val="hybridMultilevel"/>
    <w:tmpl w:val="65E2042E"/>
    <w:lvl w:ilvl="0" w:tplc="447E25AA">
      <w:numFmt w:val="bullet"/>
      <w:lvlText w:val="-"/>
      <w:lvlJc w:val="left"/>
      <w:pPr>
        <w:ind w:left="720" w:hanging="360"/>
      </w:pPr>
      <w:rPr>
        <w:rFonts w:ascii="Poppins" w:eastAsiaTheme="minorHAnsi"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F7379"/>
    <w:multiLevelType w:val="hybridMultilevel"/>
    <w:tmpl w:val="066A6B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4F53AD"/>
    <w:multiLevelType w:val="hybridMultilevel"/>
    <w:tmpl w:val="F48E7ADC"/>
    <w:lvl w:ilvl="0" w:tplc="91144DD2">
      <w:numFmt w:val="bullet"/>
      <w:lvlText w:val="-"/>
      <w:lvlJc w:val="left"/>
      <w:pPr>
        <w:ind w:left="720" w:hanging="360"/>
      </w:pPr>
      <w:rPr>
        <w:rFonts w:ascii="Poppins" w:eastAsiaTheme="minorHAnsi"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C72D0E"/>
    <w:multiLevelType w:val="hybridMultilevel"/>
    <w:tmpl w:val="36AE33E2"/>
    <w:lvl w:ilvl="0" w:tplc="BB869C06">
      <w:start w:val="1"/>
      <w:numFmt w:val="bullet"/>
      <w:lvlText w:val=""/>
      <w:lvlJc w:val="left"/>
      <w:pPr>
        <w:ind w:left="720" w:hanging="360"/>
      </w:pPr>
      <w:rPr>
        <w:rFonts w:ascii="Symbol" w:hAnsi="Symbol"/>
      </w:rPr>
    </w:lvl>
    <w:lvl w:ilvl="1" w:tplc="11F2B58E">
      <w:start w:val="1"/>
      <w:numFmt w:val="bullet"/>
      <w:lvlText w:val=""/>
      <w:lvlJc w:val="left"/>
      <w:pPr>
        <w:ind w:left="720" w:hanging="360"/>
      </w:pPr>
      <w:rPr>
        <w:rFonts w:ascii="Symbol" w:hAnsi="Symbol"/>
      </w:rPr>
    </w:lvl>
    <w:lvl w:ilvl="2" w:tplc="BB6A5C5C">
      <w:start w:val="1"/>
      <w:numFmt w:val="bullet"/>
      <w:lvlText w:val=""/>
      <w:lvlJc w:val="left"/>
      <w:pPr>
        <w:ind w:left="720" w:hanging="360"/>
      </w:pPr>
      <w:rPr>
        <w:rFonts w:ascii="Symbol" w:hAnsi="Symbol"/>
      </w:rPr>
    </w:lvl>
    <w:lvl w:ilvl="3" w:tplc="A08A4CF6">
      <w:start w:val="1"/>
      <w:numFmt w:val="bullet"/>
      <w:lvlText w:val=""/>
      <w:lvlJc w:val="left"/>
      <w:pPr>
        <w:ind w:left="720" w:hanging="360"/>
      </w:pPr>
      <w:rPr>
        <w:rFonts w:ascii="Symbol" w:hAnsi="Symbol"/>
      </w:rPr>
    </w:lvl>
    <w:lvl w:ilvl="4" w:tplc="DF3A4054">
      <w:start w:val="1"/>
      <w:numFmt w:val="bullet"/>
      <w:lvlText w:val=""/>
      <w:lvlJc w:val="left"/>
      <w:pPr>
        <w:ind w:left="720" w:hanging="360"/>
      </w:pPr>
      <w:rPr>
        <w:rFonts w:ascii="Symbol" w:hAnsi="Symbol"/>
      </w:rPr>
    </w:lvl>
    <w:lvl w:ilvl="5" w:tplc="3FA88492">
      <w:start w:val="1"/>
      <w:numFmt w:val="bullet"/>
      <w:lvlText w:val=""/>
      <w:lvlJc w:val="left"/>
      <w:pPr>
        <w:ind w:left="720" w:hanging="360"/>
      </w:pPr>
      <w:rPr>
        <w:rFonts w:ascii="Symbol" w:hAnsi="Symbol"/>
      </w:rPr>
    </w:lvl>
    <w:lvl w:ilvl="6" w:tplc="470ADF88">
      <w:start w:val="1"/>
      <w:numFmt w:val="bullet"/>
      <w:lvlText w:val=""/>
      <w:lvlJc w:val="left"/>
      <w:pPr>
        <w:ind w:left="720" w:hanging="360"/>
      </w:pPr>
      <w:rPr>
        <w:rFonts w:ascii="Symbol" w:hAnsi="Symbol"/>
      </w:rPr>
    </w:lvl>
    <w:lvl w:ilvl="7" w:tplc="0F70A222">
      <w:start w:val="1"/>
      <w:numFmt w:val="bullet"/>
      <w:lvlText w:val=""/>
      <w:lvlJc w:val="left"/>
      <w:pPr>
        <w:ind w:left="720" w:hanging="360"/>
      </w:pPr>
      <w:rPr>
        <w:rFonts w:ascii="Symbol" w:hAnsi="Symbol"/>
      </w:rPr>
    </w:lvl>
    <w:lvl w:ilvl="8" w:tplc="9FA4D74A">
      <w:start w:val="1"/>
      <w:numFmt w:val="bullet"/>
      <w:lvlText w:val=""/>
      <w:lvlJc w:val="left"/>
      <w:pPr>
        <w:ind w:left="720" w:hanging="360"/>
      </w:pPr>
      <w:rPr>
        <w:rFonts w:ascii="Symbol" w:hAnsi="Symbol"/>
      </w:rPr>
    </w:lvl>
  </w:abstractNum>
  <w:num w:numId="1" w16cid:durableId="1077170002">
    <w:abstractNumId w:val="11"/>
  </w:num>
  <w:num w:numId="2" w16cid:durableId="149948235">
    <w:abstractNumId w:val="15"/>
  </w:num>
  <w:num w:numId="3" w16cid:durableId="78254299">
    <w:abstractNumId w:val="21"/>
  </w:num>
  <w:num w:numId="4" w16cid:durableId="655451320">
    <w:abstractNumId w:val="19"/>
  </w:num>
  <w:num w:numId="5" w16cid:durableId="2083943664">
    <w:abstractNumId w:val="3"/>
  </w:num>
  <w:num w:numId="6" w16cid:durableId="1692684254">
    <w:abstractNumId w:val="22"/>
  </w:num>
  <w:num w:numId="7" w16cid:durableId="2129540112">
    <w:abstractNumId w:val="7"/>
  </w:num>
  <w:num w:numId="8" w16cid:durableId="526020837">
    <w:abstractNumId w:val="9"/>
  </w:num>
  <w:num w:numId="9" w16cid:durableId="333336272">
    <w:abstractNumId w:val="4"/>
  </w:num>
  <w:num w:numId="10" w16cid:durableId="894660982">
    <w:abstractNumId w:val="0"/>
  </w:num>
  <w:num w:numId="11" w16cid:durableId="560402896">
    <w:abstractNumId w:val="12"/>
  </w:num>
  <w:num w:numId="12" w16cid:durableId="356128391">
    <w:abstractNumId w:val="16"/>
  </w:num>
  <w:num w:numId="13" w16cid:durableId="494489432">
    <w:abstractNumId w:val="8"/>
  </w:num>
  <w:num w:numId="14" w16cid:durableId="293367361">
    <w:abstractNumId w:val="5"/>
  </w:num>
  <w:num w:numId="15" w16cid:durableId="781808266">
    <w:abstractNumId w:val="20"/>
  </w:num>
  <w:num w:numId="16" w16cid:durableId="932741069">
    <w:abstractNumId w:val="1"/>
  </w:num>
  <w:num w:numId="17" w16cid:durableId="1378165156">
    <w:abstractNumId w:val="2"/>
  </w:num>
  <w:num w:numId="18" w16cid:durableId="1720934976">
    <w:abstractNumId w:val="14"/>
  </w:num>
  <w:num w:numId="19" w16cid:durableId="592857291">
    <w:abstractNumId w:val="6"/>
  </w:num>
  <w:num w:numId="20" w16cid:durableId="1779331414">
    <w:abstractNumId w:val="18"/>
  </w:num>
  <w:num w:numId="21" w16cid:durableId="1739397999">
    <w:abstractNumId w:val="10"/>
  </w:num>
  <w:num w:numId="22" w16cid:durableId="1585068145">
    <w:abstractNumId w:val="17"/>
  </w:num>
  <w:num w:numId="23" w16cid:durableId="20507603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72"/>
    <w:rsid w:val="000013B1"/>
    <w:rsid w:val="00003DCD"/>
    <w:rsid w:val="0000688B"/>
    <w:rsid w:val="0000752D"/>
    <w:rsid w:val="00011885"/>
    <w:rsid w:val="00013C92"/>
    <w:rsid w:val="000153DD"/>
    <w:rsid w:val="00017F67"/>
    <w:rsid w:val="00021689"/>
    <w:rsid w:val="000233AB"/>
    <w:rsid w:val="000257CF"/>
    <w:rsid w:val="0002744D"/>
    <w:rsid w:val="000303E7"/>
    <w:rsid w:val="0003059F"/>
    <w:rsid w:val="0003203A"/>
    <w:rsid w:val="000340A4"/>
    <w:rsid w:val="000352D5"/>
    <w:rsid w:val="00036803"/>
    <w:rsid w:val="000373F1"/>
    <w:rsid w:val="00040553"/>
    <w:rsid w:val="00041654"/>
    <w:rsid w:val="00041AA4"/>
    <w:rsid w:val="00042B73"/>
    <w:rsid w:val="00042BFE"/>
    <w:rsid w:val="00042F3D"/>
    <w:rsid w:val="00044513"/>
    <w:rsid w:val="000469BB"/>
    <w:rsid w:val="00046A44"/>
    <w:rsid w:val="00047CC3"/>
    <w:rsid w:val="00051179"/>
    <w:rsid w:val="000524EE"/>
    <w:rsid w:val="00053A7F"/>
    <w:rsid w:val="00060172"/>
    <w:rsid w:val="00060C9F"/>
    <w:rsid w:val="000610BB"/>
    <w:rsid w:val="000622F4"/>
    <w:rsid w:val="000648B3"/>
    <w:rsid w:val="00064BA4"/>
    <w:rsid w:val="00064BCF"/>
    <w:rsid w:val="0006502B"/>
    <w:rsid w:val="0007134E"/>
    <w:rsid w:val="00074565"/>
    <w:rsid w:val="00074F67"/>
    <w:rsid w:val="000758F3"/>
    <w:rsid w:val="0007662A"/>
    <w:rsid w:val="000772B9"/>
    <w:rsid w:val="00077E70"/>
    <w:rsid w:val="00080C09"/>
    <w:rsid w:val="00081D62"/>
    <w:rsid w:val="000825C8"/>
    <w:rsid w:val="000833E2"/>
    <w:rsid w:val="000844BA"/>
    <w:rsid w:val="000847DA"/>
    <w:rsid w:val="00084B97"/>
    <w:rsid w:val="000859C9"/>
    <w:rsid w:val="000868D5"/>
    <w:rsid w:val="00087770"/>
    <w:rsid w:val="00090434"/>
    <w:rsid w:val="00092FE9"/>
    <w:rsid w:val="000931A1"/>
    <w:rsid w:val="000936C4"/>
    <w:rsid w:val="000939F7"/>
    <w:rsid w:val="00094EB8"/>
    <w:rsid w:val="00095F96"/>
    <w:rsid w:val="000975C8"/>
    <w:rsid w:val="000A184E"/>
    <w:rsid w:val="000A1E93"/>
    <w:rsid w:val="000A23C7"/>
    <w:rsid w:val="000A3758"/>
    <w:rsid w:val="000A4D64"/>
    <w:rsid w:val="000A53C5"/>
    <w:rsid w:val="000B0427"/>
    <w:rsid w:val="000B1286"/>
    <w:rsid w:val="000B1378"/>
    <w:rsid w:val="000B21A8"/>
    <w:rsid w:val="000B293E"/>
    <w:rsid w:val="000B7A62"/>
    <w:rsid w:val="000C23B3"/>
    <w:rsid w:val="000C75DE"/>
    <w:rsid w:val="000D0825"/>
    <w:rsid w:val="000D2CFE"/>
    <w:rsid w:val="000D2D74"/>
    <w:rsid w:val="000D4A95"/>
    <w:rsid w:val="000D542F"/>
    <w:rsid w:val="000D72B7"/>
    <w:rsid w:val="000E232B"/>
    <w:rsid w:val="000E2570"/>
    <w:rsid w:val="000E3930"/>
    <w:rsid w:val="000E42C5"/>
    <w:rsid w:val="000E4D2A"/>
    <w:rsid w:val="000E4D46"/>
    <w:rsid w:val="000E52A2"/>
    <w:rsid w:val="000E5CAB"/>
    <w:rsid w:val="000E7421"/>
    <w:rsid w:val="000F0EB2"/>
    <w:rsid w:val="000F2858"/>
    <w:rsid w:val="000F4AC2"/>
    <w:rsid w:val="000F5C1E"/>
    <w:rsid w:val="000F61DE"/>
    <w:rsid w:val="000F6314"/>
    <w:rsid w:val="000F6664"/>
    <w:rsid w:val="000F67B1"/>
    <w:rsid w:val="000F6A18"/>
    <w:rsid w:val="000F70F0"/>
    <w:rsid w:val="001015A2"/>
    <w:rsid w:val="00103B47"/>
    <w:rsid w:val="00103B85"/>
    <w:rsid w:val="00104208"/>
    <w:rsid w:val="00106864"/>
    <w:rsid w:val="00112D57"/>
    <w:rsid w:val="00112E78"/>
    <w:rsid w:val="00113C44"/>
    <w:rsid w:val="00114352"/>
    <w:rsid w:val="00114931"/>
    <w:rsid w:val="00114EEF"/>
    <w:rsid w:val="00120781"/>
    <w:rsid w:val="001250D8"/>
    <w:rsid w:val="00125181"/>
    <w:rsid w:val="00125434"/>
    <w:rsid w:val="00125C43"/>
    <w:rsid w:val="00130AD9"/>
    <w:rsid w:val="001338CF"/>
    <w:rsid w:val="00133EBD"/>
    <w:rsid w:val="00134DE7"/>
    <w:rsid w:val="00145786"/>
    <w:rsid w:val="00146109"/>
    <w:rsid w:val="00146A55"/>
    <w:rsid w:val="001528CD"/>
    <w:rsid w:val="0015585B"/>
    <w:rsid w:val="001613BD"/>
    <w:rsid w:val="00162765"/>
    <w:rsid w:val="00164B35"/>
    <w:rsid w:val="00172AD6"/>
    <w:rsid w:val="00173060"/>
    <w:rsid w:val="0018011F"/>
    <w:rsid w:val="001812F6"/>
    <w:rsid w:val="0018247B"/>
    <w:rsid w:val="0018252B"/>
    <w:rsid w:val="00182EC5"/>
    <w:rsid w:val="0018645A"/>
    <w:rsid w:val="00186A64"/>
    <w:rsid w:val="00190C0C"/>
    <w:rsid w:val="00190E11"/>
    <w:rsid w:val="00191EF1"/>
    <w:rsid w:val="001951BB"/>
    <w:rsid w:val="00195ABC"/>
    <w:rsid w:val="00197663"/>
    <w:rsid w:val="00197BEB"/>
    <w:rsid w:val="001A01D3"/>
    <w:rsid w:val="001A157B"/>
    <w:rsid w:val="001A2F88"/>
    <w:rsid w:val="001A51E4"/>
    <w:rsid w:val="001A526B"/>
    <w:rsid w:val="001A700E"/>
    <w:rsid w:val="001A763A"/>
    <w:rsid w:val="001A7C5E"/>
    <w:rsid w:val="001B1B99"/>
    <w:rsid w:val="001B1E94"/>
    <w:rsid w:val="001B3284"/>
    <w:rsid w:val="001B33B0"/>
    <w:rsid w:val="001B6955"/>
    <w:rsid w:val="001B6975"/>
    <w:rsid w:val="001B757D"/>
    <w:rsid w:val="001C163B"/>
    <w:rsid w:val="001C3204"/>
    <w:rsid w:val="001C6208"/>
    <w:rsid w:val="001C6719"/>
    <w:rsid w:val="001C69C9"/>
    <w:rsid w:val="001C6D87"/>
    <w:rsid w:val="001C7250"/>
    <w:rsid w:val="001D0490"/>
    <w:rsid w:val="001D0664"/>
    <w:rsid w:val="001D116C"/>
    <w:rsid w:val="001D2189"/>
    <w:rsid w:val="001D27F4"/>
    <w:rsid w:val="001D282E"/>
    <w:rsid w:val="001D6960"/>
    <w:rsid w:val="001E0351"/>
    <w:rsid w:val="001E293A"/>
    <w:rsid w:val="001E40D1"/>
    <w:rsid w:val="001E71D6"/>
    <w:rsid w:val="001F01BE"/>
    <w:rsid w:val="001F0512"/>
    <w:rsid w:val="001F098F"/>
    <w:rsid w:val="001F0A9A"/>
    <w:rsid w:val="001F162D"/>
    <w:rsid w:val="001F263E"/>
    <w:rsid w:val="001F40C8"/>
    <w:rsid w:val="001F5A26"/>
    <w:rsid w:val="002046B6"/>
    <w:rsid w:val="00204BDE"/>
    <w:rsid w:val="00207262"/>
    <w:rsid w:val="00207BE9"/>
    <w:rsid w:val="00214458"/>
    <w:rsid w:val="00215BCC"/>
    <w:rsid w:val="002164A0"/>
    <w:rsid w:val="0021735C"/>
    <w:rsid w:val="0021763A"/>
    <w:rsid w:val="00221149"/>
    <w:rsid w:val="00226D7C"/>
    <w:rsid w:val="00227044"/>
    <w:rsid w:val="0023254C"/>
    <w:rsid w:val="00235EF2"/>
    <w:rsid w:val="00236DCA"/>
    <w:rsid w:val="0023711E"/>
    <w:rsid w:val="00242631"/>
    <w:rsid w:val="0024290B"/>
    <w:rsid w:val="00243088"/>
    <w:rsid w:val="0024402F"/>
    <w:rsid w:val="00245B7C"/>
    <w:rsid w:val="00251462"/>
    <w:rsid w:val="0025168F"/>
    <w:rsid w:val="002525EE"/>
    <w:rsid w:val="00252836"/>
    <w:rsid w:val="00253193"/>
    <w:rsid w:val="00255AFF"/>
    <w:rsid w:val="00255E65"/>
    <w:rsid w:val="00257377"/>
    <w:rsid w:val="00260E4C"/>
    <w:rsid w:val="00262FED"/>
    <w:rsid w:val="00264825"/>
    <w:rsid w:val="00264E21"/>
    <w:rsid w:val="00264F6E"/>
    <w:rsid w:val="0026562E"/>
    <w:rsid w:val="0026606D"/>
    <w:rsid w:val="00266C26"/>
    <w:rsid w:val="00270DB1"/>
    <w:rsid w:val="00270EDF"/>
    <w:rsid w:val="00270FA0"/>
    <w:rsid w:val="0027122A"/>
    <w:rsid w:val="00273A78"/>
    <w:rsid w:val="00274126"/>
    <w:rsid w:val="00276714"/>
    <w:rsid w:val="00276847"/>
    <w:rsid w:val="0028115B"/>
    <w:rsid w:val="002869E6"/>
    <w:rsid w:val="00286A53"/>
    <w:rsid w:val="002878B3"/>
    <w:rsid w:val="00290037"/>
    <w:rsid w:val="00292DD8"/>
    <w:rsid w:val="00293B0E"/>
    <w:rsid w:val="002969E4"/>
    <w:rsid w:val="00297A51"/>
    <w:rsid w:val="002A0229"/>
    <w:rsid w:val="002A08CE"/>
    <w:rsid w:val="002A10BF"/>
    <w:rsid w:val="002A112D"/>
    <w:rsid w:val="002A2B17"/>
    <w:rsid w:val="002A3B2A"/>
    <w:rsid w:val="002A60B3"/>
    <w:rsid w:val="002A7942"/>
    <w:rsid w:val="002B40A8"/>
    <w:rsid w:val="002B412E"/>
    <w:rsid w:val="002B50DD"/>
    <w:rsid w:val="002C1590"/>
    <w:rsid w:val="002C21AB"/>
    <w:rsid w:val="002C24FD"/>
    <w:rsid w:val="002C253A"/>
    <w:rsid w:val="002C3B08"/>
    <w:rsid w:val="002C43BC"/>
    <w:rsid w:val="002C4F53"/>
    <w:rsid w:val="002C6488"/>
    <w:rsid w:val="002C679F"/>
    <w:rsid w:val="002C6DD3"/>
    <w:rsid w:val="002C6E52"/>
    <w:rsid w:val="002D143E"/>
    <w:rsid w:val="002D17F0"/>
    <w:rsid w:val="002D2115"/>
    <w:rsid w:val="002D31CD"/>
    <w:rsid w:val="002D40E6"/>
    <w:rsid w:val="002D5E4F"/>
    <w:rsid w:val="002D680F"/>
    <w:rsid w:val="002E142F"/>
    <w:rsid w:val="002E31A6"/>
    <w:rsid w:val="002E5343"/>
    <w:rsid w:val="002E600A"/>
    <w:rsid w:val="002E65F2"/>
    <w:rsid w:val="002E6991"/>
    <w:rsid w:val="002E7005"/>
    <w:rsid w:val="002E7745"/>
    <w:rsid w:val="002F0C46"/>
    <w:rsid w:val="002F0C4D"/>
    <w:rsid w:val="002F22C9"/>
    <w:rsid w:val="002F53D2"/>
    <w:rsid w:val="002F5E2B"/>
    <w:rsid w:val="002F7063"/>
    <w:rsid w:val="002F78EC"/>
    <w:rsid w:val="00300B8D"/>
    <w:rsid w:val="00300CA7"/>
    <w:rsid w:val="00302B22"/>
    <w:rsid w:val="00304DB7"/>
    <w:rsid w:val="00305286"/>
    <w:rsid w:val="00305487"/>
    <w:rsid w:val="00305ABB"/>
    <w:rsid w:val="00312935"/>
    <w:rsid w:val="00312B54"/>
    <w:rsid w:val="00317F6B"/>
    <w:rsid w:val="00324103"/>
    <w:rsid w:val="00324A5E"/>
    <w:rsid w:val="00326D26"/>
    <w:rsid w:val="003276E2"/>
    <w:rsid w:val="0033039B"/>
    <w:rsid w:val="00330590"/>
    <w:rsid w:val="0033161A"/>
    <w:rsid w:val="003360EC"/>
    <w:rsid w:val="003379C5"/>
    <w:rsid w:val="00337A7C"/>
    <w:rsid w:val="00337EBC"/>
    <w:rsid w:val="00341408"/>
    <w:rsid w:val="00343398"/>
    <w:rsid w:val="00344430"/>
    <w:rsid w:val="003449DB"/>
    <w:rsid w:val="00347F5C"/>
    <w:rsid w:val="00353520"/>
    <w:rsid w:val="00353AC2"/>
    <w:rsid w:val="00355174"/>
    <w:rsid w:val="003554A4"/>
    <w:rsid w:val="003615A0"/>
    <w:rsid w:val="00362450"/>
    <w:rsid w:val="003630C2"/>
    <w:rsid w:val="00363B8E"/>
    <w:rsid w:val="003646A3"/>
    <w:rsid w:val="0036501C"/>
    <w:rsid w:val="0036568B"/>
    <w:rsid w:val="00367E3B"/>
    <w:rsid w:val="00370D7C"/>
    <w:rsid w:val="003730BF"/>
    <w:rsid w:val="00373A27"/>
    <w:rsid w:val="00374058"/>
    <w:rsid w:val="0037412F"/>
    <w:rsid w:val="0037448D"/>
    <w:rsid w:val="00376523"/>
    <w:rsid w:val="00376F5C"/>
    <w:rsid w:val="003805BF"/>
    <w:rsid w:val="003821B9"/>
    <w:rsid w:val="00383521"/>
    <w:rsid w:val="0038430D"/>
    <w:rsid w:val="00387872"/>
    <w:rsid w:val="0039117B"/>
    <w:rsid w:val="00392742"/>
    <w:rsid w:val="003938F0"/>
    <w:rsid w:val="00394A96"/>
    <w:rsid w:val="00394DBB"/>
    <w:rsid w:val="00394E18"/>
    <w:rsid w:val="00395E04"/>
    <w:rsid w:val="003967FF"/>
    <w:rsid w:val="003A0988"/>
    <w:rsid w:val="003A31A9"/>
    <w:rsid w:val="003A4255"/>
    <w:rsid w:val="003A5155"/>
    <w:rsid w:val="003A52CD"/>
    <w:rsid w:val="003A5747"/>
    <w:rsid w:val="003A718A"/>
    <w:rsid w:val="003B0139"/>
    <w:rsid w:val="003B13FC"/>
    <w:rsid w:val="003B149C"/>
    <w:rsid w:val="003B5537"/>
    <w:rsid w:val="003B5715"/>
    <w:rsid w:val="003B596A"/>
    <w:rsid w:val="003B6EE1"/>
    <w:rsid w:val="003B79A4"/>
    <w:rsid w:val="003C07FE"/>
    <w:rsid w:val="003C2D61"/>
    <w:rsid w:val="003C3716"/>
    <w:rsid w:val="003C4BE5"/>
    <w:rsid w:val="003C7B41"/>
    <w:rsid w:val="003D3319"/>
    <w:rsid w:val="003D40DC"/>
    <w:rsid w:val="003D4C7C"/>
    <w:rsid w:val="003D50A9"/>
    <w:rsid w:val="003E094F"/>
    <w:rsid w:val="003E2AB4"/>
    <w:rsid w:val="003E5FBB"/>
    <w:rsid w:val="003E62BE"/>
    <w:rsid w:val="003E7F80"/>
    <w:rsid w:val="003F046B"/>
    <w:rsid w:val="003F1107"/>
    <w:rsid w:val="003F2286"/>
    <w:rsid w:val="003F27CF"/>
    <w:rsid w:val="003F6EF5"/>
    <w:rsid w:val="003F7017"/>
    <w:rsid w:val="004010FB"/>
    <w:rsid w:val="004011D9"/>
    <w:rsid w:val="004012F2"/>
    <w:rsid w:val="0040479E"/>
    <w:rsid w:val="0040666E"/>
    <w:rsid w:val="004116AD"/>
    <w:rsid w:val="00411B86"/>
    <w:rsid w:val="004135C7"/>
    <w:rsid w:val="00414AB5"/>
    <w:rsid w:val="004168D6"/>
    <w:rsid w:val="00420EC6"/>
    <w:rsid w:val="00422559"/>
    <w:rsid w:val="004231CF"/>
    <w:rsid w:val="00423915"/>
    <w:rsid w:val="00423D63"/>
    <w:rsid w:val="00424A18"/>
    <w:rsid w:val="00427C9A"/>
    <w:rsid w:val="00430055"/>
    <w:rsid w:val="00432023"/>
    <w:rsid w:val="00432243"/>
    <w:rsid w:val="00434AA5"/>
    <w:rsid w:val="00435F74"/>
    <w:rsid w:val="00436F1E"/>
    <w:rsid w:val="004409A8"/>
    <w:rsid w:val="00440F3B"/>
    <w:rsid w:val="00441A5C"/>
    <w:rsid w:val="00442560"/>
    <w:rsid w:val="00443FED"/>
    <w:rsid w:val="00447818"/>
    <w:rsid w:val="004479AF"/>
    <w:rsid w:val="0045203D"/>
    <w:rsid w:val="004539E7"/>
    <w:rsid w:val="00453DA9"/>
    <w:rsid w:val="00456689"/>
    <w:rsid w:val="004566B2"/>
    <w:rsid w:val="00456AA7"/>
    <w:rsid w:val="004574E1"/>
    <w:rsid w:val="00460020"/>
    <w:rsid w:val="00463589"/>
    <w:rsid w:val="004640C8"/>
    <w:rsid w:val="00465E43"/>
    <w:rsid w:val="00471C85"/>
    <w:rsid w:val="00472F0F"/>
    <w:rsid w:val="0047440F"/>
    <w:rsid w:val="00475382"/>
    <w:rsid w:val="00475B9D"/>
    <w:rsid w:val="00477F27"/>
    <w:rsid w:val="00481A53"/>
    <w:rsid w:val="00485180"/>
    <w:rsid w:val="00485998"/>
    <w:rsid w:val="00491275"/>
    <w:rsid w:val="00491656"/>
    <w:rsid w:val="00492656"/>
    <w:rsid w:val="00492C67"/>
    <w:rsid w:val="004942C4"/>
    <w:rsid w:val="004952FE"/>
    <w:rsid w:val="00496223"/>
    <w:rsid w:val="004963DB"/>
    <w:rsid w:val="00497808"/>
    <w:rsid w:val="0049782C"/>
    <w:rsid w:val="004A1403"/>
    <w:rsid w:val="004A5634"/>
    <w:rsid w:val="004A59F1"/>
    <w:rsid w:val="004A5E63"/>
    <w:rsid w:val="004A6818"/>
    <w:rsid w:val="004B0567"/>
    <w:rsid w:val="004B18B5"/>
    <w:rsid w:val="004B2565"/>
    <w:rsid w:val="004B2BBC"/>
    <w:rsid w:val="004B358B"/>
    <w:rsid w:val="004B457C"/>
    <w:rsid w:val="004B7959"/>
    <w:rsid w:val="004C1480"/>
    <w:rsid w:val="004C2236"/>
    <w:rsid w:val="004C4994"/>
    <w:rsid w:val="004C5157"/>
    <w:rsid w:val="004C694A"/>
    <w:rsid w:val="004C7A33"/>
    <w:rsid w:val="004C7F02"/>
    <w:rsid w:val="004D096F"/>
    <w:rsid w:val="004D3A25"/>
    <w:rsid w:val="004D5627"/>
    <w:rsid w:val="004D6631"/>
    <w:rsid w:val="004D7A18"/>
    <w:rsid w:val="004E31F8"/>
    <w:rsid w:val="004E44C7"/>
    <w:rsid w:val="004E4E05"/>
    <w:rsid w:val="004F017B"/>
    <w:rsid w:val="004F01D5"/>
    <w:rsid w:val="004F0F83"/>
    <w:rsid w:val="004F3653"/>
    <w:rsid w:val="004F3DC1"/>
    <w:rsid w:val="004F777D"/>
    <w:rsid w:val="005003B2"/>
    <w:rsid w:val="00500ADC"/>
    <w:rsid w:val="0050150C"/>
    <w:rsid w:val="00502DBC"/>
    <w:rsid w:val="00503245"/>
    <w:rsid w:val="00504AE5"/>
    <w:rsid w:val="005062DF"/>
    <w:rsid w:val="00507278"/>
    <w:rsid w:val="0051630D"/>
    <w:rsid w:val="00516858"/>
    <w:rsid w:val="00516A2F"/>
    <w:rsid w:val="0051721A"/>
    <w:rsid w:val="00517FB4"/>
    <w:rsid w:val="005204B1"/>
    <w:rsid w:val="0052081E"/>
    <w:rsid w:val="0052144B"/>
    <w:rsid w:val="00521CF3"/>
    <w:rsid w:val="00521EA6"/>
    <w:rsid w:val="00524842"/>
    <w:rsid w:val="0052595B"/>
    <w:rsid w:val="0052625A"/>
    <w:rsid w:val="0052652C"/>
    <w:rsid w:val="00531008"/>
    <w:rsid w:val="00531DE9"/>
    <w:rsid w:val="005323AC"/>
    <w:rsid w:val="00532423"/>
    <w:rsid w:val="00533077"/>
    <w:rsid w:val="00533109"/>
    <w:rsid w:val="00535EA0"/>
    <w:rsid w:val="00536204"/>
    <w:rsid w:val="005372C8"/>
    <w:rsid w:val="00540E78"/>
    <w:rsid w:val="005413E7"/>
    <w:rsid w:val="00542E4F"/>
    <w:rsid w:val="0054442C"/>
    <w:rsid w:val="00545A73"/>
    <w:rsid w:val="00546094"/>
    <w:rsid w:val="0054703B"/>
    <w:rsid w:val="00547F42"/>
    <w:rsid w:val="00553F02"/>
    <w:rsid w:val="0055542A"/>
    <w:rsid w:val="005558FF"/>
    <w:rsid w:val="0056075E"/>
    <w:rsid w:val="00560A1F"/>
    <w:rsid w:val="00561130"/>
    <w:rsid w:val="0056119E"/>
    <w:rsid w:val="0056188E"/>
    <w:rsid w:val="00562B25"/>
    <w:rsid w:val="00563B27"/>
    <w:rsid w:val="00565A57"/>
    <w:rsid w:val="005675E3"/>
    <w:rsid w:val="00570EF8"/>
    <w:rsid w:val="005714A7"/>
    <w:rsid w:val="0057272B"/>
    <w:rsid w:val="00573A07"/>
    <w:rsid w:val="00573C18"/>
    <w:rsid w:val="00573F65"/>
    <w:rsid w:val="00575315"/>
    <w:rsid w:val="00577A73"/>
    <w:rsid w:val="00581BE5"/>
    <w:rsid w:val="00581FFD"/>
    <w:rsid w:val="00582631"/>
    <w:rsid w:val="005830DC"/>
    <w:rsid w:val="0058731A"/>
    <w:rsid w:val="00587956"/>
    <w:rsid w:val="00590DDF"/>
    <w:rsid w:val="00592A02"/>
    <w:rsid w:val="00592B32"/>
    <w:rsid w:val="005971E0"/>
    <w:rsid w:val="00597C01"/>
    <w:rsid w:val="005A1AC7"/>
    <w:rsid w:val="005A38CE"/>
    <w:rsid w:val="005A397D"/>
    <w:rsid w:val="005A498A"/>
    <w:rsid w:val="005A5D9B"/>
    <w:rsid w:val="005A5DCF"/>
    <w:rsid w:val="005A67C5"/>
    <w:rsid w:val="005B3517"/>
    <w:rsid w:val="005B4416"/>
    <w:rsid w:val="005B4C23"/>
    <w:rsid w:val="005B64F8"/>
    <w:rsid w:val="005B736C"/>
    <w:rsid w:val="005B7A30"/>
    <w:rsid w:val="005B7E35"/>
    <w:rsid w:val="005B7E90"/>
    <w:rsid w:val="005C0122"/>
    <w:rsid w:val="005C09D8"/>
    <w:rsid w:val="005C0C13"/>
    <w:rsid w:val="005C1DC9"/>
    <w:rsid w:val="005C270F"/>
    <w:rsid w:val="005C3C7B"/>
    <w:rsid w:val="005C5868"/>
    <w:rsid w:val="005C6191"/>
    <w:rsid w:val="005C6937"/>
    <w:rsid w:val="005C6B31"/>
    <w:rsid w:val="005C6B3C"/>
    <w:rsid w:val="005C7512"/>
    <w:rsid w:val="005D01BD"/>
    <w:rsid w:val="005D0AF0"/>
    <w:rsid w:val="005D136A"/>
    <w:rsid w:val="005E0121"/>
    <w:rsid w:val="005E0DA3"/>
    <w:rsid w:val="005E14E9"/>
    <w:rsid w:val="005E26CC"/>
    <w:rsid w:val="005E579E"/>
    <w:rsid w:val="005E5A20"/>
    <w:rsid w:val="005E63B2"/>
    <w:rsid w:val="005F0F3B"/>
    <w:rsid w:val="005F3CA0"/>
    <w:rsid w:val="005F47C3"/>
    <w:rsid w:val="005F69F0"/>
    <w:rsid w:val="005F6A34"/>
    <w:rsid w:val="005F73FC"/>
    <w:rsid w:val="006019A2"/>
    <w:rsid w:val="00602E8D"/>
    <w:rsid w:val="006033EE"/>
    <w:rsid w:val="00603DD0"/>
    <w:rsid w:val="00604DE9"/>
    <w:rsid w:val="00610C05"/>
    <w:rsid w:val="00611547"/>
    <w:rsid w:val="00611D3A"/>
    <w:rsid w:val="00612C0F"/>
    <w:rsid w:val="00612CE3"/>
    <w:rsid w:val="0061334F"/>
    <w:rsid w:val="006137DC"/>
    <w:rsid w:val="0061381B"/>
    <w:rsid w:val="00613986"/>
    <w:rsid w:val="00613C0E"/>
    <w:rsid w:val="00614742"/>
    <w:rsid w:val="00614AF2"/>
    <w:rsid w:val="00617963"/>
    <w:rsid w:val="00617E0E"/>
    <w:rsid w:val="00617ED2"/>
    <w:rsid w:val="006229BE"/>
    <w:rsid w:val="00624A76"/>
    <w:rsid w:val="00625DC7"/>
    <w:rsid w:val="00626310"/>
    <w:rsid w:val="006301B7"/>
    <w:rsid w:val="00633326"/>
    <w:rsid w:val="0063358E"/>
    <w:rsid w:val="00634C23"/>
    <w:rsid w:val="00635587"/>
    <w:rsid w:val="006420E6"/>
    <w:rsid w:val="0064288C"/>
    <w:rsid w:val="006502C0"/>
    <w:rsid w:val="00651AB1"/>
    <w:rsid w:val="00653EF2"/>
    <w:rsid w:val="006552B2"/>
    <w:rsid w:val="00656897"/>
    <w:rsid w:val="006604C2"/>
    <w:rsid w:val="00660ADC"/>
    <w:rsid w:val="00660C73"/>
    <w:rsid w:val="00660ED8"/>
    <w:rsid w:val="00661320"/>
    <w:rsid w:val="00661AC0"/>
    <w:rsid w:val="006628DE"/>
    <w:rsid w:val="00663359"/>
    <w:rsid w:val="0066368D"/>
    <w:rsid w:val="00663FBB"/>
    <w:rsid w:val="00664BBB"/>
    <w:rsid w:val="00666348"/>
    <w:rsid w:val="0067020F"/>
    <w:rsid w:val="00672EEF"/>
    <w:rsid w:val="00673470"/>
    <w:rsid w:val="006750BF"/>
    <w:rsid w:val="00675675"/>
    <w:rsid w:val="006756DC"/>
    <w:rsid w:val="00675CA6"/>
    <w:rsid w:val="00676709"/>
    <w:rsid w:val="0067678F"/>
    <w:rsid w:val="006768C1"/>
    <w:rsid w:val="006817CC"/>
    <w:rsid w:val="00684699"/>
    <w:rsid w:val="0069022D"/>
    <w:rsid w:val="0069050F"/>
    <w:rsid w:val="0069085C"/>
    <w:rsid w:val="00691EA2"/>
    <w:rsid w:val="0069342E"/>
    <w:rsid w:val="00694777"/>
    <w:rsid w:val="006954CA"/>
    <w:rsid w:val="00695A03"/>
    <w:rsid w:val="00697EC5"/>
    <w:rsid w:val="006A17EA"/>
    <w:rsid w:val="006A2051"/>
    <w:rsid w:val="006A3256"/>
    <w:rsid w:val="006A4A03"/>
    <w:rsid w:val="006A5A61"/>
    <w:rsid w:val="006A70F0"/>
    <w:rsid w:val="006A7F5D"/>
    <w:rsid w:val="006B0371"/>
    <w:rsid w:val="006B1215"/>
    <w:rsid w:val="006B3989"/>
    <w:rsid w:val="006B3F0C"/>
    <w:rsid w:val="006B4F34"/>
    <w:rsid w:val="006B7A66"/>
    <w:rsid w:val="006C1067"/>
    <w:rsid w:val="006C2C16"/>
    <w:rsid w:val="006C3F68"/>
    <w:rsid w:val="006C40E3"/>
    <w:rsid w:val="006C4560"/>
    <w:rsid w:val="006C6870"/>
    <w:rsid w:val="006C6FD6"/>
    <w:rsid w:val="006C7FE8"/>
    <w:rsid w:val="006D0A2C"/>
    <w:rsid w:val="006D15CD"/>
    <w:rsid w:val="006D1C79"/>
    <w:rsid w:val="006D1EBB"/>
    <w:rsid w:val="006D2701"/>
    <w:rsid w:val="006D2772"/>
    <w:rsid w:val="006D6DBA"/>
    <w:rsid w:val="006D719F"/>
    <w:rsid w:val="006E4448"/>
    <w:rsid w:val="006E637C"/>
    <w:rsid w:val="006F03F5"/>
    <w:rsid w:val="00700DD6"/>
    <w:rsid w:val="0070199F"/>
    <w:rsid w:val="007025D6"/>
    <w:rsid w:val="0070288C"/>
    <w:rsid w:val="00703111"/>
    <w:rsid w:val="00703DF8"/>
    <w:rsid w:val="00704559"/>
    <w:rsid w:val="0070705B"/>
    <w:rsid w:val="00712372"/>
    <w:rsid w:val="007126BD"/>
    <w:rsid w:val="007138B0"/>
    <w:rsid w:val="00713CB7"/>
    <w:rsid w:val="007156C2"/>
    <w:rsid w:val="00715DF4"/>
    <w:rsid w:val="0072298A"/>
    <w:rsid w:val="00726652"/>
    <w:rsid w:val="00727976"/>
    <w:rsid w:val="00727AE0"/>
    <w:rsid w:val="007305F9"/>
    <w:rsid w:val="00731388"/>
    <w:rsid w:val="00733779"/>
    <w:rsid w:val="00734C29"/>
    <w:rsid w:val="00736AA7"/>
    <w:rsid w:val="00737FB9"/>
    <w:rsid w:val="00741161"/>
    <w:rsid w:val="0074118F"/>
    <w:rsid w:val="00743AB9"/>
    <w:rsid w:val="00743EC6"/>
    <w:rsid w:val="00744CDE"/>
    <w:rsid w:val="0074744D"/>
    <w:rsid w:val="00747504"/>
    <w:rsid w:val="00747E3C"/>
    <w:rsid w:val="00752A01"/>
    <w:rsid w:val="00753071"/>
    <w:rsid w:val="00754385"/>
    <w:rsid w:val="0075486D"/>
    <w:rsid w:val="007549F1"/>
    <w:rsid w:val="00754C11"/>
    <w:rsid w:val="00755A82"/>
    <w:rsid w:val="007570E0"/>
    <w:rsid w:val="0076061C"/>
    <w:rsid w:val="0076322D"/>
    <w:rsid w:val="0076380E"/>
    <w:rsid w:val="00763D18"/>
    <w:rsid w:val="007641BB"/>
    <w:rsid w:val="00764334"/>
    <w:rsid w:val="007652B6"/>
    <w:rsid w:val="00765D6B"/>
    <w:rsid w:val="0076693F"/>
    <w:rsid w:val="007705DF"/>
    <w:rsid w:val="00770767"/>
    <w:rsid w:val="0077169B"/>
    <w:rsid w:val="00772442"/>
    <w:rsid w:val="00772510"/>
    <w:rsid w:val="00772FA3"/>
    <w:rsid w:val="007734D1"/>
    <w:rsid w:val="00773A9E"/>
    <w:rsid w:val="0077409D"/>
    <w:rsid w:val="00774DEE"/>
    <w:rsid w:val="00774E84"/>
    <w:rsid w:val="007750D0"/>
    <w:rsid w:val="00775693"/>
    <w:rsid w:val="00776C3C"/>
    <w:rsid w:val="007810D6"/>
    <w:rsid w:val="0078367D"/>
    <w:rsid w:val="00783BEB"/>
    <w:rsid w:val="00783C4C"/>
    <w:rsid w:val="007848B5"/>
    <w:rsid w:val="00784CB3"/>
    <w:rsid w:val="00785C1F"/>
    <w:rsid w:val="00786249"/>
    <w:rsid w:val="007877A6"/>
    <w:rsid w:val="00791A12"/>
    <w:rsid w:val="00793D60"/>
    <w:rsid w:val="00796FC5"/>
    <w:rsid w:val="007A2AEE"/>
    <w:rsid w:val="007A4343"/>
    <w:rsid w:val="007A4CFC"/>
    <w:rsid w:val="007A4F84"/>
    <w:rsid w:val="007A58C9"/>
    <w:rsid w:val="007A596C"/>
    <w:rsid w:val="007A5C04"/>
    <w:rsid w:val="007A6D19"/>
    <w:rsid w:val="007A7499"/>
    <w:rsid w:val="007B0074"/>
    <w:rsid w:val="007B1AD9"/>
    <w:rsid w:val="007B4DE7"/>
    <w:rsid w:val="007B593D"/>
    <w:rsid w:val="007B5E7A"/>
    <w:rsid w:val="007B6532"/>
    <w:rsid w:val="007B66E4"/>
    <w:rsid w:val="007C0004"/>
    <w:rsid w:val="007C17D5"/>
    <w:rsid w:val="007C50DE"/>
    <w:rsid w:val="007C737F"/>
    <w:rsid w:val="007C7DDE"/>
    <w:rsid w:val="007D0392"/>
    <w:rsid w:val="007D1176"/>
    <w:rsid w:val="007D1673"/>
    <w:rsid w:val="007D1CE4"/>
    <w:rsid w:val="007D27E7"/>
    <w:rsid w:val="007D29FD"/>
    <w:rsid w:val="007D5EB0"/>
    <w:rsid w:val="007E17C8"/>
    <w:rsid w:val="007E1A2F"/>
    <w:rsid w:val="007E212E"/>
    <w:rsid w:val="007E3D0F"/>
    <w:rsid w:val="007E55D4"/>
    <w:rsid w:val="007E7368"/>
    <w:rsid w:val="007F0064"/>
    <w:rsid w:val="007F020C"/>
    <w:rsid w:val="007F1CB8"/>
    <w:rsid w:val="007F4F5D"/>
    <w:rsid w:val="007F4F64"/>
    <w:rsid w:val="007F56E1"/>
    <w:rsid w:val="007F62BA"/>
    <w:rsid w:val="007F716F"/>
    <w:rsid w:val="00801899"/>
    <w:rsid w:val="00801F42"/>
    <w:rsid w:val="00803760"/>
    <w:rsid w:val="00803AB1"/>
    <w:rsid w:val="00804E0B"/>
    <w:rsid w:val="00812436"/>
    <w:rsid w:val="008126A4"/>
    <w:rsid w:val="00812BBD"/>
    <w:rsid w:val="008147DF"/>
    <w:rsid w:val="0081582F"/>
    <w:rsid w:val="0081E4F2"/>
    <w:rsid w:val="00820AF5"/>
    <w:rsid w:val="00821877"/>
    <w:rsid w:val="008233C4"/>
    <w:rsid w:val="00823796"/>
    <w:rsid w:val="00823E35"/>
    <w:rsid w:val="00825AA0"/>
    <w:rsid w:val="008260F8"/>
    <w:rsid w:val="0083174F"/>
    <w:rsid w:val="00832307"/>
    <w:rsid w:val="0083280B"/>
    <w:rsid w:val="008330C2"/>
    <w:rsid w:val="00833E26"/>
    <w:rsid w:val="00833F9C"/>
    <w:rsid w:val="00835BB8"/>
    <w:rsid w:val="00836ECA"/>
    <w:rsid w:val="008370C0"/>
    <w:rsid w:val="0083735D"/>
    <w:rsid w:val="00837DF8"/>
    <w:rsid w:val="00841104"/>
    <w:rsid w:val="00841A03"/>
    <w:rsid w:val="00842FD9"/>
    <w:rsid w:val="00843D54"/>
    <w:rsid w:val="00847A59"/>
    <w:rsid w:val="00850C93"/>
    <w:rsid w:val="0085503E"/>
    <w:rsid w:val="00855174"/>
    <w:rsid w:val="0086108F"/>
    <w:rsid w:val="00863722"/>
    <w:rsid w:val="00866842"/>
    <w:rsid w:val="00871505"/>
    <w:rsid w:val="0087268F"/>
    <w:rsid w:val="00876542"/>
    <w:rsid w:val="008773D5"/>
    <w:rsid w:val="008803EA"/>
    <w:rsid w:val="00880C7B"/>
    <w:rsid w:val="00884869"/>
    <w:rsid w:val="00885C7D"/>
    <w:rsid w:val="008873AF"/>
    <w:rsid w:val="00893E38"/>
    <w:rsid w:val="00894AFE"/>
    <w:rsid w:val="00894D45"/>
    <w:rsid w:val="0089694D"/>
    <w:rsid w:val="00897AE8"/>
    <w:rsid w:val="008A15DC"/>
    <w:rsid w:val="008A3443"/>
    <w:rsid w:val="008A3999"/>
    <w:rsid w:val="008A5962"/>
    <w:rsid w:val="008A64AC"/>
    <w:rsid w:val="008B0643"/>
    <w:rsid w:val="008B0BAC"/>
    <w:rsid w:val="008B4398"/>
    <w:rsid w:val="008B46F4"/>
    <w:rsid w:val="008B7C6B"/>
    <w:rsid w:val="008C1759"/>
    <w:rsid w:val="008C2F44"/>
    <w:rsid w:val="008C5BF1"/>
    <w:rsid w:val="008C5E85"/>
    <w:rsid w:val="008C6E3E"/>
    <w:rsid w:val="008D0C2B"/>
    <w:rsid w:val="008D18E4"/>
    <w:rsid w:val="008D2494"/>
    <w:rsid w:val="008D254C"/>
    <w:rsid w:val="008D40A7"/>
    <w:rsid w:val="008D4F94"/>
    <w:rsid w:val="008D7470"/>
    <w:rsid w:val="008D7DB7"/>
    <w:rsid w:val="008E0367"/>
    <w:rsid w:val="008E0ACE"/>
    <w:rsid w:val="008E2077"/>
    <w:rsid w:val="008E251F"/>
    <w:rsid w:val="008E33C0"/>
    <w:rsid w:val="008E5928"/>
    <w:rsid w:val="008E6BE3"/>
    <w:rsid w:val="008E7267"/>
    <w:rsid w:val="008E7805"/>
    <w:rsid w:val="008F3522"/>
    <w:rsid w:val="008F4CBB"/>
    <w:rsid w:val="008F5071"/>
    <w:rsid w:val="008F5EEA"/>
    <w:rsid w:val="009005AA"/>
    <w:rsid w:val="00904779"/>
    <w:rsid w:val="00906E41"/>
    <w:rsid w:val="009071A6"/>
    <w:rsid w:val="009120E2"/>
    <w:rsid w:val="00912E29"/>
    <w:rsid w:val="00913443"/>
    <w:rsid w:val="0091448B"/>
    <w:rsid w:val="00914810"/>
    <w:rsid w:val="00914BD1"/>
    <w:rsid w:val="009159A6"/>
    <w:rsid w:val="00921C2D"/>
    <w:rsid w:val="00922B1E"/>
    <w:rsid w:val="009230F5"/>
    <w:rsid w:val="00923C29"/>
    <w:rsid w:val="00924415"/>
    <w:rsid w:val="009262EA"/>
    <w:rsid w:val="00927CDB"/>
    <w:rsid w:val="00930B87"/>
    <w:rsid w:val="00933B54"/>
    <w:rsid w:val="009349FE"/>
    <w:rsid w:val="00936994"/>
    <w:rsid w:val="00936B77"/>
    <w:rsid w:val="00937D96"/>
    <w:rsid w:val="0094124F"/>
    <w:rsid w:val="00941D40"/>
    <w:rsid w:val="009428F0"/>
    <w:rsid w:val="00942FB0"/>
    <w:rsid w:val="00944DEF"/>
    <w:rsid w:val="00946E1E"/>
    <w:rsid w:val="0094793B"/>
    <w:rsid w:val="0095334C"/>
    <w:rsid w:val="00953E6E"/>
    <w:rsid w:val="00954811"/>
    <w:rsid w:val="009560E9"/>
    <w:rsid w:val="0095735E"/>
    <w:rsid w:val="009575DD"/>
    <w:rsid w:val="00961AB4"/>
    <w:rsid w:val="00963FC3"/>
    <w:rsid w:val="009653B3"/>
    <w:rsid w:val="00965F38"/>
    <w:rsid w:val="0096757E"/>
    <w:rsid w:val="00971845"/>
    <w:rsid w:val="00971AF0"/>
    <w:rsid w:val="0097338F"/>
    <w:rsid w:val="00973714"/>
    <w:rsid w:val="00974B5A"/>
    <w:rsid w:val="009758B7"/>
    <w:rsid w:val="00975CD9"/>
    <w:rsid w:val="0097643B"/>
    <w:rsid w:val="00983E8A"/>
    <w:rsid w:val="0098423B"/>
    <w:rsid w:val="009855C2"/>
    <w:rsid w:val="00985677"/>
    <w:rsid w:val="00985D49"/>
    <w:rsid w:val="00987140"/>
    <w:rsid w:val="0099087D"/>
    <w:rsid w:val="009909FD"/>
    <w:rsid w:val="0099100F"/>
    <w:rsid w:val="00991199"/>
    <w:rsid w:val="0099128D"/>
    <w:rsid w:val="0099143D"/>
    <w:rsid w:val="0099252C"/>
    <w:rsid w:val="00994E96"/>
    <w:rsid w:val="00997A29"/>
    <w:rsid w:val="009A023B"/>
    <w:rsid w:val="009A14F7"/>
    <w:rsid w:val="009A18A1"/>
    <w:rsid w:val="009A48C1"/>
    <w:rsid w:val="009A7F8E"/>
    <w:rsid w:val="009B085A"/>
    <w:rsid w:val="009B0D4A"/>
    <w:rsid w:val="009B4047"/>
    <w:rsid w:val="009B43CD"/>
    <w:rsid w:val="009B724F"/>
    <w:rsid w:val="009B759D"/>
    <w:rsid w:val="009B76EF"/>
    <w:rsid w:val="009B7A2F"/>
    <w:rsid w:val="009B7EB5"/>
    <w:rsid w:val="009C08DF"/>
    <w:rsid w:val="009C0BC6"/>
    <w:rsid w:val="009C12A0"/>
    <w:rsid w:val="009C2887"/>
    <w:rsid w:val="009C45D5"/>
    <w:rsid w:val="009C4A8D"/>
    <w:rsid w:val="009D20B7"/>
    <w:rsid w:val="009D2B23"/>
    <w:rsid w:val="009D2C37"/>
    <w:rsid w:val="009D3076"/>
    <w:rsid w:val="009D6A94"/>
    <w:rsid w:val="009E063E"/>
    <w:rsid w:val="009E186D"/>
    <w:rsid w:val="009E1D92"/>
    <w:rsid w:val="009E42BD"/>
    <w:rsid w:val="009E4459"/>
    <w:rsid w:val="009E4519"/>
    <w:rsid w:val="009E4EFF"/>
    <w:rsid w:val="009E5332"/>
    <w:rsid w:val="009E54DC"/>
    <w:rsid w:val="009E69EC"/>
    <w:rsid w:val="009E76EE"/>
    <w:rsid w:val="009F255E"/>
    <w:rsid w:val="009F3D71"/>
    <w:rsid w:val="009F52CF"/>
    <w:rsid w:val="009F5A6E"/>
    <w:rsid w:val="009F708E"/>
    <w:rsid w:val="009F7652"/>
    <w:rsid w:val="00A0254D"/>
    <w:rsid w:val="00A03B98"/>
    <w:rsid w:val="00A04908"/>
    <w:rsid w:val="00A060A8"/>
    <w:rsid w:val="00A0650E"/>
    <w:rsid w:val="00A14DE6"/>
    <w:rsid w:val="00A1544C"/>
    <w:rsid w:val="00A1791C"/>
    <w:rsid w:val="00A20282"/>
    <w:rsid w:val="00A20D2C"/>
    <w:rsid w:val="00A21460"/>
    <w:rsid w:val="00A22A3E"/>
    <w:rsid w:val="00A23D00"/>
    <w:rsid w:val="00A24918"/>
    <w:rsid w:val="00A24E5A"/>
    <w:rsid w:val="00A27F6B"/>
    <w:rsid w:val="00A4048F"/>
    <w:rsid w:val="00A428BF"/>
    <w:rsid w:val="00A43F65"/>
    <w:rsid w:val="00A44739"/>
    <w:rsid w:val="00A47ED0"/>
    <w:rsid w:val="00A503A8"/>
    <w:rsid w:val="00A5055F"/>
    <w:rsid w:val="00A54822"/>
    <w:rsid w:val="00A55BB3"/>
    <w:rsid w:val="00A5622A"/>
    <w:rsid w:val="00A56280"/>
    <w:rsid w:val="00A64564"/>
    <w:rsid w:val="00A660E7"/>
    <w:rsid w:val="00A66D9E"/>
    <w:rsid w:val="00A672AA"/>
    <w:rsid w:val="00A67B64"/>
    <w:rsid w:val="00A7092A"/>
    <w:rsid w:val="00A70D42"/>
    <w:rsid w:val="00A71D59"/>
    <w:rsid w:val="00A724B2"/>
    <w:rsid w:val="00A74238"/>
    <w:rsid w:val="00A745F6"/>
    <w:rsid w:val="00A74C09"/>
    <w:rsid w:val="00A80B7F"/>
    <w:rsid w:val="00A81326"/>
    <w:rsid w:val="00A817E5"/>
    <w:rsid w:val="00A817F1"/>
    <w:rsid w:val="00A83178"/>
    <w:rsid w:val="00A83C9E"/>
    <w:rsid w:val="00A84769"/>
    <w:rsid w:val="00A85971"/>
    <w:rsid w:val="00A86857"/>
    <w:rsid w:val="00A86EC3"/>
    <w:rsid w:val="00A87961"/>
    <w:rsid w:val="00A90600"/>
    <w:rsid w:val="00A931AD"/>
    <w:rsid w:val="00A94713"/>
    <w:rsid w:val="00A9608D"/>
    <w:rsid w:val="00A96EB9"/>
    <w:rsid w:val="00AA0BF9"/>
    <w:rsid w:val="00AA2CB2"/>
    <w:rsid w:val="00AA36FA"/>
    <w:rsid w:val="00AA430F"/>
    <w:rsid w:val="00AA54E0"/>
    <w:rsid w:val="00AB1925"/>
    <w:rsid w:val="00AB1AD0"/>
    <w:rsid w:val="00AB5A5F"/>
    <w:rsid w:val="00AB6D9E"/>
    <w:rsid w:val="00AB6F28"/>
    <w:rsid w:val="00AB7D79"/>
    <w:rsid w:val="00AB7FF9"/>
    <w:rsid w:val="00AC0A57"/>
    <w:rsid w:val="00AC0C34"/>
    <w:rsid w:val="00AC1A86"/>
    <w:rsid w:val="00AC1B88"/>
    <w:rsid w:val="00AC1C2F"/>
    <w:rsid w:val="00AC35D8"/>
    <w:rsid w:val="00AC47AC"/>
    <w:rsid w:val="00AC4B6E"/>
    <w:rsid w:val="00AC57FC"/>
    <w:rsid w:val="00AC59DC"/>
    <w:rsid w:val="00AC60B3"/>
    <w:rsid w:val="00AC6A9A"/>
    <w:rsid w:val="00AC6E1F"/>
    <w:rsid w:val="00AC7AFA"/>
    <w:rsid w:val="00AD0277"/>
    <w:rsid w:val="00AD1105"/>
    <w:rsid w:val="00AD16D1"/>
    <w:rsid w:val="00AD3E7B"/>
    <w:rsid w:val="00AD4649"/>
    <w:rsid w:val="00AD5048"/>
    <w:rsid w:val="00AD5A8B"/>
    <w:rsid w:val="00AD5B7D"/>
    <w:rsid w:val="00AD5D09"/>
    <w:rsid w:val="00AD5F21"/>
    <w:rsid w:val="00AD6088"/>
    <w:rsid w:val="00AE014C"/>
    <w:rsid w:val="00AE203B"/>
    <w:rsid w:val="00AE294D"/>
    <w:rsid w:val="00AE3618"/>
    <w:rsid w:val="00AE3F24"/>
    <w:rsid w:val="00AE5B3A"/>
    <w:rsid w:val="00AE6406"/>
    <w:rsid w:val="00AF3046"/>
    <w:rsid w:val="00AF4286"/>
    <w:rsid w:val="00AF4ECD"/>
    <w:rsid w:val="00AF6317"/>
    <w:rsid w:val="00B01A51"/>
    <w:rsid w:val="00B0278B"/>
    <w:rsid w:val="00B04933"/>
    <w:rsid w:val="00B04EFF"/>
    <w:rsid w:val="00B07D7F"/>
    <w:rsid w:val="00B07D99"/>
    <w:rsid w:val="00B1006F"/>
    <w:rsid w:val="00B10488"/>
    <w:rsid w:val="00B11E60"/>
    <w:rsid w:val="00B12894"/>
    <w:rsid w:val="00B12DF3"/>
    <w:rsid w:val="00B17454"/>
    <w:rsid w:val="00B229C2"/>
    <w:rsid w:val="00B27C7D"/>
    <w:rsid w:val="00B30FB0"/>
    <w:rsid w:val="00B34C3F"/>
    <w:rsid w:val="00B37721"/>
    <w:rsid w:val="00B40A89"/>
    <w:rsid w:val="00B4210D"/>
    <w:rsid w:val="00B44B3C"/>
    <w:rsid w:val="00B44E83"/>
    <w:rsid w:val="00B46300"/>
    <w:rsid w:val="00B46CB7"/>
    <w:rsid w:val="00B470A6"/>
    <w:rsid w:val="00B47F92"/>
    <w:rsid w:val="00B50380"/>
    <w:rsid w:val="00B507D0"/>
    <w:rsid w:val="00B5094E"/>
    <w:rsid w:val="00B520A9"/>
    <w:rsid w:val="00B52916"/>
    <w:rsid w:val="00B52AE6"/>
    <w:rsid w:val="00B53590"/>
    <w:rsid w:val="00B55889"/>
    <w:rsid w:val="00B56D17"/>
    <w:rsid w:val="00B56EDE"/>
    <w:rsid w:val="00B570D2"/>
    <w:rsid w:val="00B57B1B"/>
    <w:rsid w:val="00B6100B"/>
    <w:rsid w:val="00B61F56"/>
    <w:rsid w:val="00B64AFA"/>
    <w:rsid w:val="00B64C97"/>
    <w:rsid w:val="00B66A8F"/>
    <w:rsid w:val="00B66C8E"/>
    <w:rsid w:val="00B67587"/>
    <w:rsid w:val="00B6784C"/>
    <w:rsid w:val="00B700DA"/>
    <w:rsid w:val="00B71369"/>
    <w:rsid w:val="00B7173C"/>
    <w:rsid w:val="00B71ED3"/>
    <w:rsid w:val="00B729CC"/>
    <w:rsid w:val="00B73211"/>
    <w:rsid w:val="00B746F6"/>
    <w:rsid w:val="00B748B5"/>
    <w:rsid w:val="00B75159"/>
    <w:rsid w:val="00B75C2B"/>
    <w:rsid w:val="00B77BCA"/>
    <w:rsid w:val="00B82AB7"/>
    <w:rsid w:val="00B838E8"/>
    <w:rsid w:val="00B8536B"/>
    <w:rsid w:val="00B86997"/>
    <w:rsid w:val="00B926D3"/>
    <w:rsid w:val="00B92C99"/>
    <w:rsid w:val="00B93AA9"/>
    <w:rsid w:val="00B93F73"/>
    <w:rsid w:val="00B969D9"/>
    <w:rsid w:val="00B96E49"/>
    <w:rsid w:val="00B97D5E"/>
    <w:rsid w:val="00BA3986"/>
    <w:rsid w:val="00BA4592"/>
    <w:rsid w:val="00BA5B6C"/>
    <w:rsid w:val="00BA6311"/>
    <w:rsid w:val="00BA68D8"/>
    <w:rsid w:val="00BA7E39"/>
    <w:rsid w:val="00BB1762"/>
    <w:rsid w:val="00BB291D"/>
    <w:rsid w:val="00BB72AF"/>
    <w:rsid w:val="00BB7356"/>
    <w:rsid w:val="00BB783A"/>
    <w:rsid w:val="00BC0C50"/>
    <w:rsid w:val="00BC1790"/>
    <w:rsid w:val="00BC1F79"/>
    <w:rsid w:val="00BC2821"/>
    <w:rsid w:val="00BC2C29"/>
    <w:rsid w:val="00BC45D2"/>
    <w:rsid w:val="00BC5306"/>
    <w:rsid w:val="00BC621C"/>
    <w:rsid w:val="00BD027C"/>
    <w:rsid w:val="00BD1311"/>
    <w:rsid w:val="00BD1872"/>
    <w:rsid w:val="00BD29E4"/>
    <w:rsid w:val="00BD3785"/>
    <w:rsid w:val="00BD3BC8"/>
    <w:rsid w:val="00BD4560"/>
    <w:rsid w:val="00BD4BFA"/>
    <w:rsid w:val="00BE28B8"/>
    <w:rsid w:val="00BE29DB"/>
    <w:rsid w:val="00BE4B13"/>
    <w:rsid w:val="00BE71C2"/>
    <w:rsid w:val="00BF0618"/>
    <w:rsid w:val="00BF1188"/>
    <w:rsid w:val="00BF1438"/>
    <w:rsid w:val="00BF16F8"/>
    <w:rsid w:val="00BF1B59"/>
    <w:rsid w:val="00BF3980"/>
    <w:rsid w:val="00BF4813"/>
    <w:rsid w:val="00BF7836"/>
    <w:rsid w:val="00C01798"/>
    <w:rsid w:val="00C03765"/>
    <w:rsid w:val="00C04E2E"/>
    <w:rsid w:val="00C05CB5"/>
    <w:rsid w:val="00C065FF"/>
    <w:rsid w:val="00C068A7"/>
    <w:rsid w:val="00C11613"/>
    <w:rsid w:val="00C122EC"/>
    <w:rsid w:val="00C12F86"/>
    <w:rsid w:val="00C13B24"/>
    <w:rsid w:val="00C141CA"/>
    <w:rsid w:val="00C15403"/>
    <w:rsid w:val="00C21565"/>
    <w:rsid w:val="00C21F02"/>
    <w:rsid w:val="00C24222"/>
    <w:rsid w:val="00C247D1"/>
    <w:rsid w:val="00C2494D"/>
    <w:rsid w:val="00C25FFB"/>
    <w:rsid w:val="00C2701C"/>
    <w:rsid w:val="00C300D0"/>
    <w:rsid w:val="00C300D6"/>
    <w:rsid w:val="00C3086A"/>
    <w:rsid w:val="00C313CF"/>
    <w:rsid w:val="00C3215E"/>
    <w:rsid w:val="00C32F54"/>
    <w:rsid w:val="00C3344C"/>
    <w:rsid w:val="00C3363A"/>
    <w:rsid w:val="00C3559D"/>
    <w:rsid w:val="00C41C26"/>
    <w:rsid w:val="00C4363F"/>
    <w:rsid w:val="00C45A05"/>
    <w:rsid w:val="00C46DF7"/>
    <w:rsid w:val="00C470B5"/>
    <w:rsid w:val="00C47B96"/>
    <w:rsid w:val="00C51E08"/>
    <w:rsid w:val="00C557E3"/>
    <w:rsid w:val="00C5660A"/>
    <w:rsid w:val="00C56AFC"/>
    <w:rsid w:val="00C56D48"/>
    <w:rsid w:val="00C5774D"/>
    <w:rsid w:val="00C60D3D"/>
    <w:rsid w:val="00C61435"/>
    <w:rsid w:val="00C6189B"/>
    <w:rsid w:val="00C61925"/>
    <w:rsid w:val="00C62A96"/>
    <w:rsid w:val="00C63083"/>
    <w:rsid w:val="00C63E03"/>
    <w:rsid w:val="00C65446"/>
    <w:rsid w:val="00C656EF"/>
    <w:rsid w:val="00C67FDC"/>
    <w:rsid w:val="00C7080B"/>
    <w:rsid w:val="00C720D5"/>
    <w:rsid w:val="00C7220B"/>
    <w:rsid w:val="00C72CEA"/>
    <w:rsid w:val="00C736BC"/>
    <w:rsid w:val="00C74059"/>
    <w:rsid w:val="00C74129"/>
    <w:rsid w:val="00C771E8"/>
    <w:rsid w:val="00C77BA6"/>
    <w:rsid w:val="00C838F2"/>
    <w:rsid w:val="00C8435E"/>
    <w:rsid w:val="00C85B51"/>
    <w:rsid w:val="00C85E04"/>
    <w:rsid w:val="00C8609B"/>
    <w:rsid w:val="00C86108"/>
    <w:rsid w:val="00C86334"/>
    <w:rsid w:val="00C866C3"/>
    <w:rsid w:val="00C86CD1"/>
    <w:rsid w:val="00C86E4E"/>
    <w:rsid w:val="00C87115"/>
    <w:rsid w:val="00C90891"/>
    <w:rsid w:val="00C91957"/>
    <w:rsid w:val="00C930A6"/>
    <w:rsid w:val="00C94CD7"/>
    <w:rsid w:val="00C9533A"/>
    <w:rsid w:val="00C963E0"/>
    <w:rsid w:val="00C96A93"/>
    <w:rsid w:val="00C973BD"/>
    <w:rsid w:val="00C97C97"/>
    <w:rsid w:val="00CA0A7F"/>
    <w:rsid w:val="00CA1F4F"/>
    <w:rsid w:val="00CA2E5C"/>
    <w:rsid w:val="00CA411D"/>
    <w:rsid w:val="00CA4B0B"/>
    <w:rsid w:val="00CA5653"/>
    <w:rsid w:val="00CA5C7C"/>
    <w:rsid w:val="00CA5E0C"/>
    <w:rsid w:val="00CB2CB1"/>
    <w:rsid w:val="00CB4D16"/>
    <w:rsid w:val="00CB7979"/>
    <w:rsid w:val="00CC167A"/>
    <w:rsid w:val="00CC1BA7"/>
    <w:rsid w:val="00CC20CB"/>
    <w:rsid w:val="00CC25C1"/>
    <w:rsid w:val="00CC4B04"/>
    <w:rsid w:val="00CC5F57"/>
    <w:rsid w:val="00CC6AB2"/>
    <w:rsid w:val="00CD0068"/>
    <w:rsid w:val="00CD1DF3"/>
    <w:rsid w:val="00CD2D39"/>
    <w:rsid w:val="00CD6435"/>
    <w:rsid w:val="00CE36CA"/>
    <w:rsid w:val="00CE3800"/>
    <w:rsid w:val="00CE44DC"/>
    <w:rsid w:val="00CE7596"/>
    <w:rsid w:val="00CE76CF"/>
    <w:rsid w:val="00CF007D"/>
    <w:rsid w:val="00CF0464"/>
    <w:rsid w:val="00CF31B7"/>
    <w:rsid w:val="00CF77D5"/>
    <w:rsid w:val="00D011D2"/>
    <w:rsid w:val="00D01AA6"/>
    <w:rsid w:val="00D03323"/>
    <w:rsid w:val="00D05978"/>
    <w:rsid w:val="00D05D12"/>
    <w:rsid w:val="00D0642A"/>
    <w:rsid w:val="00D123A5"/>
    <w:rsid w:val="00D13668"/>
    <w:rsid w:val="00D13A34"/>
    <w:rsid w:val="00D142F1"/>
    <w:rsid w:val="00D165AC"/>
    <w:rsid w:val="00D2112B"/>
    <w:rsid w:val="00D229DF"/>
    <w:rsid w:val="00D23284"/>
    <w:rsid w:val="00D23EEB"/>
    <w:rsid w:val="00D25CD9"/>
    <w:rsid w:val="00D2620C"/>
    <w:rsid w:val="00D262EB"/>
    <w:rsid w:val="00D30B32"/>
    <w:rsid w:val="00D3244B"/>
    <w:rsid w:val="00D327C0"/>
    <w:rsid w:val="00D335EA"/>
    <w:rsid w:val="00D33B5D"/>
    <w:rsid w:val="00D347DF"/>
    <w:rsid w:val="00D35F82"/>
    <w:rsid w:val="00D41413"/>
    <w:rsid w:val="00D418F9"/>
    <w:rsid w:val="00D424CE"/>
    <w:rsid w:val="00D429E6"/>
    <w:rsid w:val="00D43D3D"/>
    <w:rsid w:val="00D4645A"/>
    <w:rsid w:val="00D474A8"/>
    <w:rsid w:val="00D55201"/>
    <w:rsid w:val="00D556D3"/>
    <w:rsid w:val="00D56449"/>
    <w:rsid w:val="00D56802"/>
    <w:rsid w:val="00D57959"/>
    <w:rsid w:val="00D57DEC"/>
    <w:rsid w:val="00D57EAE"/>
    <w:rsid w:val="00D60A63"/>
    <w:rsid w:val="00D63597"/>
    <w:rsid w:val="00D635DF"/>
    <w:rsid w:val="00D6490F"/>
    <w:rsid w:val="00D64AE0"/>
    <w:rsid w:val="00D660C8"/>
    <w:rsid w:val="00D660CC"/>
    <w:rsid w:val="00D6727B"/>
    <w:rsid w:val="00D6782F"/>
    <w:rsid w:val="00D741BD"/>
    <w:rsid w:val="00D749C8"/>
    <w:rsid w:val="00D75730"/>
    <w:rsid w:val="00D75B7F"/>
    <w:rsid w:val="00D76E7E"/>
    <w:rsid w:val="00D77116"/>
    <w:rsid w:val="00D8152B"/>
    <w:rsid w:val="00D82058"/>
    <w:rsid w:val="00D83A64"/>
    <w:rsid w:val="00D83DAF"/>
    <w:rsid w:val="00D86A82"/>
    <w:rsid w:val="00D86BB9"/>
    <w:rsid w:val="00D87E53"/>
    <w:rsid w:val="00D920AC"/>
    <w:rsid w:val="00D93B6B"/>
    <w:rsid w:val="00D9670E"/>
    <w:rsid w:val="00D96A68"/>
    <w:rsid w:val="00DA111E"/>
    <w:rsid w:val="00DA17E7"/>
    <w:rsid w:val="00DA1AD0"/>
    <w:rsid w:val="00DA4A3C"/>
    <w:rsid w:val="00DA5A7D"/>
    <w:rsid w:val="00DA6956"/>
    <w:rsid w:val="00DB013A"/>
    <w:rsid w:val="00DB20E6"/>
    <w:rsid w:val="00DB478D"/>
    <w:rsid w:val="00DB548D"/>
    <w:rsid w:val="00DB6426"/>
    <w:rsid w:val="00DB66F9"/>
    <w:rsid w:val="00DC088E"/>
    <w:rsid w:val="00DC1DB5"/>
    <w:rsid w:val="00DC1DBF"/>
    <w:rsid w:val="00DC4359"/>
    <w:rsid w:val="00DC6A5C"/>
    <w:rsid w:val="00DD1055"/>
    <w:rsid w:val="00DD24B8"/>
    <w:rsid w:val="00DD2A41"/>
    <w:rsid w:val="00DD41E2"/>
    <w:rsid w:val="00DD64B3"/>
    <w:rsid w:val="00DD7061"/>
    <w:rsid w:val="00DE11D8"/>
    <w:rsid w:val="00DE1D88"/>
    <w:rsid w:val="00DE22FC"/>
    <w:rsid w:val="00DE5A4B"/>
    <w:rsid w:val="00DE6D9B"/>
    <w:rsid w:val="00DF123F"/>
    <w:rsid w:val="00DF2391"/>
    <w:rsid w:val="00DF2F15"/>
    <w:rsid w:val="00DF336E"/>
    <w:rsid w:val="00DF495C"/>
    <w:rsid w:val="00E00069"/>
    <w:rsid w:val="00E05076"/>
    <w:rsid w:val="00E0548F"/>
    <w:rsid w:val="00E07064"/>
    <w:rsid w:val="00E074FC"/>
    <w:rsid w:val="00E11EDA"/>
    <w:rsid w:val="00E127AC"/>
    <w:rsid w:val="00E13A11"/>
    <w:rsid w:val="00E14678"/>
    <w:rsid w:val="00E14A01"/>
    <w:rsid w:val="00E15CDC"/>
    <w:rsid w:val="00E17432"/>
    <w:rsid w:val="00E1785F"/>
    <w:rsid w:val="00E20EC1"/>
    <w:rsid w:val="00E21809"/>
    <w:rsid w:val="00E25978"/>
    <w:rsid w:val="00E25AEA"/>
    <w:rsid w:val="00E25D9F"/>
    <w:rsid w:val="00E27D6C"/>
    <w:rsid w:val="00E309F0"/>
    <w:rsid w:val="00E31741"/>
    <w:rsid w:val="00E3309F"/>
    <w:rsid w:val="00E33AEA"/>
    <w:rsid w:val="00E35EF5"/>
    <w:rsid w:val="00E36D8F"/>
    <w:rsid w:val="00E40C99"/>
    <w:rsid w:val="00E4279F"/>
    <w:rsid w:val="00E433FE"/>
    <w:rsid w:val="00E44341"/>
    <w:rsid w:val="00E52344"/>
    <w:rsid w:val="00E5294A"/>
    <w:rsid w:val="00E5323E"/>
    <w:rsid w:val="00E536D3"/>
    <w:rsid w:val="00E56090"/>
    <w:rsid w:val="00E5724C"/>
    <w:rsid w:val="00E61A7C"/>
    <w:rsid w:val="00E61F27"/>
    <w:rsid w:val="00E62B41"/>
    <w:rsid w:val="00E630A9"/>
    <w:rsid w:val="00E63365"/>
    <w:rsid w:val="00E6455B"/>
    <w:rsid w:val="00E6477E"/>
    <w:rsid w:val="00E64E77"/>
    <w:rsid w:val="00E65386"/>
    <w:rsid w:val="00E6597C"/>
    <w:rsid w:val="00E6644A"/>
    <w:rsid w:val="00E66690"/>
    <w:rsid w:val="00E71C87"/>
    <w:rsid w:val="00E7773C"/>
    <w:rsid w:val="00E77FCC"/>
    <w:rsid w:val="00E80059"/>
    <w:rsid w:val="00E82203"/>
    <w:rsid w:val="00E84763"/>
    <w:rsid w:val="00E84E77"/>
    <w:rsid w:val="00E8508E"/>
    <w:rsid w:val="00E85398"/>
    <w:rsid w:val="00E86F38"/>
    <w:rsid w:val="00E87300"/>
    <w:rsid w:val="00E874BD"/>
    <w:rsid w:val="00E90EF1"/>
    <w:rsid w:val="00E91396"/>
    <w:rsid w:val="00E9172F"/>
    <w:rsid w:val="00E91E74"/>
    <w:rsid w:val="00E94C0E"/>
    <w:rsid w:val="00E95095"/>
    <w:rsid w:val="00EA145F"/>
    <w:rsid w:val="00EA207A"/>
    <w:rsid w:val="00EA4E28"/>
    <w:rsid w:val="00EA730E"/>
    <w:rsid w:val="00EB0435"/>
    <w:rsid w:val="00EB14AC"/>
    <w:rsid w:val="00EB574A"/>
    <w:rsid w:val="00EB5A8B"/>
    <w:rsid w:val="00EB777F"/>
    <w:rsid w:val="00EB78A9"/>
    <w:rsid w:val="00EC0139"/>
    <w:rsid w:val="00EC1863"/>
    <w:rsid w:val="00EC38A4"/>
    <w:rsid w:val="00EC3BD6"/>
    <w:rsid w:val="00EC3F8A"/>
    <w:rsid w:val="00EC470F"/>
    <w:rsid w:val="00EC4E80"/>
    <w:rsid w:val="00EC5A6F"/>
    <w:rsid w:val="00EC6EB7"/>
    <w:rsid w:val="00ED051A"/>
    <w:rsid w:val="00ED4279"/>
    <w:rsid w:val="00ED4BD1"/>
    <w:rsid w:val="00ED4F17"/>
    <w:rsid w:val="00ED6C95"/>
    <w:rsid w:val="00ED7E1E"/>
    <w:rsid w:val="00ED7E44"/>
    <w:rsid w:val="00EE2775"/>
    <w:rsid w:val="00EE2CE6"/>
    <w:rsid w:val="00EE5611"/>
    <w:rsid w:val="00EE6A2A"/>
    <w:rsid w:val="00EE7D45"/>
    <w:rsid w:val="00EF2221"/>
    <w:rsid w:val="00EF2C69"/>
    <w:rsid w:val="00EF3E8F"/>
    <w:rsid w:val="00EF4F3A"/>
    <w:rsid w:val="00EF79C8"/>
    <w:rsid w:val="00EF7E72"/>
    <w:rsid w:val="00F0380E"/>
    <w:rsid w:val="00F03950"/>
    <w:rsid w:val="00F07C9B"/>
    <w:rsid w:val="00F10E6A"/>
    <w:rsid w:val="00F124B0"/>
    <w:rsid w:val="00F125F0"/>
    <w:rsid w:val="00F12D1D"/>
    <w:rsid w:val="00F1482B"/>
    <w:rsid w:val="00F1522C"/>
    <w:rsid w:val="00F1646E"/>
    <w:rsid w:val="00F177C5"/>
    <w:rsid w:val="00F20AE7"/>
    <w:rsid w:val="00F23948"/>
    <w:rsid w:val="00F25F96"/>
    <w:rsid w:val="00F30D3E"/>
    <w:rsid w:val="00F31100"/>
    <w:rsid w:val="00F312C7"/>
    <w:rsid w:val="00F335F2"/>
    <w:rsid w:val="00F348D5"/>
    <w:rsid w:val="00F34EAA"/>
    <w:rsid w:val="00F3548F"/>
    <w:rsid w:val="00F35A77"/>
    <w:rsid w:val="00F36A21"/>
    <w:rsid w:val="00F36ED7"/>
    <w:rsid w:val="00F41B75"/>
    <w:rsid w:val="00F42CE2"/>
    <w:rsid w:val="00F4362C"/>
    <w:rsid w:val="00F4660B"/>
    <w:rsid w:val="00F5048E"/>
    <w:rsid w:val="00F513ED"/>
    <w:rsid w:val="00F54BBA"/>
    <w:rsid w:val="00F55371"/>
    <w:rsid w:val="00F56EC0"/>
    <w:rsid w:val="00F61815"/>
    <w:rsid w:val="00F635F8"/>
    <w:rsid w:val="00F64FE4"/>
    <w:rsid w:val="00F65E08"/>
    <w:rsid w:val="00F65F7C"/>
    <w:rsid w:val="00F66DEE"/>
    <w:rsid w:val="00F67ED6"/>
    <w:rsid w:val="00F71A7D"/>
    <w:rsid w:val="00F724EE"/>
    <w:rsid w:val="00F73FD5"/>
    <w:rsid w:val="00F747B4"/>
    <w:rsid w:val="00F74EB3"/>
    <w:rsid w:val="00F77343"/>
    <w:rsid w:val="00F83D59"/>
    <w:rsid w:val="00F85155"/>
    <w:rsid w:val="00F872F5"/>
    <w:rsid w:val="00F873FA"/>
    <w:rsid w:val="00F87940"/>
    <w:rsid w:val="00F93306"/>
    <w:rsid w:val="00F9474F"/>
    <w:rsid w:val="00F974AD"/>
    <w:rsid w:val="00F9794D"/>
    <w:rsid w:val="00FA0802"/>
    <w:rsid w:val="00FA100A"/>
    <w:rsid w:val="00FA180F"/>
    <w:rsid w:val="00FA200F"/>
    <w:rsid w:val="00FA2871"/>
    <w:rsid w:val="00FA32A8"/>
    <w:rsid w:val="00FA3D86"/>
    <w:rsid w:val="00FA4CCA"/>
    <w:rsid w:val="00FA5643"/>
    <w:rsid w:val="00FA5BF6"/>
    <w:rsid w:val="00FA67BF"/>
    <w:rsid w:val="00FB0240"/>
    <w:rsid w:val="00FB1470"/>
    <w:rsid w:val="00FB19CC"/>
    <w:rsid w:val="00FB2DEB"/>
    <w:rsid w:val="00FB36E2"/>
    <w:rsid w:val="00FB3A37"/>
    <w:rsid w:val="00FB5656"/>
    <w:rsid w:val="00FB5919"/>
    <w:rsid w:val="00FB67C8"/>
    <w:rsid w:val="00FB6E87"/>
    <w:rsid w:val="00FC0330"/>
    <w:rsid w:val="00FC1571"/>
    <w:rsid w:val="00FC2EAE"/>
    <w:rsid w:val="00FC40A8"/>
    <w:rsid w:val="00FC542D"/>
    <w:rsid w:val="00FC57E9"/>
    <w:rsid w:val="00FC5C5D"/>
    <w:rsid w:val="00FC7190"/>
    <w:rsid w:val="00FC7983"/>
    <w:rsid w:val="00FD2B66"/>
    <w:rsid w:val="00FD2D5C"/>
    <w:rsid w:val="00FD3FCB"/>
    <w:rsid w:val="00FD4330"/>
    <w:rsid w:val="00FD547B"/>
    <w:rsid w:val="00FD62CA"/>
    <w:rsid w:val="00FD6A42"/>
    <w:rsid w:val="00FD7904"/>
    <w:rsid w:val="00FE2A93"/>
    <w:rsid w:val="00FE3067"/>
    <w:rsid w:val="00FE36DA"/>
    <w:rsid w:val="00FE4326"/>
    <w:rsid w:val="00FF0A3F"/>
    <w:rsid w:val="00FF438E"/>
    <w:rsid w:val="00FF479B"/>
    <w:rsid w:val="00FF4BEC"/>
    <w:rsid w:val="00FF5FBE"/>
    <w:rsid w:val="0115D81F"/>
    <w:rsid w:val="01222208"/>
    <w:rsid w:val="01987833"/>
    <w:rsid w:val="023D9108"/>
    <w:rsid w:val="025E0D81"/>
    <w:rsid w:val="02615871"/>
    <w:rsid w:val="029A696C"/>
    <w:rsid w:val="02B21DAE"/>
    <w:rsid w:val="02C25443"/>
    <w:rsid w:val="03615918"/>
    <w:rsid w:val="041BE640"/>
    <w:rsid w:val="0849B112"/>
    <w:rsid w:val="091712C8"/>
    <w:rsid w:val="093908C1"/>
    <w:rsid w:val="0947E31B"/>
    <w:rsid w:val="096567D4"/>
    <w:rsid w:val="09889519"/>
    <w:rsid w:val="09CF5C81"/>
    <w:rsid w:val="0CD6BE97"/>
    <w:rsid w:val="0D46D83B"/>
    <w:rsid w:val="0D4AD18E"/>
    <w:rsid w:val="0E7305F8"/>
    <w:rsid w:val="0F0ACD25"/>
    <w:rsid w:val="109F897C"/>
    <w:rsid w:val="10CB6A31"/>
    <w:rsid w:val="1177474A"/>
    <w:rsid w:val="120B35B5"/>
    <w:rsid w:val="129836D9"/>
    <w:rsid w:val="138CFE7B"/>
    <w:rsid w:val="14077736"/>
    <w:rsid w:val="142C5674"/>
    <w:rsid w:val="146C2C1E"/>
    <w:rsid w:val="155118BC"/>
    <w:rsid w:val="1646C23C"/>
    <w:rsid w:val="170F7109"/>
    <w:rsid w:val="17AD52D7"/>
    <w:rsid w:val="1A1C4F57"/>
    <w:rsid w:val="1A28E32C"/>
    <w:rsid w:val="1AAABBBA"/>
    <w:rsid w:val="1C97B4C5"/>
    <w:rsid w:val="1CBA5549"/>
    <w:rsid w:val="1DD15CFB"/>
    <w:rsid w:val="1E32BDA5"/>
    <w:rsid w:val="1FA6DE0B"/>
    <w:rsid w:val="1FB8EEF0"/>
    <w:rsid w:val="2038921B"/>
    <w:rsid w:val="20709C0F"/>
    <w:rsid w:val="20AD5628"/>
    <w:rsid w:val="20D72880"/>
    <w:rsid w:val="21A8242F"/>
    <w:rsid w:val="23C94285"/>
    <w:rsid w:val="2472F2DA"/>
    <w:rsid w:val="247A6E79"/>
    <w:rsid w:val="25167729"/>
    <w:rsid w:val="25E8F89F"/>
    <w:rsid w:val="260C15D7"/>
    <w:rsid w:val="2613C1E0"/>
    <w:rsid w:val="266BEDD3"/>
    <w:rsid w:val="26B441E0"/>
    <w:rsid w:val="26B5E170"/>
    <w:rsid w:val="26C708E6"/>
    <w:rsid w:val="28392BBB"/>
    <w:rsid w:val="28C6F8AF"/>
    <w:rsid w:val="292546CE"/>
    <w:rsid w:val="296F2B51"/>
    <w:rsid w:val="29727FA9"/>
    <w:rsid w:val="2A72A493"/>
    <w:rsid w:val="2C535979"/>
    <w:rsid w:val="2CFEB1CC"/>
    <w:rsid w:val="2D8FC434"/>
    <w:rsid w:val="2DE0308E"/>
    <w:rsid w:val="2EA536AC"/>
    <w:rsid w:val="2F0F36B5"/>
    <w:rsid w:val="30297D0F"/>
    <w:rsid w:val="30F44456"/>
    <w:rsid w:val="30F78CE5"/>
    <w:rsid w:val="31810CFC"/>
    <w:rsid w:val="31854813"/>
    <w:rsid w:val="3190967A"/>
    <w:rsid w:val="34602862"/>
    <w:rsid w:val="34B3E826"/>
    <w:rsid w:val="3644098D"/>
    <w:rsid w:val="368451C1"/>
    <w:rsid w:val="37B260FB"/>
    <w:rsid w:val="38E545B0"/>
    <w:rsid w:val="39EEFA15"/>
    <w:rsid w:val="3AEE66B7"/>
    <w:rsid w:val="3B16ED6A"/>
    <w:rsid w:val="3B1A0982"/>
    <w:rsid w:val="3B34EBBF"/>
    <w:rsid w:val="3BAF5F08"/>
    <w:rsid w:val="3BD31FC4"/>
    <w:rsid w:val="3C935A76"/>
    <w:rsid w:val="3C9970ED"/>
    <w:rsid w:val="3E24508D"/>
    <w:rsid w:val="3E247626"/>
    <w:rsid w:val="3E55FF5F"/>
    <w:rsid w:val="3ED19F6B"/>
    <w:rsid w:val="400089EC"/>
    <w:rsid w:val="407685AA"/>
    <w:rsid w:val="41D43392"/>
    <w:rsid w:val="4205374E"/>
    <w:rsid w:val="433F9FA7"/>
    <w:rsid w:val="4353CDE1"/>
    <w:rsid w:val="44EF201A"/>
    <w:rsid w:val="45064CB3"/>
    <w:rsid w:val="451621AF"/>
    <w:rsid w:val="45B828DB"/>
    <w:rsid w:val="4647B713"/>
    <w:rsid w:val="4692348D"/>
    <w:rsid w:val="47B3FF95"/>
    <w:rsid w:val="48DB5097"/>
    <w:rsid w:val="49F90A9E"/>
    <w:rsid w:val="4A718E95"/>
    <w:rsid w:val="4A8A9DB7"/>
    <w:rsid w:val="4C9413A6"/>
    <w:rsid w:val="4DA019DA"/>
    <w:rsid w:val="4E6D2CCA"/>
    <w:rsid w:val="4ED1D901"/>
    <w:rsid w:val="4F4AF5D8"/>
    <w:rsid w:val="5220D6EF"/>
    <w:rsid w:val="52D0B263"/>
    <w:rsid w:val="53CB530A"/>
    <w:rsid w:val="5427236A"/>
    <w:rsid w:val="542BD14D"/>
    <w:rsid w:val="5522AFEA"/>
    <w:rsid w:val="56500B62"/>
    <w:rsid w:val="568C2EB3"/>
    <w:rsid w:val="56E19C85"/>
    <w:rsid w:val="5757D110"/>
    <w:rsid w:val="57837788"/>
    <w:rsid w:val="5A20C7F3"/>
    <w:rsid w:val="5C8986DE"/>
    <w:rsid w:val="5FFCD3BE"/>
    <w:rsid w:val="61EC16D0"/>
    <w:rsid w:val="63642FC6"/>
    <w:rsid w:val="63DA2256"/>
    <w:rsid w:val="65D3004B"/>
    <w:rsid w:val="65F88D01"/>
    <w:rsid w:val="65FF7039"/>
    <w:rsid w:val="6627B833"/>
    <w:rsid w:val="6713F12A"/>
    <w:rsid w:val="679E9C74"/>
    <w:rsid w:val="681BF210"/>
    <w:rsid w:val="683B7EDD"/>
    <w:rsid w:val="68513300"/>
    <w:rsid w:val="6896FEC7"/>
    <w:rsid w:val="69B8E732"/>
    <w:rsid w:val="6A79FAE4"/>
    <w:rsid w:val="6B2FBB8B"/>
    <w:rsid w:val="6BB0C7E1"/>
    <w:rsid w:val="6C2F11DC"/>
    <w:rsid w:val="6DF1D1E5"/>
    <w:rsid w:val="6F06D94D"/>
    <w:rsid w:val="70C9393E"/>
    <w:rsid w:val="7118B0B2"/>
    <w:rsid w:val="72D3F2CC"/>
    <w:rsid w:val="736E54B7"/>
    <w:rsid w:val="75EE6355"/>
    <w:rsid w:val="784134FC"/>
    <w:rsid w:val="784A3007"/>
    <w:rsid w:val="78B006E4"/>
    <w:rsid w:val="7D6C09C9"/>
    <w:rsid w:val="7F0D86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062CA"/>
  <w15:chartTrackingRefBased/>
  <w15:docId w15:val="{779065DC-779A-4C5B-A0A6-DE1B816C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D5"/>
    <w:pPr>
      <w:spacing w:after="240" w:line="280" w:lineRule="exact"/>
    </w:pPr>
    <w:rPr>
      <w:color w:val="10142A"/>
    </w:rPr>
  </w:style>
  <w:style w:type="paragraph" w:styleId="Heading1">
    <w:name w:val="heading 1"/>
    <w:basedOn w:val="Normal"/>
    <w:next w:val="Normal"/>
    <w:link w:val="Heading1Char"/>
    <w:uiPriority w:val="9"/>
    <w:qFormat/>
    <w:rsid w:val="009B43CD"/>
    <w:pPr>
      <w:keepNext/>
      <w:keepLines/>
      <w:spacing w:line="240" w:lineRule="auto"/>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F974AD"/>
    <w:pPr>
      <w:spacing w:after="0" w:line="240"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F974AD"/>
    <w:pPr>
      <w:spacing w:after="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347F5C"/>
    <w:pP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6CA"/>
    <w:pPr>
      <w:tabs>
        <w:tab w:val="center" w:pos="4513"/>
        <w:tab w:val="right" w:pos="9026"/>
      </w:tabs>
      <w:spacing w:line="600" w:lineRule="exact"/>
    </w:pPr>
    <w:rPr>
      <w:rFonts w:asciiTheme="majorHAnsi" w:hAnsiTheme="majorHAnsi"/>
      <w:color w:val="FFFFFF" w:themeColor="background1"/>
    </w:rPr>
  </w:style>
  <w:style w:type="character" w:customStyle="1" w:styleId="HeaderChar">
    <w:name w:val="Header Char"/>
    <w:basedOn w:val="DefaultParagraphFont"/>
    <w:link w:val="Header"/>
    <w:uiPriority w:val="99"/>
    <w:rsid w:val="00CE36CA"/>
    <w:rPr>
      <w:rFonts w:asciiTheme="majorHAnsi" w:hAnsiTheme="majorHAnsi"/>
      <w:color w:val="FFFFFF" w:themeColor="background1"/>
    </w:rPr>
  </w:style>
  <w:style w:type="paragraph" w:styleId="Footer">
    <w:name w:val="footer"/>
    <w:basedOn w:val="Normal"/>
    <w:link w:val="FooterChar"/>
    <w:uiPriority w:val="99"/>
    <w:unhideWhenUsed/>
    <w:rsid w:val="00A20282"/>
    <w:pPr>
      <w:tabs>
        <w:tab w:val="center" w:pos="4513"/>
        <w:tab w:val="right" w:pos="9026"/>
      </w:tabs>
      <w:spacing w:line="180" w:lineRule="exact"/>
    </w:pPr>
    <w:rPr>
      <w:color w:val="050449" w:themeColor="text2"/>
      <w:sz w:val="16"/>
    </w:rPr>
  </w:style>
  <w:style w:type="character" w:customStyle="1" w:styleId="FooterChar">
    <w:name w:val="Footer Char"/>
    <w:basedOn w:val="DefaultParagraphFont"/>
    <w:link w:val="Footer"/>
    <w:uiPriority w:val="99"/>
    <w:rsid w:val="00A20282"/>
    <w:rPr>
      <w:color w:val="050449" w:themeColor="text2"/>
      <w:sz w:val="16"/>
    </w:rPr>
  </w:style>
  <w:style w:type="character" w:customStyle="1" w:styleId="Heading1Char">
    <w:name w:val="Heading 1 Char"/>
    <w:basedOn w:val="DefaultParagraphFont"/>
    <w:link w:val="Heading1"/>
    <w:uiPriority w:val="9"/>
    <w:rsid w:val="009B43CD"/>
    <w:rPr>
      <w:rFonts w:ascii="Poppins" w:eastAsiaTheme="majorEastAsia" w:hAnsi="Poppins" w:cstheme="majorBidi"/>
      <w:b/>
      <w:color w:val="10142A"/>
      <w:sz w:val="36"/>
      <w:szCs w:val="32"/>
    </w:rPr>
  </w:style>
  <w:style w:type="paragraph" w:customStyle="1" w:styleId="BasicParagraph">
    <w:name w:val="[Basic Paragraph]"/>
    <w:basedOn w:val="Normal"/>
    <w:uiPriority w:val="99"/>
    <w:rsid w:val="00C60D3D"/>
    <w:pPr>
      <w:autoSpaceDE w:val="0"/>
      <w:autoSpaceDN w:val="0"/>
      <w:adjustRightInd w:val="0"/>
      <w:spacing w:line="288" w:lineRule="auto"/>
      <w:textAlignment w:val="center"/>
    </w:pPr>
    <w:rPr>
      <w:rFonts w:ascii="Minion Pro" w:hAnsi="Minion Pro" w:cs="Minion Pro"/>
      <w:color w:val="000000"/>
    </w:rPr>
  </w:style>
  <w:style w:type="character" w:customStyle="1" w:styleId="Heading2Char">
    <w:name w:val="Heading 2 Char"/>
    <w:basedOn w:val="DefaultParagraphFont"/>
    <w:link w:val="Heading2"/>
    <w:uiPriority w:val="9"/>
    <w:rsid w:val="00F974AD"/>
    <w:rPr>
      <w:rFonts w:eastAsiaTheme="majorEastAsia" w:cstheme="majorBidi"/>
      <w:b/>
      <w:color w:val="10142A"/>
      <w:sz w:val="32"/>
      <w:szCs w:val="26"/>
    </w:rPr>
  </w:style>
  <w:style w:type="character" w:customStyle="1" w:styleId="Heading3Char">
    <w:name w:val="Heading 3 Char"/>
    <w:basedOn w:val="DefaultParagraphFont"/>
    <w:link w:val="Heading3"/>
    <w:uiPriority w:val="9"/>
    <w:rsid w:val="00F974AD"/>
    <w:rPr>
      <w:rFonts w:eastAsiaTheme="majorEastAsia" w:cstheme="majorBidi"/>
      <w:b/>
      <w:color w:val="10142A"/>
      <w:sz w:val="28"/>
    </w:rPr>
  </w:style>
  <w:style w:type="paragraph" w:customStyle="1" w:styleId="Bullet">
    <w:name w:val="Bullet"/>
    <w:basedOn w:val="Normal"/>
    <w:qFormat/>
    <w:rsid w:val="00146A55"/>
    <w:pPr>
      <w:numPr>
        <w:numId w:val="1"/>
      </w:numPr>
      <w:spacing w:after="0"/>
      <w:ind w:left="227" w:hanging="227"/>
    </w:pPr>
    <w:rPr>
      <w:lang w:val="en-US"/>
    </w:rPr>
  </w:style>
  <w:style w:type="table" w:styleId="TableGrid">
    <w:name w:val="Table Grid"/>
    <w:basedOn w:val="TableNormal"/>
    <w:uiPriority w:val="39"/>
    <w:rsid w:val="009B43CD"/>
    <w:pPr>
      <w:spacing w:line="280" w:lineRule="exact"/>
    </w:pPr>
    <w:rPr>
      <w:rFonts w:ascii="Poppins" w:hAnsi="Poppins"/>
      <w:color w:val="10142A"/>
    </w:rPr>
    <w:tblPr/>
    <w:tcPr>
      <w:shd w:val="clear" w:color="auto" w:fill="EBE8E9"/>
      <w:tcMar>
        <w:top w:w="170" w:type="dxa"/>
        <w:left w:w="170" w:type="dxa"/>
        <w:bottom w:w="170" w:type="dxa"/>
        <w:right w:w="170" w:type="dxa"/>
      </w:tcMar>
    </w:tcPr>
  </w:style>
  <w:style w:type="character" w:customStyle="1" w:styleId="Heading4Char">
    <w:name w:val="Heading 4 Char"/>
    <w:basedOn w:val="DefaultParagraphFont"/>
    <w:link w:val="Heading4"/>
    <w:uiPriority w:val="9"/>
    <w:rsid w:val="00347F5C"/>
    <w:rPr>
      <w:rFonts w:eastAsiaTheme="majorEastAsia" w:cstheme="majorBidi"/>
      <w:b/>
      <w:iCs/>
      <w:color w:val="10142A"/>
    </w:rPr>
  </w:style>
  <w:style w:type="paragraph" w:customStyle="1" w:styleId="BodytextIndent">
    <w:name w:val="Bodytext_Indent"/>
    <w:basedOn w:val="Normal"/>
    <w:qFormat/>
    <w:rsid w:val="002E5343"/>
    <w:pPr>
      <w:ind w:left="227"/>
    </w:pPr>
    <w:rPr>
      <w:color w:val="050449" w:themeColor="text2"/>
    </w:rPr>
  </w:style>
  <w:style w:type="paragraph" w:styleId="NoSpacing">
    <w:name w:val="No Spacing"/>
    <w:basedOn w:val="Normal"/>
    <w:uiPriority w:val="1"/>
    <w:qFormat/>
    <w:rsid w:val="00146A55"/>
    <w:pPr>
      <w:spacing w:after="0"/>
    </w:pPr>
  </w:style>
  <w:style w:type="paragraph" w:customStyle="1" w:styleId="Heading2SpaceAfter">
    <w:name w:val="Heading 2 SpaceAfter"/>
    <w:basedOn w:val="Heading2"/>
    <w:qFormat/>
    <w:rsid w:val="002525EE"/>
    <w:pPr>
      <w:spacing w:after="120"/>
    </w:pPr>
  </w:style>
  <w:style w:type="paragraph" w:customStyle="1" w:styleId="BulletSpaceAfter">
    <w:name w:val="Bullet_SpaceAfter"/>
    <w:basedOn w:val="Bullet"/>
    <w:qFormat/>
    <w:rsid w:val="00A55BB3"/>
    <w:pPr>
      <w:spacing w:after="240"/>
    </w:pPr>
  </w:style>
  <w:style w:type="paragraph" w:customStyle="1" w:styleId="BodytextSpaceBefore">
    <w:name w:val="Bodytext_SpaceBefore"/>
    <w:basedOn w:val="Normal"/>
    <w:qFormat/>
    <w:rsid w:val="00A55BB3"/>
    <w:pPr>
      <w:spacing w:before="240"/>
    </w:pPr>
  </w:style>
  <w:style w:type="paragraph" w:customStyle="1" w:styleId="Heading3SpaceAfter">
    <w:name w:val="Heading 3 SpaceAfter"/>
    <w:basedOn w:val="Heading3"/>
    <w:qFormat/>
    <w:rsid w:val="00F974AD"/>
    <w:pPr>
      <w:spacing w:before="240" w:after="120"/>
    </w:pPr>
  </w:style>
  <w:style w:type="paragraph" w:customStyle="1" w:styleId="Heading4NoSpaceAfter">
    <w:name w:val="Heading 4 NoSpaceAfter"/>
    <w:basedOn w:val="Heading4"/>
    <w:qFormat/>
    <w:rsid w:val="005E5A20"/>
    <w:pPr>
      <w:spacing w:after="0"/>
    </w:pPr>
  </w:style>
  <w:style w:type="character" w:styleId="Hyperlink">
    <w:name w:val="Hyperlink"/>
    <w:basedOn w:val="DefaultParagraphFont"/>
    <w:uiPriority w:val="99"/>
    <w:unhideWhenUsed/>
    <w:rsid w:val="00060172"/>
    <w:rPr>
      <w:color w:val="0563C1" w:themeColor="hyperlink"/>
      <w:u w:val="single"/>
    </w:rPr>
  </w:style>
  <w:style w:type="character" w:styleId="FollowedHyperlink">
    <w:name w:val="FollowedHyperlink"/>
    <w:basedOn w:val="DefaultParagraphFont"/>
    <w:uiPriority w:val="99"/>
    <w:semiHidden/>
    <w:unhideWhenUsed/>
    <w:rsid w:val="004F017B"/>
    <w:rPr>
      <w:color w:val="954F72" w:themeColor="followedHyperlink"/>
      <w:u w:val="single"/>
    </w:rPr>
  </w:style>
  <w:style w:type="character" w:styleId="UnresolvedMention">
    <w:name w:val="Unresolved Mention"/>
    <w:basedOn w:val="DefaultParagraphFont"/>
    <w:uiPriority w:val="99"/>
    <w:semiHidden/>
    <w:unhideWhenUsed/>
    <w:rsid w:val="00CA5C7C"/>
    <w:rPr>
      <w:color w:val="605E5C"/>
      <w:shd w:val="clear" w:color="auto" w:fill="E1DFDD"/>
    </w:rPr>
  </w:style>
  <w:style w:type="character" w:styleId="CommentReference">
    <w:name w:val="annotation reference"/>
    <w:basedOn w:val="DefaultParagraphFont"/>
    <w:uiPriority w:val="99"/>
    <w:semiHidden/>
    <w:unhideWhenUsed/>
    <w:rsid w:val="005C0C13"/>
    <w:rPr>
      <w:sz w:val="16"/>
      <w:szCs w:val="16"/>
    </w:rPr>
  </w:style>
  <w:style w:type="paragraph" w:styleId="CommentText">
    <w:name w:val="annotation text"/>
    <w:basedOn w:val="Normal"/>
    <w:link w:val="CommentTextChar"/>
    <w:uiPriority w:val="99"/>
    <w:unhideWhenUsed/>
    <w:rsid w:val="005C0C13"/>
    <w:pPr>
      <w:spacing w:line="240" w:lineRule="auto"/>
    </w:pPr>
    <w:rPr>
      <w:sz w:val="20"/>
      <w:szCs w:val="20"/>
    </w:rPr>
  </w:style>
  <w:style w:type="character" w:customStyle="1" w:styleId="CommentTextChar">
    <w:name w:val="Comment Text Char"/>
    <w:basedOn w:val="DefaultParagraphFont"/>
    <w:link w:val="CommentText"/>
    <w:uiPriority w:val="99"/>
    <w:rsid w:val="005C0C13"/>
    <w:rPr>
      <w:color w:val="10142A"/>
      <w:sz w:val="20"/>
      <w:szCs w:val="20"/>
    </w:rPr>
  </w:style>
  <w:style w:type="paragraph" w:styleId="CommentSubject">
    <w:name w:val="annotation subject"/>
    <w:basedOn w:val="CommentText"/>
    <w:next w:val="CommentText"/>
    <w:link w:val="CommentSubjectChar"/>
    <w:uiPriority w:val="99"/>
    <w:semiHidden/>
    <w:unhideWhenUsed/>
    <w:rsid w:val="005C0C13"/>
    <w:rPr>
      <w:b/>
      <w:bCs/>
    </w:rPr>
  </w:style>
  <w:style w:type="character" w:customStyle="1" w:styleId="CommentSubjectChar">
    <w:name w:val="Comment Subject Char"/>
    <w:basedOn w:val="CommentTextChar"/>
    <w:link w:val="CommentSubject"/>
    <w:uiPriority w:val="99"/>
    <w:semiHidden/>
    <w:rsid w:val="005C0C13"/>
    <w:rPr>
      <w:b/>
      <w:bCs/>
      <w:color w:val="10142A"/>
      <w:sz w:val="20"/>
      <w:szCs w:val="20"/>
    </w:rPr>
  </w:style>
  <w:style w:type="paragraph" w:styleId="ListParagraph">
    <w:name w:val="List Paragraph"/>
    <w:basedOn w:val="Normal"/>
    <w:uiPriority w:val="34"/>
    <w:qFormat/>
    <w:rsid w:val="004D6631"/>
    <w:pPr>
      <w:ind w:left="720"/>
      <w:contextualSpacing/>
    </w:pPr>
  </w:style>
  <w:style w:type="character" w:styleId="Mention">
    <w:name w:val="Mention"/>
    <w:basedOn w:val="DefaultParagraphFont"/>
    <w:uiPriority w:val="99"/>
    <w:unhideWhenUsed/>
    <w:rsid w:val="00D3244B"/>
    <w:rPr>
      <w:color w:val="2B579A"/>
      <w:shd w:val="clear" w:color="auto" w:fill="E1DFDD"/>
    </w:rPr>
  </w:style>
  <w:style w:type="paragraph" w:styleId="FootnoteText">
    <w:name w:val="footnote text"/>
    <w:basedOn w:val="Normal"/>
    <w:link w:val="FootnoteTextChar"/>
    <w:uiPriority w:val="99"/>
    <w:semiHidden/>
    <w:unhideWhenUsed/>
    <w:rsid w:val="007A5C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C04"/>
    <w:rPr>
      <w:color w:val="10142A"/>
      <w:sz w:val="20"/>
      <w:szCs w:val="20"/>
    </w:rPr>
  </w:style>
  <w:style w:type="character" w:styleId="FootnoteReference">
    <w:name w:val="footnote reference"/>
    <w:basedOn w:val="DefaultParagraphFont"/>
    <w:uiPriority w:val="99"/>
    <w:semiHidden/>
    <w:unhideWhenUsed/>
    <w:rsid w:val="007A5C04"/>
    <w:rPr>
      <w:vertAlign w:val="superscript"/>
    </w:rPr>
  </w:style>
  <w:style w:type="paragraph" w:styleId="Revision">
    <w:name w:val="Revision"/>
    <w:hidden/>
    <w:uiPriority w:val="99"/>
    <w:semiHidden/>
    <w:rsid w:val="0070199F"/>
    <w:rPr>
      <w:color w:val="1014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56867">
      <w:bodyDiv w:val="1"/>
      <w:marLeft w:val="0"/>
      <w:marRight w:val="0"/>
      <w:marTop w:val="0"/>
      <w:marBottom w:val="0"/>
      <w:divBdr>
        <w:top w:val="none" w:sz="0" w:space="0" w:color="auto"/>
        <w:left w:val="none" w:sz="0" w:space="0" w:color="auto"/>
        <w:bottom w:val="none" w:sz="0" w:space="0" w:color="auto"/>
        <w:right w:val="none" w:sz="0" w:space="0" w:color="auto"/>
      </w:divBdr>
      <w:divsChild>
        <w:div w:id="1763600411">
          <w:marLeft w:val="446"/>
          <w:marRight w:val="0"/>
          <w:marTop w:val="0"/>
          <w:marBottom w:val="120"/>
          <w:divBdr>
            <w:top w:val="none" w:sz="0" w:space="0" w:color="auto"/>
            <w:left w:val="none" w:sz="0" w:space="0" w:color="auto"/>
            <w:bottom w:val="none" w:sz="0" w:space="0" w:color="auto"/>
            <w:right w:val="none" w:sz="0" w:space="0" w:color="auto"/>
          </w:divBdr>
        </w:div>
        <w:div w:id="1946692369">
          <w:marLeft w:val="446"/>
          <w:marRight w:val="0"/>
          <w:marTop w:val="0"/>
          <w:marBottom w:val="120"/>
          <w:divBdr>
            <w:top w:val="none" w:sz="0" w:space="0" w:color="auto"/>
            <w:left w:val="none" w:sz="0" w:space="0" w:color="auto"/>
            <w:bottom w:val="none" w:sz="0" w:space="0" w:color="auto"/>
            <w:right w:val="none" w:sz="0" w:space="0" w:color="auto"/>
          </w:divBdr>
        </w:div>
        <w:div w:id="1694383684">
          <w:marLeft w:val="446"/>
          <w:marRight w:val="0"/>
          <w:marTop w:val="0"/>
          <w:marBottom w:val="120"/>
          <w:divBdr>
            <w:top w:val="none" w:sz="0" w:space="0" w:color="auto"/>
            <w:left w:val="none" w:sz="0" w:space="0" w:color="auto"/>
            <w:bottom w:val="none" w:sz="0" w:space="0" w:color="auto"/>
            <w:right w:val="none" w:sz="0" w:space="0" w:color="auto"/>
          </w:divBdr>
        </w:div>
        <w:div w:id="459762979">
          <w:marLeft w:val="446"/>
          <w:marRight w:val="0"/>
          <w:marTop w:val="0"/>
          <w:marBottom w:val="120"/>
          <w:divBdr>
            <w:top w:val="none" w:sz="0" w:space="0" w:color="auto"/>
            <w:left w:val="none" w:sz="0" w:space="0" w:color="auto"/>
            <w:bottom w:val="none" w:sz="0" w:space="0" w:color="auto"/>
            <w:right w:val="none" w:sz="0" w:space="0" w:color="auto"/>
          </w:divBdr>
        </w:div>
      </w:divsChild>
    </w:div>
    <w:div w:id="289241985">
      <w:bodyDiv w:val="1"/>
      <w:marLeft w:val="0"/>
      <w:marRight w:val="0"/>
      <w:marTop w:val="0"/>
      <w:marBottom w:val="0"/>
      <w:divBdr>
        <w:top w:val="none" w:sz="0" w:space="0" w:color="auto"/>
        <w:left w:val="none" w:sz="0" w:space="0" w:color="auto"/>
        <w:bottom w:val="none" w:sz="0" w:space="0" w:color="auto"/>
        <w:right w:val="none" w:sz="0" w:space="0" w:color="auto"/>
      </w:divBdr>
      <w:divsChild>
        <w:div w:id="1211188183">
          <w:marLeft w:val="446"/>
          <w:marRight w:val="0"/>
          <w:marTop w:val="0"/>
          <w:marBottom w:val="120"/>
          <w:divBdr>
            <w:top w:val="none" w:sz="0" w:space="0" w:color="auto"/>
            <w:left w:val="none" w:sz="0" w:space="0" w:color="auto"/>
            <w:bottom w:val="none" w:sz="0" w:space="0" w:color="auto"/>
            <w:right w:val="none" w:sz="0" w:space="0" w:color="auto"/>
          </w:divBdr>
        </w:div>
        <w:div w:id="1337880075">
          <w:marLeft w:val="446"/>
          <w:marRight w:val="0"/>
          <w:marTop w:val="0"/>
          <w:marBottom w:val="120"/>
          <w:divBdr>
            <w:top w:val="none" w:sz="0" w:space="0" w:color="auto"/>
            <w:left w:val="none" w:sz="0" w:space="0" w:color="auto"/>
            <w:bottom w:val="none" w:sz="0" w:space="0" w:color="auto"/>
            <w:right w:val="none" w:sz="0" w:space="0" w:color="auto"/>
          </w:divBdr>
        </w:div>
        <w:div w:id="968123382">
          <w:marLeft w:val="446"/>
          <w:marRight w:val="0"/>
          <w:marTop w:val="0"/>
          <w:marBottom w:val="120"/>
          <w:divBdr>
            <w:top w:val="none" w:sz="0" w:space="0" w:color="auto"/>
            <w:left w:val="none" w:sz="0" w:space="0" w:color="auto"/>
            <w:bottom w:val="none" w:sz="0" w:space="0" w:color="auto"/>
            <w:right w:val="none" w:sz="0" w:space="0" w:color="auto"/>
          </w:divBdr>
        </w:div>
        <w:div w:id="762190586">
          <w:marLeft w:val="446"/>
          <w:marRight w:val="0"/>
          <w:marTop w:val="0"/>
          <w:marBottom w:val="120"/>
          <w:divBdr>
            <w:top w:val="none" w:sz="0" w:space="0" w:color="auto"/>
            <w:left w:val="none" w:sz="0" w:space="0" w:color="auto"/>
            <w:bottom w:val="none" w:sz="0" w:space="0" w:color="auto"/>
            <w:right w:val="none" w:sz="0" w:space="0" w:color="auto"/>
          </w:divBdr>
        </w:div>
        <w:div w:id="1942028395">
          <w:marLeft w:val="446"/>
          <w:marRight w:val="0"/>
          <w:marTop w:val="0"/>
          <w:marBottom w:val="120"/>
          <w:divBdr>
            <w:top w:val="none" w:sz="0" w:space="0" w:color="auto"/>
            <w:left w:val="none" w:sz="0" w:space="0" w:color="auto"/>
            <w:bottom w:val="none" w:sz="0" w:space="0" w:color="auto"/>
            <w:right w:val="none" w:sz="0" w:space="0" w:color="auto"/>
          </w:divBdr>
        </w:div>
      </w:divsChild>
    </w:div>
    <w:div w:id="335153540">
      <w:bodyDiv w:val="1"/>
      <w:marLeft w:val="0"/>
      <w:marRight w:val="0"/>
      <w:marTop w:val="0"/>
      <w:marBottom w:val="0"/>
      <w:divBdr>
        <w:top w:val="none" w:sz="0" w:space="0" w:color="auto"/>
        <w:left w:val="none" w:sz="0" w:space="0" w:color="auto"/>
        <w:bottom w:val="none" w:sz="0" w:space="0" w:color="auto"/>
        <w:right w:val="none" w:sz="0" w:space="0" w:color="auto"/>
      </w:divBdr>
    </w:div>
    <w:div w:id="586623107">
      <w:bodyDiv w:val="1"/>
      <w:marLeft w:val="0"/>
      <w:marRight w:val="0"/>
      <w:marTop w:val="0"/>
      <w:marBottom w:val="0"/>
      <w:divBdr>
        <w:top w:val="none" w:sz="0" w:space="0" w:color="auto"/>
        <w:left w:val="none" w:sz="0" w:space="0" w:color="auto"/>
        <w:bottom w:val="none" w:sz="0" w:space="0" w:color="auto"/>
        <w:right w:val="none" w:sz="0" w:space="0" w:color="auto"/>
      </w:divBdr>
      <w:divsChild>
        <w:div w:id="110052598">
          <w:marLeft w:val="446"/>
          <w:marRight w:val="0"/>
          <w:marTop w:val="0"/>
          <w:marBottom w:val="120"/>
          <w:divBdr>
            <w:top w:val="none" w:sz="0" w:space="0" w:color="auto"/>
            <w:left w:val="none" w:sz="0" w:space="0" w:color="auto"/>
            <w:bottom w:val="none" w:sz="0" w:space="0" w:color="auto"/>
            <w:right w:val="none" w:sz="0" w:space="0" w:color="auto"/>
          </w:divBdr>
        </w:div>
        <w:div w:id="94445437">
          <w:marLeft w:val="446"/>
          <w:marRight w:val="0"/>
          <w:marTop w:val="0"/>
          <w:marBottom w:val="120"/>
          <w:divBdr>
            <w:top w:val="none" w:sz="0" w:space="0" w:color="auto"/>
            <w:left w:val="none" w:sz="0" w:space="0" w:color="auto"/>
            <w:bottom w:val="none" w:sz="0" w:space="0" w:color="auto"/>
            <w:right w:val="none" w:sz="0" w:space="0" w:color="auto"/>
          </w:divBdr>
        </w:div>
        <w:div w:id="1841038597">
          <w:marLeft w:val="446"/>
          <w:marRight w:val="0"/>
          <w:marTop w:val="0"/>
          <w:marBottom w:val="120"/>
          <w:divBdr>
            <w:top w:val="none" w:sz="0" w:space="0" w:color="auto"/>
            <w:left w:val="none" w:sz="0" w:space="0" w:color="auto"/>
            <w:bottom w:val="none" w:sz="0" w:space="0" w:color="auto"/>
            <w:right w:val="none" w:sz="0" w:space="0" w:color="auto"/>
          </w:divBdr>
        </w:div>
      </w:divsChild>
    </w:div>
    <w:div w:id="672148565">
      <w:bodyDiv w:val="1"/>
      <w:marLeft w:val="0"/>
      <w:marRight w:val="0"/>
      <w:marTop w:val="0"/>
      <w:marBottom w:val="0"/>
      <w:divBdr>
        <w:top w:val="none" w:sz="0" w:space="0" w:color="auto"/>
        <w:left w:val="none" w:sz="0" w:space="0" w:color="auto"/>
        <w:bottom w:val="none" w:sz="0" w:space="0" w:color="auto"/>
        <w:right w:val="none" w:sz="0" w:space="0" w:color="auto"/>
      </w:divBdr>
      <w:divsChild>
        <w:div w:id="644049059">
          <w:marLeft w:val="446"/>
          <w:marRight w:val="0"/>
          <w:marTop w:val="0"/>
          <w:marBottom w:val="120"/>
          <w:divBdr>
            <w:top w:val="none" w:sz="0" w:space="0" w:color="auto"/>
            <w:left w:val="none" w:sz="0" w:space="0" w:color="auto"/>
            <w:bottom w:val="none" w:sz="0" w:space="0" w:color="auto"/>
            <w:right w:val="none" w:sz="0" w:space="0" w:color="auto"/>
          </w:divBdr>
        </w:div>
        <w:div w:id="1161772949">
          <w:marLeft w:val="446"/>
          <w:marRight w:val="0"/>
          <w:marTop w:val="0"/>
          <w:marBottom w:val="120"/>
          <w:divBdr>
            <w:top w:val="none" w:sz="0" w:space="0" w:color="auto"/>
            <w:left w:val="none" w:sz="0" w:space="0" w:color="auto"/>
            <w:bottom w:val="none" w:sz="0" w:space="0" w:color="auto"/>
            <w:right w:val="none" w:sz="0" w:space="0" w:color="auto"/>
          </w:divBdr>
        </w:div>
        <w:div w:id="1730416178">
          <w:marLeft w:val="446"/>
          <w:marRight w:val="0"/>
          <w:marTop w:val="0"/>
          <w:marBottom w:val="120"/>
          <w:divBdr>
            <w:top w:val="none" w:sz="0" w:space="0" w:color="auto"/>
            <w:left w:val="none" w:sz="0" w:space="0" w:color="auto"/>
            <w:bottom w:val="none" w:sz="0" w:space="0" w:color="auto"/>
            <w:right w:val="none" w:sz="0" w:space="0" w:color="auto"/>
          </w:divBdr>
        </w:div>
      </w:divsChild>
    </w:div>
    <w:div w:id="737947784">
      <w:bodyDiv w:val="1"/>
      <w:marLeft w:val="0"/>
      <w:marRight w:val="0"/>
      <w:marTop w:val="0"/>
      <w:marBottom w:val="0"/>
      <w:divBdr>
        <w:top w:val="none" w:sz="0" w:space="0" w:color="auto"/>
        <w:left w:val="none" w:sz="0" w:space="0" w:color="auto"/>
        <w:bottom w:val="none" w:sz="0" w:space="0" w:color="auto"/>
        <w:right w:val="none" w:sz="0" w:space="0" w:color="auto"/>
      </w:divBdr>
      <w:divsChild>
        <w:div w:id="663319084">
          <w:marLeft w:val="446"/>
          <w:marRight w:val="0"/>
          <w:marTop w:val="0"/>
          <w:marBottom w:val="120"/>
          <w:divBdr>
            <w:top w:val="none" w:sz="0" w:space="0" w:color="auto"/>
            <w:left w:val="none" w:sz="0" w:space="0" w:color="auto"/>
            <w:bottom w:val="none" w:sz="0" w:space="0" w:color="auto"/>
            <w:right w:val="none" w:sz="0" w:space="0" w:color="auto"/>
          </w:divBdr>
        </w:div>
      </w:divsChild>
    </w:div>
    <w:div w:id="968827569">
      <w:bodyDiv w:val="1"/>
      <w:marLeft w:val="0"/>
      <w:marRight w:val="0"/>
      <w:marTop w:val="0"/>
      <w:marBottom w:val="0"/>
      <w:divBdr>
        <w:top w:val="none" w:sz="0" w:space="0" w:color="auto"/>
        <w:left w:val="none" w:sz="0" w:space="0" w:color="auto"/>
        <w:bottom w:val="none" w:sz="0" w:space="0" w:color="auto"/>
        <w:right w:val="none" w:sz="0" w:space="0" w:color="auto"/>
      </w:divBdr>
      <w:divsChild>
        <w:div w:id="2061052895">
          <w:marLeft w:val="446"/>
          <w:marRight w:val="0"/>
          <w:marTop w:val="0"/>
          <w:marBottom w:val="120"/>
          <w:divBdr>
            <w:top w:val="none" w:sz="0" w:space="0" w:color="auto"/>
            <w:left w:val="none" w:sz="0" w:space="0" w:color="auto"/>
            <w:bottom w:val="none" w:sz="0" w:space="0" w:color="auto"/>
            <w:right w:val="none" w:sz="0" w:space="0" w:color="auto"/>
          </w:divBdr>
        </w:div>
        <w:div w:id="749156585">
          <w:marLeft w:val="446"/>
          <w:marRight w:val="0"/>
          <w:marTop w:val="0"/>
          <w:marBottom w:val="120"/>
          <w:divBdr>
            <w:top w:val="none" w:sz="0" w:space="0" w:color="auto"/>
            <w:left w:val="none" w:sz="0" w:space="0" w:color="auto"/>
            <w:bottom w:val="none" w:sz="0" w:space="0" w:color="auto"/>
            <w:right w:val="none" w:sz="0" w:space="0" w:color="auto"/>
          </w:divBdr>
        </w:div>
        <w:div w:id="1304627281">
          <w:marLeft w:val="446"/>
          <w:marRight w:val="0"/>
          <w:marTop w:val="0"/>
          <w:marBottom w:val="120"/>
          <w:divBdr>
            <w:top w:val="none" w:sz="0" w:space="0" w:color="auto"/>
            <w:left w:val="none" w:sz="0" w:space="0" w:color="auto"/>
            <w:bottom w:val="none" w:sz="0" w:space="0" w:color="auto"/>
            <w:right w:val="none" w:sz="0" w:space="0" w:color="auto"/>
          </w:divBdr>
        </w:div>
        <w:div w:id="1669626019">
          <w:marLeft w:val="446"/>
          <w:marRight w:val="0"/>
          <w:marTop w:val="0"/>
          <w:marBottom w:val="120"/>
          <w:divBdr>
            <w:top w:val="none" w:sz="0" w:space="0" w:color="auto"/>
            <w:left w:val="none" w:sz="0" w:space="0" w:color="auto"/>
            <w:bottom w:val="none" w:sz="0" w:space="0" w:color="auto"/>
            <w:right w:val="none" w:sz="0" w:space="0" w:color="auto"/>
          </w:divBdr>
        </w:div>
      </w:divsChild>
    </w:div>
    <w:div w:id="1216962759">
      <w:bodyDiv w:val="1"/>
      <w:marLeft w:val="0"/>
      <w:marRight w:val="0"/>
      <w:marTop w:val="0"/>
      <w:marBottom w:val="0"/>
      <w:divBdr>
        <w:top w:val="none" w:sz="0" w:space="0" w:color="auto"/>
        <w:left w:val="none" w:sz="0" w:space="0" w:color="auto"/>
        <w:bottom w:val="none" w:sz="0" w:space="0" w:color="auto"/>
        <w:right w:val="none" w:sz="0" w:space="0" w:color="auto"/>
      </w:divBdr>
      <w:divsChild>
        <w:div w:id="369191964">
          <w:marLeft w:val="446"/>
          <w:marRight w:val="0"/>
          <w:marTop w:val="0"/>
          <w:marBottom w:val="120"/>
          <w:divBdr>
            <w:top w:val="none" w:sz="0" w:space="0" w:color="auto"/>
            <w:left w:val="none" w:sz="0" w:space="0" w:color="auto"/>
            <w:bottom w:val="none" w:sz="0" w:space="0" w:color="auto"/>
            <w:right w:val="none" w:sz="0" w:space="0" w:color="auto"/>
          </w:divBdr>
        </w:div>
        <w:div w:id="2029674329">
          <w:marLeft w:val="446"/>
          <w:marRight w:val="0"/>
          <w:marTop w:val="0"/>
          <w:marBottom w:val="120"/>
          <w:divBdr>
            <w:top w:val="none" w:sz="0" w:space="0" w:color="auto"/>
            <w:left w:val="none" w:sz="0" w:space="0" w:color="auto"/>
            <w:bottom w:val="none" w:sz="0" w:space="0" w:color="auto"/>
            <w:right w:val="none" w:sz="0" w:space="0" w:color="auto"/>
          </w:divBdr>
        </w:div>
        <w:div w:id="233855141">
          <w:marLeft w:val="446"/>
          <w:marRight w:val="0"/>
          <w:marTop w:val="0"/>
          <w:marBottom w:val="120"/>
          <w:divBdr>
            <w:top w:val="none" w:sz="0" w:space="0" w:color="auto"/>
            <w:left w:val="none" w:sz="0" w:space="0" w:color="auto"/>
            <w:bottom w:val="none" w:sz="0" w:space="0" w:color="auto"/>
            <w:right w:val="none" w:sz="0" w:space="0" w:color="auto"/>
          </w:divBdr>
        </w:div>
      </w:divsChild>
    </w:div>
    <w:div w:id="1410467160">
      <w:bodyDiv w:val="1"/>
      <w:marLeft w:val="0"/>
      <w:marRight w:val="0"/>
      <w:marTop w:val="0"/>
      <w:marBottom w:val="0"/>
      <w:divBdr>
        <w:top w:val="none" w:sz="0" w:space="0" w:color="auto"/>
        <w:left w:val="none" w:sz="0" w:space="0" w:color="auto"/>
        <w:bottom w:val="none" w:sz="0" w:space="0" w:color="auto"/>
        <w:right w:val="none" w:sz="0" w:space="0" w:color="auto"/>
      </w:divBdr>
      <w:divsChild>
        <w:div w:id="2064207533">
          <w:marLeft w:val="446"/>
          <w:marRight w:val="0"/>
          <w:marTop w:val="0"/>
          <w:marBottom w:val="120"/>
          <w:divBdr>
            <w:top w:val="none" w:sz="0" w:space="0" w:color="auto"/>
            <w:left w:val="none" w:sz="0" w:space="0" w:color="auto"/>
            <w:bottom w:val="none" w:sz="0" w:space="0" w:color="auto"/>
            <w:right w:val="none" w:sz="0" w:space="0" w:color="auto"/>
          </w:divBdr>
        </w:div>
        <w:div w:id="1256356582">
          <w:marLeft w:val="446"/>
          <w:marRight w:val="0"/>
          <w:marTop w:val="0"/>
          <w:marBottom w:val="120"/>
          <w:divBdr>
            <w:top w:val="none" w:sz="0" w:space="0" w:color="auto"/>
            <w:left w:val="none" w:sz="0" w:space="0" w:color="auto"/>
            <w:bottom w:val="none" w:sz="0" w:space="0" w:color="auto"/>
            <w:right w:val="none" w:sz="0" w:space="0" w:color="auto"/>
          </w:divBdr>
        </w:div>
        <w:div w:id="1981307352">
          <w:marLeft w:val="446"/>
          <w:marRight w:val="0"/>
          <w:marTop w:val="0"/>
          <w:marBottom w:val="120"/>
          <w:divBdr>
            <w:top w:val="none" w:sz="0" w:space="0" w:color="auto"/>
            <w:left w:val="none" w:sz="0" w:space="0" w:color="auto"/>
            <w:bottom w:val="none" w:sz="0" w:space="0" w:color="auto"/>
            <w:right w:val="none" w:sz="0" w:space="0" w:color="auto"/>
          </w:divBdr>
        </w:div>
        <w:div w:id="252016477">
          <w:marLeft w:val="446"/>
          <w:marRight w:val="0"/>
          <w:marTop w:val="0"/>
          <w:marBottom w:val="120"/>
          <w:divBdr>
            <w:top w:val="none" w:sz="0" w:space="0" w:color="auto"/>
            <w:left w:val="none" w:sz="0" w:space="0" w:color="auto"/>
            <w:bottom w:val="none" w:sz="0" w:space="0" w:color="auto"/>
            <w:right w:val="none" w:sz="0" w:space="0" w:color="auto"/>
          </w:divBdr>
        </w:div>
      </w:divsChild>
    </w:div>
    <w:div w:id="1613316323">
      <w:bodyDiv w:val="1"/>
      <w:marLeft w:val="0"/>
      <w:marRight w:val="0"/>
      <w:marTop w:val="0"/>
      <w:marBottom w:val="0"/>
      <w:divBdr>
        <w:top w:val="none" w:sz="0" w:space="0" w:color="auto"/>
        <w:left w:val="none" w:sz="0" w:space="0" w:color="auto"/>
        <w:bottom w:val="none" w:sz="0" w:space="0" w:color="auto"/>
        <w:right w:val="none" w:sz="0" w:space="0" w:color="auto"/>
      </w:divBdr>
      <w:divsChild>
        <w:div w:id="899709262">
          <w:marLeft w:val="446"/>
          <w:marRight w:val="0"/>
          <w:marTop w:val="0"/>
          <w:marBottom w:val="120"/>
          <w:divBdr>
            <w:top w:val="none" w:sz="0" w:space="0" w:color="auto"/>
            <w:left w:val="none" w:sz="0" w:space="0" w:color="auto"/>
            <w:bottom w:val="none" w:sz="0" w:space="0" w:color="auto"/>
            <w:right w:val="none" w:sz="0" w:space="0" w:color="auto"/>
          </w:divBdr>
        </w:div>
        <w:div w:id="1904874195">
          <w:marLeft w:val="446"/>
          <w:marRight w:val="0"/>
          <w:marTop w:val="0"/>
          <w:marBottom w:val="120"/>
          <w:divBdr>
            <w:top w:val="none" w:sz="0" w:space="0" w:color="auto"/>
            <w:left w:val="none" w:sz="0" w:space="0" w:color="auto"/>
            <w:bottom w:val="none" w:sz="0" w:space="0" w:color="auto"/>
            <w:right w:val="none" w:sz="0" w:space="0" w:color="auto"/>
          </w:divBdr>
        </w:div>
        <w:div w:id="1727875011">
          <w:marLeft w:val="446"/>
          <w:marRight w:val="0"/>
          <w:marTop w:val="0"/>
          <w:marBottom w:val="120"/>
          <w:divBdr>
            <w:top w:val="none" w:sz="0" w:space="0" w:color="auto"/>
            <w:left w:val="none" w:sz="0" w:space="0" w:color="auto"/>
            <w:bottom w:val="none" w:sz="0" w:space="0" w:color="auto"/>
            <w:right w:val="none" w:sz="0" w:space="0" w:color="auto"/>
          </w:divBdr>
        </w:div>
        <w:div w:id="41779810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esma.europa.eu/sites/default/files/2023-07/ESMA32-1399193447-441_Statement_on_sustainability_disclosure_in_prospectus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sites/default/files/2024-10/ESMA32-117195963-1276_CP_Listing_Act_Advice_-_Prospectu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983AFF7E-C148-4357-88BE-3E969316D516}">
    <t:Anchor>
      <t:Comment id="1867073850"/>
    </t:Anchor>
    <t:History>
      <t:Event id="{9BEFD63F-7605-43ED-B987-34E4A9EA3FB7}" time="2024-09-30T22:36:59.92Z">
        <t:Attribution userId="S::lgrahamwood@iigcc.org::9454bb7e-abbf-419f-9da4-7a2517df32d1" userProvider="AD" userName="Lucia Graham Wood"/>
        <t:Anchor>
          <t:Comment id="1867073850"/>
        </t:Anchor>
        <t:Create/>
      </t:Event>
      <t:Event id="{72673323-D439-4F4D-8431-39E469FE54C8}" time="2024-09-30T22:36:59.92Z">
        <t:Attribution userId="S::lgrahamwood@iigcc.org::9454bb7e-abbf-419f-9da4-7a2517df32d1" userProvider="AD" userName="Lucia Graham Wood"/>
        <t:Anchor>
          <t:Comment id="1867073850"/>
        </t:Anchor>
        <t:Assign userId="S::eenginar@IIGCC.org::fdf36198-4c9c-4151-b87f-c0632e3c6aa8" userProvider="AD" userName="Eda Enginar"/>
      </t:Event>
      <t:Event id="{85406621-5367-4D2B-A2F4-91065FEBD5A0}" time="2024-09-30T22:36:59.92Z">
        <t:Attribution userId="S::lgrahamwood@iigcc.org::9454bb7e-abbf-419f-9da4-7a2517df32d1" userProvider="AD" userName="Lucia Graham Wood"/>
        <t:Anchor>
          <t:Comment id="1867073850"/>
        </t:Anchor>
        <t:SetTitle title="fyi - consistency of formatting needed @Eda Enginar"/>
      </t:Event>
    </t:History>
  </t:Task>
</t:Tasks>
</file>

<file path=word/theme/theme1.xml><?xml version="1.0" encoding="utf-8"?>
<a:theme xmlns:a="http://schemas.openxmlformats.org/drawingml/2006/main" name="IIGCC_Theme">
  <a:themeElements>
    <a:clrScheme name="IIGCC_Colours">
      <a:dk1>
        <a:sysClr val="windowText" lastClr="000000"/>
      </a:dk1>
      <a:lt1>
        <a:sysClr val="window" lastClr="FFFFFF"/>
      </a:lt1>
      <a:dk2>
        <a:srgbClr val="050449"/>
      </a:dk2>
      <a:lt2>
        <a:srgbClr val="E7E6E6"/>
      </a:lt2>
      <a:accent1>
        <a:srgbClr val="D719B1"/>
      </a:accent1>
      <a:accent2>
        <a:srgbClr val="F88610"/>
      </a:accent2>
      <a:accent3>
        <a:srgbClr val="CCFF6C"/>
      </a:accent3>
      <a:accent4>
        <a:srgbClr val="59EA93"/>
      </a:accent4>
      <a:accent5>
        <a:srgbClr val="4578F5"/>
      </a:accent5>
      <a:accent6>
        <a:srgbClr val="FFFFFF"/>
      </a:accent6>
      <a:hlink>
        <a:srgbClr val="0563C1"/>
      </a:hlink>
      <a:folHlink>
        <a:srgbClr val="954F72"/>
      </a:folHlink>
    </a:clrScheme>
    <a:fontScheme name="IIGCC_Fonts">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IGCC_Theme" id="{3B138610-62E6-4CE9-909E-4770985B5CDB}" vid="{AAE1A5BD-E00F-4A29-9173-BD9B901CC4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040B23526414F86D566C1534C2F6B" ma:contentTypeVersion="21" ma:contentTypeDescription="Create a new document." ma:contentTypeScope="" ma:versionID="cb3864ab458db4f5e8363bf9d9863116">
  <xsd:schema xmlns:xsd="http://www.w3.org/2001/XMLSchema" xmlns:xs="http://www.w3.org/2001/XMLSchema" xmlns:p="http://schemas.microsoft.com/office/2006/metadata/properties" xmlns:ns1="http://schemas.microsoft.com/sharepoint/v3" xmlns:ns2="bba0be18-b10b-4cc3-b717-83a87bfa736c" xmlns:ns3="3c11f6f6-ee3c-4e32-bab1-3707a07f61f3" targetNamespace="http://schemas.microsoft.com/office/2006/metadata/properties" ma:root="true" ma:fieldsID="3e110831a4b5fee8dd713e70e0e70d22" ns1:_="" ns2:_="" ns3:_="">
    <xsd:import namespace="http://schemas.microsoft.com/sharepoint/v3"/>
    <xsd:import namespace="bba0be18-b10b-4cc3-b717-83a87bfa736c"/>
    <xsd:import namespace="3c11f6f6-ee3c-4e32-bab1-3707a07f61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Dat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0be18-b10b-4cc3-b717-83a87bfa7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ea7640c-51cc-483a-bdd6-30587774ad92}" ma:internalName="TaxCatchAll" ma:showField="CatchAllData" ma:web="bba0be18-b10b-4cc3-b717-83a87bfa73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11f6f6-ee3c-4e32-bab1-3707a07f61f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0411674-8b6c-4ff2-843d-d4ec9d98e1f5" ma:termSetId="09814cd3-568e-fe90-9814-8d621ff8fb84" ma:anchorId="fba54fb3-c3e1-fe81-a776-ca4b69148c4d" ma:open="true" ma:isKeyword="false">
      <xsd:complexType>
        <xsd:sequence>
          <xsd:element ref="pc:Terms" minOccurs="0" maxOccurs="1"/>
        </xsd:sequence>
      </xsd:complexType>
    </xsd:element>
    <xsd:element name="Date" ma:index="26" nillable="true" ma:displayName="Date" ma:format="DateOnly" ma:internalName="Dat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1f6f6-ee3c-4e32-bab1-3707a07f61f3">
      <Terms xmlns="http://schemas.microsoft.com/office/infopath/2007/PartnerControls"/>
    </lcf76f155ced4ddcb4097134ff3c332f>
    <TaxCatchAll xmlns="bba0be18-b10b-4cc3-b717-83a87bfa736c" xsi:nil="true"/>
    <_ip_UnifiedCompliancePolicyUIAction xmlns="http://schemas.microsoft.com/sharepoint/v3" xsi:nil="true"/>
    <_ip_UnifiedCompliancePolicyProperties xmlns="http://schemas.microsoft.com/sharepoint/v3" xsi:nil="true"/>
    <Date xmlns="3c11f6f6-ee3c-4e32-bab1-3707a07f61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3EC3-9336-428E-8E75-731F2E7C0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a0be18-b10b-4cc3-b717-83a87bfa736c"/>
    <ds:schemaRef ds:uri="3c11f6f6-ee3c-4e32-bab1-3707a07f6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D07D0-8E8C-4F79-8172-934227022977}">
  <ds:schemaRefs>
    <ds:schemaRef ds:uri="http://schemas.microsoft.com/office/2006/metadata/properties"/>
    <ds:schemaRef ds:uri="http://schemas.microsoft.com/office/infopath/2007/PartnerControls"/>
    <ds:schemaRef ds:uri="3c11f6f6-ee3c-4e32-bab1-3707a07f61f3"/>
    <ds:schemaRef ds:uri="bba0be18-b10b-4cc3-b717-83a87bfa736c"/>
    <ds:schemaRef ds:uri="http://schemas.microsoft.com/sharepoint/v3"/>
  </ds:schemaRefs>
</ds:datastoreItem>
</file>

<file path=customXml/itemProps3.xml><?xml version="1.0" encoding="utf-8"?>
<ds:datastoreItem xmlns:ds="http://schemas.openxmlformats.org/officeDocument/2006/customXml" ds:itemID="{03F15B7E-D0DA-43A8-BE01-715EB22799C8}">
  <ds:schemaRefs>
    <ds:schemaRef ds:uri="http://schemas.microsoft.com/sharepoint/v3/contenttype/forms"/>
  </ds:schemaRefs>
</ds:datastoreItem>
</file>

<file path=customXml/itemProps4.xml><?xml version="1.0" encoding="utf-8"?>
<ds:datastoreItem xmlns:ds="http://schemas.openxmlformats.org/officeDocument/2006/customXml" ds:itemID="{A6A6ACB1-B777-4D99-9D48-568271DE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Links>
    <vt:vector size="270" baseType="variant">
      <vt:variant>
        <vt:i4>1114177</vt:i4>
      </vt:variant>
      <vt:variant>
        <vt:i4>21</vt:i4>
      </vt:variant>
      <vt:variant>
        <vt:i4>0</vt:i4>
      </vt:variant>
      <vt:variant>
        <vt:i4>5</vt:i4>
      </vt:variant>
      <vt:variant>
        <vt:lpwstr>https://139838633.fs1.hubspotusercontent-eu1.net/hubfs/139838633/2023 resource uploads/FCA Engagement Paper 1 and 4 - IIGCC Response.pdf</vt:lpwstr>
      </vt:variant>
      <vt:variant>
        <vt:lpwstr/>
      </vt:variant>
      <vt:variant>
        <vt:i4>6094859</vt:i4>
      </vt:variant>
      <vt:variant>
        <vt:i4>18</vt:i4>
      </vt:variant>
      <vt:variant>
        <vt:i4>0</vt:i4>
      </vt:variant>
      <vt:variant>
        <vt:i4>5</vt:i4>
      </vt:variant>
      <vt:variant>
        <vt:lpwstr>https://www.iigcc.org/resources/net-zero-bondholder-stewardship-guidance</vt:lpwstr>
      </vt:variant>
      <vt:variant>
        <vt:lpwstr/>
      </vt:variant>
      <vt:variant>
        <vt:i4>8257568</vt:i4>
      </vt:variant>
      <vt:variant>
        <vt:i4>15</vt:i4>
      </vt:variant>
      <vt:variant>
        <vt:i4>0</vt:i4>
      </vt:variant>
      <vt:variant>
        <vt:i4>5</vt:i4>
      </vt:variant>
      <vt:variant>
        <vt:lpwstr>https://www.iigcc.org/resources/iigcc-response-to-two-fca-engagement-papers</vt:lpwstr>
      </vt:variant>
      <vt:variant>
        <vt:lpwstr/>
      </vt:variant>
      <vt:variant>
        <vt:i4>8257656</vt:i4>
      </vt:variant>
      <vt:variant>
        <vt:i4>12</vt:i4>
      </vt:variant>
      <vt:variant>
        <vt:i4>0</vt:i4>
      </vt:variant>
      <vt:variant>
        <vt:i4>5</vt:i4>
      </vt:variant>
      <vt:variant>
        <vt:lpwstr>https://transitionpathwayinitiative.org/publications/2024-setting-the-standard-assessing-oil-and-gas-companies-transition-plans</vt:lpwstr>
      </vt:variant>
      <vt:variant>
        <vt:lpwstr/>
      </vt:variant>
      <vt:variant>
        <vt:i4>1507343</vt:i4>
      </vt:variant>
      <vt:variant>
        <vt:i4>9</vt:i4>
      </vt:variant>
      <vt:variant>
        <vt:i4>0</vt:i4>
      </vt:variant>
      <vt:variant>
        <vt:i4>5</vt:i4>
      </vt:variant>
      <vt:variant>
        <vt:lpwstr>https://carbontracker.org/reports/unburnable-carbon-ten-years-on/</vt:lpwstr>
      </vt:variant>
      <vt:variant>
        <vt:lpwstr/>
      </vt:variant>
      <vt:variant>
        <vt:i4>4521992</vt:i4>
      </vt:variant>
      <vt:variant>
        <vt:i4>6</vt:i4>
      </vt:variant>
      <vt:variant>
        <vt:i4>0</vt:i4>
      </vt:variant>
      <vt:variant>
        <vt:i4>5</vt:i4>
      </vt:variant>
      <vt:variant>
        <vt:lpwstr>https://www.fca.org.uk/publication/policy/ps21-23.pdf</vt:lpwstr>
      </vt:variant>
      <vt:variant>
        <vt:lpwstr/>
      </vt:variant>
      <vt:variant>
        <vt:i4>7667810</vt:i4>
      </vt:variant>
      <vt:variant>
        <vt:i4>3</vt:i4>
      </vt:variant>
      <vt:variant>
        <vt:i4>0</vt:i4>
      </vt:variant>
      <vt:variant>
        <vt:i4>5</vt:i4>
      </vt:variant>
      <vt:variant>
        <vt:lpwstr>https://www.fca.org.uk/publications/consultation-papers/cp24-12-consultation-new-public-offers-admission-trading-regulations-regime-poatrs</vt:lpwstr>
      </vt:variant>
      <vt:variant>
        <vt:lpwstr/>
      </vt:variant>
      <vt:variant>
        <vt:i4>2621555</vt:i4>
      </vt:variant>
      <vt:variant>
        <vt:i4>0</vt:i4>
      </vt:variant>
      <vt:variant>
        <vt:i4>0</vt:i4>
      </vt:variant>
      <vt:variant>
        <vt:i4>5</vt:i4>
      </vt:variant>
      <vt:variant>
        <vt:lpwstr>https://www.fca.org.uk/publication/consultation/cp24-12.pdf</vt:lpwstr>
      </vt:variant>
      <vt:variant>
        <vt:lpwstr/>
      </vt:variant>
      <vt:variant>
        <vt:i4>3407949</vt:i4>
      </vt:variant>
      <vt:variant>
        <vt:i4>108</vt:i4>
      </vt:variant>
      <vt:variant>
        <vt:i4>0</vt:i4>
      </vt:variant>
      <vt:variant>
        <vt:i4>5</vt:i4>
      </vt:variant>
      <vt:variant>
        <vt:lpwstr>https://papers.ssrn.com/sol3/papers.cfm?abstract_id=4350209</vt:lpwstr>
      </vt:variant>
      <vt:variant>
        <vt:lpwstr/>
      </vt:variant>
      <vt:variant>
        <vt:i4>3801141</vt:i4>
      </vt:variant>
      <vt:variant>
        <vt:i4>105</vt:i4>
      </vt:variant>
      <vt:variant>
        <vt:i4>0</vt:i4>
      </vt:variant>
      <vt:variant>
        <vt:i4>5</vt:i4>
      </vt:variant>
      <vt:variant>
        <vt:lpwstr>https://www.icmagroup.org/assets/documents/Sustainable-finance/2022-updates/Green-Bond-Principles-June-2022-060623.pdf</vt:lpwstr>
      </vt:variant>
      <vt:variant>
        <vt:lpwstr/>
      </vt:variant>
      <vt:variant>
        <vt:i4>2097197</vt:i4>
      </vt:variant>
      <vt:variant>
        <vt:i4>102</vt:i4>
      </vt:variant>
      <vt:variant>
        <vt:i4>0</vt:i4>
      </vt:variant>
      <vt:variant>
        <vt:i4>5</vt:i4>
      </vt:variant>
      <vt:variant>
        <vt:lpwstr>https://www.iigcc.org/hubfs/2024 resources uploads/Net Zero Bondholder Stewardship Engaging Labelled Debt Guidance.pdf</vt:lpwstr>
      </vt:variant>
      <vt:variant>
        <vt:lpwstr/>
      </vt:variant>
      <vt:variant>
        <vt:i4>7864431</vt:i4>
      </vt:variant>
      <vt:variant>
        <vt:i4>99</vt:i4>
      </vt:variant>
      <vt:variant>
        <vt:i4>0</vt:i4>
      </vt:variant>
      <vt:variant>
        <vt:i4>5</vt:i4>
      </vt:variant>
      <vt:variant>
        <vt:lpwstr>https://www.icmagroup.org/assets/documents/Sustainable-finance/2024-updates/Sustainability-Linked-Bond-Principles-June-2024.pdf</vt:lpwstr>
      </vt:variant>
      <vt:variant>
        <vt:lpwstr/>
      </vt:variant>
      <vt:variant>
        <vt:i4>3539024</vt:i4>
      </vt:variant>
      <vt:variant>
        <vt:i4>96</vt:i4>
      </vt:variant>
      <vt:variant>
        <vt:i4>0</vt:i4>
      </vt:variant>
      <vt:variant>
        <vt:i4>5</vt:i4>
      </vt:variant>
      <vt:variant>
        <vt:lpwstr>https://www.climatebonds.net/files/reports/cbi_post-issuance-reporting_032019_web.pdf</vt:lpwstr>
      </vt:variant>
      <vt:variant>
        <vt:lpwstr/>
      </vt:variant>
      <vt:variant>
        <vt:i4>6094859</vt:i4>
      </vt:variant>
      <vt:variant>
        <vt:i4>93</vt:i4>
      </vt:variant>
      <vt:variant>
        <vt:i4>0</vt:i4>
      </vt:variant>
      <vt:variant>
        <vt:i4>5</vt:i4>
      </vt:variant>
      <vt:variant>
        <vt:lpwstr>https://www.iigcc.org/resources/net-zero-bondholder-stewardship-guidance</vt:lpwstr>
      </vt:variant>
      <vt:variant>
        <vt:lpwstr/>
      </vt:variant>
      <vt:variant>
        <vt:i4>83</vt:i4>
      </vt:variant>
      <vt:variant>
        <vt:i4>90</vt:i4>
      </vt:variant>
      <vt:variant>
        <vt:i4>0</vt:i4>
      </vt:variant>
      <vt:variant>
        <vt:i4>5</vt:i4>
      </vt:variant>
      <vt:variant>
        <vt:lpwstr>https://www.icmagroup.org/sustainable-finance/</vt:lpwstr>
      </vt:variant>
      <vt:variant>
        <vt:lpwstr>:~:text=ICMA%20Paper,-Transition%20Finance%20in&amp;text=ICMA%20provides%20the%20Secretariat%20for,Sustainable%20Finance%20website%20section%20are:</vt:lpwstr>
      </vt:variant>
      <vt:variant>
        <vt:i4>6094859</vt:i4>
      </vt:variant>
      <vt:variant>
        <vt:i4>87</vt:i4>
      </vt:variant>
      <vt:variant>
        <vt:i4>0</vt:i4>
      </vt:variant>
      <vt:variant>
        <vt:i4>5</vt:i4>
      </vt:variant>
      <vt:variant>
        <vt:lpwstr>https://www.iigcc.org/resources/net-zero-bondholder-stewardship-guidance</vt:lpwstr>
      </vt:variant>
      <vt:variant>
        <vt:lpwstr/>
      </vt:variant>
      <vt:variant>
        <vt:i4>3407949</vt:i4>
      </vt:variant>
      <vt:variant>
        <vt:i4>84</vt:i4>
      </vt:variant>
      <vt:variant>
        <vt:i4>0</vt:i4>
      </vt:variant>
      <vt:variant>
        <vt:i4>5</vt:i4>
      </vt:variant>
      <vt:variant>
        <vt:lpwstr>https://papers.ssrn.com/sol3/papers.cfm?abstract_id=4350209</vt:lpwstr>
      </vt:variant>
      <vt:variant>
        <vt:lpwstr/>
      </vt:variant>
      <vt:variant>
        <vt:i4>83</vt:i4>
      </vt:variant>
      <vt:variant>
        <vt:i4>81</vt:i4>
      </vt:variant>
      <vt:variant>
        <vt:i4>0</vt:i4>
      </vt:variant>
      <vt:variant>
        <vt:i4>5</vt:i4>
      </vt:variant>
      <vt:variant>
        <vt:lpwstr>https://www.icmagroup.org/sustainable-finance/</vt:lpwstr>
      </vt:variant>
      <vt:variant>
        <vt:lpwstr>:~:text=ICMA%20Paper,-Transition%20Finance%20in&amp;text=ICMA%20provides%20the%20Secretariat%20for,Sustainable%20Finance%20website%20section%20are:</vt:lpwstr>
      </vt:variant>
      <vt:variant>
        <vt:i4>6750313</vt:i4>
      </vt:variant>
      <vt:variant>
        <vt:i4>78</vt:i4>
      </vt:variant>
      <vt:variant>
        <vt:i4>0</vt:i4>
      </vt:variant>
      <vt:variant>
        <vt:i4>5</vt:i4>
      </vt:variant>
      <vt:variant>
        <vt:lpwstr>https://anthropocenefii.org/climate-risk-pricing/buyers-of-long-dated-oil-bonds-beware</vt:lpwstr>
      </vt:variant>
      <vt:variant>
        <vt:lpwstr/>
      </vt:variant>
      <vt:variant>
        <vt:i4>7995430</vt:i4>
      </vt:variant>
      <vt:variant>
        <vt:i4>75</vt:i4>
      </vt:variant>
      <vt:variant>
        <vt:i4>0</vt:i4>
      </vt:variant>
      <vt:variant>
        <vt:i4>5</vt:i4>
      </vt:variant>
      <vt:variant>
        <vt:lpwstr>https://theconversation.com/oil-firms-forced-to-consider-full-climate-effects-of-new-drilling-following-landmark-norwegian-court-ruling-221810</vt:lpwstr>
      </vt:variant>
      <vt:variant>
        <vt:lpwstr/>
      </vt:variant>
      <vt:variant>
        <vt:i4>2359415</vt:i4>
      </vt:variant>
      <vt:variant>
        <vt:i4>72</vt:i4>
      </vt:variant>
      <vt:variant>
        <vt:i4>0</vt:i4>
      </vt:variant>
      <vt:variant>
        <vt:i4>5</vt:i4>
      </vt:variant>
      <vt:variant>
        <vt:lpwstr>https://www.theplanner.co.uk/2024/09/16/controversial-coal-mine-consent-blocked-high-court</vt:lpwstr>
      </vt:variant>
      <vt:variant>
        <vt:lpwstr>:~:text=In%20the%20case%20of%20the%20West%20Cumbria,just%20the%20impacts%20of%20the%20facility%20itself.</vt:lpwstr>
      </vt:variant>
      <vt:variant>
        <vt:i4>393226</vt:i4>
      </vt:variant>
      <vt:variant>
        <vt:i4>69</vt:i4>
      </vt:variant>
      <vt:variant>
        <vt:i4>0</vt:i4>
      </vt:variant>
      <vt:variant>
        <vt:i4>5</vt:i4>
      </vt:variant>
      <vt:variant>
        <vt:lpwstr>https://www.iigcc.org/resources/investor-expectations-for-paris-aligned-accounts</vt:lpwstr>
      </vt:variant>
      <vt:variant>
        <vt:lpwstr/>
      </vt:variant>
      <vt:variant>
        <vt:i4>1114180</vt:i4>
      </vt:variant>
      <vt:variant>
        <vt:i4>66</vt:i4>
      </vt:variant>
      <vt:variant>
        <vt:i4>0</vt:i4>
      </vt:variant>
      <vt:variant>
        <vt:i4>5</vt:i4>
      </vt:variant>
      <vt:variant>
        <vt:lpwstr>https://www.iea.org/news/slowing-demand-growth-and-surging-supply-put-global-oil-markets-on-course-for-major-surplus-this-decade</vt:lpwstr>
      </vt:variant>
      <vt:variant>
        <vt:lpwstr/>
      </vt:variant>
      <vt:variant>
        <vt:i4>7274538</vt:i4>
      </vt:variant>
      <vt:variant>
        <vt:i4>63</vt:i4>
      </vt:variant>
      <vt:variant>
        <vt:i4>0</vt:i4>
      </vt:variant>
      <vt:variant>
        <vt:i4>5</vt:i4>
      </vt:variant>
      <vt:variant>
        <vt:lpwstr>https://unfccc.int/sites/default/files/english_paris_agreement.pdf</vt:lpwstr>
      </vt:variant>
      <vt:variant>
        <vt:lpwstr/>
      </vt:variant>
      <vt:variant>
        <vt:i4>3997802</vt:i4>
      </vt:variant>
      <vt:variant>
        <vt:i4>60</vt:i4>
      </vt:variant>
      <vt:variant>
        <vt:i4>0</vt:i4>
      </vt:variant>
      <vt:variant>
        <vt:i4>5</vt:i4>
      </vt:variant>
      <vt:variant>
        <vt:lpwstr>https://www.fca.org.uk/publication/primary-market/tn-619-1.pdf</vt:lpwstr>
      </vt:variant>
      <vt:variant>
        <vt:lpwstr/>
      </vt:variant>
      <vt:variant>
        <vt:i4>7733353</vt:i4>
      </vt:variant>
      <vt:variant>
        <vt:i4>57</vt:i4>
      </vt:variant>
      <vt:variant>
        <vt:i4>0</vt:i4>
      </vt:variant>
      <vt:variant>
        <vt:i4>5</vt:i4>
      </vt:variant>
      <vt:variant>
        <vt:lpwstr>https://www.climateaction100.org/news/10-company-assessments-against-the-net-zero-standard-for-oil-gas-made-available-to-investor-signatories/</vt:lpwstr>
      </vt:variant>
      <vt:variant>
        <vt:lpwstr/>
      </vt:variant>
      <vt:variant>
        <vt:i4>7667756</vt:i4>
      </vt:variant>
      <vt:variant>
        <vt:i4>54</vt:i4>
      </vt:variant>
      <vt:variant>
        <vt:i4>0</vt:i4>
      </vt:variant>
      <vt:variant>
        <vt:i4>5</vt:i4>
      </vt:variant>
      <vt:variant>
        <vt:lpwstr>https://transitionpathwayinitiative.org/publications/uploads/2024-setting-the-standard-assessing-oil-and-gas-companies-transition-plans</vt:lpwstr>
      </vt:variant>
      <vt:variant>
        <vt:lpwstr/>
      </vt:variant>
      <vt:variant>
        <vt:i4>1507343</vt:i4>
      </vt:variant>
      <vt:variant>
        <vt:i4>51</vt:i4>
      </vt:variant>
      <vt:variant>
        <vt:i4>0</vt:i4>
      </vt:variant>
      <vt:variant>
        <vt:i4>5</vt:i4>
      </vt:variant>
      <vt:variant>
        <vt:lpwstr>https://carbontracker.org/reports/unburnable-carbon-ten-years-on/</vt:lpwstr>
      </vt:variant>
      <vt:variant>
        <vt:lpwstr/>
      </vt:variant>
      <vt:variant>
        <vt:i4>5963779</vt:i4>
      </vt:variant>
      <vt:variant>
        <vt:i4>48</vt:i4>
      </vt:variant>
      <vt:variant>
        <vt:i4>0</vt:i4>
      </vt:variant>
      <vt:variant>
        <vt:i4>5</vt:i4>
      </vt:variant>
      <vt:variant>
        <vt:lpwstr>https://www.iea.org/reports/world-energy-outlook-2023</vt:lpwstr>
      </vt:variant>
      <vt:variant>
        <vt:lpwstr/>
      </vt:variant>
      <vt:variant>
        <vt:i4>5242900</vt:i4>
      </vt:variant>
      <vt:variant>
        <vt:i4>45</vt:i4>
      </vt:variant>
      <vt:variant>
        <vt:i4>0</vt:i4>
      </vt:variant>
      <vt:variant>
        <vt:i4>5</vt:i4>
      </vt:variant>
      <vt:variant>
        <vt:lpwstr>https://www.unepfi.org/wordpress/wp-content/uploads/2023/04/Oil-and-Gas-Sector-Risks.pdf</vt:lpwstr>
      </vt:variant>
      <vt:variant>
        <vt:lpwstr/>
      </vt:variant>
      <vt:variant>
        <vt:i4>2883639</vt:i4>
      </vt:variant>
      <vt:variant>
        <vt:i4>42</vt:i4>
      </vt:variant>
      <vt:variant>
        <vt:i4>0</vt:i4>
      </vt:variant>
      <vt:variant>
        <vt:i4>5</vt:i4>
      </vt:variant>
      <vt:variant>
        <vt:lpwstr>Investor Expectations for Paris aligned accounts, IIGCC, December 20203</vt:lpwstr>
      </vt:variant>
      <vt:variant>
        <vt:lpwstr/>
      </vt:variant>
      <vt:variant>
        <vt:i4>6684749</vt:i4>
      </vt:variant>
      <vt:variant>
        <vt:i4>39</vt:i4>
      </vt:variant>
      <vt:variant>
        <vt:i4>0</vt:i4>
      </vt:variant>
      <vt:variant>
        <vt:i4>5</vt:i4>
      </vt:variant>
      <vt:variant>
        <vt:lpwstr>https://media.frc.org.uk/documents/Thematic_review_of_climate-related_metrics_and_targets_2023.pdf</vt:lpwstr>
      </vt:variant>
      <vt:variant>
        <vt:lpwstr/>
      </vt:variant>
      <vt:variant>
        <vt:i4>8323194</vt:i4>
      </vt:variant>
      <vt:variant>
        <vt:i4>36</vt:i4>
      </vt:variant>
      <vt:variant>
        <vt:i4>0</vt:i4>
      </vt:variant>
      <vt:variant>
        <vt:i4>5</vt:i4>
      </vt:variant>
      <vt:variant>
        <vt:lpwstr>https://www.ifrs.org/news-and-events/news/2023/03/connectivity-what-is-it-and-what-does-it-deliver/</vt:lpwstr>
      </vt:variant>
      <vt:variant>
        <vt:lpwstr/>
      </vt:variant>
      <vt:variant>
        <vt:i4>6619168</vt:i4>
      </vt:variant>
      <vt:variant>
        <vt:i4>33</vt:i4>
      </vt:variant>
      <vt:variant>
        <vt:i4>0</vt:i4>
      </vt:variant>
      <vt:variant>
        <vt:i4>5</vt:i4>
      </vt:variant>
      <vt:variant>
        <vt:lpwstr>https://www.ecb.europa.eu/pub/pdf/scpwps/ecb.wp2969~0f4c56a156.en.pdf?b6e005d7334de68ad976f24bd9ae5759</vt:lpwstr>
      </vt:variant>
      <vt:variant>
        <vt:lpwstr/>
      </vt:variant>
      <vt:variant>
        <vt:i4>1245184</vt:i4>
      </vt:variant>
      <vt:variant>
        <vt:i4>30</vt:i4>
      </vt:variant>
      <vt:variant>
        <vt:i4>0</vt:i4>
      </vt:variant>
      <vt:variant>
        <vt:i4>5</vt:i4>
      </vt:variant>
      <vt:variant>
        <vt:lpwstr>https://www.theglobalcity.uk/PositiveWebsite/media/Research-reports/Scaling-Transition-Finance-Report.pdf</vt:lpwstr>
      </vt:variant>
      <vt:variant>
        <vt:lpwstr/>
      </vt:variant>
      <vt:variant>
        <vt:i4>983134</vt:i4>
      </vt:variant>
      <vt:variant>
        <vt:i4>27</vt:i4>
      </vt:variant>
      <vt:variant>
        <vt:i4>0</vt:i4>
      </vt:variant>
      <vt:variant>
        <vt:i4>5</vt:i4>
      </vt:variant>
      <vt:variant>
        <vt:lpwstr>https://anthropocenefii.org/downloads/AFII-Beware-Long-Oil-Bonds.pdf</vt:lpwstr>
      </vt:variant>
      <vt:variant>
        <vt:lpwstr/>
      </vt:variant>
      <vt:variant>
        <vt:i4>983134</vt:i4>
      </vt:variant>
      <vt:variant>
        <vt:i4>24</vt:i4>
      </vt:variant>
      <vt:variant>
        <vt:i4>0</vt:i4>
      </vt:variant>
      <vt:variant>
        <vt:i4>5</vt:i4>
      </vt:variant>
      <vt:variant>
        <vt:lpwstr>https://anthropocenefii.org/downloads/AFII-Beware-Long-Oil-Bonds.pdf</vt:lpwstr>
      </vt:variant>
      <vt:variant>
        <vt:lpwstr/>
      </vt:variant>
      <vt:variant>
        <vt:i4>3670092</vt:i4>
      </vt:variant>
      <vt:variant>
        <vt:i4>21</vt:i4>
      </vt:variant>
      <vt:variant>
        <vt:i4>0</vt:i4>
      </vt:variant>
      <vt:variant>
        <vt:i4>5</vt:i4>
      </vt:variant>
      <vt:variant>
        <vt:lpwstr>https://www.lseg.com/content/dam/lseg/en_us/documents/sustainability/tracing-carbon-intensive-debt-lseg.pdf</vt:lpwstr>
      </vt:variant>
      <vt:variant>
        <vt:lpwstr/>
      </vt:variant>
      <vt:variant>
        <vt:i4>3670092</vt:i4>
      </vt:variant>
      <vt:variant>
        <vt:i4>18</vt:i4>
      </vt:variant>
      <vt:variant>
        <vt:i4>0</vt:i4>
      </vt:variant>
      <vt:variant>
        <vt:i4>5</vt:i4>
      </vt:variant>
      <vt:variant>
        <vt:lpwstr>https://www.lseg.com/content/dam/lseg/en_us/documents/sustainability/tracing-carbon-intensive-debt-lseg.pdf</vt:lpwstr>
      </vt:variant>
      <vt:variant>
        <vt:lpwstr/>
      </vt:variant>
      <vt:variant>
        <vt:i4>7143533</vt:i4>
      </vt:variant>
      <vt:variant>
        <vt:i4>15</vt:i4>
      </vt:variant>
      <vt:variant>
        <vt:i4>0</vt:i4>
      </vt:variant>
      <vt:variant>
        <vt:i4>5</vt:i4>
      </vt:variant>
      <vt:variant>
        <vt:lpwstr>https://www.iigcc.org/hubfs/NZIF 2.0 Report PDF.pdf</vt:lpwstr>
      </vt:variant>
      <vt:variant>
        <vt:lpwstr/>
      </vt:variant>
      <vt:variant>
        <vt:i4>3670092</vt:i4>
      </vt:variant>
      <vt:variant>
        <vt:i4>12</vt:i4>
      </vt:variant>
      <vt:variant>
        <vt:i4>0</vt:i4>
      </vt:variant>
      <vt:variant>
        <vt:i4>5</vt:i4>
      </vt:variant>
      <vt:variant>
        <vt:lpwstr>https://www.lseg.com/content/dam/lseg/en_us/documents/sustainability/tracing-carbon-intensive-debt-lseg.pdf</vt:lpwstr>
      </vt:variant>
      <vt:variant>
        <vt:lpwstr/>
      </vt:variant>
      <vt:variant>
        <vt:i4>6094859</vt:i4>
      </vt:variant>
      <vt:variant>
        <vt:i4>9</vt:i4>
      </vt:variant>
      <vt:variant>
        <vt:i4>0</vt:i4>
      </vt:variant>
      <vt:variant>
        <vt:i4>5</vt:i4>
      </vt:variant>
      <vt:variant>
        <vt:lpwstr>https://www.iigcc.org/resources/net-zero-bondholder-stewardship-guidance</vt:lpwstr>
      </vt:variant>
      <vt:variant>
        <vt:lpwstr/>
      </vt:variant>
      <vt:variant>
        <vt:i4>7602288</vt:i4>
      </vt:variant>
      <vt:variant>
        <vt:i4>6</vt:i4>
      </vt:variant>
      <vt:variant>
        <vt:i4>0</vt:i4>
      </vt:variant>
      <vt:variant>
        <vt:i4>5</vt:i4>
      </vt:variant>
      <vt:variant>
        <vt:lpwstr>https://academic.oup.com/joeg/article/21/1/141/6042790</vt:lpwstr>
      </vt:variant>
      <vt:variant>
        <vt:lpwstr/>
      </vt:variant>
      <vt:variant>
        <vt:i4>3670092</vt:i4>
      </vt:variant>
      <vt:variant>
        <vt:i4>3</vt:i4>
      </vt:variant>
      <vt:variant>
        <vt:i4>0</vt:i4>
      </vt:variant>
      <vt:variant>
        <vt:i4>5</vt:i4>
      </vt:variant>
      <vt:variant>
        <vt:lpwstr>https://www.lseg.com/content/dam/lseg/en_us/documents/sustainability/tracing-carbon-intensive-debt-lseg.pdf</vt:lpwstr>
      </vt:variant>
      <vt:variant>
        <vt:lpwstr/>
      </vt:variant>
      <vt:variant>
        <vt:i4>3866698</vt:i4>
      </vt:variant>
      <vt:variant>
        <vt:i4>0</vt:i4>
      </vt:variant>
      <vt:variant>
        <vt:i4>0</vt:i4>
      </vt:variant>
      <vt:variant>
        <vt:i4>5</vt:i4>
      </vt:variant>
      <vt:variant>
        <vt:lpwstr>https://papers.ssrn.com/sol3/papers.cfm?abstract_id=4957523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Laith Cahill</dc:creator>
  <cp:keywords/>
  <dc:description/>
  <cp:lastModifiedBy>Laith Cahill</cp:lastModifiedBy>
  <cp:revision>2</cp:revision>
  <cp:lastPrinted>2024-10-12T12:55:00Z</cp:lastPrinted>
  <dcterms:created xsi:type="dcterms:W3CDTF">2024-12-20T09:35:00Z</dcterms:created>
  <dcterms:modified xsi:type="dcterms:W3CDTF">2024-12-20T09:35:00Z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0x0101001393878ECA10FD4DA336E1C21707BFCE</vt:lpwstr>
  </property>
  <property fmtid="{D5CDD505-2E9C-101B-9397-08002B2CF9AE}" pid="3" name="MediaServiceImageTags">
    <vt:lpwstr/>
  </property>
</Properties>
</file>