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Sottotitolo"/>
      </w:pPr>
      <w:r>
        <w:t>Review of RTS 22 on transaction data reporting under Art. 26 and RTS 24 on order book data to be maintained under Art. 25 of MiFIR</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Paragrafoelenco"/>
        <w:numPr>
          <w:ilvl w:val="0"/>
          <w:numId w:val="35"/>
        </w:numPr>
        <w:contextualSpacing w:val="0"/>
      </w:pPr>
      <w:r w:rsidRPr="005B6B12">
        <w:t>respond to the question stated;</w:t>
      </w:r>
    </w:p>
    <w:p w14:paraId="73161343" w14:textId="77777777" w:rsidR="00E70E2E" w:rsidRPr="005B6B12" w:rsidRDefault="00E70E2E" w:rsidP="00E43387">
      <w:pPr>
        <w:pStyle w:val="Paragrafoelenco"/>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Paragrafoelenco"/>
        <w:numPr>
          <w:ilvl w:val="0"/>
          <w:numId w:val="35"/>
        </w:numPr>
        <w:contextualSpacing w:val="0"/>
      </w:pPr>
      <w:r w:rsidRPr="005B6B12">
        <w:t>contain a clear rationale; and</w:t>
      </w:r>
    </w:p>
    <w:p w14:paraId="30D73002" w14:textId="77777777" w:rsidR="00E70E2E" w:rsidRPr="005B6B12" w:rsidRDefault="00E70E2E" w:rsidP="00E43387">
      <w:pPr>
        <w:pStyle w:val="Paragrafoelenco"/>
        <w:numPr>
          <w:ilvl w:val="0"/>
          <w:numId w:val="35"/>
        </w:numPr>
        <w:contextualSpacing w:val="0"/>
      </w:pPr>
      <w:r w:rsidRPr="005B6B12">
        <w:t>describe any alternatives ESMA should consider.</w:t>
      </w:r>
    </w:p>
    <w:p w14:paraId="4A599464" w14:textId="4BD397D4" w:rsidR="00E70E2E" w:rsidRDefault="00E70E2E" w:rsidP="00E70E2E">
      <w:pPr>
        <w:rPr>
          <w:b/>
        </w:rPr>
      </w:pPr>
      <w:r w:rsidRPr="005B6B12">
        <w:t xml:space="preserve">ESMA will consider all comments </w:t>
      </w:r>
      <w:r w:rsidRPr="009E1C55">
        <w:t xml:space="preserve">received by </w:t>
      </w:r>
      <w:r w:rsidR="004F1CC8" w:rsidRPr="004F1CC8">
        <w:rPr>
          <w:b/>
        </w:rPr>
        <w:t>17</w:t>
      </w:r>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Paragrafoelenco"/>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020FF67" w:rsidR="009D6E99" w:rsidRPr="00863BFD" w:rsidRDefault="009D6E99" w:rsidP="00E43387">
      <w:pPr>
        <w:pStyle w:val="Paragrafoelenco"/>
        <w:numPr>
          <w:ilvl w:val="0"/>
          <w:numId w:val="35"/>
        </w:numPr>
        <w:contextualSpacing w:val="0"/>
      </w:pPr>
      <w:r w:rsidRPr="00863BFD">
        <w:t>Please do not remove tags of the type &lt;ESMA_QUESTION</w:t>
      </w:r>
      <w:r w:rsidR="00C05202">
        <w:t>_</w:t>
      </w:r>
      <w:r w:rsidR="00835CC2">
        <w:t>CP</w:t>
      </w:r>
      <w:r w:rsidR="009E1C55">
        <w:t>3</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Paragrafoelenco"/>
        <w:numPr>
          <w:ilvl w:val="0"/>
          <w:numId w:val="35"/>
        </w:numPr>
        <w:contextualSpacing w:val="0"/>
      </w:pPr>
      <w:r w:rsidRPr="00863BFD">
        <w:t>If you do not wish to respond to a given question, please do not delete it but simply leave the text “TYPE YOUR TEXT HERE” between the tags.</w:t>
      </w:r>
    </w:p>
    <w:p w14:paraId="399C1605" w14:textId="4477A805" w:rsidR="009D6E99" w:rsidRDefault="009D6E99" w:rsidP="00E43387">
      <w:pPr>
        <w:pStyle w:val="Paragrafoelenco"/>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9E1C55">
        <w:t>3</w:t>
      </w:r>
      <w:r w:rsidRPr="00863BFD">
        <w:t xml:space="preserve">_nameofrespondent. </w:t>
      </w:r>
    </w:p>
    <w:p w14:paraId="115A7ABF" w14:textId="63A528C3" w:rsidR="009D6E99" w:rsidRDefault="009D6E99" w:rsidP="009D6E99">
      <w:pPr>
        <w:pStyle w:val="Paragrafoelenco"/>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9E1C55">
        <w:t>3</w:t>
      </w:r>
      <w:r>
        <w:t>_</w:t>
      </w:r>
      <w:r w:rsidRPr="00863BFD">
        <w:t>ABCD.</w:t>
      </w:r>
    </w:p>
    <w:p w14:paraId="175B3887" w14:textId="22A43A3A" w:rsidR="009D6E99" w:rsidRDefault="009D6E99" w:rsidP="00E43387">
      <w:pPr>
        <w:pStyle w:val="Paragrafoelenco"/>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Collegamentoipertestuale"/>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Collegamentoipertestuale"/>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Collegamentoipertestuale"/>
        </w:rPr>
        <w:t>‘</w:t>
      </w:r>
      <w:hyperlink r:id="rId23" w:history="1">
        <w:r>
          <w:rPr>
            <w:rStyle w:val="Collegamentoipertestuale"/>
          </w:rPr>
          <w:t>Data protection</w:t>
        </w:r>
      </w:hyperlink>
      <w:r>
        <w:rPr>
          <w:rStyle w:val="Collegamentoipertestuale"/>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Titolo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Testosegnaposto"/>
            </w:rPr>
            <w:id w:val="651570699"/>
            <w:text/>
          </w:sdtPr>
          <w:sdtEndPr>
            <w:rPr>
              <w:rStyle w:val="Testosegnaposto"/>
            </w:rPr>
          </w:sdtEndPr>
          <w:sdtContent>
            <w:tc>
              <w:tcPr>
                <w:tcW w:w="5595" w:type="dxa"/>
                <w:shd w:val="clear" w:color="auto" w:fill="auto"/>
                <w:vAlign w:val="center"/>
              </w:tcPr>
              <w:p w14:paraId="633DB1B6" w14:textId="2DC6C8D3" w:rsidR="00C2682A" w:rsidRPr="00104E00" w:rsidRDefault="00B6683E" w:rsidP="00104E00">
                <w:pPr>
                  <w:jc w:val="left"/>
                  <w:rPr>
                    <w:rStyle w:val="Testosegnaposto"/>
                  </w:rPr>
                </w:pPr>
                <w:r>
                  <w:rPr>
                    <w:rStyle w:val="Testosegnaposto"/>
                  </w:rPr>
                  <w:t>Italian Banking Association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243459D9" w:rsidR="00C2682A" w:rsidRPr="00104E00" w:rsidRDefault="00F4784C"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6683E">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43523FAA" w:rsidR="00C2682A" w:rsidRPr="00104E00" w:rsidRDefault="00B6683E"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17B67B3D" w:rsidR="00C2682A" w:rsidRPr="00104E00" w:rsidRDefault="00B6683E" w:rsidP="00104E00">
                <w:pPr>
                  <w:jc w:val="left"/>
                </w:pPr>
                <w:r>
                  <w:t>Italy</w:t>
                </w:r>
              </w:p>
            </w:tc>
          </w:sdtContent>
        </w:sdt>
      </w:tr>
      <w:permEnd w:id="1727412903"/>
    </w:tbl>
    <w:p w14:paraId="398E9C9E" w14:textId="10C9CC3D" w:rsidR="00C2682A" w:rsidRDefault="00C2682A" w:rsidP="00F716D4"/>
    <w:p w14:paraId="7F986E69" w14:textId="77777777" w:rsidR="00FA4100" w:rsidRDefault="00BB1973" w:rsidP="00FA4100">
      <w:pPr>
        <w:pStyle w:val="Titolo1"/>
      </w:pPr>
      <w:r>
        <w:t>Questions</w:t>
      </w:r>
      <w:bookmarkStart w:id="10" w:name="_Hlk124780170"/>
    </w:p>
    <w:bookmarkEnd w:id="9"/>
    <w:bookmarkEnd w:id="10"/>
    <w:p w14:paraId="1EC367CD" w14:textId="16908F92" w:rsidR="00E619AB" w:rsidRPr="00B25E0D" w:rsidRDefault="00E619AB" w:rsidP="0029493B">
      <w:pPr>
        <w:pStyle w:val="aNEW-Level4"/>
      </w:pPr>
    </w:p>
    <w:p w14:paraId="77898857" w14:textId="77777777" w:rsidR="0029493B" w:rsidRDefault="0029493B" w:rsidP="006B5DF1">
      <w:pPr>
        <w:pStyle w:val="Questionstyle"/>
      </w:pPr>
      <w:r>
        <w:t>Are any other adjustments needed to enable comprehensive and accurate reporting of transactions which will enter into scope of the revised Article 26(2)?</w:t>
      </w:r>
    </w:p>
    <w:p w14:paraId="1F1D5D7D" w14:textId="77777777" w:rsidR="006B5DF1" w:rsidRDefault="006B5DF1" w:rsidP="006B5DF1"/>
    <w:p w14:paraId="3C453C7F" w14:textId="270E5DE5" w:rsidR="006B5DF1" w:rsidRDefault="006B5DF1" w:rsidP="006B5DF1">
      <w:pPr>
        <w:spacing w:after="0"/>
      </w:pPr>
      <w:r>
        <w:t>&lt;ESMA_QUESTION_CP3_01&gt;</w:t>
      </w:r>
    </w:p>
    <w:p w14:paraId="472EA06A" w14:textId="4D30DEBE" w:rsidR="006B5DF1" w:rsidRDefault="00C5180B" w:rsidP="006B5DF1">
      <w:pPr>
        <w:spacing w:after="0"/>
      </w:pPr>
      <w:permStart w:id="1107116594" w:edGrp="everyone"/>
      <w:r w:rsidRPr="00F542EB">
        <w:rPr>
          <w:color w:val="0070C0"/>
        </w:rPr>
        <w:t xml:space="preserve">We do not have further adjustments to suggest to the new reporting scheme of transactions. However, we ask for the following clarification. Article 8a(2), par.(a), reads « (..) market operators and investment firms operating an MTF or an OTF </w:t>
      </w:r>
      <w:r w:rsidRPr="00F542EB">
        <w:rPr>
          <w:i/>
          <w:iCs/>
          <w:color w:val="0070C0"/>
        </w:rPr>
        <w:t>(..) make public current bid and offer prices and the depth of trading interests (..) in respect of OTC derivatives that (..) are subject to the clearing obligation under Title II of Regulation (EU) No 648/2012, are centrally cleared (..)</w:t>
      </w:r>
      <w:r w:rsidRPr="00F542EB">
        <w:rPr>
          <w:color w:val="0070C0"/>
        </w:rPr>
        <w:t>» etc. On the basis of our analysis, we wonder why MiFIR Review adds «centrally cleared» just after a punctual provision referencing the Central Clearing Obligation under EMIR. Hence, we wonder whether the transactions in scope of the new transaction reporting would also have to include those for which the parties to the transaction have voluntarily decided to centrally clear the contract. It’d be greatly appreciated if ESMA could provide clarifications on this regard in its Final Report</w:t>
      </w:r>
      <w:r>
        <w:rPr>
          <w:color w:val="0070C0"/>
        </w:rPr>
        <w:t>.</w:t>
      </w:r>
    </w:p>
    <w:permEnd w:id="1107116594"/>
    <w:p w14:paraId="62CCD8E6" w14:textId="61A9810B" w:rsidR="006B5DF1" w:rsidRDefault="006B5DF1" w:rsidP="006B5DF1">
      <w:pPr>
        <w:spacing w:after="0"/>
      </w:pPr>
      <w:r>
        <w:t>&lt;ESMA_QUESTION_CP3_01&gt;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Does the existing divergence in the implementation of the MRMTL concept under Art. 4 and Art. 26 of MiFIR results in any practical challenges for the market participants? If so, please explain the nature of these challenges and provide examples.</w:t>
      </w:r>
    </w:p>
    <w:p w14:paraId="7FADE892" w14:textId="77777777" w:rsidR="006B5DF1" w:rsidRDefault="006B5DF1" w:rsidP="006B5DF1"/>
    <w:p w14:paraId="7CB7DC30" w14:textId="1CD6CB9E" w:rsidR="006B5DF1" w:rsidRDefault="006B5DF1" w:rsidP="006B5DF1">
      <w:pPr>
        <w:spacing w:after="0"/>
      </w:pPr>
      <w:r>
        <w:t>&lt;ESMA_QUESTION_CP3_</w:t>
      </w:r>
      <w:r w:rsidR="003E7313">
        <w:t>02</w:t>
      </w:r>
      <w:r>
        <w:t>&gt;</w:t>
      </w:r>
    </w:p>
    <w:p w14:paraId="3487238F" w14:textId="77777777" w:rsidR="006B5DF1" w:rsidRDefault="006B5DF1" w:rsidP="006B5DF1">
      <w:pPr>
        <w:spacing w:after="0"/>
      </w:pPr>
      <w:permStart w:id="731332295" w:edGrp="everyone"/>
      <w:r>
        <w:lastRenderedPageBreak/>
        <w:t>TYPE YOUR TEXT HERE</w:t>
      </w:r>
    </w:p>
    <w:permEnd w:id="731332295"/>
    <w:p w14:paraId="3F6C042F" w14:textId="517BDFE1" w:rsidR="006B5DF1" w:rsidRDefault="006B5DF1" w:rsidP="006B5DF1">
      <w:pPr>
        <w:spacing w:after="0"/>
      </w:pPr>
      <w:r>
        <w:t>&lt;ESMA_QUESTION_CP3_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To what extent the rules applied for the determination of the RCA and RCA_MIC are relevant for your operations? Do you agree with the potential alignment of the RCA rules with the RCA_MIC rules for equities? Please provide details in your answer.</w:t>
      </w:r>
    </w:p>
    <w:p w14:paraId="29B4AF4E" w14:textId="77777777" w:rsidR="006B5DF1" w:rsidRDefault="006B5DF1" w:rsidP="006B5DF1"/>
    <w:p w14:paraId="3DFB978C" w14:textId="186723D4" w:rsidR="006B5DF1" w:rsidRDefault="006B5DF1" w:rsidP="006B5DF1">
      <w:pPr>
        <w:spacing w:after="0"/>
      </w:pPr>
      <w:r>
        <w:t>&lt;ESMA_QUESTION_CP3_</w:t>
      </w:r>
      <w:r w:rsidR="003E7313">
        <w:t>03</w:t>
      </w:r>
      <w:r>
        <w:t>&gt;</w:t>
      </w:r>
    </w:p>
    <w:p w14:paraId="77F1B8FD" w14:textId="77777777" w:rsidR="006B5DF1" w:rsidRDefault="006B5DF1" w:rsidP="006B5DF1">
      <w:pPr>
        <w:spacing w:after="0"/>
      </w:pPr>
      <w:permStart w:id="1954616897" w:edGrp="everyone"/>
      <w:r>
        <w:t>TYPE YOUR TEXT HERE</w:t>
      </w:r>
    </w:p>
    <w:permEnd w:id="1954616897"/>
    <w:p w14:paraId="0F52A7AB" w14:textId="54CF36D7" w:rsidR="006B5DF1" w:rsidRDefault="006B5DF1" w:rsidP="006B5DF1">
      <w:pPr>
        <w:spacing w:after="0"/>
      </w:pPr>
      <w:r>
        <w:t>&lt;ESMA_QUESTION_CP3_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05B0C85D" w:rsidR="006B5DF1" w:rsidRDefault="006B5DF1" w:rsidP="006B5DF1">
      <w:pPr>
        <w:spacing w:after="0"/>
      </w:pPr>
      <w:r>
        <w:t>&lt;ESMA_QUESTION_CP3_</w:t>
      </w:r>
      <w:r w:rsidR="003E7313">
        <w:t>04</w:t>
      </w:r>
      <w:r>
        <w:t>&gt;</w:t>
      </w:r>
    </w:p>
    <w:p w14:paraId="6BDD43ED" w14:textId="77777777" w:rsidR="006B5DF1" w:rsidRDefault="006B5DF1" w:rsidP="006B5DF1">
      <w:pPr>
        <w:spacing w:after="0"/>
      </w:pPr>
      <w:permStart w:id="1534341782" w:edGrp="everyone"/>
      <w:r>
        <w:t>TYPE YOUR TEXT HERE</w:t>
      </w:r>
    </w:p>
    <w:permEnd w:id="1534341782"/>
    <w:p w14:paraId="2283DD66" w14:textId="6C53DAC9" w:rsidR="006B5DF1" w:rsidRDefault="006B5DF1" w:rsidP="006B5DF1">
      <w:pPr>
        <w:spacing w:after="0"/>
      </w:pPr>
      <w:r>
        <w:t>&lt;ESMA_QUESTION_CP3_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0C94C1A" w:rsidR="006B5DF1" w:rsidRDefault="006B5DF1" w:rsidP="006B5DF1">
      <w:pPr>
        <w:spacing w:after="0"/>
      </w:pPr>
      <w:r>
        <w:t>&lt;ESMA_QUESTION_CP3_</w:t>
      </w:r>
      <w:r w:rsidR="003E7313">
        <w:t>05</w:t>
      </w:r>
      <w:r>
        <w:t>&gt;</w:t>
      </w:r>
    </w:p>
    <w:p w14:paraId="5F2C7CB0" w14:textId="77777777" w:rsidR="006B5DF1" w:rsidRDefault="006B5DF1" w:rsidP="006B5DF1">
      <w:pPr>
        <w:spacing w:after="0"/>
      </w:pPr>
      <w:permStart w:id="911233410" w:edGrp="everyone"/>
      <w:r>
        <w:t>TYPE YOUR TEXT HERE</w:t>
      </w:r>
    </w:p>
    <w:permEnd w:id="911233410"/>
    <w:p w14:paraId="48B86851" w14:textId="2A151697" w:rsidR="006B5DF1" w:rsidRDefault="006B5DF1" w:rsidP="006B5DF1">
      <w:pPr>
        <w:spacing w:after="0"/>
      </w:pPr>
      <w:r>
        <w:t>&lt;ESMA_QUESTION_CP3_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lastRenderedPageBreak/>
        <w:t>Do you agree with the proposed RCA determination rules for the derivative contracts falling under Article 8a(2) of MiFIR? Please provide details in your answer.</w:t>
      </w:r>
    </w:p>
    <w:p w14:paraId="577A82F6" w14:textId="77777777" w:rsidR="006B5DF1" w:rsidRDefault="006B5DF1" w:rsidP="006B5DF1"/>
    <w:p w14:paraId="2AFE7DFE" w14:textId="3EB15BD5" w:rsidR="006B5DF1" w:rsidRDefault="006B5DF1" w:rsidP="006B5DF1">
      <w:pPr>
        <w:spacing w:after="0"/>
      </w:pPr>
      <w:r>
        <w:t>&lt;ESMA_QUESTION_CP3_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2DCE2C80" w:rsidR="006B5DF1" w:rsidRDefault="006B5DF1" w:rsidP="006B5DF1">
      <w:pPr>
        <w:spacing w:after="0"/>
      </w:pPr>
      <w:r>
        <w:t>&lt;ESMA_QUESTION_CP3_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3DB087E" w:rsidR="006B5DF1" w:rsidRDefault="006B5DF1" w:rsidP="006B5DF1">
      <w:pPr>
        <w:spacing w:after="0"/>
      </w:pPr>
      <w:r>
        <w:t>&lt;ESMA_QUESTION_CP3_</w:t>
      </w:r>
      <w:r w:rsidR="003E7313">
        <w:t>07</w:t>
      </w:r>
      <w:r>
        <w:t>&gt;</w:t>
      </w:r>
    </w:p>
    <w:p w14:paraId="20A10098" w14:textId="77777777" w:rsidR="006B5DF1" w:rsidRDefault="006B5DF1" w:rsidP="006B5DF1">
      <w:pPr>
        <w:spacing w:after="0"/>
      </w:pPr>
      <w:permStart w:id="147727742" w:edGrp="everyone"/>
      <w:r>
        <w:t>TYPE YOUR TEXT HERE</w:t>
      </w:r>
    </w:p>
    <w:permEnd w:id="147727742"/>
    <w:p w14:paraId="5BA096DE" w14:textId="742EADEC" w:rsidR="006B5DF1" w:rsidRDefault="006B5DF1" w:rsidP="006B5DF1">
      <w:pPr>
        <w:spacing w:after="0"/>
      </w:pPr>
      <w:r>
        <w:t>&lt;ESMA_QUESTION_CP3_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49C51E" w:rsidR="006B5DF1" w:rsidRDefault="006B5DF1" w:rsidP="006B5DF1">
      <w:pPr>
        <w:spacing w:after="0"/>
      </w:pPr>
      <w:r>
        <w:t>&lt;ESMA_QUESTION_CP3_</w:t>
      </w:r>
      <w:r w:rsidR="003E7313">
        <w:t>08</w:t>
      </w:r>
      <w:r>
        <w:t>&gt;</w:t>
      </w:r>
    </w:p>
    <w:p w14:paraId="2EDCCE1B" w14:textId="337CC018" w:rsidR="006B5DF1" w:rsidRDefault="001A726F" w:rsidP="006B5DF1">
      <w:pPr>
        <w:spacing w:after="0"/>
      </w:pPr>
      <w:permStart w:id="1395752143" w:edGrp="everyone"/>
      <w:r w:rsidRPr="00D37AB3">
        <w:rPr>
          <w:color w:val="0070C0"/>
        </w:rPr>
        <w:t xml:space="preserve">We understand the Effective Date field was foreseen by the </w:t>
      </w:r>
      <w:r>
        <w:rPr>
          <w:color w:val="0070C0"/>
        </w:rPr>
        <w:t>L</w:t>
      </w:r>
      <w:r w:rsidRPr="00D37AB3">
        <w:rPr>
          <w:color w:val="0070C0"/>
        </w:rPr>
        <w:t xml:space="preserve">evel-1 legislation and, </w:t>
      </w:r>
      <w:r>
        <w:rPr>
          <w:color w:val="0070C0"/>
        </w:rPr>
        <w:t>consequently</w:t>
      </w:r>
      <w:r w:rsidRPr="00D37AB3">
        <w:rPr>
          <w:color w:val="0070C0"/>
        </w:rPr>
        <w:t xml:space="preserve">, it has to be implemented. However, on the basis of the feedback gathered, we do not see its actual </w:t>
      </w:r>
      <w:r>
        <w:rPr>
          <w:color w:val="0070C0"/>
        </w:rPr>
        <w:t xml:space="preserve">practical </w:t>
      </w:r>
      <w:r w:rsidRPr="00D37AB3">
        <w:rPr>
          <w:color w:val="0070C0"/>
        </w:rPr>
        <w:t>usefulness</w:t>
      </w:r>
      <w:r>
        <w:rPr>
          <w:color w:val="0070C0"/>
        </w:rPr>
        <w:t xml:space="preserve"> in general terms</w:t>
      </w:r>
      <w:r w:rsidRPr="00D37AB3">
        <w:rPr>
          <w:color w:val="0070C0"/>
        </w:rPr>
        <w:t xml:space="preserve">: it may make sense for </w:t>
      </w:r>
      <w:r>
        <w:rPr>
          <w:color w:val="0070C0"/>
        </w:rPr>
        <w:t>OTC</w:t>
      </w:r>
      <w:r w:rsidRPr="00195E13">
        <w:rPr>
          <w:color w:val="0070C0"/>
          <w:u w:val="single"/>
        </w:rPr>
        <w:t xml:space="preserve"> </w:t>
      </w:r>
      <w:r w:rsidRPr="00D37AB3">
        <w:rPr>
          <w:color w:val="0070C0"/>
        </w:rPr>
        <w:t>derivatives</w:t>
      </w:r>
      <w:r>
        <w:rPr>
          <w:color w:val="0070C0"/>
        </w:rPr>
        <w:t xml:space="preserve"> where the effective date of the obligations is not obviously clear at times and it may well gain benefits by this new field</w:t>
      </w:r>
      <w:r w:rsidRPr="00D37AB3">
        <w:rPr>
          <w:color w:val="0070C0"/>
        </w:rPr>
        <w:t>,</w:t>
      </w:r>
      <w:r>
        <w:rPr>
          <w:color w:val="0070C0"/>
        </w:rPr>
        <w:t xml:space="preserve"> but</w:t>
      </w:r>
      <w:r w:rsidRPr="00D37AB3">
        <w:rPr>
          <w:color w:val="0070C0"/>
        </w:rPr>
        <w:t xml:space="preserve"> it </w:t>
      </w:r>
      <w:r>
        <w:rPr>
          <w:color w:val="0070C0"/>
        </w:rPr>
        <w:t xml:space="preserve">appears </w:t>
      </w:r>
      <w:r w:rsidRPr="00D37AB3">
        <w:rPr>
          <w:color w:val="0070C0"/>
        </w:rPr>
        <w:t>un</w:t>
      </w:r>
      <w:r>
        <w:rPr>
          <w:color w:val="0070C0"/>
        </w:rPr>
        <w:t>u</w:t>
      </w:r>
      <w:r w:rsidRPr="00D37AB3">
        <w:rPr>
          <w:color w:val="0070C0"/>
        </w:rPr>
        <w:t>sual</w:t>
      </w:r>
      <w:r>
        <w:rPr>
          <w:color w:val="0070C0"/>
        </w:rPr>
        <w:t xml:space="preserve"> and even useless</w:t>
      </w:r>
      <w:r w:rsidRPr="00D37AB3">
        <w:rPr>
          <w:color w:val="0070C0"/>
        </w:rPr>
        <w:t xml:space="preserve"> for shares</w:t>
      </w:r>
      <w:r>
        <w:rPr>
          <w:color w:val="0070C0"/>
        </w:rPr>
        <w:t xml:space="preserve"> or other securities where the obligations of the parties and their most relevant rights are evident and clear</w:t>
      </w:r>
      <w:r>
        <w:t>.</w:t>
      </w:r>
    </w:p>
    <w:permEnd w:id="1395752143"/>
    <w:p w14:paraId="67DBB5A7" w14:textId="70DD107E" w:rsidR="006B5DF1" w:rsidRDefault="006B5DF1" w:rsidP="006B5DF1">
      <w:pPr>
        <w:spacing w:after="0"/>
      </w:pPr>
      <w:r>
        <w:t>&lt;ESMA_QUESTION_CP3_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086B4F0F" w:rsidR="006B5DF1" w:rsidRDefault="006B5DF1" w:rsidP="006B5DF1">
      <w:pPr>
        <w:spacing w:after="0"/>
      </w:pPr>
      <w:r>
        <w:t>&lt;ESMA_QUESTION_CP3_</w:t>
      </w:r>
      <w:r w:rsidR="003E7313">
        <w:t>09</w:t>
      </w:r>
      <w:r>
        <w:t>&gt;</w:t>
      </w:r>
    </w:p>
    <w:p w14:paraId="1E3F044C" w14:textId="77777777" w:rsidR="006B5DF1" w:rsidRDefault="006B5DF1" w:rsidP="006B5DF1">
      <w:pPr>
        <w:spacing w:after="0"/>
      </w:pPr>
      <w:permStart w:id="1354110368" w:edGrp="everyone"/>
      <w:r>
        <w:t>TYPE YOUR TEXT HERE</w:t>
      </w:r>
    </w:p>
    <w:permEnd w:id="1354110368"/>
    <w:p w14:paraId="7294A4EF" w14:textId="741B646A" w:rsidR="006B5DF1" w:rsidRDefault="006B5DF1" w:rsidP="006B5DF1">
      <w:pPr>
        <w:spacing w:after="0"/>
      </w:pPr>
      <w:r>
        <w:t>&lt;ESMA_QUESTION_CP3_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7CA789F" w:rsidR="006B5DF1" w:rsidRDefault="006B5DF1" w:rsidP="006B5DF1">
      <w:pPr>
        <w:spacing w:after="0"/>
      </w:pPr>
      <w:r>
        <w:t>&lt;ESMA_QUESTION_CP3_</w:t>
      </w:r>
      <w:r w:rsidR="003E7313">
        <w:t>10</w:t>
      </w:r>
      <w:r>
        <w:t>&gt;</w:t>
      </w:r>
    </w:p>
    <w:p w14:paraId="162E79A5" w14:textId="77777777" w:rsidR="008F7557" w:rsidRPr="00D37AB3" w:rsidRDefault="008F7557" w:rsidP="008F7557">
      <w:pPr>
        <w:spacing w:after="0"/>
        <w:rPr>
          <w:color w:val="0070C0"/>
        </w:rPr>
      </w:pPr>
      <w:permStart w:id="791629733" w:edGrp="everyone"/>
      <w:r w:rsidRPr="00D37AB3">
        <w:rPr>
          <w:color w:val="0070C0"/>
        </w:rPr>
        <w:t xml:space="preserve">On the basis of the feedback gathered, </w:t>
      </w:r>
      <w:r>
        <w:rPr>
          <w:color w:val="0070C0"/>
        </w:rPr>
        <w:t xml:space="preserve">we </w:t>
      </w:r>
      <w:r w:rsidRPr="00D37AB3">
        <w:rPr>
          <w:color w:val="0070C0"/>
        </w:rPr>
        <w:t>ha</w:t>
      </w:r>
      <w:r>
        <w:rPr>
          <w:color w:val="0070C0"/>
        </w:rPr>
        <w:t>ve</w:t>
      </w:r>
      <w:r w:rsidRPr="00D37AB3">
        <w:rPr>
          <w:color w:val="0070C0"/>
        </w:rPr>
        <w:t xml:space="preserve"> no considerations against the inclusion of a new field aimed at identifying the </w:t>
      </w:r>
      <w:r>
        <w:rPr>
          <w:color w:val="0070C0"/>
        </w:rPr>
        <w:t>“E</w:t>
      </w:r>
      <w:r w:rsidRPr="00D37AB3">
        <w:rPr>
          <w:color w:val="0070C0"/>
        </w:rPr>
        <w:t>ntity subject to the reporting obligation</w:t>
      </w:r>
      <w:r>
        <w:rPr>
          <w:color w:val="0070C0"/>
        </w:rPr>
        <w:t>”</w:t>
      </w:r>
      <w:r w:rsidRPr="00D37AB3">
        <w:rPr>
          <w:color w:val="0070C0"/>
        </w:rPr>
        <w:t>, in cases where the executing and the submitting entities differ from the responsible one. However, some members have mentioned that they already provide – under the current reporting regime – the information about the two entities.</w:t>
      </w:r>
    </w:p>
    <w:p w14:paraId="2FDA7C0F" w14:textId="0FFD7321" w:rsidR="006B5DF1" w:rsidRDefault="008F7557" w:rsidP="008F7557">
      <w:pPr>
        <w:spacing w:after="0"/>
      </w:pPr>
      <w:r w:rsidRPr="00D37AB3">
        <w:rPr>
          <w:color w:val="0070C0"/>
        </w:rPr>
        <w:t xml:space="preserve">As for the second part of the question, we have not gathered evidence of any additional </w:t>
      </w:r>
      <w:r>
        <w:rPr>
          <w:color w:val="0070C0"/>
        </w:rPr>
        <w:t xml:space="preserve">business </w:t>
      </w:r>
      <w:r w:rsidRPr="00D37AB3">
        <w:rPr>
          <w:color w:val="0070C0"/>
        </w:rPr>
        <w:t xml:space="preserve">cases to be taken into consideration </w:t>
      </w:r>
      <w:r>
        <w:rPr>
          <w:color w:val="0070C0"/>
        </w:rPr>
        <w:t xml:space="preserve">for </w:t>
      </w:r>
      <w:r w:rsidRPr="00D37AB3">
        <w:rPr>
          <w:color w:val="0070C0"/>
        </w:rPr>
        <w:t>the definition of this new field</w:t>
      </w:r>
      <w:r>
        <w:t>.</w:t>
      </w:r>
    </w:p>
    <w:permEnd w:id="791629733"/>
    <w:p w14:paraId="6BD62104" w14:textId="5485A2F2" w:rsidR="006B5DF1" w:rsidRDefault="006B5DF1" w:rsidP="006B5DF1">
      <w:pPr>
        <w:spacing w:after="0"/>
      </w:pPr>
      <w:r>
        <w:t>&lt;ESMA_QUESTION_CP3_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44B3489A" w:rsidR="006B5DF1" w:rsidRDefault="006B5DF1" w:rsidP="006B5DF1">
      <w:pPr>
        <w:spacing w:after="0"/>
      </w:pPr>
      <w:r>
        <w:t>&lt;ESMA_QUESTION_CP3_</w:t>
      </w:r>
      <w:r w:rsidR="003E7313">
        <w:t>11</w:t>
      </w:r>
      <w:r>
        <w:t>&gt;</w:t>
      </w:r>
    </w:p>
    <w:p w14:paraId="4D9A2C25" w14:textId="77777777" w:rsidR="006B5DF1" w:rsidRDefault="006B5DF1" w:rsidP="006B5DF1">
      <w:pPr>
        <w:spacing w:after="0"/>
      </w:pPr>
      <w:permStart w:id="1475742058" w:edGrp="everyone"/>
      <w:r>
        <w:t>TYPE YOUR TEXT HERE</w:t>
      </w:r>
    </w:p>
    <w:permEnd w:id="1475742058"/>
    <w:p w14:paraId="2E9C537F" w14:textId="1B5711B5" w:rsidR="006B5DF1" w:rsidRDefault="006B5DF1" w:rsidP="006B5DF1">
      <w:pPr>
        <w:spacing w:after="0"/>
      </w:pPr>
      <w:r>
        <w:t>&lt;ESMA_QUESTION_CP3_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2FFB1153" w:rsidR="006B5DF1" w:rsidRDefault="006B5DF1" w:rsidP="006B5DF1">
      <w:pPr>
        <w:spacing w:after="0"/>
      </w:pPr>
      <w:r>
        <w:t>&lt;ESMA_QUESTION_CP3_</w:t>
      </w:r>
      <w:r w:rsidR="003E7313">
        <w:t>12</w:t>
      </w:r>
      <w:r>
        <w:t>&gt;</w:t>
      </w:r>
    </w:p>
    <w:p w14:paraId="4AB78DDC" w14:textId="77777777" w:rsidR="006B5DF1" w:rsidRDefault="006B5DF1" w:rsidP="006B5DF1">
      <w:pPr>
        <w:spacing w:after="0"/>
      </w:pPr>
      <w:permStart w:id="368387494" w:edGrp="everyone"/>
      <w:r>
        <w:t>TYPE YOUR TEXT HERE</w:t>
      </w:r>
    </w:p>
    <w:permEnd w:id="368387494"/>
    <w:p w14:paraId="7ECA10E7" w14:textId="072891FE" w:rsidR="006B5DF1" w:rsidRDefault="006B5DF1" w:rsidP="006B5DF1">
      <w:pPr>
        <w:spacing w:after="0"/>
      </w:pPr>
      <w:r>
        <w:t>&lt;ESMA_QUESTION_CP3_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Do you have views on how to improve the consistency of the TVTIC ( non-EEA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4C4A7102" w:rsidR="006B5DF1" w:rsidRDefault="006B5DF1" w:rsidP="006B5DF1">
      <w:pPr>
        <w:spacing w:after="0"/>
      </w:pPr>
      <w:r>
        <w:t>&lt;ESMA_QUESTION_CP3_</w:t>
      </w:r>
      <w:r w:rsidR="003E7313">
        <w:t>13</w:t>
      </w:r>
      <w:r>
        <w:t>&gt;</w:t>
      </w:r>
    </w:p>
    <w:p w14:paraId="2956AE52" w14:textId="77777777" w:rsidR="006B5DF1" w:rsidRDefault="006B5DF1" w:rsidP="006B5DF1">
      <w:pPr>
        <w:spacing w:after="0"/>
      </w:pPr>
      <w:permStart w:id="1298809498" w:edGrp="everyone"/>
      <w:r>
        <w:t>TYPE YOUR TEXT HERE</w:t>
      </w:r>
    </w:p>
    <w:permEnd w:id="1298809498"/>
    <w:p w14:paraId="7D6A453F" w14:textId="2F87CE64" w:rsidR="006B5DF1" w:rsidRDefault="006B5DF1" w:rsidP="006B5DF1">
      <w:pPr>
        <w:spacing w:after="0"/>
      </w:pPr>
      <w:r>
        <w:t>&lt;ESMA_QUESTION_CP3_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6FF299C4" w:rsidR="006B5DF1" w:rsidRDefault="006B5DF1" w:rsidP="006B5DF1">
      <w:pPr>
        <w:spacing w:after="0"/>
      </w:pPr>
      <w:r>
        <w:t>&lt;ESMA_QUESTION_CP3_</w:t>
      </w:r>
      <w:r w:rsidR="003E7313">
        <w:t>14</w:t>
      </w:r>
      <w:r>
        <w:t>&gt;</w:t>
      </w:r>
    </w:p>
    <w:p w14:paraId="3748AF8F" w14:textId="77777777" w:rsidR="006B5DF1" w:rsidRDefault="006B5DF1" w:rsidP="006B5DF1">
      <w:pPr>
        <w:spacing w:after="0"/>
      </w:pPr>
      <w:permStart w:id="1859999702" w:edGrp="everyone"/>
      <w:r>
        <w:t>TYPE YOUR TEXT HERE</w:t>
      </w:r>
    </w:p>
    <w:permEnd w:id="1859999702"/>
    <w:p w14:paraId="7A83D384" w14:textId="2CB8AEB2" w:rsidR="006B5DF1" w:rsidRDefault="006B5DF1" w:rsidP="006B5DF1">
      <w:pPr>
        <w:spacing w:after="0"/>
      </w:pPr>
      <w:r>
        <w:t>&lt;ESMA_QUESTION_CP3_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Do you have any further comment or suggestion in relation to the definition of a new transaction identification code (TIC) for off venue transactions? Please provide your view for the proposed syntax methodology for creating the TIC based on the already reported fields, or suggest alternatives.</w:t>
      </w:r>
    </w:p>
    <w:p w14:paraId="3BFC4064" w14:textId="77777777" w:rsidR="006B5DF1" w:rsidRDefault="006B5DF1" w:rsidP="006B5DF1"/>
    <w:p w14:paraId="761CC5DB" w14:textId="523B6D29" w:rsidR="006B5DF1" w:rsidRDefault="006B5DF1" w:rsidP="006B5DF1">
      <w:pPr>
        <w:spacing w:after="0"/>
      </w:pPr>
      <w:r>
        <w:t>&lt;ESMA_QUESTION_CP3_</w:t>
      </w:r>
      <w:r w:rsidR="003E7313">
        <w:t>15</w:t>
      </w:r>
      <w:r>
        <w:t>&gt;</w:t>
      </w:r>
    </w:p>
    <w:p w14:paraId="419B9670" w14:textId="77777777" w:rsidR="00222674" w:rsidRDefault="00222674" w:rsidP="00222674">
      <w:pPr>
        <w:spacing w:after="0"/>
        <w:rPr>
          <w:color w:val="0070C0"/>
        </w:rPr>
      </w:pPr>
      <w:permStart w:id="1859985972" w:edGrp="everyone"/>
      <w:r w:rsidRPr="007E288C">
        <w:rPr>
          <w:color w:val="0070C0"/>
        </w:rPr>
        <w:lastRenderedPageBreak/>
        <w:t xml:space="preserve">On the basis of the feedback gathered, </w:t>
      </w:r>
      <w:r>
        <w:rPr>
          <w:color w:val="0070C0"/>
        </w:rPr>
        <w:t>we are</w:t>
      </w:r>
      <w:r w:rsidRPr="007E288C">
        <w:rPr>
          <w:color w:val="0070C0"/>
        </w:rPr>
        <w:t xml:space="preserve"> not supportive of the introduction of</w:t>
      </w:r>
      <w:r>
        <w:rPr>
          <w:color w:val="0070C0"/>
        </w:rPr>
        <w:t xml:space="preserve"> the new</w:t>
      </w:r>
      <w:r w:rsidRPr="007E288C">
        <w:rPr>
          <w:color w:val="0070C0"/>
        </w:rPr>
        <w:t xml:space="preserve"> TIC field, as described under paragraph 66 on </w:t>
      </w:r>
      <w:proofErr w:type="spellStart"/>
      <w:r w:rsidRPr="007E288C">
        <w:rPr>
          <w:color w:val="0070C0"/>
        </w:rPr>
        <w:t>pag</w:t>
      </w:r>
      <w:proofErr w:type="spellEnd"/>
      <w:r w:rsidRPr="007E288C">
        <w:rPr>
          <w:color w:val="0070C0"/>
        </w:rPr>
        <w:t xml:space="preserve">. 32, despite the legitimate logics </w:t>
      </w:r>
      <w:r>
        <w:rPr>
          <w:color w:val="0070C0"/>
        </w:rPr>
        <w:t xml:space="preserve">presented by ESMA for </w:t>
      </w:r>
      <w:r w:rsidRPr="007E288C">
        <w:rPr>
          <w:color w:val="0070C0"/>
        </w:rPr>
        <w:t xml:space="preserve">a </w:t>
      </w:r>
      <w:r>
        <w:rPr>
          <w:color w:val="0070C0"/>
        </w:rPr>
        <w:t xml:space="preserve">new </w:t>
      </w:r>
      <w:r w:rsidRPr="007E288C">
        <w:rPr>
          <w:color w:val="0070C0"/>
        </w:rPr>
        <w:t>field aimed at “</w:t>
      </w:r>
      <w:r w:rsidRPr="007E288C">
        <w:rPr>
          <w:i/>
          <w:iCs/>
          <w:color w:val="0070C0"/>
        </w:rPr>
        <w:t>facilitating the linking of the report flows of pure OTC trades</w:t>
      </w:r>
      <w:r w:rsidRPr="007E288C">
        <w:rPr>
          <w:color w:val="0070C0"/>
        </w:rPr>
        <w:t>”. After careful considerations</w:t>
      </w:r>
      <w:r>
        <w:rPr>
          <w:color w:val="0070C0"/>
        </w:rPr>
        <w:t xml:space="preserve"> of the CP contents</w:t>
      </w:r>
      <w:r w:rsidRPr="007E288C">
        <w:rPr>
          <w:color w:val="0070C0"/>
        </w:rPr>
        <w:t xml:space="preserve">, the field appears to be </w:t>
      </w:r>
      <w:proofErr w:type="spellStart"/>
      <w:r w:rsidRPr="007E288C">
        <w:rPr>
          <w:color w:val="0070C0"/>
        </w:rPr>
        <w:t>i</w:t>
      </w:r>
      <w:proofErr w:type="spellEnd"/>
      <w:r w:rsidRPr="007E288C">
        <w:rPr>
          <w:color w:val="0070C0"/>
        </w:rPr>
        <w:t>) aimed at a minority of transactions on the basis of our members’ feedback, and ii) of comple</w:t>
      </w:r>
      <w:r w:rsidRPr="001109F8">
        <w:rPr>
          <w:color w:val="0070C0"/>
        </w:rPr>
        <w:t xml:space="preserve">x </w:t>
      </w:r>
      <w:r>
        <w:rPr>
          <w:color w:val="0070C0"/>
        </w:rPr>
        <w:t>and costly</w:t>
      </w:r>
      <w:r w:rsidRPr="007E288C">
        <w:rPr>
          <w:color w:val="0070C0"/>
        </w:rPr>
        <w:t xml:space="preserve"> realization, use and management. Further to this, the TIC code</w:t>
      </w:r>
      <w:r>
        <w:rPr>
          <w:color w:val="0070C0"/>
        </w:rPr>
        <w:t>:</w:t>
      </w:r>
    </w:p>
    <w:p w14:paraId="08E72314" w14:textId="77777777" w:rsidR="00222674" w:rsidRPr="00225723" w:rsidRDefault="00222674" w:rsidP="00222674">
      <w:pPr>
        <w:pStyle w:val="Paragrafoelenco"/>
        <w:numPr>
          <w:ilvl w:val="0"/>
          <w:numId w:val="37"/>
        </w:numPr>
        <w:spacing w:after="0"/>
        <w:rPr>
          <w:color w:val="0070C0"/>
        </w:rPr>
      </w:pPr>
      <w:r w:rsidRPr="00225723">
        <w:rPr>
          <w:color w:val="0070C0"/>
        </w:rPr>
        <w:t xml:space="preserve">appears a sort of </w:t>
      </w:r>
      <w:r w:rsidRPr="00225723">
        <w:rPr>
          <w:i/>
          <w:iCs/>
          <w:color w:val="0070C0"/>
        </w:rPr>
        <w:t xml:space="preserve">alter-ego </w:t>
      </w:r>
      <w:r w:rsidRPr="00225723">
        <w:rPr>
          <w:color w:val="0070C0"/>
        </w:rPr>
        <w:t>of the UTI code (which is independent from the buyer/seller computation) without being a UTI (so, a sort of duplication), and sometimes assigned to the transactions already identified by a UTI code;</w:t>
      </w:r>
    </w:p>
    <w:p w14:paraId="26396852" w14:textId="77777777" w:rsidR="00222674" w:rsidRDefault="00222674" w:rsidP="00222674">
      <w:pPr>
        <w:pStyle w:val="Paragrafoelenco"/>
        <w:numPr>
          <w:ilvl w:val="0"/>
          <w:numId w:val="37"/>
        </w:numPr>
        <w:spacing w:after="0"/>
        <w:rPr>
          <w:color w:val="0070C0"/>
        </w:rPr>
      </w:pPr>
      <w:r w:rsidRPr="00225723">
        <w:rPr>
          <w:color w:val="0070C0"/>
        </w:rPr>
        <w:t>appears to be on the seller’s responsibility;</w:t>
      </w:r>
    </w:p>
    <w:p w14:paraId="0363D228" w14:textId="77777777" w:rsidR="00222674" w:rsidRDefault="00222674" w:rsidP="00222674">
      <w:pPr>
        <w:pStyle w:val="Paragrafoelenco"/>
        <w:numPr>
          <w:ilvl w:val="0"/>
          <w:numId w:val="37"/>
        </w:numPr>
        <w:spacing w:after="0"/>
        <w:rPr>
          <w:color w:val="0070C0"/>
        </w:rPr>
      </w:pPr>
      <w:r w:rsidRPr="00225723">
        <w:rPr>
          <w:color w:val="0070C0"/>
        </w:rPr>
        <w:t xml:space="preserve">might reveal of limited added value given that the competent authorities would already have access to the key data referred to the transaction(s) (including those referred to Buyer, Seller and </w:t>
      </w:r>
      <w:r w:rsidRPr="00225723">
        <w:rPr>
          <w:i/>
          <w:iCs/>
          <w:color w:val="0070C0"/>
        </w:rPr>
        <w:t xml:space="preserve">timestamp) </w:t>
      </w:r>
      <w:r w:rsidRPr="00225723">
        <w:rPr>
          <w:color w:val="0070C0"/>
        </w:rPr>
        <w:t xml:space="preserve">in order to </w:t>
      </w:r>
      <w:r w:rsidRPr="00225723">
        <w:rPr>
          <w:i/>
          <w:iCs/>
          <w:color w:val="0070C0"/>
        </w:rPr>
        <w:t xml:space="preserve">match </w:t>
      </w:r>
      <w:r w:rsidRPr="00225723">
        <w:rPr>
          <w:color w:val="0070C0"/>
        </w:rPr>
        <w:t>the relevant transactions;</w:t>
      </w:r>
    </w:p>
    <w:p w14:paraId="2781FD22" w14:textId="77777777" w:rsidR="00222674" w:rsidRPr="00225723" w:rsidRDefault="00222674" w:rsidP="00222674">
      <w:pPr>
        <w:pStyle w:val="Paragrafoelenco"/>
        <w:numPr>
          <w:ilvl w:val="0"/>
          <w:numId w:val="37"/>
        </w:numPr>
        <w:spacing w:after="0"/>
        <w:rPr>
          <w:color w:val="0070C0"/>
        </w:rPr>
      </w:pPr>
      <w:r w:rsidRPr="00225723">
        <w:rPr>
          <w:color w:val="0070C0"/>
        </w:rPr>
        <w:t>would require clarifications</w:t>
      </w:r>
      <w:r>
        <w:rPr>
          <w:color w:val="0070C0"/>
        </w:rPr>
        <w:t xml:space="preserve"> on some specific business cases</w:t>
      </w:r>
    </w:p>
    <w:p w14:paraId="40D8C875" w14:textId="77777777" w:rsidR="00222674" w:rsidRPr="00613558" w:rsidRDefault="00222674" w:rsidP="00222674">
      <w:pPr>
        <w:spacing w:after="0"/>
        <w:rPr>
          <w:color w:val="0070C0"/>
        </w:rPr>
      </w:pPr>
    </w:p>
    <w:p w14:paraId="578F18CE" w14:textId="77777777" w:rsidR="00222674" w:rsidRDefault="00222674" w:rsidP="00222674">
      <w:pPr>
        <w:spacing w:after="0"/>
        <w:rPr>
          <w:color w:val="0070C0"/>
        </w:rPr>
      </w:pPr>
      <w:r w:rsidRPr="007E288C">
        <w:rPr>
          <w:color w:val="0070C0"/>
        </w:rPr>
        <w:t xml:space="preserve">By reading the relevant </w:t>
      </w:r>
      <w:r>
        <w:rPr>
          <w:color w:val="0070C0"/>
        </w:rPr>
        <w:t>“</w:t>
      </w:r>
      <w:r w:rsidRPr="007E288C">
        <w:rPr>
          <w:color w:val="0070C0"/>
        </w:rPr>
        <w:t>explanation table</w:t>
      </w:r>
      <w:r>
        <w:rPr>
          <w:color w:val="0070C0"/>
        </w:rPr>
        <w:t>”</w:t>
      </w:r>
      <w:r w:rsidRPr="007E288C">
        <w:rPr>
          <w:color w:val="0070C0"/>
        </w:rPr>
        <w:t xml:space="preserve"> on pages 33-34, we also understand that ESMA is presuming that </w:t>
      </w:r>
      <w:r w:rsidRPr="007E288C">
        <w:rPr>
          <w:b/>
          <w:bCs/>
          <w:color w:val="0070C0"/>
        </w:rPr>
        <w:t>non-EEA</w:t>
      </w:r>
      <w:r w:rsidRPr="007E288C">
        <w:rPr>
          <w:color w:val="0070C0"/>
        </w:rPr>
        <w:t xml:space="preserve"> Trading Venues would produce the </w:t>
      </w:r>
      <w:r>
        <w:rPr>
          <w:color w:val="0070C0"/>
        </w:rPr>
        <w:t>newly proposed “</w:t>
      </w:r>
      <w:r w:rsidRPr="007E288C">
        <w:rPr>
          <w:color w:val="0070C0"/>
        </w:rPr>
        <w:t>TIC code</w:t>
      </w:r>
      <w:r>
        <w:rPr>
          <w:color w:val="0070C0"/>
        </w:rPr>
        <w:t>”</w:t>
      </w:r>
      <w:r w:rsidRPr="007E288C">
        <w:rPr>
          <w:color w:val="0070C0"/>
        </w:rPr>
        <w:t xml:space="preserve">, despite being </w:t>
      </w:r>
      <w:r w:rsidRPr="00C60AA0">
        <w:rPr>
          <w:color w:val="0070C0"/>
          <w:u w:val="single"/>
        </w:rPr>
        <w:t>outside</w:t>
      </w:r>
      <w:r w:rsidRPr="007E288C">
        <w:rPr>
          <w:color w:val="0070C0"/>
        </w:rPr>
        <w:t xml:space="preserve"> the remit of ESMA’s supervision</w:t>
      </w:r>
      <w:r>
        <w:rPr>
          <w:color w:val="0070C0"/>
        </w:rPr>
        <w:t xml:space="preserve"> and power of enforcement</w:t>
      </w:r>
      <w:r w:rsidRPr="007E288C">
        <w:rPr>
          <w:color w:val="0070C0"/>
        </w:rPr>
        <w:t xml:space="preserve">. Clearly, we appreciate ESMA’s effort for a forthcoming </w:t>
      </w:r>
      <w:r>
        <w:rPr>
          <w:color w:val="0070C0"/>
        </w:rPr>
        <w:t>L</w:t>
      </w:r>
      <w:r w:rsidRPr="007E288C">
        <w:rPr>
          <w:color w:val="0070C0"/>
        </w:rPr>
        <w:t>evel-3 guidance (releva</w:t>
      </w:r>
      <w:r>
        <w:rPr>
          <w:color w:val="0070C0"/>
        </w:rPr>
        <w:t>n</w:t>
      </w:r>
      <w:r w:rsidRPr="007E288C">
        <w:rPr>
          <w:color w:val="0070C0"/>
        </w:rPr>
        <w:t xml:space="preserve">t also for those </w:t>
      </w:r>
      <w:r>
        <w:rPr>
          <w:color w:val="0070C0"/>
        </w:rPr>
        <w:t xml:space="preserve">non-EEA </w:t>
      </w:r>
      <w:r w:rsidRPr="007E288C">
        <w:rPr>
          <w:color w:val="0070C0"/>
        </w:rPr>
        <w:t>TVs), as mentioned across par.</w:t>
      </w:r>
      <w:r>
        <w:rPr>
          <w:color w:val="0070C0"/>
        </w:rPr>
        <w:t xml:space="preserve"> </w:t>
      </w:r>
      <w:r w:rsidRPr="007E288C">
        <w:rPr>
          <w:color w:val="0070C0"/>
        </w:rPr>
        <w:t xml:space="preserve">66-68, but we remain critic on </w:t>
      </w:r>
      <w:r>
        <w:rPr>
          <w:color w:val="0070C0"/>
        </w:rPr>
        <w:t>this new</w:t>
      </w:r>
      <w:r w:rsidRPr="007E288C">
        <w:rPr>
          <w:color w:val="0070C0"/>
        </w:rPr>
        <w:t xml:space="preserve"> field.</w:t>
      </w:r>
    </w:p>
    <w:p w14:paraId="27B76AAF" w14:textId="77777777" w:rsidR="00222674" w:rsidRDefault="00222674" w:rsidP="00222674">
      <w:pPr>
        <w:spacing w:after="0"/>
        <w:rPr>
          <w:color w:val="0070C0"/>
        </w:rPr>
      </w:pPr>
    </w:p>
    <w:p w14:paraId="428478DE" w14:textId="77777777" w:rsidR="00222674" w:rsidRDefault="00222674" w:rsidP="00222674">
      <w:pPr>
        <w:spacing w:after="0"/>
        <w:rPr>
          <w:color w:val="0070C0"/>
        </w:rPr>
      </w:pPr>
      <w:r w:rsidRPr="00625EDA">
        <w:rPr>
          <w:color w:val="0070C0"/>
        </w:rPr>
        <w:t>In</w:t>
      </w:r>
      <w:r w:rsidRPr="00B64FBB">
        <w:rPr>
          <w:color w:val="0070C0"/>
        </w:rPr>
        <w:t xml:space="preserve"> addition, by reading the Consultation Paper on page 66, it seems that ESMA would also consider </w:t>
      </w:r>
      <w:r>
        <w:rPr>
          <w:color w:val="0070C0"/>
        </w:rPr>
        <w:t>requiring the d</w:t>
      </w:r>
      <w:r w:rsidRPr="00B64FBB">
        <w:rPr>
          <w:color w:val="0070C0"/>
        </w:rPr>
        <w:t>issemination of the TIC code across the entities that are involved in an OTC transactions to facilitate the linking of the report flows</w:t>
      </w:r>
      <w:r>
        <w:rPr>
          <w:color w:val="0070C0"/>
        </w:rPr>
        <w:t>:</w:t>
      </w:r>
      <w:r w:rsidRPr="00B64FBB">
        <w:rPr>
          <w:color w:val="0070C0"/>
        </w:rPr>
        <w:t xml:space="preserve"> this would require a significant effort f</w:t>
      </w:r>
      <w:r>
        <w:rPr>
          <w:color w:val="0070C0"/>
        </w:rPr>
        <w:t>or the reporting entity and also the provision by ESMA (in the Level-3 guidance) of a number of operational scenarios guiding the readers in cases (for instance) where the TIC is not received / circulated across the intermediation chain which involves parties from different Member States. Guidance would also be extremely necessary to understand a) the timing for the TIC generation and dissemination, b) how to act in cases where</w:t>
      </w:r>
      <w:r w:rsidRPr="00625EDA">
        <w:rPr>
          <w:color w:val="0070C0"/>
        </w:rPr>
        <w:t xml:space="preserve"> </w:t>
      </w:r>
      <w:r>
        <w:rPr>
          <w:color w:val="0070C0"/>
        </w:rPr>
        <w:t>the entity responsible for the TIC generation has issues in doing so, or issue in the mere dissemination phase. In this case, would the reporting not be done and be placed in stand-by? Or the reporting is done without the TIC? Or ESMA defines a time schedule for an eventual back-loading?</w:t>
      </w:r>
    </w:p>
    <w:p w14:paraId="6F1DA673" w14:textId="77777777" w:rsidR="00222674" w:rsidRDefault="00222674" w:rsidP="00222674">
      <w:pPr>
        <w:spacing w:after="0"/>
        <w:rPr>
          <w:color w:val="0070C0"/>
        </w:rPr>
      </w:pPr>
    </w:p>
    <w:p w14:paraId="48DF5247" w14:textId="5F8786C2" w:rsidR="006B5DF1" w:rsidRDefault="00222674" w:rsidP="00222674">
      <w:pPr>
        <w:spacing w:after="0"/>
      </w:pPr>
      <w:r w:rsidRPr="00717E36">
        <w:rPr>
          <w:color w:val="0070C0"/>
        </w:rPr>
        <w:t xml:space="preserve">Eventually, </w:t>
      </w:r>
      <w:r>
        <w:rPr>
          <w:color w:val="0070C0"/>
        </w:rPr>
        <w:t>as it regards the syntax of the TIC code, we remind that any syntax should be based on easily source-able data which should have univocal meaning for all the parties involved along the chain. We wonder whether this can be achieved in the specific case of the TIC code, on which, in any case, we confirm our critic standpoint.</w:t>
      </w:r>
    </w:p>
    <w:permEnd w:id="1859985972"/>
    <w:p w14:paraId="3A64410A" w14:textId="467D6C35" w:rsidR="006B5DF1" w:rsidRDefault="006B5DF1" w:rsidP="006B5DF1">
      <w:pPr>
        <w:spacing w:after="0"/>
      </w:pPr>
      <w:r>
        <w:t>&lt;ESMA_QUESTION_CP3_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w:t>
      </w:r>
      <w:r>
        <w:lastRenderedPageBreak/>
        <w:t>venue transactions and for disseminating it to the other “market facing” firm acting as the buyer?</w:t>
      </w:r>
    </w:p>
    <w:p w14:paraId="71BBF906" w14:textId="77777777" w:rsidR="006B5DF1" w:rsidRDefault="006B5DF1" w:rsidP="006B5DF1"/>
    <w:p w14:paraId="3E4937E7" w14:textId="0772BD10" w:rsidR="006B5DF1" w:rsidRDefault="006B5DF1" w:rsidP="006B5DF1">
      <w:pPr>
        <w:spacing w:after="0"/>
      </w:pPr>
      <w:r>
        <w:t>&lt;ESMA_QUESTION_CP3_</w:t>
      </w:r>
      <w:r w:rsidR="003E7313">
        <w:t>16</w:t>
      </w:r>
      <w:r>
        <w:t>&gt;</w:t>
      </w:r>
    </w:p>
    <w:p w14:paraId="19F2790E" w14:textId="77777777" w:rsidR="006B5DF1" w:rsidRDefault="006B5DF1" w:rsidP="006B5DF1">
      <w:pPr>
        <w:spacing w:after="0"/>
      </w:pPr>
      <w:permStart w:id="1850953902" w:edGrp="everyone"/>
      <w:r>
        <w:t>TYPE YOUR TEXT HERE</w:t>
      </w:r>
    </w:p>
    <w:permEnd w:id="1850953902"/>
    <w:p w14:paraId="061AC34A" w14:textId="508BC611" w:rsidR="006B5DF1" w:rsidRDefault="006B5DF1" w:rsidP="006B5DF1">
      <w:pPr>
        <w:spacing w:after="0"/>
      </w:pPr>
      <w:r>
        <w:t>&lt;ESMA_QUESTION_CP3_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086B4926" w:rsidR="006B5DF1" w:rsidRDefault="006B5DF1" w:rsidP="006B5DF1">
      <w:pPr>
        <w:spacing w:after="0"/>
      </w:pPr>
      <w:r>
        <w:t>&lt;ESMA_QUESTION_CP3_</w:t>
      </w:r>
      <w:r w:rsidR="003E7313">
        <w:t>17</w:t>
      </w:r>
      <w:r>
        <w:t>&gt;</w:t>
      </w:r>
    </w:p>
    <w:p w14:paraId="3A59F352" w14:textId="77777777" w:rsidR="00B30F50" w:rsidRPr="0067311C" w:rsidRDefault="00B30F50" w:rsidP="00B30F50">
      <w:pPr>
        <w:spacing w:after="0"/>
        <w:rPr>
          <w:color w:val="0070C0"/>
        </w:rPr>
      </w:pPr>
      <w:permStart w:id="938018820" w:edGrp="everyone"/>
      <w:r w:rsidRPr="0067311C">
        <w:rPr>
          <w:color w:val="0070C0"/>
        </w:rPr>
        <w:t>The (already existing) INTC mechanism (i.e. aggregated client account) is a convention used to establish a connection between the marke</w:t>
      </w:r>
      <w:r>
        <w:rPr>
          <w:color w:val="0070C0"/>
        </w:rPr>
        <w:t>t</w:t>
      </w:r>
      <w:r w:rsidRPr="0067311C">
        <w:rPr>
          <w:color w:val="0070C0"/>
        </w:rPr>
        <w:t>-side of an order – where the execution of the transaction(s) takes place – and the part of the order relating to the (assigned) clients underlying those transactions aggregately executed on the market.</w:t>
      </w:r>
    </w:p>
    <w:p w14:paraId="27D87113" w14:textId="77777777" w:rsidR="00B30F50" w:rsidRPr="0067311C" w:rsidRDefault="00B30F50" w:rsidP="00B30F50">
      <w:pPr>
        <w:spacing w:after="0"/>
        <w:rPr>
          <w:color w:val="0070C0"/>
        </w:rPr>
      </w:pPr>
    </w:p>
    <w:p w14:paraId="3576A90A" w14:textId="77777777" w:rsidR="00B30F50" w:rsidRPr="0067311C" w:rsidRDefault="00B30F50" w:rsidP="00B30F50">
      <w:pPr>
        <w:spacing w:after="0"/>
        <w:rPr>
          <w:color w:val="0070C0"/>
        </w:rPr>
      </w:pPr>
      <w:r w:rsidRPr="0067311C">
        <w:rPr>
          <w:color w:val="0070C0"/>
        </w:rPr>
        <w:t>We believe that the current setting of the INTC mechanism is already sufficient to connect the execution carried out on the market with the underlying aggregated clients. The field that is proposed to be introduced (INTC Identifier) does not seem to demonstrate its usefulness, at least in principle, while it seems to involve an increase in costs related to the creation of this new "explicit" connection between the various orders; when already today other fields of the reporting path would allow this connection to be obtained implicitly.</w:t>
      </w:r>
    </w:p>
    <w:p w14:paraId="243FB4E2" w14:textId="77777777" w:rsidR="00B30F50" w:rsidRPr="0067311C" w:rsidRDefault="00B30F50" w:rsidP="00B30F50">
      <w:pPr>
        <w:spacing w:after="0"/>
        <w:rPr>
          <w:color w:val="0070C0"/>
        </w:rPr>
      </w:pPr>
    </w:p>
    <w:p w14:paraId="3B0B0A2F" w14:textId="77777777" w:rsidR="00B30F50" w:rsidRPr="006752CE" w:rsidRDefault="00B30F50" w:rsidP="00B30F50">
      <w:pPr>
        <w:spacing w:after="0"/>
        <w:rPr>
          <w:color w:val="0070C0"/>
        </w:rPr>
      </w:pPr>
      <w:r>
        <w:rPr>
          <w:color w:val="0070C0"/>
        </w:rPr>
        <w:t>It follows b</w:t>
      </w:r>
      <w:r w:rsidRPr="006752CE">
        <w:rPr>
          <w:color w:val="0070C0"/>
        </w:rPr>
        <w:t xml:space="preserve">elow some considerations in support of </w:t>
      </w:r>
      <w:r>
        <w:rPr>
          <w:color w:val="0070C0"/>
        </w:rPr>
        <w:t xml:space="preserve">our considerations </w:t>
      </w:r>
      <w:r w:rsidRPr="006752CE">
        <w:rPr>
          <w:color w:val="0070C0"/>
        </w:rPr>
        <w:t>above.</w:t>
      </w:r>
    </w:p>
    <w:p w14:paraId="31927CE0" w14:textId="77777777" w:rsidR="00B30F50" w:rsidRPr="0067311C" w:rsidRDefault="00B30F50" w:rsidP="00B30F50">
      <w:pPr>
        <w:spacing w:after="0"/>
        <w:rPr>
          <w:color w:val="0070C0"/>
        </w:rPr>
      </w:pPr>
      <w:r w:rsidRPr="006752CE">
        <w:rPr>
          <w:color w:val="0070C0"/>
        </w:rPr>
        <w:t xml:space="preserve">When using the INTC </w:t>
      </w:r>
      <w:r>
        <w:rPr>
          <w:color w:val="0070C0"/>
        </w:rPr>
        <w:t>– i</w:t>
      </w:r>
      <w:r w:rsidRPr="006752CE">
        <w:rPr>
          <w:color w:val="0070C0"/>
        </w:rPr>
        <w:t>n field 7 (buyer) and in field 16 (seller) of the transaction reporting flow relat</w:t>
      </w:r>
      <w:r>
        <w:rPr>
          <w:color w:val="0070C0"/>
        </w:rPr>
        <w:t>ed</w:t>
      </w:r>
      <w:r w:rsidRPr="006752CE">
        <w:rPr>
          <w:color w:val="0070C0"/>
        </w:rPr>
        <w:t xml:space="preserve"> to the execution on the venue </w:t>
      </w:r>
      <w:r>
        <w:rPr>
          <w:color w:val="0070C0"/>
        </w:rPr>
        <w:t xml:space="preserve">– </w:t>
      </w:r>
      <w:r w:rsidRPr="006752CE">
        <w:rPr>
          <w:color w:val="0070C0"/>
        </w:rPr>
        <w:t>the relat</w:t>
      </w:r>
      <w:r>
        <w:rPr>
          <w:color w:val="0070C0"/>
        </w:rPr>
        <w:t>ed</w:t>
      </w:r>
      <w:r w:rsidRPr="006752CE">
        <w:rPr>
          <w:color w:val="0070C0"/>
        </w:rPr>
        <w:t xml:space="preserve"> “discharges” always correspond in the field of the opposite sign (i.e., if INTC buys -field 7- its relat</w:t>
      </w:r>
      <w:r>
        <w:rPr>
          <w:color w:val="0070C0"/>
        </w:rPr>
        <w:t>ed</w:t>
      </w:r>
      <w:r w:rsidRPr="006752CE">
        <w:rPr>
          <w:color w:val="0070C0"/>
        </w:rPr>
        <w:t xml:space="preserve"> discharge is the INTC in field 16, i.e. seller) in the reporting part where the details of the actual buyer/seller customer</w:t>
      </w:r>
      <w:r>
        <w:rPr>
          <w:color w:val="0070C0"/>
        </w:rPr>
        <w:t>/client</w:t>
      </w:r>
      <w:r w:rsidRPr="006752CE">
        <w:rPr>
          <w:color w:val="0070C0"/>
        </w:rPr>
        <w:t xml:space="preserve"> are provided (identified with national ID or LEI code).</w:t>
      </w:r>
    </w:p>
    <w:p w14:paraId="5BCD6202" w14:textId="77777777" w:rsidR="00B30F50" w:rsidRPr="003103CF" w:rsidRDefault="00B30F50" w:rsidP="00B30F50">
      <w:pPr>
        <w:spacing w:after="0"/>
        <w:rPr>
          <w:color w:val="000000" w:themeColor="text1"/>
        </w:rPr>
      </w:pPr>
    </w:p>
    <w:p w14:paraId="7135CF40" w14:textId="77777777" w:rsidR="00B30F50" w:rsidRPr="00E5770A" w:rsidRDefault="00B30F50" w:rsidP="00B30F50">
      <w:pPr>
        <w:spacing w:after="0"/>
        <w:rPr>
          <w:color w:val="0070C0"/>
        </w:rPr>
      </w:pPr>
      <w:r>
        <w:rPr>
          <w:color w:val="0070C0"/>
        </w:rPr>
        <w:t>Thus,</w:t>
      </w:r>
      <w:r w:rsidRPr="00E5770A">
        <w:rPr>
          <w:color w:val="0070C0"/>
        </w:rPr>
        <w:t xml:space="preserve"> at the single ISIN level, for a given trade date and on a given venue, if for a given quantity there are INTCs </w:t>
      </w:r>
      <w:r>
        <w:rPr>
          <w:color w:val="0070C0"/>
        </w:rPr>
        <w:t>“</w:t>
      </w:r>
      <w:r w:rsidRPr="00E5770A">
        <w:rPr>
          <w:color w:val="0070C0"/>
        </w:rPr>
        <w:t>in purchase</w:t>
      </w:r>
      <w:r>
        <w:rPr>
          <w:color w:val="0070C0"/>
        </w:rPr>
        <w:t>”</w:t>
      </w:r>
      <w:r w:rsidRPr="00E5770A">
        <w:rPr>
          <w:color w:val="0070C0"/>
        </w:rPr>
        <w:t xml:space="preserve">, there will also be corresponding INTCs </w:t>
      </w:r>
      <w:r>
        <w:rPr>
          <w:color w:val="0070C0"/>
        </w:rPr>
        <w:t>“</w:t>
      </w:r>
      <w:r w:rsidRPr="00E5770A">
        <w:rPr>
          <w:color w:val="0070C0"/>
        </w:rPr>
        <w:t>in sale</w:t>
      </w:r>
      <w:r>
        <w:rPr>
          <w:color w:val="0070C0"/>
        </w:rPr>
        <w:t>”</w:t>
      </w:r>
      <w:r w:rsidRPr="00E5770A">
        <w:rPr>
          <w:color w:val="0070C0"/>
        </w:rPr>
        <w:t xml:space="preserve">, so that the INTC will match. The field </w:t>
      </w:r>
      <w:r>
        <w:rPr>
          <w:color w:val="0070C0"/>
        </w:rPr>
        <w:t>“</w:t>
      </w:r>
      <w:r w:rsidRPr="00E5770A">
        <w:rPr>
          <w:color w:val="0070C0"/>
        </w:rPr>
        <w:t>execution time</w:t>
      </w:r>
      <w:r>
        <w:rPr>
          <w:color w:val="0070C0"/>
        </w:rPr>
        <w:t>”</w:t>
      </w:r>
      <w:r w:rsidRPr="00E5770A">
        <w:rPr>
          <w:color w:val="0070C0"/>
        </w:rPr>
        <w:t xml:space="preserve"> also represents a link between </w:t>
      </w:r>
      <w:r>
        <w:rPr>
          <w:color w:val="0070C0"/>
        </w:rPr>
        <w:t xml:space="preserve">a) </w:t>
      </w:r>
      <w:r w:rsidRPr="00E5770A">
        <w:rPr>
          <w:color w:val="0070C0"/>
        </w:rPr>
        <w:t xml:space="preserve">the reporting of the execution on the market and </w:t>
      </w:r>
      <w:r>
        <w:rPr>
          <w:color w:val="0070C0"/>
        </w:rPr>
        <w:t xml:space="preserve">b) the reporting </w:t>
      </w:r>
      <w:r w:rsidRPr="00E5770A">
        <w:rPr>
          <w:color w:val="0070C0"/>
        </w:rPr>
        <w:t xml:space="preserve">of the assignment to clients, as this must match the time of the first execution on the market. In addition, the link between the two parts of the reporting (i.e. </w:t>
      </w:r>
      <w:r w:rsidRPr="00E5770A">
        <w:rPr>
          <w:color w:val="0070C0"/>
        </w:rPr>
        <w:lastRenderedPageBreak/>
        <w:t>execution and assignment</w:t>
      </w:r>
      <w:r>
        <w:rPr>
          <w:color w:val="0070C0"/>
        </w:rPr>
        <w:t>/matching</w:t>
      </w:r>
      <w:r w:rsidRPr="00E5770A">
        <w:rPr>
          <w:color w:val="0070C0"/>
        </w:rPr>
        <w:t xml:space="preserve">) is further strengthened by the use of </w:t>
      </w:r>
      <w:r>
        <w:rPr>
          <w:color w:val="0070C0"/>
        </w:rPr>
        <w:t xml:space="preserve">qualifier </w:t>
      </w:r>
      <w:r w:rsidRPr="00E5770A">
        <w:rPr>
          <w:color w:val="0070C0"/>
        </w:rPr>
        <w:t xml:space="preserve">XOFF in field 36 in the same </w:t>
      </w:r>
      <w:r>
        <w:rPr>
          <w:color w:val="0070C0"/>
        </w:rPr>
        <w:t xml:space="preserve">part of the </w:t>
      </w:r>
      <w:r w:rsidRPr="00E5770A">
        <w:rPr>
          <w:color w:val="0070C0"/>
        </w:rPr>
        <w:t>reporting where the details of the actual buyer/seller client are provided.</w:t>
      </w:r>
    </w:p>
    <w:p w14:paraId="385CB300" w14:textId="77777777" w:rsidR="00B30F50" w:rsidRPr="00E5770A" w:rsidRDefault="00B30F50" w:rsidP="00B30F50">
      <w:pPr>
        <w:spacing w:after="0"/>
        <w:rPr>
          <w:color w:val="0070C0"/>
        </w:rPr>
      </w:pPr>
    </w:p>
    <w:p w14:paraId="574BDE71" w14:textId="77777777" w:rsidR="00B30F50" w:rsidRPr="0007147C" w:rsidRDefault="00B30F50" w:rsidP="00B30F50">
      <w:pPr>
        <w:spacing w:after="0"/>
        <w:rPr>
          <w:color w:val="0070C0"/>
        </w:rPr>
      </w:pPr>
      <w:r w:rsidRPr="0007147C">
        <w:rPr>
          <w:color w:val="0070C0"/>
        </w:rPr>
        <w:t xml:space="preserve">Therefore, moving from a specific reporting entity (identified with a LEI code), </w:t>
      </w:r>
      <w:r>
        <w:rPr>
          <w:color w:val="0070C0"/>
        </w:rPr>
        <w:t xml:space="preserve">and </w:t>
      </w:r>
      <w:r w:rsidRPr="0007147C">
        <w:rPr>
          <w:color w:val="0070C0"/>
        </w:rPr>
        <w:t xml:space="preserve">filtering by </w:t>
      </w:r>
      <w:proofErr w:type="spellStart"/>
      <w:r w:rsidRPr="0007147C">
        <w:rPr>
          <w:color w:val="0070C0"/>
        </w:rPr>
        <w:t>i</w:t>
      </w:r>
      <w:proofErr w:type="spellEnd"/>
      <w:r w:rsidRPr="0007147C">
        <w:rPr>
          <w:color w:val="0070C0"/>
        </w:rPr>
        <w:t xml:space="preserve">) a given ISIN, ii) the INTC in purchase and sale, iii) by trading date and time, iv) by XOFF, </w:t>
      </w:r>
      <w:r w:rsidRPr="00E6008C">
        <w:rPr>
          <w:color w:val="0070C0"/>
          <w:u w:val="single"/>
        </w:rPr>
        <w:t>we believe that the link between execution and aggregation can already be sufficiently clear</w:t>
      </w:r>
      <w:r>
        <w:rPr>
          <w:color w:val="0070C0"/>
        </w:rPr>
        <w:t xml:space="preserve">, with no actual need for introducing the “INTC identifier”. Besides, a </w:t>
      </w:r>
      <w:r w:rsidRPr="0007147C">
        <w:rPr>
          <w:color w:val="0070C0"/>
        </w:rPr>
        <w:t xml:space="preserve">similar reasoning could also be made for the notion of </w:t>
      </w:r>
      <w:r>
        <w:rPr>
          <w:color w:val="0070C0"/>
        </w:rPr>
        <w:t>“</w:t>
      </w:r>
      <w:r w:rsidRPr="0007147C">
        <w:rPr>
          <w:color w:val="0070C0"/>
        </w:rPr>
        <w:t>Chain identifier</w:t>
      </w:r>
      <w:r>
        <w:rPr>
          <w:color w:val="0070C0"/>
        </w:rPr>
        <w:t xml:space="preserve">”, recalled and </w:t>
      </w:r>
      <w:r w:rsidRPr="0007147C">
        <w:rPr>
          <w:color w:val="0070C0"/>
        </w:rPr>
        <w:t>referred to in par. 77.</w:t>
      </w:r>
    </w:p>
    <w:p w14:paraId="14A16DEB" w14:textId="77777777" w:rsidR="00B30F50" w:rsidRPr="0007147C" w:rsidRDefault="00B30F50" w:rsidP="00B30F50">
      <w:pPr>
        <w:spacing w:after="0"/>
        <w:rPr>
          <w:color w:val="0070C0"/>
        </w:rPr>
      </w:pPr>
    </w:p>
    <w:p w14:paraId="3F0BD084" w14:textId="1002942F" w:rsidR="006B5DF1" w:rsidRDefault="00B30F50" w:rsidP="00B30F50">
      <w:pPr>
        <w:spacing w:after="0"/>
      </w:pPr>
      <w:r w:rsidRPr="003B31EA">
        <w:rPr>
          <w:color w:val="0070C0"/>
        </w:rPr>
        <w:t>Finally, some members confirm that the</w:t>
      </w:r>
      <w:r>
        <w:rPr>
          <w:color w:val="0070C0"/>
        </w:rPr>
        <w:t>y have a</w:t>
      </w:r>
      <w:r w:rsidRPr="003B31EA">
        <w:rPr>
          <w:color w:val="0070C0"/>
        </w:rPr>
        <w:t xml:space="preserve"> </w:t>
      </w:r>
      <w:r>
        <w:rPr>
          <w:color w:val="0070C0"/>
        </w:rPr>
        <w:t xml:space="preserve">substantial </w:t>
      </w:r>
      <w:r w:rsidRPr="003B31EA">
        <w:rPr>
          <w:color w:val="0070C0"/>
        </w:rPr>
        <w:t xml:space="preserve">number of operations using the INTC aggregator code at present, as this code is used to manage the so-called "spreading" </w:t>
      </w:r>
      <w:r>
        <w:rPr>
          <w:color w:val="0070C0"/>
        </w:rPr>
        <w:t xml:space="preserve">or division </w:t>
      </w:r>
      <w:r w:rsidRPr="003B31EA">
        <w:rPr>
          <w:color w:val="0070C0"/>
        </w:rPr>
        <w:t xml:space="preserve">of </w:t>
      </w:r>
      <w:r>
        <w:rPr>
          <w:color w:val="0070C0"/>
        </w:rPr>
        <w:t xml:space="preserve">the </w:t>
      </w:r>
      <w:r w:rsidRPr="003B31EA">
        <w:rPr>
          <w:color w:val="0070C0"/>
        </w:rPr>
        <w:t xml:space="preserve">orders executed by </w:t>
      </w:r>
      <w:r>
        <w:rPr>
          <w:color w:val="0070C0"/>
        </w:rPr>
        <w:t>portfolio m</w:t>
      </w:r>
      <w:r w:rsidRPr="003B31EA">
        <w:rPr>
          <w:color w:val="0070C0"/>
        </w:rPr>
        <w:t>anage</w:t>
      </w:r>
      <w:r>
        <w:rPr>
          <w:color w:val="0070C0"/>
        </w:rPr>
        <w:t>rs</w:t>
      </w:r>
      <w:r w:rsidRPr="003B31EA">
        <w:rPr>
          <w:color w:val="0070C0"/>
        </w:rPr>
        <w:t xml:space="preserve"> </w:t>
      </w:r>
      <w:r>
        <w:rPr>
          <w:color w:val="0070C0"/>
        </w:rPr>
        <w:t xml:space="preserve">on behalf of </w:t>
      </w:r>
      <w:r w:rsidRPr="003B31EA">
        <w:rPr>
          <w:color w:val="0070C0"/>
        </w:rPr>
        <w:t xml:space="preserve">the numerous underlying client mandates. Sometimes, there are orders that contain thousands of INTCs. Therefore, </w:t>
      </w:r>
      <w:r>
        <w:rPr>
          <w:color w:val="0070C0"/>
        </w:rPr>
        <w:t xml:space="preserve">we </w:t>
      </w:r>
      <w:r w:rsidRPr="003B31EA">
        <w:rPr>
          <w:color w:val="0070C0"/>
        </w:rPr>
        <w:t xml:space="preserve">reiterate - as stated above - that (in terms of costs and benefits) operations </w:t>
      </w:r>
      <w:r>
        <w:rPr>
          <w:color w:val="0070C0"/>
        </w:rPr>
        <w:t xml:space="preserve">would be </w:t>
      </w:r>
      <w:r w:rsidRPr="003B31EA">
        <w:rPr>
          <w:color w:val="0070C0"/>
        </w:rPr>
        <w:t xml:space="preserve">better grouped </w:t>
      </w:r>
      <w:r>
        <w:rPr>
          <w:color w:val="0070C0"/>
        </w:rPr>
        <w:t xml:space="preserve">by ISIN code </w:t>
      </w:r>
      <w:r w:rsidRPr="003B31EA">
        <w:rPr>
          <w:color w:val="0070C0"/>
        </w:rPr>
        <w:t>and time</w:t>
      </w:r>
      <w:r>
        <w:rPr>
          <w:color w:val="0070C0"/>
        </w:rPr>
        <w:t>stamp</w:t>
      </w:r>
      <w:r w:rsidRPr="003B31EA">
        <w:rPr>
          <w:color w:val="0070C0"/>
        </w:rPr>
        <w:t>, with</w:t>
      </w:r>
      <w:r>
        <w:rPr>
          <w:color w:val="0070C0"/>
        </w:rPr>
        <w:t xml:space="preserve"> no</w:t>
      </w:r>
      <w:r w:rsidRPr="003B31EA">
        <w:rPr>
          <w:color w:val="0070C0"/>
        </w:rPr>
        <w:t xml:space="preserve"> </w:t>
      </w:r>
      <w:r>
        <w:rPr>
          <w:color w:val="0070C0"/>
        </w:rPr>
        <w:t xml:space="preserve">actual need for the </w:t>
      </w:r>
      <w:r w:rsidRPr="003B31EA">
        <w:rPr>
          <w:color w:val="0070C0"/>
        </w:rPr>
        <w:t>introd</w:t>
      </w:r>
      <w:r>
        <w:rPr>
          <w:color w:val="0070C0"/>
        </w:rPr>
        <w:t>uction of</w:t>
      </w:r>
      <w:r w:rsidRPr="003B31EA">
        <w:rPr>
          <w:color w:val="0070C0"/>
        </w:rPr>
        <w:t xml:space="preserve"> the </w:t>
      </w:r>
      <w:r>
        <w:rPr>
          <w:color w:val="0070C0"/>
        </w:rPr>
        <w:t>proposed “</w:t>
      </w:r>
      <w:r w:rsidRPr="003B31EA">
        <w:rPr>
          <w:color w:val="0070C0"/>
        </w:rPr>
        <w:t>INTC Identifier</w:t>
      </w:r>
      <w:r>
        <w:rPr>
          <w:color w:val="0070C0"/>
        </w:rPr>
        <w:t>”</w:t>
      </w:r>
      <w:r w:rsidRPr="003B31EA">
        <w:rPr>
          <w:color w:val="0070C0"/>
        </w:rPr>
        <w:t>. For these reasons, it is believed that the INTC field should be qualified as "optional to fill in" and not mandatory.</w:t>
      </w:r>
    </w:p>
    <w:permEnd w:id="938018820"/>
    <w:p w14:paraId="434B1CE3" w14:textId="40F70F15" w:rsidR="006B5DF1" w:rsidRDefault="006B5DF1" w:rsidP="006B5DF1">
      <w:pPr>
        <w:spacing w:after="0"/>
      </w:pPr>
      <w:r>
        <w:t>&lt;ESMA_QUESTION_CP3_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246574AF" w:rsidR="006B5DF1" w:rsidRDefault="006B5DF1" w:rsidP="006B5DF1">
      <w:pPr>
        <w:spacing w:after="0"/>
      </w:pPr>
      <w:r>
        <w:t>&lt;ESMA_QUESTION_CP3_</w:t>
      </w:r>
      <w:r w:rsidR="003E7313">
        <w:t>18</w:t>
      </w:r>
      <w:r>
        <w:t>&gt;</w:t>
      </w:r>
    </w:p>
    <w:p w14:paraId="0D5A07F7" w14:textId="77777777" w:rsidR="006B5DF1" w:rsidRDefault="006B5DF1" w:rsidP="006B5DF1">
      <w:pPr>
        <w:spacing w:after="0"/>
      </w:pPr>
      <w:permStart w:id="1092633402" w:edGrp="everyone"/>
      <w:r>
        <w:t>TYPE YOUR TEXT HERE</w:t>
      </w:r>
    </w:p>
    <w:permEnd w:id="1092633402"/>
    <w:p w14:paraId="51F035B1" w14:textId="224D6D8F" w:rsidR="006B5DF1" w:rsidRDefault="006B5DF1" w:rsidP="006B5DF1">
      <w:pPr>
        <w:spacing w:after="0"/>
      </w:pPr>
      <w:r>
        <w:t>&lt;ESMA_QUESTION_CP3_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168BD9B5" w:rsidR="006B5DF1" w:rsidRDefault="006B5DF1" w:rsidP="006B5DF1">
      <w:pPr>
        <w:spacing w:after="0"/>
      </w:pPr>
      <w:r>
        <w:t>&lt;ESMA_QUESTION_CP3_</w:t>
      </w:r>
      <w:r w:rsidR="003E7313">
        <w:t>19</w:t>
      </w:r>
      <w:r>
        <w:t>&gt;</w:t>
      </w:r>
    </w:p>
    <w:p w14:paraId="2BA667C9" w14:textId="77777777" w:rsidR="00DB6F22" w:rsidRPr="00E6008C" w:rsidRDefault="00DB6F22" w:rsidP="00DB6F22">
      <w:pPr>
        <w:spacing w:after="0"/>
        <w:rPr>
          <w:color w:val="0070C0"/>
        </w:rPr>
      </w:pPr>
      <w:permStart w:id="1566987131" w:edGrp="everyone"/>
      <w:r w:rsidRPr="00E6008C">
        <w:rPr>
          <w:color w:val="0070C0"/>
        </w:rPr>
        <w:t xml:space="preserve">Also in this case, in addition to the difficulties (considered understandable) already outlined in the consultation paper regarding “non–MiFIR firms and non–EEA venues” (of which even ESMA expresses awareness in paragraphs 81-82), the “benefit” for the Authorities would seem to be (only) that of having an “explicit” indicator of “connection”, instead of having them to resort to connections </w:t>
      </w:r>
      <w:r w:rsidRPr="00E6008C">
        <w:rPr>
          <w:color w:val="0070C0"/>
        </w:rPr>
        <w:lastRenderedPageBreak/>
        <w:t>that can be found via other fields which are present in the current reporting (as stated in our response to Q17).</w:t>
      </w:r>
    </w:p>
    <w:p w14:paraId="29E865F5" w14:textId="77777777" w:rsidR="00DB6F22" w:rsidRPr="00E6008C" w:rsidRDefault="00DB6F22" w:rsidP="00DB6F22">
      <w:pPr>
        <w:spacing w:after="0"/>
        <w:rPr>
          <w:color w:val="0070C0"/>
        </w:rPr>
      </w:pPr>
    </w:p>
    <w:p w14:paraId="539C3CF9" w14:textId="77777777" w:rsidR="00DB6F22" w:rsidRPr="00E6008C" w:rsidRDefault="00DB6F22" w:rsidP="00DB6F22">
      <w:pPr>
        <w:spacing w:after="0"/>
        <w:rPr>
          <w:color w:val="0070C0"/>
        </w:rPr>
      </w:pPr>
      <w:r w:rsidRPr="00E6008C">
        <w:rPr>
          <w:color w:val="0070C0"/>
        </w:rPr>
        <w:t>In case of a chain, we understand that sometimes the authority may have difficulties in linking or (re)connecting the transactions of the “transmitting entity” to the related “executing entity”, as sometimes there is not a “one-to-one” relationship between these two sides of the transactions.</w:t>
      </w:r>
    </w:p>
    <w:p w14:paraId="2BDBF58C" w14:textId="77777777" w:rsidR="00DB6F22" w:rsidRPr="00E6008C" w:rsidRDefault="00DB6F22" w:rsidP="00DB6F22">
      <w:pPr>
        <w:spacing w:after="0"/>
        <w:rPr>
          <w:color w:val="0070C0"/>
        </w:rPr>
      </w:pPr>
    </w:p>
    <w:p w14:paraId="3067D493" w14:textId="77777777" w:rsidR="00DB6F22" w:rsidRPr="00E6008C" w:rsidRDefault="00DB6F22" w:rsidP="00DB6F22">
      <w:pPr>
        <w:spacing w:after="0"/>
        <w:rPr>
          <w:color w:val="0070C0"/>
        </w:rPr>
      </w:pPr>
      <w:r w:rsidRPr="00E6008C">
        <w:rPr>
          <w:color w:val="0070C0"/>
        </w:rPr>
        <w:t>However, while understanding the benefit deriving from the introduction of the additional new field (Chain Identifier, proposed by ESMA), the cost of its creation and use would seem particularly high, and also very demanding considering the fact that each counterparty must allow and guarantee the "upward flow" of the code within the intermediation chain (a chain that can potentially involve a number of intermediaries), thus meaning that the executing broker will have to await the end of each day to be able to communicate this code.</w:t>
      </w:r>
    </w:p>
    <w:p w14:paraId="1A52E7A4" w14:textId="77777777" w:rsidR="00DB6F22" w:rsidRPr="00E6008C" w:rsidRDefault="00DB6F22" w:rsidP="00DB6F22">
      <w:pPr>
        <w:spacing w:after="0"/>
        <w:rPr>
          <w:color w:val="0070C0"/>
        </w:rPr>
      </w:pPr>
    </w:p>
    <w:p w14:paraId="798D490E" w14:textId="77777777" w:rsidR="00DB6F22" w:rsidRPr="00E6008C" w:rsidRDefault="00DB6F22" w:rsidP="00DB6F22">
      <w:pPr>
        <w:spacing w:after="0"/>
        <w:rPr>
          <w:color w:val="0070C0"/>
        </w:rPr>
      </w:pPr>
      <w:r w:rsidRPr="00E6008C">
        <w:rPr>
          <w:color w:val="0070C0"/>
        </w:rPr>
        <w:t xml:space="preserve">And uncertainty arises for the case in which, in the chain of intermediaries, a </w:t>
      </w:r>
      <w:r w:rsidRPr="00E6008C">
        <w:rPr>
          <w:color w:val="0070C0"/>
          <w:u w:val="single"/>
        </w:rPr>
        <w:t>non-EU</w:t>
      </w:r>
      <w:r w:rsidRPr="00E6008C">
        <w:rPr>
          <w:color w:val="0070C0"/>
        </w:rPr>
        <w:t xml:space="preserve"> broker is used / resorted to, as it would clearly be not subject to EU provisions.</w:t>
      </w:r>
    </w:p>
    <w:p w14:paraId="3C388D0E" w14:textId="77777777" w:rsidR="00DB6F22" w:rsidRPr="00E6008C" w:rsidRDefault="00DB6F22" w:rsidP="00DB6F22">
      <w:pPr>
        <w:spacing w:after="0"/>
        <w:rPr>
          <w:color w:val="0070C0"/>
        </w:rPr>
      </w:pPr>
    </w:p>
    <w:p w14:paraId="76767E26" w14:textId="60882C5F" w:rsidR="006B5DF1" w:rsidRDefault="00DB6F22" w:rsidP="00DB6F22">
      <w:pPr>
        <w:spacing w:after="0"/>
      </w:pPr>
      <w:r w:rsidRPr="00E6008C">
        <w:rPr>
          <w:color w:val="0070C0"/>
        </w:rPr>
        <w:t>We believe that the complexity and uncertainty of managing the new “Chain Identifier”, and the high direct and indirect costs related to it, could eventually make such code “ineffective in practice” vis-à-vis the (understandable) objectives set by the Regulator.</w:t>
      </w:r>
    </w:p>
    <w:permEnd w:id="1566987131"/>
    <w:p w14:paraId="3AD2704A" w14:textId="4405DE65" w:rsidR="006B5DF1" w:rsidRDefault="006B5DF1" w:rsidP="006B5DF1">
      <w:pPr>
        <w:spacing w:after="0"/>
      </w:pPr>
      <w:r>
        <w:t>&lt;ESMA_QUESTION_CP3_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0F42F38F" w:rsidR="006B5DF1" w:rsidRDefault="006B5DF1" w:rsidP="006B5DF1">
      <w:pPr>
        <w:spacing w:after="0"/>
      </w:pPr>
      <w:r>
        <w:t>&lt;ESMA_QUESTION_CP3_</w:t>
      </w:r>
      <w:r w:rsidR="003E7313">
        <w:t>20</w:t>
      </w:r>
      <w:r>
        <w:t>&gt;</w:t>
      </w:r>
    </w:p>
    <w:p w14:paraId="7F57DFED" w14:textId="77777777" w:rsidR="006B5DF1" w:rsidRDefault="006B5DF1" w:rsidP="006B5DF1">
      <w:pPr>
        <w:spacing w:after="0"/>
      </w:pPr>
      <w:permStart w:id="1381705258" w:edGrp="everyone"/>
      <w:r>
        <w:t>TYPE YOUR TEXT HERE</w:t>
      </w:r>
    </w:p>
    <w:permEnd w:id="1381705258"/>
    <w:p w14:paraId="693695D5" w14:textId="1915377C" w:rsidR="006B5DF1" w:rsidRDefault="006B5DF1" w:rsidP="006B5DF1">
      <w:pPr>
        <w:spacing w:after="0"/>
      </w:pPr>
      <w:r>
        <w:t>&lt;ESMA_QUESTION_CP3_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18C37ADD" w:rsidR="006B5DF1" w:rsidRDefault="006B5DF1" w:rsidP="006B5DF1">
      <w:pPr>
        <w:spacing w:after="0"/>
      </w:pPr>
      <w:r>
        <w:t>&lt;ESMA_QUESTION_CP3_</w:t>
      </w:r>
      <w:r w:rsidR="003E7313">
        <w:t>21</w:t>
      </w:r>
      <w:r>
        <w:t>&gt;</w:t>
      </w:r>
    </w:p>
    <w:p w14:paraId="2EBD2BFA" w14:textId="77777777" w:rsidR="006B5DF1" w:rsidRDefault="006B5DF1" w:rsidP="006B5DF1">
      <w:pPr>
        <w:spacing w:after="0"/>
      </w:pPr>
      <w:permStart w:id="2065267156" w:edGrp="everyone"/>
      <w:r>
        <w:t>TYPE YOUR TEXT HERE</w:t>
      </w:r>
    </w:p>
    <w:permEnd w:id="2065267156"/>
    <w:p w14:paraId="2A4CCFD1" w14:textId="4186CDB1" w:rsidR="006B5DF1" w:rsidRDefault="006B5DF1" w:rsidP="006B5DF1">
      <w:pPr>
        <w:spacing w:after="0"/>
      </w:pPr>
      <w:r>
        <w:t>&lt;ESMA_QUESTION_CP3_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lastRenderedPageBreak/>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52E1D95" w:rsidR="006B5DF1" w:rsidRDefault="006B5DF1" w:rsidP="006B5DF1">
      <w:pPr>
        <w:spacing w:after="0"/>
      </w:pPr>
      <w:r>
        <w:t>&lt;ESMA_QUESTION_CP3_</w:t>
      </w:r>
      <w:r w:rsidR="003E7313">
        <w:t>22</w:t>
      </w:r>
      <w:r>
        <w:t>&gt;</w:t>
      </w:r>
    </w:p>
    <w:p w14:paraId="158730F2" w14:textId="77777777" w:rsidR="00F53805" w:rsidRPr="001554CB" w:rsidRDefault="00F53805" w:rsidP="00F53805">
      <w:pPr>
        <w:spacing w:after="0"/>
        <w:rPr>
          <w:color w:val="0070C0"/>
        </w:rPr>
      </w:pPr>
      <w:permStart w:id="1173250579" w:edGrp="everyone"/>
      <w:r>
        <w:rPr>
          <w:color w:val="0070C0"/>
        </w:rPr>
        <w:t>F</w:t>
      </w:r>
      <w:r w:rsidRPr="001554CB">
        <w:rPr>
          <w:color w:val="0070C0"/>
        </w:rPr>
        <w:t>or easiness of understanding and legal certainty, we are in favour of specifying the date by which transaction data are to be reported, ideally distinguishing it from the date of application of the relevant RTS 22. In this</w:t>
      </w:r>
      <w:r>
        <w:rPr>
          <w:color w:val="0070C0"/>
        </w:rPr>
        <w:t xml:space="preserve"> </w:t>
      </w:r>
      <w:r w:rsidRPr="001554CB">
        <w:rPr>
          <w:color w:val="0070C0"/>
        </w:rPr>
        <w:t>regard, we noted a divergence between the 12</w:t>
      </w:r>
      <w:r>
        <w:rPr>
          <w:color w:val="0070C0"/>
        </w:rPr>
        <w:t>-</w:t>
      </w:r>
      <w:r w:rsidRPr="001554CB">
        <w:rPr>
          <w:color w:val="0070C0"/>
        </w:rPr>
        <w:t>months timeframe mentioned in par</w:t>
      </w:r>
      <w:r>
        <w:rPr>
          <w:color w:val="0070C0"/>
        </w:rPr>
        <w:t>agraph</w:t>
      </w:r>
      <w:r w:rsidRPr="001554CB">
        <w:rPr>
          <w:color w:val="0070C0"/>
        </w:rPr>
        <w:t xml:space="preserve"> 86 (page 39) and the 18</w:t>
      </w:r>
      <w:r>
        <w:rPr>
          <w:color w:val="0070C0"/>
          <w:vertAlign w:val="superscript"/>
        </w:rPr>
        <w:t>-</w:t>
      </w:r>
      <w:r w:rsidRPr="001554CB">
        <w:rPr>
          <w:color w:val="0070C0"/>
        </w:rPr>
        <w:t xml:space="preserve">months cited under the </w:t>
      </w:r>
      <w:r w:rsidRPr="001554CB">
        <w:rPr>
          <w:color w:val="0070C0"/>
          <w:u w:val="single"/>
        </w:rPr>
        <w:t>draft</w:t>
      </w:r>
      <w:r w:rsidRPr="001554CB">
        <w:rPr>
          <w:color w:val="0070C0"/>
        </w:rPr>
        <w:t xml:space="preserve"> Art. 22 </w:t>
      </w:r>
      <w:r>
        <w:rPr>
          <w:color w:val="0070C0"/>
        </w:rPr>
        <w:t xml:space="preserve">on page 176 </w:t>
      </w:r>
      <w:r w:rsidRPr="001554CB">
        <w:rPr>
          <w:color w:val="0070C0"/>
        </w:rPr>
        <w:t>(“Entry into force and application”)</w:t>
      </w:r>
      <w:r>
        <w:rPr>
          <w:color w:val="0070C0"/>
        </w:rPr>
        <w:t xml:space="preserve">. </w:t>
      </w:r>
    </w:p>
    <w:p w14:paraId="7E6D5FBE" w14:textId="77777777" w:rsidR="00F53805" w:rsidRPr="001554CB" w:rsidRDefault="00F53805" w:rsidP="00F53805">
      <w:pPr>
        <w:spacing w:after="0"/>
        <w:rPr>
          <w:color w:val="0070C0"/>
        </w:rPr>
      </w:pPr>
    </w:p>
    <w:p w14:paraId="6AB08085" w14:textId="44FF0631" w:rsidR="006B5DF1" w:rsidRDefault="00F53805" w:rsidP="00F53805">
      <w:pPr>
        <w:spacing w:after="0"/>
      </w:pPr>
      <w:r w:rsidRPr="001554CB">
        <w:rPr>
          <w:color w:val="0070C0"/>
        </w:rPr>
        <w:t xml:space="preserve">Further to this, there is a </w:t>
      </w:r>
      <w:r>
        <w:rPr>
          <w:color w:val="0070C0"/>
        </w:rPr>
        <w:t xml:space="preserve">crucial </w:t>
      </w:r>
      <w:r w:rsidRPr="001554CB">
        <w:rPr>
          <w:color w:val="0070C0"/>
        </w:rPr>
        <w:t xml:space="preserve">issue to mention (despite this question might be not the most appropriate under which to place such consideration): ESMA shall be aware that a coexistence of two </w:t>
      </w:r>
      <w:r>
        <w:rPr>
          <w:color w:val="0070C0"/>
        </w:rPr>
        <w:t xml:space="preserve">formats and </w:t>
      </w:r>
      <w:r w:rsidRPr="001554CB">
        <w:rPr>
          <w:color w:val="0070C0"/>
        </w:rPr>
        <w:t>reporting frameworks</w:t>
      </w:r>
      <w:r>
        <w:rPr>
          <w:color w:val="0070C0"/>
        </w:rPr>
        <w:t xml:space="preserve"> – which are </w:t>
      </w:r>
      <w:r w:rsidRPr="001554CB">
        <w:rPr>
          <w:color w:val="0070C0"/>
        </w:rPr>
        <w:t xml:space="preserve">aimed at allowing </w:t>
      </w:r>
      <w:r>
        <w:rPr>
          <w:color w:val="0070C0"/>
        </w:rPr>
        <w:t>(</w:t>
      </w:r>
      <w:proofErr w:type="spellStart"/>
      <w:r w:rsidRPr="001554CB">
        <w:rPr>
          <w:color w:val="0070C0"/>
        </w:rPr>
        <w:t>i</w:t>
      </w:r>
      <w:proofErr w:type="spellEnd"/>
      <w:r w:rsidRPr="001554CB">
        <w:rPr>
          <w:color w:val="0070C0"/>
        </w:rPr>
        <w:t xml:space="preserve">) corrections on formerly reported trades </w:t>
      </w:r>
      <w:r>
        <w:rPr>
          <w:color w:val="0070C0"/>
        </w:rPr>
        <w:t>and</w:t>
      </w:r>
      <w:r w:rsidRPr="001554CB">
        <w:rPr>
          <w:color w:val="0070C0"/>
        </w:rPr>
        <w:t xml:space="preserve"> </w:t>
      </w:r>
      <w:r>
        <w:rPr>
          <w:color w:val="0070C0"/>
        </w:rPr>
        <w:t>(</w:t>
      </w:r>
      <w:r w:rsidRPr="001554CB">
        <w:rPr>
          <w:color w:val="0070C0"/>
        </w:rPr>
        <w:t>ii) the late transmission of reports which should have been sent earlier than a given date</w:t>
      </w:r>
      <w:r>
        <w:rPr>
          <w:color w:val="0070C0"/>
        </w:rPr>
        <w:t xml:space="preserve"> – </w:t>
      </w:r>
      <w:r w:rsidRPr="001554CB">
        <w:rPr>
          <w:color w:val="0070C0"/>
        </w:rPr>
        <w:t>would represent a very peculiar and delicate scenario,</w:t>
      </w:r>
      <w:r>
        <w:rPr>
          <w:color w:val="0070C0"/>
        </w:rPr>
        <w:t xml:space="preserve"> very costly</w:t>
      </w:r>
      <w:r w:rsidRPr="001554CB">
        <w:rPr>
          <w:color w:val="0070C0"/>
        </w:rPr>
        <w:t xml:space="preserve"> </w:t>
      </w:r>
      <w:r>
        <w:rPr>
          <w:color w:val="0070C0"/>
        </w:rPr>
        <w:t xml:space="preserve">and operationally risk-prone, </w:t>
      </w:r>
      <w:r w:rsidRPr="001554CB">
        <w:rPr>
          <w:color w:val="0070C0"/>
        </w:rPr>
        <w:t xml:space="preserve">especially for entity responsible for reporting and submitting entities. </w:t>
      </w:r>
      <w:r>
        <w:rPr>
          <w:color w:val="0070C0"/>
        </w:rPr>
        <w:t>U</w:t>
      </w:r>
      <w:r w:rsidRPr="001554CB">
        <w:rPr>
          <w:color w:val="0070C0"/>
        </w:rPr>
        <w:t xml:space="preserve">nless, under level-3 guidance, ESMA </w:t>
      </w:r>
      <w:r>
        <w:rPr>
          <w:color w:val="0070C0"/>
        </w:rPr>
        <w:t xml:space="preserve">would </w:t>
      </w:r>
      <w:r w:rsidRPr="001554CB">
        <w:rPr>
          <w:color w:val="0070C0"/>
        </w:rPr>
        <w:t xml:space="preserve">decide – for trades concluded on the former reporting scheme that happen to need a correction or a late transmission </w:t>
      </w:r>
      <w:r>
        <w:rPr>
          <w:color w:val="0070C0"/>
        </w:rPr>
        <w:t>–</w:t>
      </w:r>
      <w:r w:rsidRPr="001554CB">
        <w:rPr>
          <w:color w:val="0070C0"/>
        </w:rPr>
        <w:t xml:space="preserve"> to grant/waive the population of those reporting fields that did not exist and were mandatory under the previous reporting scheme.</w:t>
      </w:r>
    </w:p>
    <w:permEnd w:id="1173250579"/>
    <w:p w14:paraId="103F6D06" w14:textId="06D121CD" w:rsidR="006B5DF1" w:rsidRDefault="006B5DF1" w:rsidP="006B5DF1">
      <w:pPr>
        <w:spacing w:after="0"/>
      </w:pPr>
      <w:r>
        <w:t>&lt;ESMA_QUESTION_CP3_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2D5562D1" w:rsidR="006B5DF1" w:rsidRDefault="006B5DF1" w:rsidP="006B5DF1">
      <w:pPr>
        <w:spacing w:after="0"/>
      </w:pPr>
      <w:r>
        <w:t>&lt;ESMA_QUESTION_CP3_</w:t>
      </w:r>
      <w:r w:rsidR="003E7313">
        <w:t>23</w:t>
      </w:r>
      <w:r>
        <w:t>&gt;</w:t>
      </w:r>
    </w:p>
    <w:p w14:paraId="5D145B1E" w14:textId="77777777" w:rsidR="006B5DF1" w:rsidRDefault="006B5DF1" w:rsidP="006B5DF1">
      <w:pPr>
        <w:spacing w:after="0"/>
      </w:pPr>
      <w:permStart w:id="1864581970" w:edGrp="everyone"/>
      <w:r>
        <w:t>TYPE YOUR TEXT HERE</w:t>
      </w:r>
    </w:p>
    <w:permEnd w:id="1864581970"/>
    <w:p w14:paraId="70F87526" w14:textId="74AF3BAB" w:rsidR="006B5DF1" w:rsidRDefault="006B5DF1" w:rsidP="006B5DF1">
      <w:pPr>
        <w:spacing w:after="0"/>
      </w:pPr>
      <w:r>
        <w:t>&lt;ESMA_QUESTION_CP3_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3AB5269C" w:rsidR="006B5DF1" w:rsidRDefault="006B5DF1" w:rsidP="006B5DF1">
      <w:pPr>
        <w:spacing w:after="0"/>
      </w:pPr>
      <w:r>
        <w:t>&lt;ESMA_QUESTION_CP3_</w:t>
      </w:r>
      <w:r w:rsidR="003E7313">
        <w:t>24</w:t>
      </w:r>
      <w:r>
        <w:t>&gt;</w:t>
      </w:r>
    </w:p>
    <w:p w14:paraId="330B2A62" w14:textId="77777777" w:rsidR="00755570" w:rsidRPr="0049362A" w:rsidRDefault="00755570" w:rsidP="00755570">
      <w:pPr>
        <w:spacing w:after="0"/>
        <w:rPr>
          <w:color w:val="0070C0"/>
        </w:rPr>
      </w:pPr>
      <w:permStart w:id="604202828" w:edGrp="everyone"/>
      <w:r w:rsidRPr="0049362A">
        <w:rPr>
          <w:color w:val="0070C0"/>
        </w:rPr>
        <w:lastRenderedPageBreak/>
        <w:t>As it regards the proposed alignment of fields with EMIR and SFTR reporting requirements, on the one hand, we theoretically understand the proposal set forth by ESMA but, on the other hand, we nourish some doubts on the basis of the combined reading of some Recitals (reported herein below).</w:t>
      </w:r>
    </w:p>
    <w:p w14:paraId="4E65B38A" w14:textId="77777777" w:rsidR="00755570" w:rsidRPr="0049362A" w:rsidRDefault="00755570" w:rsidP="00755570">
      <w:pPr>
        <w:spacing w:after="0"/>
        <w:rPr>
          <w:color w:val="0070C0"/>
          <w:szCs w:val="22"/>
          <w:shd w:val="clear" w:color="auto" w:fill="FFFFFF"/>
        </w:rPr>
      </w:pPr>
      <w:r w:rsidRPr="0049362A">
        <w:rPr>
          <w:color w:val="0070C0"/>
        </w:rPr>
        <w:t xml:space="preserve">Preliminarily though, the effort foreseen for the alignment of the some MiFIR reporting fields to the EMIR one, it does imply a considerable operational effort and ICT changes. Such alignment seems to presumably derive from the principle enshrined in </w:t>
      </w:r>
      <w:r w:rsidRPr="0049362A">
        <w:rPr>
          <w:b/>
          <w:bCs/>
          <w:color w:val="0070C0"/>
        </w:rPr>
        <w:t>Recital 22 of Regulation (EU) 2024/791</w:t>
      </w:r>
      <w:r w:rsidRPr="0049362A">
        <w:rPr>
          <w:color w:val="0070C0"/>
        </w:rPr>
        <w:t xml:space="preserve">, </w:t>
      </w:r>
      <w:r w:rsidRPr="0049362A">
        <w:rPr>
          <w:color w:val="0070C0"/>
          <w:szCs w:val="22"/>
        </w:rPr>
        <w:t>that reads «</w:t>
      </w:r>
      <w:r w:rsidRPr="0049362A">
        <w:rPr>
          <w:i/>
          <w:iCs/>
          <w:color w:val="0070C0"/>
          <w:szCs w:val="22"/>
        </w:rPr>
        <w:t>R</w:t>
      </w:r>
      <w:r w:rsidRPr="0049362A">
        <w:rPr>
          <w:i/>
          <w:iCs/>
          <w:color w:val="0070C0"/>
          <w:szCs w:val="22"/>
          <w:shd w:val="clear" w:color="auto" w:fill="FFFFFF"/>
        </w:rPr>
        <w:t xml:space="preserve">eporting in financial markets – in particular transaction reporting – is already highly automated and data are fairly standardised. Some inconsistencies between frameworks have already been resolved (..). The empowerments of ESMA should be aligned to require ESMA to develop draft regulatory technical standards and ensure greater consistency in transaction reporting between the frameworks of those Regulations [EMIR, SFTR] and that of Regulation (EU) No 600/2014 </w:t>
      </w:r>
      <w:r w:rsidRPr="0049362A">
        <w:rPr>
          <w:color w:val="0070C0"/>
          <w:szCs w:val="22"/>
          <w:shd w:val="clear" w:color="auto" w:fill="FFFFFF"/>
        </w:rPr>
        <w:t>(..)</w:t>
      </w:r>
      <w:r w:rsidRPr="0049362A">
        <w:rPr>
          <w:rFonts w:ascii="Aptos" w:hAnsi="Aptos"/>
          <w:color w:val="0070C0"/>
          <w:szCs w:val="22"/>
          <w:shd w:val="clear" w:color="auto" w:fill="FFFFFF"/>
        </w:rPr>
        <w:t>»</w:t>
      </w:r>
      <w:r w:rsidRPr="0049362A">
        <w:rPr>
          <w:color w:val="0070C0"/>
          <w:szCs w:val="22"/>
          <w:shd w:val="clear" w:color="auto" w:fill="FFFFFF"/>
        </w:rPr>
        <w:t>.</w:t>
      </w:r>
    </w:p>
    <w:p w14:paraId="2EA588FB" w14:textId="77777777" w:rsidR="00755570" w:rsidRPr="0049362A" w:rsidRDefault="00755570" w:rsidP="00755570">
      <w:pPr>
        <w:spacing w:after="0"/>
        <w:rPr>
          <w:color w:val="0070C0"/>
          <w:szCs w:val="22"/>
        </w:rPr>
      </w:pPr>
      <w:r w:rsidRPr="0049362A">
        <w:rPr>
          <w:color w:val="0070C0"/>
          <w:szCs w:val="22"/>
        </w:rPr>
        <w:t>However, such principle (and subsequent activity) does not immediately appear consistent with</w:t>
      </w:r>
    </w:p>
    <w:p w14:paraId="1F84C27A" w14:textId="77777777" w:rsidR="00755570" w:rsidRPr="0049362A" w:rsidRDefault="00755570" w:rsidP="00755570">
      <w:pPr>
        <w:pStyle w:val="Paragrafoelenco"/>
        <w:numPr>
          <w:ilvl w:val="0"/>
          <w:numId w:val="38"/>
        </w:numPr>
        <w:spacing w:after="0"/>
        <w:rPr>
          <w:color w:val="0070C0"/>
        </w:rPr>
      </w:pPr>
      <w:r w:rsidRPr="0049362A">
        <w:rPr>
          <w:color w:val="0070C0"/>
          <w:szCs w:val="22"/>
        </w:rPr>
        <w:t xml:space="preserve">what stated under Recital 35 of </w:t>
      </w:r>
      <w:proofErr w:type="spellStart"/>
      <w:r w:rsidRPr="0049362A">
        <w:rPr>
          <w:color w:val="0070C0"/>
          <w:szCs w:val="22"/>
        </w:rPr>
        <w:t>MiIR</w:t>
      </w:r>
      <w:proofErr w:type="spellEnd"/>
      <w:r w:rsidRPr="0049362A">
        <w:rPr>
          <w:color w:val="0070C0"/>
          <w:szCs w:val="22"/>
        </w:rPr>
        <w:t xml:space="preserve"> Regulation, that reads: «</w:t>
      </w:r>
      <w:r w:rsidRPr="0049362A">
        <w:rPr>
          <w:i/>
          <w:iCs/>
          <w:color w:val="0070C0"/>
          <w:szCs w:val="22"/>
        </w:rPr>
        <w:t xml:space="preserve">Double reporting of the same information should be avoided. Reports submitted to trade repositories registered or recognised in accordance with Regulation (EU) No 648/2012 for the relevant financial instruments which contain all the required information for transaction reporting purposes </w:t>
      </w:r>
      <w:r w:rsidRPr="0049362A">
        <w:rPr>
          <w:b/>
          <w:bCs/>
          <w:i/>
          <w:iCs/>
          <w:color w:val="0070C0"/>
          <w:szCs w:val="22"/>
        </w:rPr>
        <w:t>should not</w:t>
      </w:r>
      <w:r w:rsidRPr="0049362A">
        <w:rPr>
          <w:i/>
          <w:iCs/>
          <w:color w:val="0070C0"/>
          <w:szCs w:val="22"/>
        </w:rPr>
        <w:t xml:space="preserve"> need to </w:t>
      </w:r>
      <w:r w:rsidRPr="0049362A">
        <w:rPr>
          <w:b/>
          <w:bCs/>
          <w:i/>
          <w:iCs/>
          <w:color w:val="0070C0"/>
          <w:szCs w:val="22"/>
        </w:rPr>
        <w:t>be reported</w:t>
      </w:r>
      <w:r w:rsidRPr="0049362A">
        <w:rPr>
          <w:i/>
          <w:iCs/>
          <w:color w:val="0070C0"/>
          <w:szCs w:val="22"/>
        </w:rPr>
        <w:t xml:space="preserve"> to </w:t>
      </w:r>
      <w:r w:rsidRPr="0049362A">
        <w:rPr>
          <w:b/>
          <w:bCs/>
          <w:i/>
          <w:iCs/>
          <w:color w:val="0070C0"/>
          <w:szCs w:val="22"/>
        </w:rPr>
        <w:t>competent authorities</w:t>
      </w:r>
      <w:r w:rsidRPr="0049362A">
        <w:rPr>
          <w:i/>
          <w:iCs/>
          <w:color w:val="0070C0"/>
          <w:szCs w:val="22"/>
        </w:rPr>
        <w:t xml:space="preserve"> </w:t>
      </w:r>
      <w:r w:rsidRPr="0049362A">
        <w:rPr>
          <w:b/>
          <w:bCs/>
          <w:i/>
          <w:iCs/>
          <w:color w:val="0070C0"/>
          <w:szCs w:val="22"/>
        </w:rPr>
        <w:t>but should</w:t>
      </w:r>
      <w:r w:rsidRPr="0049362A">
        <w:rPr>
          <w:i/>
          <w:iCs/>
          <w:color w:val="0070C0"/>
          <w:szCs w:val="22"/>
        </w:rPr>
        <w:t xml:space="preserve"> be transmitted to them by the trade repositories. Regulation (EU) No 648/2012 should be amended to that effect</w:t>
      </w:r>
      <w:r w:rsidRPr="0049362A">
        <w:rPr>
          <w:color w:val="0070C0"/>
          <w:szCs w:val="22"/>
          <w:shd w:val="clear" w:color="auto" w:fill="FFFFFF"/>
        </w:rPr>
        <w:t>»;</w:t>
      </w:r>
    </w:p>
    <w:p w14:paraId="5CF851B1" w14:textId="43258C20" w:rsidR="006B5DF1" w:rsidRDefault="00755570" w:rsidP="00755570">
      <w:pPr>
        <w:spacing w:after="0"/>
      </w:pPr>
      <w:r w:rsidRPr="0049362A">
        <w:rPr>
          <w:color w:val="0070C0"/>
          <w:szCs w:val="22"/>
          <w:shd w:val="clear" w:color="auto" w:fill="FFFFFF"/>
        </w:rPr>
        <w:t>what stated under consolidated Article 26(7), 7</w:t>
      </w:r>
      <w:r w:rsidRPr="0049362A">
        <w:rPr>
          <w:color w:val="0070C0"/>
          <w:szCs w:val="22"/>
          <w:shd w:val="clear" w:color="auto" w:fill="FFFFFF"/>
          <w:vertAlign w:val="superscript"/>
        </w:rPr>
        <w:t>th</w:t>
      </w:r>
      <w:r w:rsidRPr="0049362A">
        <w:rPr>
          <w:color w:val="0070C0"/>
          <w:szCs w:val="22"/>
          <w:shd w:val="clear" w:color="auto" w:fill="FFFFFF"/>
        </w:rPr>
        <w:t xml:space="preserve"> sub-paragraph of consolidated MiFIR Regulation, that reads: </w:t>
      </w:r>
      <w:r w:rsidRPr="0049362A">
        <w:rPr>
          <w:color w:val="0070C0"/>
          <w:szCs w:val="22"/>
        </w:rPr>
        <w:t>«</w:t>
      </w:r>
      <w:r w:rsidRPr="0049362A">
        <w:rPr>
          <w:i/>
          <w:iCs/>
          <w:color w:val="0070C0"/>
          <w:szCs w:val="22"/>
          <w:shd w:val="clear" w:color="auto" w:fill="FFFFFF"/>
        </w:rPr>
        <w:t>Where transactions have been reported to a trade repository in accordance with Article 9 of Regulation (EU) No 648/2012 which is approved as an ARM and where those reports contain the details required under paragraphs 1, 3 and 9 and are transmitted to the competent authority by the trade repository within the time limit set in paragraph 1, the obligation on the investment firm laid down in paragraph 1 shall be considered to have been complied with</w:t>
      </w:r>
      <w:r w:rsidRPr="0049362A">
        <w:rPr>
          <w:color w:val="0070C0"/>
          <w:szCs w:val="22"/>
          <w:shd w:val="clear" w:color="auto" w:fill="FFFFFF"/>
        </w:rPr>
        <w:t>.».</w:t>
      </w:r>
    </w:p>
    <w:permEnd w:id="604202828"/>
    <w:p w14:paraId="3D62CC04" w14:textId="456B415E" w:rsidR="006B5DF1" w:rsidRDefault="006B5DF1" w:rsidP="006B5DF1">
      <w:pPr>
        <w:spacing w:after="0"/>
      </w:pPr>
      <w:r>
        <w:t>&lt;ESMA_QUESTION_CP3_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5C5B027A" w:rsidR="006B5DF1" w:rsidRDefault="006B5DF1" w:rsidP="006B5DF1">
      <w:pPr>
        <w:spacing w:after="0"/>
      </w:pPr>
      <w:r>
        <w:t>&lt;ESMA_QUESTION_CP3_</w:t>
      </w:r>
      <w:r w:rsidR="003E7313">
        <w:t>25</w:t>
      </w:r>
      <w:r>
        <w:t>&gt;</w:t>
      </w:r>
    </w:p>
    <w:p w14:paraId="22FD2603" w14:textId="4A49BFC8" w:rsidR="006B5DF1" w:rsidRDefault="0091551C" w:rsidP="006B5DF1">
      <w:pPr>
        <w:spacing w:after="0"/>
      </w:pPr>
      <w:permStart w:id="1792834567" w:edGrp="everyone"/>
      <w:r w:rsidRPr="00E6008C">
        <w:rPr>
          <w:color w:val="0070C0"/>
        </w:rPr>
        <w:t>As it regards the “</w:t>
      </w:r>
      <w:r w:rsidRPr="00E6008C">
        <w:rPr>
          <w:i/>
          <w:iCs/>
          <w:color w:val="0070C0"/>
        </w:rPr>
        <w:t>alignment of reporting of direction</w:t>
      </w:r>
      <w:r w:rsidRPr="00E6008C">
        <w:rPr>
          <w:color w:val="0070C0"/>
        </w:rPr>
        <w:t>” on page 65-66 of the consultation paper, the draft of the new Article 16(a) proposed for the revision of Regulation 2017/590 would seem to state that for “</w:t>
      </w:r>
      <w:r w:rsidRPr="00E6008C">
        <w:rPr>
          <w:i/>
          <w:iCs/>
          <w:color w:val="0070C0"/>
        </w:rPr>
        <w:t>forwards related to currencies and of cross currency swaps</w:t>
      </w:r>
      <w:r w:rsidRPr="00E6008C">
        <w:rPr>
          <w:color w:val="0070C0"/>
        </w:rPr>
        <w:t>” (point 6) it will be no longer required to fill in the buyer/seller fields but only the field “payer/receiver of leg1” and “payer/receiver of leg 2”. We are unsure of this reading and we would ask ESMA to provide for clarification on this in its Final Report.</w:t>
      </w:r>
    </w:p>
    <w:permEnd w:id="1792834567"/>
    <w:p w14:paraId="64A80114" w14:textId="64B75614" w:rsidR="006B5DF1" w:rsidRDefault="006B5DF1" w:rsidP="006B5DF1">
      <w:pPr>
        <w:spacing w:after="0"/>
      </w:pPr>
      <w:r>
        <w:t>&lt;ESMA_QUESTION_CP3_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62D53457" w:rsidR="006B5DF1" w:rsidRDefault="006B5DF1" w:rsidP="006B5DF1">
      <w:pPr>
        <w:spacing w:after="0"/>
      </w:pPr>
      <w:r>
        <w:t>&lt;ESMA_QUESTION_CP3_</w:t>
      </w:r>
      <w:r w:rsidR="003E7313">
        <w:t>2</w:t>
      </w:r>
      <w:r>
        <w:t>6&gt;</w:t>
      </w:r>
    </w:p>
    <w:p w14:paraId="7F37F9F5" w14:textId="77777777" w:rsidR="00F86ED3" w:rsidRPr="00CF5C13" w:rsidRDefault="00F86ED3" w:rsidP="00F86ED3">
      <w:pPr>
        <w:spacing w:after="0"/>
        <w:rPr>
          <w:color w:val="0070C0"/>
        </w:rPr>
      </w:pPr>
      <w:permStart w:id="2128023615" w:edGrp="everyone"/>
      <w:r>
        <w:rPr>
          <w:color w:val="0070C0"/>
        </w:rPr>
        <w:t>We</w:t>
      </w:r>
      <w:r w:rsidRPr="00CF5C13">
        <w:rPr>
          <w:color w:val="0070C0"/>
        </w:rPr>
        <w:t xml:space="preserve"> gathered no technical consideration</w:t>
      </w:r>
      <w:r>
        <w:rPr>
          <w:color w:val="0070C0"/>
        </w:rPr>
        <w:t>s</w:t>
      </w:r>
      <w:r w:rsidRPr="00CF5C13">
        <w:rPr>
          <w:color w:val="0070C0"/>
        </w:rPr>
        <w:t xml:space="preserve"> strictly contrary to the proposal to </w:t>
      </w:r>
      <w:r w:rsidRPr="00CF5C13">
        <w:rPr>
          <w:i/>
          <w:iCs/>
          <w:color w:val="0070C0"/>
        </w:rPr>
        <w:t>align information relating to price</w:t>
      </w:r>
      <w:r w:rsidRPr="00CF5C13">
        <w:rPr>
          <w:color w:val="0070C0"/>
        </w:rPr>
        <w:t xml:space="preserve">. Nevertheless, </w:t>
      </w:r>
      <w:r>
        <w:rPr>
          <w:color w:val="0070C0"/>
        </w:rPr>
        <w:t xml:space="preserve">we report below </w:t>
      </w:r>
      <w:r w:rsidRPr="00CF5C13">
        <w:rPr>
          <w:color w:val="0070C0"/>
        </w:rPr>
        <w:t xml:space="preserve">some </w:t>
      </w:r>
      <w:r>
        <w:rPr>
          <w:color w:val="0070C0"/>
        </w:rPr>
        <w:t>observations which we deem important to highlight to ESMA</w:t>
      </w:r>
      <w:r w:rsidRPr="00CF5C13">
        <w:rPr>
          <w:color w:val="0070C0"/>
        </w:rPr>
        <w:t>.</w:t>
      </w:r>
    </w:p>
    <w:p w14:paraId="217D37D3" w14:textId="77777777" w:rsidR="00F86ED3" w:rsidRPr="00CF5C13" w:rsidRDefault="00F86ED3" w:rsidP="00F86ED3">
      <w:pPr>
        <w:spacing w:after="0"/>
        <w:rPr>
          <w:color w:val="0070C0"/>
        </w:rPr>
      </w:pPr>
    </w:p>
    <w:p w14:paraId="5BD34B07" w14:textId="77777777" w:rsidR="00F86ED3" w:rsidRPr="00B53E8C" w:rsidRDefault="00F86ED3" w:rsidP="00F86ED3">
      <w:pPr>
        <w:spacing w:after="0"/>
        <w:rPr>
          <w:color w:val="0070C0"/>
        </w:rPr>
      </w:pPr>
      <w:r w:rsidRPr="000210A1">
        <w:rPr>
          <w:color w:val="0070C0"/>
        </w:rPr>
        <w:t>On page 145, in the table details for filling in the “price” field, the exchange rate is indicated as the price for FX Swaps and Forwards, while on page 71 of the CP (in the “proposed approach” box) the following is assumed:</w:t>
      </w:r>
    </w:p>
    <w:p w14:paraId="53F24048" w14:textId="77777777" w:rsidR="00F86ED3" w:rsidRPr="00B64FBB" w:rsidRDefault="00F86ED3" w:rsidP="00F86ED3">
      <w:pPr>
        <w:spacing w:after="0"/>
        <w:rPr>
          <w:i/>
          <w:iCs/>
          <w:color w:val="0070C0"/>
        </w:rPr>
      </w:pPr>
      <w:r>
        <w:rPr>
          <w:i/>
          <w:iCs/>
          <w:color w:val="0070C0"/>
          <w:lang w:val="en-US"/>
        </w:rPr>
        <w:t>“</w:t>
      </w:r>
      <w:r w:rsidRPr="001554CB">
        <w:rPr>
          <w:i/>
          <w:iCs/>
          <w:color w:val="0070C0"/>
          <w:lang w:val="en-US"/>
        </w:rPr>
        <w:t xml:space="preserve">For FX swaps and forwards, two ways forward could be considered: </w:t>
      </w:r>
    </w:p>
    <w:p w14:paraId="0F98E3D9" w14:textId="77777777" w:rsidR="00F86ED3" w:rsidRPr="00DA49BD" w:rsidRDefault="00F86ED3" w:rsidP="00F86ED3">
      <w:pPr>
        <w:numPr>
          <w:ilvl w:val="0"/>
          <w:numId w:val="39"/>
        </w:numPr>
        <w:spacing w:after="0"/>
        <w:rPr>
          <w:color w:val="0070C0"/>
        </w:rPr>
      </w:pPr>
      <w:r w:rsidRPr="00DA49BD">
        <w:rPr>
          <w:i/>
          <w:iCs/>
          <w:color w:val="0070C0"/>
          <w:lang w:val="en-US"/>
        </w:rPr>
        <w:t xml:space="preserve">clarify that the price field shall contain the exchange rate), or </w:t>
      </w:r>
    </w:p>
    <w:p w14:paraId="7769BF90" w14:textId="77777777" w:rsidR="00F86ED3" w:rsidRPr="00DA49BD" w:rsidRDefault="00F86ED3" w:rsidP="00F86ED3">
      <w:pPr>
        <w:numPr>
          <w:ilvl w:val="0"/>
          <w:numId w:val="39"/>
        </w:numPr>
        <w:spacing w:after="0"/>
        <w:rPr>
          <w:color w:val="0070C0"/>
        </w:rPr>
      </w:pPr>
      <w:r w:rsidRPr="00DA49BD">
        <w:rPr>
          <w:i/>
          <w:iCs/>
          <w:color w:val="0070C0"/>
          <w:lang w:val="en-US"/>
        </w:rPr>
        <w:t>adding the two relevant fields (exchange rate 1 and forward exchange rate)”.</w:t>
      </w:r>
    </w:p>
    <w:p w14:paraId="2EE6FF4F" w14:textId="77777777" w:rsidR="00F86ED3" w:rsidRPr="00B53E8C" w:rsidRDefault="00F86ED3" w:rsidP="00F86ED3">
      <w:pPr>
        <w:spacing w:after="0"/>
        <w:rPr>
          <w:color w:val="0070C0"/>
        </w:rPr>
      </w:pPr>
    </w:p>
    <w:p w14:paraId="6EDD473F" w14:textId="77777777" w:rsidR="00F86ED3" w:rsidRPr="00F05976" w:rsidRDefault="00F86ED3" w:rsidP="00F86ED3">
      <w:pPr>
        <w:spacing w:after="0"/>
        <w:rPr>
          <w:color w:val="0070C0"/>
        </w:rPr>
      </w:pPr>
      <w:r w:rsidRPr="00F05976">
        <w:rPr>
          <w:color w:val="0070C0"/>
        </w:rPr>
        <w:t xml:space="preserve">Therefore, it is not clear whether </w:t>
      </w:r>
      <w:r>
        <w:rPr>
          <w:color w:val="0070C0"/>
        </w:rPr>
        <w:t xml:space="preserve">it was overlooked to include </w:t>
      </w:r>
      <w:r w:rsidRPr="00F05976">
        <w:rPr>
          <w:color w:val="0070C0"/>
        </w:rPr>
        <w:t xml:space="preserve">the “exchange rate 1” hypothesis in the table </w:t>
      </w:r>
      <w:r>
        <w:rPr>
          <w:color w:val="0070C0"/>
        </w:rPr>
        <w:t xml:space="preserve">aimed at compiling </w:t>
      </w:r>
      <w:r w:rsidRPr="00F05976">
        <w:rPr>
          <w:color w:val="0070C0"/>
        </w:rPr>
        <w:t xml:space="preserve">the “price” field on page 145, </w:t>
      </w:r>
      <w:r>
        <w:rPr>
          <w:color w:val="0070C0"/>
        </w:rPr>
        <w:t xml:space="preserve">particularly </w:t>
      </w:r>
      <w:r w:rsidRPr="00F05976">
        <w:rPr>
          <w:color w:val="0070C0"/>
        </w:rPr>
        <w:t xml:space="preserve">with </w:t>
      </w:r>
      <w:r>
        <w:rPr>
          <w:color w:val="0070C0"/>
        </w:rPr>
        <w:t xml:space="preserve">regards </w:t>
      </w:r>
      <w:r w:rsidRPr="00F05976">
        <w:rPr>
          <w:color w:val="0070C0"/>
        </w:rPr>
        <w:t>to FX swaps.</w:t>
      </w:r>
    </w:p>
    <w:p w14:paraId="3A033C04" w14:textId="77777777" w:rsidR="00F86ED3" w:rsidRPr="00DA49BD" w:rsidRDefault="00F86ED3" w:rsidP="00F86ED3">
      <w:pPr>
        <w:spacing w:after="0"/>
        <w:rPr>
          <w:color w:val="0070C0"/>
        </w:rPr>
      </w:pPr>
      <w:r w:rsidRPr="00F05976">
        <w:rPr>
          <w:color w:val="0070C0"/>
        </w:rPr>
        <w:t xml:space="preserve">If, however, it was a </w:t>
      </w:r>
      <w:r>
        <w:rPr>
          <w:color w:val="0070C0"/>
        </w:rPr>
        <w:t xml:space="preserve">precise </w:t>
      </w:r>
      <w:r w:rsidRPr="00F05976">
        <w:rPr>
          <w:color w:val="0070C0"/>
        </w:rPr>
        <w:t xml:space="preserve">choice (and therefore option 1 was chosen), </w:t>
      </w:r>
      <w:r>
        <w:rPr>
          <w:color w:val="0070C0"/>
        </w:rPr>
        <w:t xml:space="preserve">we would suggest and </w:t>
      </w:r>
      <w:r w:rsidRPr="00F05976">
        <w:rPr>
          <w:color w:val="0070C0"/>
        </w:rPr>
        <w:t xml:space="preserve">consider </w:t>
      </w:r>
      <w:r>
        <w:rPr>
          <w:color w:val="0070C0"/>
        </w:rPr>
        <w:t xml:space="preserve">it </w:t>
      </w:r>
      <w:r w:rsidRPr="00F05976">
        <w:rPr>
          <w:color w:val="0070C0"/>
        </w:rPr>
        <w:t xml:space="preserve">appropriate </w:t>
      </w:r>
      <w:r>
        <w:rPr>
          <w:color w:val="0070C0"/>
        </w:rPr>
        <w:t xml:space="preserve">that </w:t>
      </w:r>
      <w:r w:rsidRPr="00F05976">
        <w:rPr>
          <w:color w:val="0070C0"/>
        </w:rPr>
        <w:t>ESMA clarif</w:t>
      </w:r>
      <w:r>
        <w:rPr>
          <w:color w:val="0070C0"/>
        </w:rPr>
        <w:t>ies</w:t>
      </w:r>
      <w:r w:rsidRPr="00F05976">
        <w:rPr>
          <w:color w:val="0070C0"/>
        </w:rPr>
        <w:t xml:space="preserve"> whether, in the case of FX swaps, “exchange rate” means </w:t>
      </w:r>
      <w:r>
        <w:rPr>
          <w:color w:val="0070C0"/>
        </w:rPr>
        <w:t>“</w:t>
      </w:r>
      <w:r w:rsidRPr="004124DC">
        <w:rPr>
          <w:i/>
          <w:iCs/>
          <w:color w:val="0070C0"/>
        </w:rPr>
        <w:t>exchange rate 1</w:t>
      </w:r>
      <w:r>
        <w:rPr>
          <w:color w:val="0070C0"/>
        </w:rPr>
        <w:t>”</w:t>
      </w:r>
      <w:r w:rsidRPr="00F05976">
        <w:rPr>
          <w:color w:val="0070C0"/>
        </w:rPr>
        <w:t xml:space="preserve"> or the </w:t>
      </w:r>
      <w:r>
        <w:rPr>
          <w:color w:val="0070C0"/>
        </w:rPr>
        <w:t>“</w:t>
      </w:r>
      <w:r w:rsidRPr="004124DC">
        <w:rPr>
          <w:i/>
          <w:iCs/>
          <w:color w:val="0070C0"/>
        </w:rPr>
        <w:t>forward exchange rate</w:t>
      </w:r>
      <w:r>
        <w:rPr>
          <w:color w:val="0070C0"/>
        </w:rPr>
        <w:t>”</w:t>
      </w:r>
      <w:r w:rsidRPr="00F05976">
        <w:rPr>
          <w:color w:val="0070C0"/>
        </w:rPr>
        <w:t>.</w:t>
      </w:r>
    </w:p>
    <w:p w14:paraId="2922304F" w14:textId="77777777" w:rsidR="00F86ED3" w:rsidRPr="00DA49BD" w:rsidRDefault="00F86ED3" w:rsidP="00F86ED3">
      <w:pPr>
        <w:spacing w:after="0"/>
        <w:rPr>
          <w:color w:val="0070C0"/>
        </w:rPr>
      </w:pPr>
    </w:p>
    <w:p w14:paraId="3A023F1B" w14:textId="1FA40BC9" w:rsidR="006B5DF1" w:rsidRDefault="00F86ED3" w:rsidP="00F86ED3">
      <w:pPr>
        <w:spacing w:after="0"/>
      </w:pPr>
      <w:r>
        <w:rPr>
          <w:color w:val="0070C0"/>
        </w:rPr>
        <w:t xml:space="preserve">Indeed, </w:t>
      </w:r>
      <w:r w:rsidRPr="00182E51">
        <w:rPr>
          <w:color w:val="0070C0"/>
        </w:rPr>
        <w:t xml:space="preserve">at present and on the basis of this formulation, </w:t>
      </w:r>
      <w:r>
        <w:rPr>
          <w:color w:val="0070C0"/>
        </w:rPr>
        <w:t>s</w:t>
      </w:r>
      <w:r w:rsidRPr="00182E51">
        <w:rPr>
          <w:color w:val="0070C0"/>
        </w:rPr>
        <w:t xml:space="preserve">ome </w:t>
      </w:r>
      <w:r>
        <w:rPr>
          <w:color w:val="0070C0"/>
        </w:rPr>
        <w:t xml:space="preserve">members </w:t>
      </w:r>
      <w:r w:rsidRPr="00182E51">
        <w:rPr>
          <w:color w:val="0070C0"/>
        </w:rPr>
        <w:t xml:space="preserve">believe that they should only use the </w:t>
      </w:r>
      <w:r>
        <w:rPr>
          <w:color w:val="0070C0"/>
        </w:rPr>
        <w:t>second one, i.e. the “</w:t>
      </w:r>
      <w:r w:rsidRPr="00182E51">
        <w:rPr>
          <w:color w:val="0070C0"/>
        </w:rPr>
        <w:t>forward exchange rate</w:t>
      </w:r>
      <w:r>
        <w:rPr>
          <w:color w:val="0070C0"/>
        </w:rPr>
        <w:t>”</w:t>
      </w:r>
      <w:r w:rsidRPr="00182E51">
        <w:rPr>
          <w:color w:val="0070C0"/>
        </w:rPr>
        <w:t>.</w:t>
      </w:r>
    </w:p>
    <w:permEnd w:id="2128023615"/>
    <w:p w14:paraId="033BC056" w14:textId="1B2BCD9E" w:rsidR="006B5DF1" w:rsidRDefault="006B5DF1" w:rsidP="006B5DF1">
      <w:pPr>
        <w:spacing w:after="0"/>
      </w:pPr>
      <w:r>
        <w:t>&lt;ESMA_QUESTION_CP3_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2694C4E8" w:rsidR="006B5DF1" w:rsidRDefault="006B5DF1" w:rsidP="006B5DF1">
      <w:pPr>
        <w:spacing w:after="0"/>
      </w:pPr>
      <w:r>
        <w:t>&lt;ESMA_QUESTION_CP3_</w:t>
      </w:r>
      <w:r w:rsidR="003E7313">
        <w:t>27</w:t>
      </w:r>
      <w:r>
        <w:t>&gt;</w:t>
      </w:r>
    </w:p>
    <w:p w14:paraId="62CCB457" w14:textId="77777777" w:rsidR="006B5DF1" w:rsidRDefault="006B5DF1" w:rsidP="006B5DF1">
      <w:pPr>
        <w:spacing w:after="0"/>
      </w:pPr>
      <w:permStart w:id="904620653" w:edGrp="everyone"/>
      <w:r>
        <w:t>TYPE YOUR TEXT HERE</w:t>
      </w:r>
    </w:p>
    <w:permEnd w:id="904620653"/>
    <w:p w14:paraId="622F61D1" w14:textId="5A2A5226" w:rsidR="006B5DF1" w:rsidRDefault="006B5DF1" w:rsidP="006B5DF1">
      <w:pPr>
        <w:spacing w:after="0"/>
      </w:pPr>
      <w:r>
        <w:t>&lt;ESMA_QUESTION_CP3_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Do you agree with adding the field ‘Package transaction price’ to align the reporting under MiFIR with EMIR Refit and CDE Technical Guidance?</w:t>
      </w:r>
    </w:p>
    <w:p w14:paraId="24E90255" w14:textId="77777777" w:rsidR="005D3762" w:rsidRDefault="005D3762" w:rsidP="005D3762"/>
    <w:p w14:paraId="7C4630B3" w14:textId="1C464FF0" w:rsidR="005D3762" w:rsidRDefault="005D3762" w:rsidP="005D3762">
      <w:pPr>
        <w:spacing w:after="0"/>
      </w:pPr>
      <w:r>
        <w:t>&lt;ESMA_QUESTION_CP3_</w:t>
      </w:r>
      <w:r w:rsidR="003E7313">
        <w:t>28</w:t>
      </w:r>
      <w:r>
        <w:t>&gt;</w:t>
      </w:r>
    </w:p>
    <w:p w14:paraId="2BC73DE9" w14:textId="77777777" w:rsidR="005D3762" w:rsidRDefault="005D3762" w:rsidP="005D3762">
      <w:pPr>
        <w:spacing w:after="0"/>
      </w:pPr>
      <w:permStart w:id="1129537263" w:edGrp="everyone"/>
      <w:r>
        <w:t>TYPE YOUR TEXT HERE</w:t>
      </w:r>
    </w:p>
    <w:permEnd w:id="1129537263"/>
    <w:p w14:paraId="159EE94A" w14:textId="5128B029" w:rsidR="005D3762" w:rsidRDefault="005D3762" w:rsidP="005D3762">
      <w:pPr>
        <w:spacing w:after="0"/>
      </w:pPr>
      <w:r>
        <w:t>&lt;ESMA_QUESTION_CP3_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5934B920" w:rsidR="005D3762" w:rsidRDefault="005D3762" w:rsidP="005D3762">
      <w:pPr>
        <w:spacing w:after="0"/>
      </w:pPr>
      <w:r>
        <w:t>&lt;ESMA_QUESTION_CP3_</w:t>
      </w:r>
      <w:r w:rsidR="003E7313">
        <w:t>29</w:t>
      </w:r>
      <w:r>
        <w:t>&gt;</w:t>
      </w:r>
    </w:p>
    <w:p w14:paraId="4053AB00" w14:textId="77777777" w:rsidR="005D3762" w:rsidRDefault="005D3762" w:rsidP="005D3762">
      <w:pPr>
        <w:spacing w:after="0"/>
      </w:pPr>
      <w:permStart w:id="1588948984" w:edGrp="everyone"/>
      <w:r>
        <w:t>TYPE YOUR TEXT HERE</w:t>
      </w:r>
    </w:p>
    <w:permEnd w:id="1588948984"/>
    <w:p w14:paraId="64D40008" w14:textId="0DA7EC93" w:rsidR="005D3762" w:rsidRDefault="005D3762" w:rsidP="005D3762">
      <w:pPr>
        <w:spacing w:after="0"/>
      </w:pPr>
      <w:r>
        <w:t>&lt;ESMA_QUESTION_CP3_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632EF669" w:rsidR="005D3762" w:rsidRDefault="005D3762" w:rsidP="005D3762">
      <w:pPr>
        <w:spacing w:after="0"/>
      </w:pPr>
      <w:r>
        <w:t>&lt;ESMA_QUESTION_CP3_3</w:t>
      </w:r>
      <w:r w:rsidR="003E7313">
        <w:t>0</w:t>
      </w:r>
      <w:r>
        <w:t>&gt;</w:t>
      </w:r>
    </w:p>
    <w:p w14:paraId="37E7E22F" w14:textId="77777777" w:rsidR="005D3762" w:rsidRDefault="005D3762" w:rsidP="005D3762">
      <w:pPr>
        <w:spacing w:after="0"/>
      </w:pPr>
      <w:permStart w:id="717119251" w:edGrp="everyone"/>
      <w:r>
        <w:t>TYPE YOUR TEXT HERE</w:t>
      </w:r>
    </w:p>
    <w:permEnd w:id="717119251"/>
    <w:p w14:paraId="55DD0967" w14:textId="4ACABE37" w:rsidR="005D3762" w:rsidRDefault="005D3762" w:rsidP="005D3762">
      <w:pPr>
        <w:spacing w:after="0"/>
      </w:pPr>
      <w:r>
        <w:t>&lt;ESMA_QUESTION_CP3_3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D168E90" w:rsidR="005D3762" w:rsidRDefault="005D3762" w:rsidP="005D3762">
      <w:pPr>
        <w:spacing w:after="0"/>
      </w:pPr>
      <w:r>
        <w:t>&lt;ESMA_QUESTION_CP3_3</w:t>
      </w:r>
      <w:r w:rsidR="003E7313">
        <w:t>1</w:t>
      </w:r>
      <w:r>
        <w:t>&gt;</w:t>
      </w:r>
    </w:p>
    <w:p w14:paraId="7AAB1F61" w14:textId="77777777" w:rsidR="005D3762" w:rsidRDefault="005D3762" w:rsidP="005D3762">
      <w:pPr>
        <w:spacing w:after="0"/>
      </w:pPr>
      <w:permStart w:id="5922041" w:edGrp="everyone"/>
      <w:r>
        <w:t>TYPE YOUR TEXT HERE</w:t>
      </w:r>
    </w:p>
    <w:permEnd w:id="5922041"/>
    <w:p w14:paraId="11DFB524" w14:textId="24628799" w:rsidR="005D3762" w:rsidRDefault="005D3762" w:rsidP="005D3762">
      <w:pPr>
        <w:spacing w:after="0"/>
      </w:pPr>
      <w:r>
        <w:t>&lt;ESMA_QUESTION_CP3_3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4BDEAB3D" w:rsidR="005D3762" w:rsidRDefault="005D3762" w:rsidP="005D3762">
      <w:pPr>
        <w:spacing w:after="0"/>
      </w:pPr>
      <w:r>
        <w:lastRenderedPageBreak/>
        <w:t>&lt;ESMA_QUESTION_CP3_3</w:t>
      </w:r>
      <w:r w:rsidR="003E7313">
        <w:t>2</w:t>
      </w:r>
      <w:r>
        <w:t>&gt;</w:t>
      </w:r>
    </w:p>
    <w:p w14:paraId="12FEE8FA" w14:textId="77777777" w:rsidR="005D3762" w:rsidRDefault="005D3762" w:rsidP="005D3762">
      <w:pPr>
        <w:spacing w:after="0"/>
      </w:pPr>
      <w:permStart w:id="787828672" w:edGrp="everyone"/>
      <w:r>
        <w:t>TYPE YOUR TEXT HERE</w:t>
      </w:r>
    </w:p>
    <w:permEnd w:id="787828672"/>
    <w:p w14:paraId="583C778A" w14:textId="3FEB6505" w:rsidR="005D3762" w:rsidRDefault="005D3762" w:rsidP="005D3762">
      <w:pPr>
        <w:spacing w:after="0"/>
      </w:pPr>
      <w:r>
        <w:t>&lt;ESMA_QUESTION_CP3_3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45C8BC61" w:rsidR="005D3762" w:rsidRDefault="005D3762" w:rsidP="005D3762">
      <w:pPr>
        <w:spacing w:after="0"/>
      </w:pPr>
      <w:r>
        <w:t>&lt;ESMA_QUESTION_CP3_3</w:t>
      </w:r>
      <w:r w:rsidR="003E7313">
        <w:t>3</w:t>
      </w:r>
      <w:r>
        <w:t>&gt;</w:t>
      </w:r>
    </w:p>
    <w:p w14:paraId="626F1EA1" w14:textId="77777777" w:rsidR="00D70F4C" w:rsidRDefault="00D70F4C" w:rsidP="00D70F4C">
      <w:pPr>
        <w:spacing w:after="0"/>
        <w:rPr>
          <w:color w:val="0070C0"/>
        </w:rPr>
      </w:pPr>
      <w:permStart w:id="1750278235" w:edGrp="everyone"/>
      <w:r>
        <w:rPr>
          <w:color w:val="0070C0"/>
        </w:rPr>
        <w:t xml:space="preserve">Notwithstanding our comprehension of the legitimate considerations presented by ESMA under par. 116-118, we are not in a position to express support to </w:t>
      </w:r>
      <w:r w:rsidRPr="006B3EE0">
        <w:rPr>
          <w:color w:val="0070C0"/>
        </w:rPr>
        <w:t xml:space="preserve">the inclusion of the new field </w:t>
      </w:r>
      <w:r>
        <w:rPr>
          <w:color w:val="0070C0"/>
        </w:rPr>
        <w:t xml:space="preserve">“client category”. Indeed, such field would seem to imply </w:t>
      </w:r>
      <w:r w:rsidRPr="006B3EE0">
        <w:rPr>
          <w:color w:val="0070C0"/>
        </w:rPr>
        <w:t>that</w:t>
      </w:r>
      <w:r>
        <w:rPr>
          <w:color w:val="0070C0"/>
        </w:rPr>
        <w:t xml:space="preserve"> the client classification/categorization would become an “attribute” specific to every transaction and, more importantly and problematically, it would seem to imply keeping trace and record of the historical evolution of the categorization of each client, which would require some ad-hoc developments, vis-à-vis doubtful actual benefits for the overall reporting.</w:t>
      </w:r>
    </w:p>
    <w:p w14:paraId="5BF6FCCC" w14:textId="77777777" w:rsidR="00D70F4C" w:rsidRPr="00CF5D5B" w:rsidRDefault="00D70F4C" w:rsidP="00D70F4C">
      <w:pPr>
        <w:spacing w:after="0"/>
        <w:rPr>
          <w:color w:val="0070C0"/>
        </w:rPr>
      </w:pPr>
    </w:p>
    <w:p w14:paraId="2D4D170C" w14:textId="77777777" w:rsidR="00D70F4C" w:rsidRPr="00CF5D5B" w:rsidRDefault="00D70F4C" w:rsidP="00D70F4C">
      <w:pPr>
        <w:spacing w:after="0"/>
        <w:rPr>
          <w:color w:val="0070C0"/>
        </w:rPr>
      </w:pPr>
      <w:r w:rsidRPr="00CF5D5B">
        <w:rPr>
          <w:color w:val="0070C0"/>
        </w:rPr>
        <w:t xml:space="preserve">Further to this, we also wonder how to manage the classification of a </w:t>
      </w:r>
      <w:r>
        <w:rPr>
          <w:color w:val="0070C0"/>
        </w:rPr>
        <w:t xml:space="preserve">specific </w:t>
      </w:r>
      <w:r w:rsidRPr="00CF5D5B">
        <w:rPr>
          <w:color w:val="0070C0"/>
        </w:rPr>
        <w:t xml:space="preserve">client given that its categorization may depend on the Asset Class: a client might be categorised as </w:t>
      </w:r>
      <w:r w:rsidRPr="00CF5D5B">
        <w:rPr>
          <w:i/>
          <w:iCs/>
          <w:color w:val="0070C0"/>
        </w:rPr>
        <w:t xml:space="preserve">Retail for some classes, </w:t>
      </w:r>
      <w:r w:rsidRPr="00CF5D5B">
        <w:rPr>
          <w:color w:val="0070C0"/>
        </w:rPr>
        <w:t xml:space="preserve">but simultaneously “as professional on request” </w:t>
      </w:r>
      <w:r>
        <w:rPr>
          <w:color w:val="0070C0"/>
        </w:rPr>
        <w:t xml:space="preserve">for </w:t>
      </w:r>
      <w:r w:rsidRPr="00CF5D5B">
        <w:rPr>
          <w:color w:val="0070C0"/>
        </w:rPr>
        <w:t>another asset class.</w:t>
      </w:r>
    </w:p>
    <w:p w14:paraId="5967B1A6" w14:textId="0179E148" w:rsidR="005D3762" w:rsidRDefault="00D70F4C" w:rsidP="00D70F4C">
      <w:pPr>
        <w:spacing w:after="0"/>
      </w:pPr>
      <w:r w:rsidRPr="00CF5D5B">
        <w:rPr>
          <w:color w:val="0070C0"/>
        </w:rPr>
        <w:t xml:space="preserve">Hence, the field ESMA is proposing to introduce would require further operational clarifications and, in any case, it does appear being peculiarly onerous in terms of </w:t>
      </w:r>
      <w:r>
        <w:rPr>
          <w:color w:val="0070C0"/>
        </w:rPr>
        <w:t>maintenance.</w:t>
      </w:r>
    </w:p>
    <w:permEnd w:id="1750278235"/>
    <w:p w14:paraId="7A1722CA" w14:textId="45F9E57D" w:rsidR="005D3762" w:rsidRDefault="005D3762" w:rsidP="005D3762">
      <w:pPr>
        <w:spacing w:after="0"/>
      </w:pPr>
      <w:r>
        <w:t>&lt;ESMA_QUESTION_CP3_3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718B848E" w:rsidR="005D3762" w:rsidRDefault="005D3762" w:rsidP="005D3762">
      <w:pPr>
        <w:spacing w:after="0"/>
      </w:pPr>
      <w:r>
        <w:t>&lt;ESMA_QUESTION_CP3_3</w:t>
      </w:r>
      <w:r w:rsidR="003E7313">
        <w:t>4</w:t>
      </w:r>
      <w:r>
        <w:t>&gt;</w:t>
      </w:r>
    </w:p>
    <w:p w14:paraId="516B170B" w14:textId="77777777" w:rsidR="005D3762" w:rsidRDefault="005D3762" w:rsidP="005D3762">
      <w:pPr>
        <w:spacing w:after="0"/>
      </w:pPr>
      <w:permStart w:id="40110413" w:edGrp="everyone"/>
      <w:r>
        <w:t>TYPE YOUR TEXT HERE</w:t>
      </w:r>
    </w:p>
    <w:permEnd w:id="40110413"/>
    <w:p w14:paraId="145FE6FA" w14:textId="2EA097B8" w:rsidR="005D3762" w:rsidRDefault="005D3762" w:rsidP="005D3762">
      <w:pPr>
        <w:spacing w:after="0"/>
      </w:pPr>
      <w:r>
        <w:t>&lt;ESMA_QUESTION_CP3_3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74C6F19C" w:rsidR="005D3762" w:rsidRDefault="005D3762" w:rsidP="005D3762">
      <w:pPr>
        <w:spacing w:after="0"/>
      </w:pPr>
      <w:r>
        <w:t>&lt;ESMA_QUESTION_CP3_3</w:t>
      </w:r>
      <w:r w:rsidR="00BE02A2">
        <w:t>5</w:t>
      </w:r>
      <w:r>
        <w:t>&gt;</w:t>
      </w:r>
    </w:p>
    <w:p w14:paraId="758B481A" w14:textId="77777777" w:rsidR="005D3762" w:rsidRDefault="005D3762" w:rsidP="005D3762">
      <w:pPr>
        <w:spacing w:after="0"/>
      </w:pPr>
      <w:permStart w:id="757149039" w:edGrp="everyone"/>
      <w:r>
        <w:lastRenderedPageBreak/>
        <w:t>TYPE YOUR TEXT HERE</w:t>
      </w:r>
    </w:p>
    <w:permEnd w:id="757149039"/>
    <w:p w14:paraId="7B59F61E" w14:textId="3B724B62" w:rsidR="005D3762" w:rsidRDefault="005D3762" w:rsidP="005D3762">
      <w:pPr>
        <w:spacing w:after="0"/>
      </w:pPr>
      <w:r>
        <w:t>&lt;ESMA_QUESTION_CP3_3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77777777" w:rsidR="005D3762" w:rsidRDefault="005D3762" w:rsidP="005D3762">
      <w:pPr>
        <w:spacing w:after="0"/>
      </w:pPr>
      <w:r>
        <w:t>&lt;ESMA_QUESTION_CP3_36&gt;</w:t>
      </w:r>
    </w:p>
    <w:p w14:paraId="4BE17C8B" w14:textId="183D71F7" w:rsidR="005D3762" w:rsidRDefault="008D358C" w:rsidP="005D3762">
      <w:pPr>
        <w:spacing w:after="0"/>
      </w:pPr>
      <w:permStart w:id="1330537633" w:edGrp="everyone"/>
      <w:r>
        <w:rPr>
          <w:color w:val="0070C0"/>
        </w:rPr>
        <w:t>We greatly welcome the inclusion of “</w:t>
      </w:r>
      <w:r w:rsidRPr="00085C72">
        <w:rPr>
          <w:i/>
          <w:iCs/>
          <w:color w:val="0070C0"/>
        </w:rPr>
        <w:t>disposal of financial instruments ordered by a court</w:t>
      </w:r>
      <w:r>
        <w:rPr>
          <w:color w:val="0070C0"/>
        </w:rPr>
        <w:t>” within the list of exempted transactions</w:t>
      </w:r>
      <w:r w:rsidRPr="005D134A">
        <w:rPr>
          <w:color w:val="0070C0"/>
        </w:rPr>
        <w:t xml:space="preserve"> </w:t>
      </w:r>
      <w:r w:rsidRPr="0093244A">
        <w:rPr>
          <w:color w:val="0070C0"/>
        </w:rPr>
        <w:t>under Art. 2(5)</w:t>
      </w:r>
      <w:r>
        <w:rPr>
          <w:color w:val="0070C0"/>
        </w:rPr>
        <w:t>, following cases of liquidation, bankruptcy or insolvency proceedings (as mentioned by ESMA under par. 12-130), as this finally acknowledges the issues in reporting (or in pending reporting of) such cases by the industry over past years on these peculiar cases.</w:t>
      </w:r>
    </w:p>
    <w:permEnd w:id="1330537633"/>
    <w:p w14:paraId="2473C7C0" w14:textId="77777777" w:rsidR="005D3762" w:rsidRDefault="005D3762" w:rsidP="005D3762">
      <w:pPr>
        <w:spacing w:after="0"/>
      </w:pPr>
      <w:r>
        <w:t>&lt;ESMA_QUESTION_CP3_36&gt;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0CAD52F1" w:rsidR="005D3762" w:rsidRDefault="005D3762" w:rsidP="005D3762">
      <w:pPr>
        <w:spacing w:after="0"/>
      </w:pPr>
      <w:r>
        <w:t>&lt;ESMA_QUESTION_CP3_3</w:t>
      </w:r>
      <w:r w:rsidR="00BE02A2">
        <w:t>7</w:t>
      </w:r>
      <w:r>
        <w:t>&gt;</w:t>
      </w:r>
    </w:p>
    <w:p w14:paraId="2868BE09" w14:textId="77777777" w:rsidR="001722FF" w:rsidRPr="00E60DE2" w:rsidRDefault="001722FF" w:rsidP="001722FF">
      <w:pPr>
        <w:spacing w:after="0"/>
        <w:rPr>
          <w:color w:val="0070C0"/>
        </w:rPr>
      </w:pPr>
      <w:permStart w:id="1178228359" w:edGrp="everyone"/>
      <w:r w:rsidRPr="00E60DE2">
        <w:rPr>
          <w:color w:val="0070C0"/>
        </w:rPr>
        <w:t>We value the opportunity offered by ESMA for us to suggest similar instances (to those under the remit of Q.36) for its assessment of a potential inclusion in the list of exemptions under Art.2(5) of the amended version of the RTS 22 (available from page 104 of the consultation paper). With regards to the draft version of Art.2 (available on page 104-107), and specifically the 5</w:t>
      </w:r>
      <w:r w:rsidRPr="00E60DE2">
        <w:rPr>
          <w:color w:val="0070C0"/>
          <w:vertAlign w:val="superscript"/>
        </w:rPr>
        <w:t>th</w:t>
      </w:r>
      <w:r w:rsidRPr="00E60DE2">
        <w:rPr>
          <w:color w:val="0070C0"/>
        </w:rPr>
        <w:t xml:space="preserve"> paragraph, we believe that the forthcoming revision of the RTS 22 should be the occasion to:</w:t>
      </w:r>
    </w:p>
    <w:p w14:paraId="121515BD" w14:textId="77777777" w:rsidR="00770BF1" w:rsidRPr="00E60DE2" w:rsidRDefault="001722FF" w:rsidP="00770BF1">
      <w:pPr>
        <w:pStyle w:val="Paragrafoelenco"/>
        <w:numPr>
          <w:ilvl w:val="0"/>
          <w:numId w:val="41"/>
        </w:numPr>
        <w:spacing w:after="0"/>
        <w:rPr>
          <w:color w:val="0070C0"/>
        </w:rPr>
      </w:pPr>
      <w:r w:rsidRPr="00E60DE2">
        <w:rPr>
          <w:color w:val="0070C0"/>
        </w:rPr>
        <w:t>re-assess and, in case, replace the term “</w:t>
      </w:r>
      <w:r w:rsidRPr="00E60DE2">
        <w:rPr>
          <w:b/>
          <w:bCs/>
          <w:i/>
          <w:iCs/>
          <w:color w:val="0070C0"/>
        </w:rPr>
        <w:t>contract</w:t>
      </w:r>
      <w:r w:rsidRPr="00E60DE2">
        <w:rPr>
          <w:color w:val="0070C0"/>
        </w:rPr>
        <w:t xml:space="preserve">” (under </w:t>
      </w:r>
      <w:r w:rsidRPr="00E60DE2">
        <w:rPr>
          <w:b/>
          <w:bCs/>
          <w:color w:val="0070C0"/>
        </w:rPr>
        <w:t>letter (b)</w:t>
      </w:r>
      <w:r w:rsidRPr="00E60DE2">
        <w:rPr>
          <w:color w:val="0070C0"/>
        </w:rPr>
        <w:t>, which currently reads «</w:t>
      </w:r>
      <w:r w:rsidRPr="00E60DE2">
        <w:rPr>
          <w:i/>
          <w:iCs/>
          <w:color w:val="0070C0"/>
        </w:rPr>
        <w:t>a contract arising exclusively for clearing or settlement purposes</w:t>
      </w:r>
      <w:r w:rsidRPr="00E60DE2">
        <w:rPr>
          <w:color w:val="0070C0"/>
        </w:rPr>
        <w:t>») with the same terminology as that used within ESMA’s Guidelines on “</w:t>
      </w:r>
      <w:r w:rsidRPr="00E60DE2">
        <w:rPr>
          <w:i/>
          <w:iCs/>
          <w:color w:val="0070C0"/>
        </w:rPr>
        <w:t>Transaction reporting, order record keeping and clock synchronisation under MiFID II</w:t>
      </w:r>
      <w:r w:rsidRPr="00E60DE2">
        <w:rPr>
          <w:color w:val="0070C0"/>
        </w:rPr>
        <w:t>” (ESMA 2016/1452, revised 07/08/2017) or with any other similar expression. Indeed</w:t>
      </w:r>
      <w:r w:rsidR="00770BF1" w:rsidRPr="00E60DE2">
        <w:rPr>
          <w:color w:val="0070C0"/>
        </w:rPr>
        <w:t>, in this document (page 28), Section 5.6.2.2 “Exclusions under Article 2(5)(b)” refers to “</w:t>
      </w:r>
      <w:r w:rsidR="00770BF1" w:rsidRPr="00E60DE2">
        <w:rPr>
          <w:b/>
          <w:bCs/>
          <w:i/>
          <w:iCs/>
          <w:color w:val="0070C0"/>
        </w:rPr>
        <w:t>delivery/payment instructions within transfers</w:t>
      </w:r>
      <w:r w:rsidR="00770BF1" w:rsidRPr="00E60DE2">
        <w:rPr>
          <w:color w:val="0070C0"/>
        </w:rPr>
        <w:t xml:space="preserve"> (…)” which is more specific and clearer. Also, as some members highlighted, the Guidelines could be updated under that section, by providing a reasoned argument as to why the very same “instruction” might or not be excluded from the scope of the Transaction’s Definition depending on the role of the entity that is involved;</w:t>
      </w:r>
    </w:p>
    <w:p w14:paraId="6496540B" w14:textId="082108A8" w:rsidR="005D3762" w:rsidRDefault="00770BF1" w:rsidP="00770BF1">
      <w:pPr>
        <w:pStyle w:val="Paragrafoelenco"/>
        <w:numPr>
          <w:ilvl w:val="0"/>
          <w:numId w:val="40"/>
        </w:numPr>
        <w:spacing w:after="0"/>
      </w:pPr>
      <w:r w:rsidRPr="00E60DE2">
        <w:rPr>
          <w:color w:val="0070C0"/>
        </w:rPr>
        <w:t xml:space="preserve">likewise, under </w:t>
      </w:r>
      <w:r w:rsidRPr="00E60DE2">
        <w:rPr>
          <w:b/>
          <w:bCs/>
          <w:color w:val="0070C0"/>
        </w:rPr>
        <w:t>letter (n)</w:t>
      </w:r>
      <w:r w:rsidRPr="00E60DE2">
        <w:rPr>
          <w:color w:val="0070C0"/>
        </w:rPr>
        <w:t>, which currently reads «</w:t>
      </w:r>
      <w:r w:rsidRPr="00E60DE2">
        <w:rPr>
          <w:i/>
          <w:iCs/>
          <w:color w:val="0070C0"/>
        </w:rPr>
        <w:t xml:space="preserve">an </w:t>
      </w:r>
      <w:r w:rsidRPr="00E60DE2">
        <w:rPr>
          <w:b/>
          <w:bCs/>
          <w:i/>
          <w:iCs/>
          <w:color w:val="0070C0"/>
        </w:rPr>
        <w:t>exchange</w:t>
      </w:r>
      <w:r w:rsidR="00B96CC6" w:rsidRPr="00E60DE2">
        <w:rPr>
          <w:b/>
          <w:bCs/>
          <w:i/>
          <w:iCs/>
          <w:color w:val="0070C0"/>
        </w:rPr>
        <w:t xml:space="preserve"> and tender offer on a bond or other form of securitised debt</w:t>
      </w:r>
      <w:r w:rsidR="00B96CC6" w:rsidRPr="00E60DE2">
        <w:rPr>
          <w:i/>
          <w:iCs/>
          <w:color w:val="0070C0"/>
        </w:rPr>
        <w:t xml:space="preserve"> where the terms and conditions of the offer are </w:t>
      </w:r>
      <w:r w:rsidR="00B96CC6" w:rsidRPr="00E60DE2">
        <w:rPr>
          <w:i/>
          <w:iCs/>
          <w:color w:val="0070C0"/>
        </w:rPr>
        <w:lastRenderedPageBreak/>
        <w:t>pre-determined and published in advance and the investment decision amounts to a choice by the investor to enter into the transaction with no ability to unilaterally vary its terms</w:t>
      </w:r>
      <w:r w:rsidR="00B96CC6" w:rsidRPr="00E60DE2">
        <w:rPr>
          <w:color w:val="0070C0"/>
        </w:rPr>
        <w:t xml:space="preserve">», </w:t>
      </w:r>
      <w:r w:rsidR="00B96CC6" w:rsidRPr="00E60DE2">
        <w:rPr>
          <w:b/>
          <w:bCs/>
          <w:color w:val="0070C0"/>
        </w:rPr>
        <w:t>we suggest assessing the opportunity to</w:t>
      </w:r>
      <w:r w:rsidR="00B96CC6" w:rsidRPr="00E60DE2">
        <w:rPr>
          <w:color w:val="0070C0"/>
        </w:rPr>
        <w:t xml:space="preserve"> </w:t>
      </w:r>
      <w:r w:rsidR="00B96CC6" w:rsidRPr="00E60DE2">
        <w:rPr>
          <w:b/>
          <w:bCs/>
          <w:color w:val="0070C0"/>
        </w:rPr>
        <w:t>add</w:t>
      </w:r>
      <w:r w:rsidR="00B96CC6" w:rsidRPr="00E60DE2">
        <w:rPr>
          <w:color w:val="0070C0"/>
        </w:rPr>
        <w:t xml:space="preserve"> within the RTS text the terms “..shares..” or “..share capital..” prior to “(…) </w:t>
      </w:r>
      <w:r w:rsidR="00B96CC6" w:rsidRPr="00E60DE2">
        <w:rPr>
          <w:i/>
          <w:iCs/>
          <w:color w:val="0070C0"/>
        </w:rPr>
        <w:t>a bond or other form of securitised debt</w:t>
      </w:r>
      <w:r w:rsidR="00B96CC6" w:rsidRPr="00E60DE2">
        <w:rPr>
          <w:color w:val="0070C0"/>
        </w:rPr>
        <w:t xml:space="preserve"> (…)”, as apparently there seems to be no specific reason why an operation of “tender offer” on shares / share capital should be subject to a different treatment versus a tender offer on “bonds or other securitised debt”, provided that the compliance with the requirements-conditions specified in the remainder text of Letter (n) would have to be ensured also for tender offers on shares / share capital. Should there be a negative assessment of our proposal, we believe it would greatly be appreciated by stakeholders to explain in the Guidelines why it is not possible to consider tender offers on shares / share capital (this could be done under 5.6.2.10 “Exclusions under 2(5)(n)” on page 32).</w:t>
      </w:r>
    </w:p>
    <w:permEnd w:id="1178228359"/>
    <w:p w14:paraId="762307F4" w14:textId="5529ADCA" w:rsidR="005D3762" w:rsidRDefault="005D3762" w:rsidP="005D3762">
      <w:pPr>
        <w:spacing w:after="0"/>
      </w:pPr>
      <w:r>
        <w:t>&lt;ESMA_QUESTION_CP3_3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1524BBE2" w:rsidR="005D3762" w:rsidRDefault="005D3762" w:rsidP="005D3762">
      <w:pPr>
        <w:spacing w:after="0"/>
      </w:pPr>
      <w:r>
        <w:t>&lt;ESMA_QUESTION_CP3_3</w:t>
      </w:r>
      <w:r w:rsidR="00BE02A2">
        <w:t>8</w:t>
      </w:r>
      <w:r>
        <w:t>&gt;</w:t>
      </w:r>
    </w:p>
    <w:p w14:paraId="7330986B" w14:textId="77777777" w:rsidR="005D3762" w:rsidRDefault="005D3762" w:rsidP="005D3762">
      <w:pPr>
        <w:spacing w:after="0"/>
      </w:pPr>
      <w:permStart w:id="414327556" w:edGrp="everyone"/>
      <w:r>
        <w:t>TYPE YOUR TEXT HERE</w:t>
      </w:r>
    </w:p>
    <w:permEnd w:id="414327556"/>
    <w:p w14:paraId="2A544772" w14:textId="22BB70F5" w:rsidR="005D3762" w:rsidRDefault="005D3762" w:rsidP="005D3762">
      <w:pPr>
        <w:spacing w:after="0"/>
      </w:pPr>
      <w:r>
        <w:t>&lt;ESMA_QUESTION_CP3_3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086A7534" w:rsidR="005D3762" w:rsidRDefault="005D3762" w:rsidP="005D3762">
      <w:pPr>
        <w:spacing w:after="0"/>
      </w:pPr>
      <w:r>
        <w:t>&lt;ESMA_QUESTION_CP3_3</w:t>
      </w:r>
      <w:r w:rsidR="00BE02A2">
        <w:t>9</w:t>
      </w:r>
      <w:r>
        <w:t>&gt;</w:t>
      </w:r>
    </w:p>
    <w:p w14:paraId="5A378FE5" w14:textId="77777777" w:rsidR="005D3762" w:rsidRDefault="005D3762" w:rsidP="005D3762">
      <w:pPr>
        <w:spacing w:after="0"/>
      </w:pPr>
      <w:permStart w:id="442242659" w:edGrp="everyone"/>
      <w:r>
        <w:t>TYPE YOUR TEXT HERE</w:t>
      </w:r>
    </w:p>
    <w:permEnd w:id="442242659"/>
    <w:p w14:paraId="20982FB7" w14:textId="7D3CF38A" w:rsidR="005D3762" w:rsidRDefault="005D3762" w:rsidP="005D3762">
      <w:pPr>
        <w:spacing w:after="0"/>
      </w:pPr>
      <w:r>
        <w:t>&lt;ESMA_QUESTION_CP3_3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Please provide your views on the format for reporting and any challenges you foresee with the use of JSON format compared to XML. Please provide estimates of the costs, timelines of implementation and benefits (short and long term) related to potential transition to JSON.</w:t>
      </w:r>
    </w:p>
    <w:p w14:paraId="0C3DCFC2" w14:textId="77777777" w:rsidR="005D3762" w:rsidRDefault="005D3762" w:rsidP="005D3762"/>
    <w:p w14:paraId="678B8DEC" w14:textId="35417C7C" w:rsidR="005D3762" w:rsidRDefault="005D3762" w:rsidP="005D3762">
      <w:pPr>
        <w:spacing w:after="0"/>
      </w:pPr>
      <w:r>
        <w:t>&lt;ESMA_QUESTION_CP3_</w:t>
      </w:r>
      <w:r w:rsidR="00BE02A2">
        <w:t>40</w:t>
      </w:r>
      <w:r>
        <w:t>&gt;</w:t>
      </w:r>
    </w:p>
    <w:p w14:paraId="65DA5A90" w14:textId="77777777" w:rsidR="00AE11E3" w:rsidRPr="00952939" w:rsidRDefault="00AE11E3" w:rsidP="00AE11E3">
      <w:pPr>
        <w:spacing w:after="0"/>
        <w:rPr>
          <w:color w:val="0070C0"/>
        </w:rPr>
      </w:pPr>
      <w:permStart w:id="923106790" w:edGrp="everyone"/>
      <w:r w:rsidRPr="00952939">
        <w:rPr>
          <w:color w:val="0070C0"/>
        </w:rPr>
        <w:lastRenderedPageBreak/>
        <w:t>On the basis of analyses conducted</w:t>
      </w:r>
      <w:r>
        <w:rPr>
          <w:color w:val="0070C0"/>
        </w:rPr>
        <w:t xml:space="preserve"> with our members</w:t>
      </w:r>
      <w:r w:rsidRPr="00952939">
        <w:rPr>
          <w:color w:val="0070C0"/>
        </w:rPr>
        <w:t xml:space="preserve">, it emerges that a transition from the XML to the JSON format </w:t>
      </w:r>
      <w:r>
        <w:rPr>
          <w:color w:val="0070C0"/>
        </w:rPr>
        <w:t xml:space="preserve">implies </w:t>
      </w:r>
      <w:r w:rsidRPr="00952939">
        <w:rPr>
          <w:color w:val="0070C0"/>
        </w:rPr>
        <w:t>costs and critical issues that will not outweigh the presumed benefits.</w:t>
      </w:r>
    </w:p>
    <w:p w14:paraId="04D131B0" w14:textId="77777777" w:rsidR="00AE11E3" w:rsidRPr="00952939" w:rsidRDefault="00AE11E3" w:rsidP="00AE11E3">
      <w:pPr>
        <w:spacing w:after="0"/>
        <w:rPr>
          <w:color w:val="0070C0"/>
        </w:rPr>
      </w:pPr>
    </w:p>
    <w:p w14:paraId="686BEB93" w14:textId="77777777" w:rsidR="00AE11E3" w:rsidRPr="00952939" w:rsidRDefault="00AE11E3" w:rsidP="00AE11E3">
      <w:pPr>
        <w:spacing w:after="0"/>
        <w:rPr>
          <w:color w:val="0070C0"/>
        </w:rPr>
      </w:pPr>
      <w:r w:rsidRPr="00952939">
        <w:rPr>
          <w:color w:val="0070C0"/>
        </w:rPr>
        <w:t>During this consultation period, we have learned of an ESMA study (dated January 2024) on the subject of “</w:t>
      </w:r>
      <w:r w:rsidRPr="00952939">
        <w:rPr>
          <w:i/>
          <w:iCs/>
          <w:color w:val="0070C0"/>
        </w:rPr>
        <w:t>data formats and transmission protocols</w:t>
      </w:r>
      <w:r w:rsidRPr="00952939">
        <w:rPr>
          <w:color w:val="0070C0"/>
        </w:rPr>
        <w:t>” (</w:t>
      </w:r>
      <w:hyperlink r:id="rId27" w:history="1">
        <w:r w:rsidRPr="009B65BA">
          <w:rPr>
            <w:rStyle w:val="Collegamentoipertestuale"/>
            <w:lang w:val="en-US"/>
          </w:rPr>
          <w:t>ESMA12-437499640-2360 Study on data formats and transmission protocols</w:t>
        </w:r>
      </w:hyperlink>
      <w:r w:rsidRPr="00952939">
        <w:rPr>
          <w:color w:val="0070C0"/>
        </w:rPr>
        <w:t>), in which, in addition to confirming that the XML format is already compliant with the ISO20022 protocol, the advantages and limitations of the various formats are compared,</w:t>
      </w:r>
      <w:r>
        <w:rPr>
          <w:color w:val="0070C0"/>
        </w:rPr>
        <w:t xml:space="preserve"> yet</w:t>
      </w:r>
      <w:r w:rsidRPr="00952939">
        <w:rPr>
          <w:color w:val="0070C0"/>
        </w:rPr>
        <w:t xml:space="preserve"> </w:t>
      </w:r>
      <w:r>
        <w:rPr>
          <w:color w:val="0070C0"/>
        </w:rPr>
        <w:t xml:space="preserve">apparently </w:t>
      </w:r>
      <w:r w:rsidRPr="00952939">
        <w:rPr>
          <w:color w:val="0070C0"/>
        </w:rPr>
        <w:t xml:space="preserve">without </w:t>
      </w:r>
      <w:r>
        <w:rPr>
          <w:color w:val="0070C0"/>
        </w:rPr>
        <w:t xml:space="preserve">a </w:t>
      </w:r>
      <w:r w:rsidRPr="00952939">
        <w:rPr>
          <w:color w:val="0070C0"/>
        </w:rPr>
        <w:t xml:space="preserve">sufficient </w:t>
      </w:r>
      <w:r>
        <w:rPr>
          <w:color w:val="0070C0"/>
        </w:rPr>
        <w:t xml:space="preserve">value statement for </w:t>
      </w:r>
      <w:r w:rsidRPr="00952939">
        <w:rPr>
          <w:color w:val="0070C0"/>
        </w:rPr>
        <w:t xml:space="preserve">the cost-benefit </w:t>
      </w:r>
      <w:r>
        <w:rPr>
          <w:color w:val="0070C0"/>
        </w:rPr>
        <w:t xml:space="preserve">profile </w:t>
      </w:r>
      <w:r w:rsidRPr="00952939">
        <w:rPr>
          <w:color w:val="0070C0"/>
        </w:rPr>
        <w:t>implicit in a transition, i.e. apparently without taking into due consideration the fact that the XML format was developed and is in use not only for the purposes of the MiFIR TR but also for other reporting</w:t>
      </w:r>
      <w:r>
        <w:rPr>
          <w:color w:val="0070C0"/>
        </w:rPr>
        <w:t xml:space="preserve"> schemes/regimes</w:t>
      </w:r>
      <w:r w:rsidRPr="00952939">
        <w:rPr>
          <w:color w:val="0070C0"/>
        </w:rPr>
        <w:t>.</w:t>
      </w:r>
    </w:p>
    <w:p w14:paraId="0F3960EA" w14:textId="77777777" w:rsidR="00AE11E3" w:rsidRPr="009B65BA" w:rsidRDefault="00AE11E3" w:rsidP="00AE11E3">
      <w:pPr>
        <w:spacing w:after="0"/>
        <w:rPr>
          <w:color w:val="0070C0"/>
          <w:lang w:val="en-US"/>
        </w:rPr>
      </w:pPr>
    </w:p>
    <w:p w14:paraId="2747A3D0" w14:textId="77777777" w:rsidR="00AE11E3" w:rsidRPr="00952939" w:rsidRDefault="00AE11E3" w:rsidP="00AE11E3">
      <w:pPr>
        <w:spacing w:after="0"/>
        <w:rPr>
          <w:color w:val="0070C0"/>
        </w:rPr>
      </w:pPr>
      <w:r w:rsidRPr="00952939">
        <w:rPr>
          <w:color w:val="0070C0"/>
        </w:rPr>
        <w:t xml:space="preserve">Replacing it with a JSON format would entail significant ICT/IT procedural interventions and costs, especially for </w:t>
      </w:r>
      <w:r>
        <w:rPr>
          <w:color w:val="0070C0"/>
        </w:rPr>
        <w:t xml:space="preserve">those </w:t>
      </w:r>
      <w:r w:rsidRPr="00952939">
        <w:rPr>
          <w:color w:val="0070C0"/>
        </w:rPr>
        <w:t xml:space="preserve">intermediaries who carried out </w:t>
      </w:r>
      <w:r>
        <w:rPr>
          <w:color w:val="0070C0"/>
        </w:rPr>
        <w:t xml:space="preserve">(even recently) </w:t>
      </w:r>
      <w:r w:rsidRPr="00952939">
        <w:rPr>
          <w:color w:val="0070C0"/>
          <w:u w:val="single"/>
        </w:rPr>
        <w:t>internal developments</w:t>
      </w:r>
      <w:r w:rsidRPr="00952939">
        <w:rPr>
          <w:color w:val="0070C0"/>
        </w:rPr>
        <w:t xml:space="preserve"> for the management of </w:t>
      </w:r>
      <w:r>
        <w:rPr>
          <w:color w:val="0070C0"/>
        </w:rPr>
        <w:t>reporting flows/</w:t>
      </w:r>
      <w:r w:rsidRPr="00952939">
        <w:rPr>
          <w:color w:val="0070C0"/>
        </w:rPr>
        <w:t xml:space="preserve">tracks in XML format on the ISO 20022 protocol, </w:t>
      </w:r>
      <w:r>
        <w:rPr>
          <w:color w:val="0070C0"/>
        </w:rPr>
        <w:t xml:space="preserve">at time </w:t>
      </w:r>
      <w:r w:rsidRPr="00952939">
        <w:rPr>
          <w:color w:val="0070C0"/>
        </w:rPr>
        <w:t xml:space="preserve">also </w:t>
      </w:r>
      <w:r>
        <w:rPr>
          <w:color w:val="0070C0"/>
        </w:rPr>
        <w:t xml:space="preserve">aimed at </w:t>
      </w:r>
      <w:r w:rsidRPr="00952939">
        <w:rPr>
          <w:color w:val="0070C0"/>
        </w:rPr>
        <w:t xml:space="preserve">not to </w:t>
      </w:r>
      <w:r>
        <w:rPr>
          <w:color w:val="0070C0"/>
        </w:rPr>
        <w:t xml:space="preserve">resorting to </w:t>
      </w:r>
      <w:r w:rsidRPr="00952939">
        <w:rPr>
          <w:color w:val="0070C0"/>
        </w:rPr>
        <w:t xml:space="preserve">an </w:t>
      </w:r>
      <w:r>
        <w:rPr>
          <w:color w:val="0070C0"/>
        </w:rPr>
        <w:t xml:space="preserve">(external) </w:t>
      </w:r>
      <w:r w:rsidRPr="00952939">
        <w:rPr>
          <w:color w:val="0070C0"/>
        </w:rPr>
        <w:t>ARM and</w:t>
      </w:r>
      <w:r>
        <w:rPr>
          <w:color w:val="0070C0"/>
        </w:rPr>
        <w:t>,</w:t>
      </w:r>
      <w:r w:rsidRPr="00952939">
        <w:rPr>
          <w:color w:val="0070C0"/>
        </w:rPr>
        <w:t xml:space="preserve"> </w:t>
      </w:r>
      <w:r>
        <w:rPr>
          <w:color w:val="0070C0"/>
        </w:rPr>
        <w:t>in other words,</w:t>
      </w:r>
      <w:r w:rsidRPr="00952939">
        <w:rPr>
          <w:color w:val="0070C0"/>
        </w:rPr>
        <w:t xml:space="preserve"> have carried out all </w:t>
      </w:r>
      <w:r>
        <w:rPr>
          <w:color w:val="0070C0"/>
        </w:rPr>
        <w:t xml:space="preserve">the </w:t>
      </w:r>
      <w:r w:rsidRPr="00952939">
        <w:rPr>
          <w:color w:val="0070C0"/>
        </w:rPr>
        <w:t>development</w:t>
      </w:r>
      <w:r>
        <w:rPr>
          <w:color w:val="0070C0"/>
        </w:rPr>
        <w:t>s</w:t>
      </w:r>
      <w:r w:rsidRPr="00952939">
        <w:rPr>
          <w:color w:val="0070C0"/>
        </w:rPr>
        <w:t xml:space="preserve"> and processing internally.</w:t>
      </w:r>
    </w:p>
    <w:p w14:paraId="02641BE3" w14:textId="77777777" w:rsidR="00AE11E3" w:rsidRPr="009B65BA" w:rsidRDefault="00AE11E3" w:rsidP="00AE11E3">
      <w:pPr>
        <w:spacing w:after="0"/>
        <w:rPr>
          <w:color w:val="0070C0"/>
          <w:lang w:val="en-US"/>
        </w:rPr>
      </w:pPr>
    </w:p>
    <w:p w14:paraId="558E8537" w14:textId="77777777" w:rsidR="00AE11E3" w:rsidRPr="00952939" w:rsidRDefault="00AE11E3" w:rsidP="00AE11E3">
      <w:pPr>
        <w:spacing w:after="0"/>
        <w:rPr>
          <w:color w:val="0070C0"/>
        </w:rPr>
      </w:pPr>
      <w:r>
        <w:rPr>
          <w:color w:val="0070C0"/>
        </w:rPr>
        <w:t>Further to this</w:t>
      </w:r>
      <w:r w:rsidRPr="00952939">
        <w:rPr>
          <w:color w:val="0070C0"/>
        </w:rPr>
        <w:t xml:space="preserve">, it should be noted that, when there is a need to </w:t>
      </w:r>
      <w:r>
        <w:rPr>
          <w:color w:val="0070C0"/>
        </w:rPr>
        <w:t>run cross-</w:t>
      </w:r>
      <w:r w:rsidRPr="00952939">
        <w:rPr>
          <w:color w:val="0070C0"/>
        </w:rPr>
        <w:t>checks and in-depth analys</w:t>
      </w:r>
      <w:r>
        <w:rPr>
          <w:color w:val="0070C0"/>
        </w:rPr>
        <w:t>i</w:t>
      </w:r>
      <w:r w:rsidRPr="00952939">
        <w:rPr>
          <w:color w:val="0070C0"/>
        </w:rPr>
        <w:t xml:space="preserve">s on certain reports, the XML format </w:t>
      </w:r>
      <w:r>
        <w:rPr>
          <w:color w:val="0070C0"/>
        </w:rPr>
        <w:t>“</w:t>
      </w:r>
      <w:r w:rsidRPr="00952939">
        <w:rPr>
          <w:color w:val="0070C0"/>
        </w:rPr>
        <w:t xml:space="preserve">allows for readability” </w:t>
      </w:r>
      <w:r>
        <w:rPr>
          <w:color w:val="0070C0"/>
        </w:rPr>
        <w:t xml:space="preserve">(it is actually “readable”) </w:t>
      </w:r>
      <w:r w:rsidRPr="00952939">
        <w:rPr>
          <w:color w:val="0070C0"/>
        </w:rPr>
        <w:t xml:space="preserve">by all potential interested parties, </w:t>
      </w:r>
      <w:r>
        <w:rPr>
          <w:color w:val="0070C0"/>
        </w:rPr>
        <w:t xml:space="preserve">i.e. </w:t>
      </w:r>
      <w:r w:rsidRPr="00952939">
        <w:rPr>
          <w:color w:val="0070C0"/>
        </w:rPr>
        <w:t xml:space="preserve">not only by IT experts, given that </w:t>
      </w:r>
      <w:r>
        <w:rPr>
          <w:color w:val="0070C0"/>
        </w:rPr>
        <w:t xml:space="preserve">an </w:t>
      </w:r>
      <w:r w:rsidRPr="00952939">
        <w:rPr>
          <w:color w:val="0070C0"/>
        </w:rPr>
        <w:t xml:space="preserve">XML file can be “opened” and </w:t>
      </w:r>
      <w:r>
        <w:rPr>
          <w:color w:val="0070C0"/>
        </w:rPr>
        <w:t xml:space="preserve">read </w:t>
      </w:r>
      <w:r w:rsidRPr="00952939">
        <w:rPr>
          <w:color w:val="0070C0"/>
        </w:rPr>
        <w:t xml:space="preserve">also via Excel or Notepad++. According to </w:t>
      </w:r>
      <w:r>
        <w:rPr>
          <w:color w:val="0070C0"/>
        </w:rPr>
        <w:t xml:space="preserve">the </w:t>
      </w:r>
      <w:r w:rsidRPr="00952939">
        <w:rPr>
          <w:color w:val="0070C0"/>
        </w:rPr>
        <w:t xml:space="preserve">IT experts of </w:t>
      </w:r>
      <w:r>
        <w:rPr>
          <w:color w:val="0070C0"/>
        </w:rPr>
        <w:t xml:space="preserve">some </w:t>
      </w:r>
      <w:r w:rsidRPr="00952939">
        <w:rPr>
          <w:color w:val="0070C0"/>
        </w:rPr>
        <w:t xml:space="preserve">intermediaries, the JSON file </w:t>
      </w:r>
      <w:r>
        <w:rPr>
          <w:color w:val="0070C0"/>
        </w:rPr>
        <w:t xml:space="preserve">format </w:t>
      </w:r>
      <w:r w:rsidRPr="00952939">
        <w:rPr>
          <w:color w:val="0070C0"/>
        </w:rPr>
        <w:t xml:space="preserve">would </w:t>
      </w:r>
      <w:r>
        <w:rPr>
          <w:color w:val="0070C0"/>
        </w:rPr>
        <w:t xml:space="preserve">objectively bear </w:t>
      </w:r>
      <w:r w:rsidRPr="00952939">
        <w:rPr>
          <w:color w:val="0070C0"/>
        </w:rPr>
        <w:t>greater difficulty in making the file readable in a similar way to what is possible today with XML.</w:t>
      </w:r>
    </w:p>
    <w:p w14:paraId="57998033" w14:textId="77777777" w:rsidR="00AE11E3" w:rsidRDefault="00AE11E3" w:rsidP="00AE11E3">
      <w:pPr>
        <w:spacing w:after="0"/>
        <w:rPr>
          <w:color w:val="0070C0"/>
        </w:rPr>
      </w:pPr>
      <w:r w:rsidRPr="00A52BA2">
        <w:rPr>
          <w:color w:val="0070C0"/>
        </w:rPr>
        <w:t xml:space="preserve">Finally, </w:t>
      </w:r>
      <w:r>
        <w:rPr>
          <w:color w:val="0070C0"/>
        </w:rPr>
        <w:t xml:space="preserve">and trivially, preserving </w:t>
      </w:r>
      <w:r w:rsidRPr="00A52BA2">
        <w:rPr>
          <w:color w:val="0070C0"/>
        </w:rPr>
        <w:t xml:space="preserve">the </w:t>
      </w:r>
      <w:r>
        <w:rPr>
          <w:color w:val="0070C0"/>
        </w:rPr>
        <w:t>reporting flow/</w:t>
      </w:r>
      <w:r w:rsidRPr="00A52BA2">
        <w:rPr>
          <w:color w:val="0070C0"/>
        </w:rPr>
        <w:t xml:space="preserve">track </w:t>
      </w:r>
      <w:r>
        <w:rPr>
          <w:color w:val="0070C0"/>
        </w:rPr>
        <w:t xml:space="preserve">in the </w:t>
      </w:r>
      <w:r w:rsidRPr="00A52BA2">
        <w:rPr>
          <w:color w:val="0070C0"/>
        </w:rPr>
        <w:t xml:space="preserve">XML format would allow for </w:t>
      </w:r>
      <w:r>
        <w:rPr>
          <w:color w:val="0070C0"/>
        </w:rPr>
        <w:t xml:space="preserve">preserving the </w:t>
      </w:r>
      <w:r w:rsidRPr="00A52BA2">
        <w:rPr>
          <w:color w:val="0070C0"/>
        </w:rPr>
        <w:t xml:space="preserve">alignment with other existing reporting </w:t>
      </w:r>
      <w:r>
        <w:rPr>
          <w:color w:val="0070C0"/>
        </w:rPr>
        <w:t xml:space="preserve">schemes, such as that of </w:t>
      </w:r>
      <w:r w:rsidRPr="00A52BA2">
        <w:rPr>
          <w:color w:val="0070C0"/>
        </w:rPr>
        <w:t>EMIR</w:t>
      </w:r>
      <w:r>
        <w:rPr>
          <w:color w:val="0070C0"/>
        </w:rPr>
        <w:t xml:space="preserve"> and </w:t>
      </w:r>
      <w:r w:rsidRPr="00A52BA2">
        <w:rPr>
          <w:color w:val="0070C0"/>
        </w:rPr>
        <w:t>SFTR</w:t>
      </w:r>
      <w:r>
        <w:rPr>
          <w:color w:val="0070C0"/>
        </w:rPr>
        <w:t xml:space="preserve"> (based on XML</w:t>
      </w:r>
      <w:r w:rsidRPr="00A52BA2">
        <w:rPr>
          <w:color w:val="0070C0"/>
        </w:rPr>
        <w:t>).</w:t>
      </w:r>
    </w:p>
    <w:p w14:paraId="36D8009D" w14:textId="77777777" w:rsidR="00AE11E3" w:rsidRDefault="00AE11E3" w:rsidP="00AE11E3">
      <w:pPr>
        <w:spacing w:after="0"/>
        <w:rPr>
          <w:color w:val="0070C0"/>
        </w:rPr>
      </w:pPr>
    </w:p>
    <w:p w14:paraId="6FD086F9" w14:textId="179C69F1" w:rsidR="005D3762" w:rsidRDefault="00AE11E3" w:rsidP="00AE11E3">
      <w:pPr>
        <w:spacing w:after="0"/>
      </w:pPr>
      <w:r w:rsidRPr="00952939">
        <w:rPr>
          <w:color w:val="0070C0"/>
        </w:rPr>
        <w:t>In this last regard (alignment with EMIR</w:t>
      </w:r>
      <w:r>
        <w:rPr>
          <w:color w:val="0070C0"/>
        </w:rPr>
        <w:t>,</w:t>
      </w:r>
      <w:r w:rsidRPr="00952939">
        <w:rPr>
          <w:color w:val="0070C0"/>
        </w:rPr>
        <w:t xml:space="preserve"> SFTR, </w:t>
      </w:r>
      <w:r>
        <w:rPr>
          <w:color w:val="0070C0"/>
        </w:rPr>
        <w:t>and other reporting schemes based on XML</w:t>
      </w:r>
      <w:r w:rsidRPr="00952939">
        <w:rPr>
          <w:color w:val="0070C0"/>
        </w:rPr>
        <w:t xml:space="preserve">), it is important to underline that, </w:t>
      </w:r>
      <w:r w:rsidRPr="00952939">
        <w:rPr>
          <w:color w:val="0070C0"/>
          <w:u w:val="single"/>
        </w:rPr>
        <w:t>if</w:t>
      </w:r>
      <w:r w:rsidRPr="00952939">
        <w:rPr>
          <w:color w:val="0070C0"/>
        </w:rPr>
        <w:t xml:space="preserve"> the transition to the JSON format for the </w:t>
      </w:r>
      <w:r>
        <w:rPr>
          <w:color w:val="0070C0"/>
        </w:rPr>
        <w:t xml:space="preserve">MiFIR </w:t>
      </w:r>
      <w:r w:rsidRPr="00952939">
        <w:rPr>
          <w:color w:val="0070C0"/>
        </w:rPr>
        <w:t xml:space="preserve">TR is intended to be a first step to be followed by the same transition for EMIR and SFTR, </w:t>
      </w:r>
      <w:r w:rsidRPr="00952939">
        <w:rPr>
          <w:color w:val="0070C0"/>
          <w:u w:val="single"/>
        </w:rPr>
        <w:t>then it would be more appropriate</w:t>
      </w:r>
      <w:r w:rsidRPr="00952939">
        <w:rPr>
          <w:color w:val="0070C0"/>
        </w:rPr>
        <w:t xml:space="preserve"> to </w:t>
      </w:r>
      <w:r>
        <w:rPr>
          <w:color w:val="0070C0"/>
        </w:rPr>
        <w:t xml:space="preserve">work on </w:t>
      </w:r>
      <w:r w:rsidRPr="00952939">
        <w:rPr>
          <w:color w:val="0070C0"/>
        </w:rPr>
        <w:t xml:space="preserve">overall assessment </w:t>
      </w:r>
      <w:r>
        <w:rPr>
          <w:color w:val="0070C0"/>
        </w:rPr>
        <w:t xml:space="preserve">of the implications, costs and benefits of the JSON format for </w:t>
      </w:r>
      <w:r w:rsidRPr="00952939">
        <w:rPr>
          <w:color w:val="0070C0"/>
        </w:rPr>
        <w:t xml:space="preserve">all reporting </w:t>
      </w:r>
      <w:r>
        <w:rPr>
          <w:color w:val="0070C0"/>
        </w:rPr>
        <w:t xml:space="preserve">schemes/regimes. This would  also allow to </w:t>
      </w:r>
      <w:r w:rsidRPr="00952939">
        <w:rPr>
          <w:color w:val="0070C0"/>
        </w:rPr>
        <w:t>tak</w:t>
      </w:r>
      <w:r>
        <w:rPr>
          <w:color w:val="0070C0"/>
        </w:rPr>
        <w:t>e</w:t>
      </w:r>
      <w:r w:rsidRPr="00952939">
        <w:rPr>
          <w:color w:val="0070C0"/>
        </w:rPr>
        <w:t xml:space="preserve"> into account the fact that </w:t>
      </w:r>
      <w:r>
        <w:rPr>
          <w:color w:val="0070C0"/>
        </w:rPr>
        <w:t xml:space="preserve">just </w:t>
      </w:r>
      <w:r w:rsidRPr="00952939">
        <w:rPr>
          <w:color w:val="0070C0"/>
        </w:rPr>
        <w:t xml:space="preserve">recently, with EMIR REFIT, </w:t>
      </w:r>
      <w:r>
        <w:rPr>
          <w:color w:val="0070C0"/>
        </w:rPr>
        <w:t xml:space="preserve">some financial counterparties </w:t>
      </w:r>
      <w:r w:rsidRPr="00952939">
        <w:rPr>
          <w:color w:val="0070C0"/>
        </w:rPr>
        <w:t>we have moved from the CSV format to the XML format and</w:t>
      </w:r>
      <w:r>
        <w:rPr>
          <w:color w:val="0070C0"/>
        </w:rPr>
        <w:t>,</w:t>
      </w:r>
      <w:r w:rsidRPr="00952939">
        <w:rPr>
          <w:color w:val="0070C0"/>
        </w:rPr>
        <w:t xml:space="preserve"> therefore</w:t>
      </w:r>
      <w:r>
        <w:rPr>
          <w:color w:val="0070C0"/>
        </w:rPr>
        <w:t>,</w:t>
      </w:r>
      <w:r w:rsidRPr="00952939">
        <w:rPr>
          <w:color w:val="0070C0"/>
        </w:rPr>
        <w:t xml:space="preserve"> it would </w:t>
      </w:r>
      <w:r>
        <w:rPr>
          <w:color w:val="0070C0"/>
        </w:rPr>
        <w:t xml:space="preserve">appear </w:t>
      </w:r>
      <w:r w:rsidRPr="00952939">
        <w:rPr>
          <w:color w:val="0070C0"/>
        </w:rPr>
        <w:t xml:space="preserve">more appropriate to </w:t>
      </w:r>
      <w:r>
        <w:rPr>
          <w:color w:val="0070C0"/>
        </w:rPr>
        <w:t xml:space="preserve">assess </w:t>
      </w:r>
      <w:r w:rsidRPr="00952939">
        <w:rPr>
          <w:color w:val="0070C0"/>
        </w:rPr>
        <w:t xml:space="preserve">and consider a possible transition </w:t>
      </w:r>
      <w:r>
        <w:rPr>
          <w:color w:val="0070C0"/>
        </w:rPr>
        <w:t xml:space="preserve">to the JSON format (if it really has to occur) </w:t>
      </w:r>
      <w:r w:rsidRPr="00952939">
        <w:rPr>
          <w:color w:val="0070C0"/>
        </w:rPr>
        <w:t>be</w:t>
      </w:r>
      <w:r>
        <w:rPr>
          <w:color w:val="0070C0"/>
        </w:rPr>
        <w:t>ing</w:t>
      </w:r>
      <w:r w:rsidRPr="00952939">
        <w:rPr>
          <w:color w:val="0070C0"/>
        </w:rPr>
        <w:t xml:space="preserve"> carried out contextually</w:t>
      </w:r>
      <w:r>
        <w:rPr>
          <w:color w:val="0070C0"/>
        </w:rPr>
        <w:t xml:space="preserve"> / simultaneously</w:t>
      </w:r>
      <w:r w:rsidRPr="00952939">
        <w:rPr>
          <w:color w:val="0070C0"/>
        </w:rPr>
        <w:t xml:space="preserve"> </w:t>
      </w:r>
      <w:r>
        <w:rPr>
          <w:color w:val="0070C0"/>
        </w:rPr>
        <w:t xml:space="preserve">for </w:t>
      </w:r>
      <w:r w:rsidRPr="00952939">
        <w:rPr>
          <w:color w:val="0070C0"/>
        </w:rPr>
        <w:t xml:space="preserve">all reporting </w:t>
      </w:r>
      <w:r>
        <w:rPr>
          <w:color w:val="0070C0"/>
        </w:rPr>
        <w:t>scheme, so that the archives data conversion from XML to JSON would be run for all the datasets</w:t>
      </w:r>
      <w:r w:rsidRPr="00952939">
        <w:rPr>
          <w:color w:val="0070C0"/>
        </w:rPr>
        <w:t>.</w:t>
      </w:r>
      <w:r>
        <w:rPr>
          <w:color w:val="0070C0"/>
        </w:rPr>
        <w:t xml:space="preserve"> Clearly, as a closing remark on this, a phased in approach would have to be envisaged or, as suggested by some IT experts, a pre-determined timeframe in which XML and JSON would coexist, so that all involved stakeholders (including infrastructures and competent authorities) would have a time buffer to run cross-checks and identify any flaws in the </w:t>
      </w:r>
      <w:proofErr w:type="spellStart"/>
      <w:r>
        <w:rPr>
          <w:color w:val="0070C0"/>
        </w:rPr>
        <w:t>datastreams</w:t>
      </w:r>
      <w:proofErr w:type="spellEnd"/>
      <w:r>
        <w:rPr>
          <w:color w:val="0070C0"/>
        </w:rPr>
        <w:t xml:space="preserve"> of reporting.</w:t>
      </w:r>
    </w:p>
    <w:permEnd w:id="923106790"/>
    <w:p w14:paraId="2DD70268" w14:textId="752AB525" w:rsidR="005D3762" w:rsidRDefault="005D3762" w:rsidP="005D3762">
      <w:pPr>
        <w:spacing w:after="0"/>
      </w:pPr>
      <w:r>
        <w:lastRenderedPageBreak/>
        <w:t>&lt;ESMA_QUESTION_CP3_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3ABCD2F3" w:rsidR="005D3762" w:rsidRDefault="005D3762" w:rsidP="005D3762">
      <w:pPr>
        <w:spacing w:after="0"/>
      </w:pPr>
      <w:r>
        <w:t>&lt;ESMA_QUESTION_CP3_</w:t>
      </w:r>
      <w:r w:rsidR="00BE02A2">
        <w:t>41</w:t>
      </w:r>
      <w:r>
        <w:t>&gt;</w:t>
      </w:r>
    </w:p>
    <w:p w14:paraId="546BFC3A" w14:textId="77777777" w:rsidR="005D3762" w:rsidRDefault="005D3762" w:rsidP="005D3762">
      <w:pPr>
        <w:spacing w:after="0"/>
      </w:pPr>
      <w:permStart w:id="2074366874" w:edGrp="everyone"/>
      <w:r>
        <w:t>TYPE YOUR TEXT HERE</w:t>
      </w:r>
    </w:p>
    <w:permEnd w:id="2074366874"/>
    <w:p w14:paraId="4DB81C87" w14:textId="52328083" w:rsidR="005D3762" w:rsidRDefault="005D3762" w:rsidP="005D3762">
      <w:pPr>
        <w:spacing w:after="0"/>
      </w:pPr>
      <w:r>
        <w:t>&lt;ESMA_QUESTION_CP3_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1A49DD06" w:rsidR="005D3762" w:rsidRDefault="005D3762" w:rsidP="005D3762">
      <w:pPr>
        <w:spacing w:after="0"/>
      </w:pPr>
      <w:r>
        <w:t>&lt;ESMA_QUESTION_CP3_</w:t>
      </w:r>
      <w:r w:rsidR="00BE02A2">
        <w:t>42</w:t>
      </w:r>
      <w:r>
        <w:t>&gt;</w:t>
      </w:r>
    </w:p>
    <w:p w14:paraId="06205033" w14:textId="77777777" w:rsidR="005D3762" w:rsidRDefault="005D3762" w:rsidP="005D3762">
      <w:pPr>
        <w:spacing w:after="0"/>
      </w:pPr>
      <w:permStart w:id="1539267528" w:edGrp="everyone"/>
      <w:r>
        <w:t>TYPE YOUR TEXT HERE</w:t>
      </w:r>
    </w:p>
    <w:permEnd w:id="1539267528"/>
    <w:p w14:paraId="20B17A70" w14:textId="60DF0953" w:rsidR="005D3762" w:rsidRDefault="005D3762" w:rsidP="005D3762">
      <w:pPr>
        <w:spacing w:after="0"/>
      </w:pPr>
      <w:r>
        <w:t>&lt;ESMA_QUESTION_CP3_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1A30B0E3" w:rsidR="005D3762" w:rsidRDefault="005D3762" w:rsidP="005D3762">
      <w:pPr>
        <w:spacing w:after="0"/>
      </w:pPr>
      <w:r>
        <w:t>&lt;ESMA_QUESTION_CP3_</w:t>
      </w:r>
      <w:r w:rsidR="00BE02A2">
        <w:t>43</w:t>
      </w:r>
      <w:r>
        <w:t>&gt;</w:t>
      </w:r>
    </w:p>
    <w:p w14:paraId="6E174BFB" w14:textId="77777777" w:rsidR="005D3762" w:rsidRDefault="005D3762" w:rsidP="005D3762">
      <w:pPr>
        <w:spacing w:after="0"/>
      </w:pPr>
      <w:permStart w:id="2065639823" w:edGrp="everyone"/>
      <w:r>
        <w:t>TYPE YOUR TEXT HERE</w:t>
      </w:r>
    </w:p>
    <w:permEnd w:id="2065639823"/>
    <w:p w14:paraId="0ECACA55" w14:textId="2E2747CF" w:rsidR="005D3762" w:rsidRDefault="005D3762" w:rsidP="005D3762">
      <w:pPr>
        <w:spacing w:after="0"/>
      </w:pPr>
      <w:r>
        <w:t>&lt;ESMA_QUESTION_CP3_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4C8B52EB" w:rsidR="005D3762" w:rsidRDefault="005D3762" w:rsidP="005D3762">
      <w:pPr>
        <w:spacing w:after="0"/>
      </w:pPr>
      <w:r>
        <w:t>&lt;ESMA_QUESTION_CP3_</w:t>
      </w:r>
      <w:r w:rsidR="00BE02A2">
        <w:t>44</w:t>
      </w:r>
      <w:r>
        <w:t>&gt;</w:t>
      </w:r>
    </w:p>
    <w:p w14:paraId="0E76F3F2" w14:textId="41A87D03" w:rsidR="005D3762" w:rsidRDefault="008015EF" w:rsidP="005D3762">
      <w:pPr>
        <w:spacing w:after="0"/>
      </w:pPr>
      <w:permStart w:id="1740114836" w:edGrp="everyone"/>
      <w:r w:rsidRPr="009B65BA">
        <w:rPr>
          <w:color w:val="0070C0"/>
          <w:lang w:val="en-US"/>
        </w:rPr>
        <w:t>Please, refer to our answer to Q40.</w:t>
      </w:r>
    </w:p>
    <w:permEnd w:id="1740114836"/>
    <w:p w14:paraId="04793554" w14:textId="6EA27AFD" w:rsidR="005D3762" w:rsidRDefault="005D3762" w:rsidP="005D3762">
      <w:pPr>
        <w:spacing w:after="0"/>
      </w:pPr>
      <w:r>
        <w:t>&lt;ESMA_QUESTION_CP3_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lastRenderedPageBreak/>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2B8D03DD" w:rsidR="005D3762" w:rsidRDefault="005D3762" w:rsidP="005D3762">
      <w:pPr>
        <w:spacing w:after="0"/>
      </w:pPr>
      <w:r>
        <w:t>&lt;ESMA_QUESTION_CP3_</w:t>
      </w:r>
      <w:r w:rsidR="00BE02A2">
        <w:t>45</w:t>
      </w:r>
      <w:r>
        <w:t>&gt;</w:t>
      </w:r>
    </w:p>
    <w:p w14:paraId="3747F98C" w14:textId="77777777" w:rsidR="005D3762" w:rsidRDefault="005D3762" w:rsidP="005D3762">
      <w:pPr>
        <w:spacing w:after="0"/>
      </w:pPr>
      <w:permStart w:id="1225332318" w:edGrp="everyone"/>
      <w:r>
        <w:t>TYPE YOUR TEXT HERE</w:t>
      </w:r>
    </w:p>
    <w:permEnd w:id="1225332318"/>
    <w:p w14:paraId="5F3D4CB2" w14:textId="38F91CFF" w:rsidR="005D3762" w:rsidRDefault="005D3762" w:rsidP="005D3762">
      <w:pPr>
        <w:spacing w:after="0"/>
      </w:pPr>
      <w:r>
        <w:t>&lt;ESMA_QUESTION_CP3_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633EB43F" w:rsidR="005D3762" w:rsidRDefault="005D3762" w:rsidP="005D3762">
      <w:pPr>
        <w:spacing w:after="0"/>
      </w:pPr>
      <w:r>
        <w:t>&lt;ESMA_QUESTION_CP3_</w:t>
      </w:r>
      <w:r w:rsidR="00BE02A2">
        <w:t>46</w:t>
      </w:r>
      <w:r>
        <w:t>&gt;</w:t>
      </w:r>
    </w:p>
    <w:p w14:paraId="594B0AAA" w14:textId="77777777" w:rsidR="005D3762" w:rsidRDefault="005D3762" w:rsidP="005D3762">
      <w:pPr>
        <w:spacing w:after="0"/>
      </w:pPr>
      <w:permStart w:id="779768261" w:edGrp="everyone"/>
      <w:r>
        <w:t>TYPE YOUR TEXT HERE</w:t>
      </w:r>
    </w:p>
    <w:permEnd w:id="779768261"/>
    <w:p w14:paraId="2EE5064F" w14:textId="49E047BE" w:rsidR="005D3762" w:rsidRDefault="005D3762" w:rsidP="005D3762">
      <w:pPr>
        <w:spacing w:after="0"/>
      </w:pPr>
      <w:r>
        <w:t>&lt;ESMA_QUESTION_CP3_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5B19F277" w:rsidR="005D3762" w:rsidRDefault="005D3762" w:rsidP="005D3762">
      <w:pPr>
        <w:spacing w:after="0"/>
      </w:pPr>
      <w:r>
        <w:t>&lt;ESMA_QUESTION_CP3_</w:t>
      </w:r>
      <w:r w:rsidR="00BE02A2">
        <w:t>47</w:t>
      </w:r>
      <w:r>
        <w:t>&gt;</w:t>
      </w:r>
    </w:p>
    <w:p w14:paraId="5E707742" w14:textId="77777777" w:rsidR="005D3762" w:rsidRDefault="005D3762" w:rsidP="005D3762">
      <w:pPr>
        <w:spacing w:after="0"/>
      </w:pPr>
      <w:permStart w:id="2138990765" w:edGrp="everyone"/>
      <w:r>
        <w:t>TYPE YOUR TEXT HERE</w:t>
      </w:r>
    </w:p>
    <w:permEnd w:id="2138990765"/>
    <w:p w14:paraId="1B9C0209" w14:textId="7B11EFD8" w:rsidR="005D3762" w:rsidRDefault="005D3762" w:rsidP="005D3762">
      <w:pPr>
        <w:spacing w:after="0"/>
      </w:pPr>
      <w:r>
        <w:t>&lt;ESMA_QUESTION_CP3_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2E5A8B08" w:rsidR="005D3762" w:rsidRDefault="005D3762" w:rsidP="005D3762">
      <w:pPr>
        <w:spacing w:after="0"/>
      </w:pPr>
      <w:r>
        <w:t>&lt;ESMA_QUESTION_CP3_</w:t>
      </w:r>
      <w:r w:rsidR="00BE02A2">
        <w:t>48</w:t>
      </w:r>
      <w:r>
        <w:t>&gt;</w:t>
      </w:r>
    </w:p>
    <w:p w14:paraId="020E425A" w14:textId="77777777" w:rsidR="005D3762" w:rsidRDefault="005D3762" w:rsidP="005D3762">
      <w:pPr>
        <w:spacing w:after="0"/>
      </w:pPr>
      <w:permStart w:id="1985704236" w:edGrp="everyone"/>
      <w:r>
        <w:t>TYPE YOUR TEXT HERE</w:t>
      </w:r>
    </w:p>
    <w:permEnd w:id="1985704236"/>
    <w:p w14:paraId="78142E4A" w14:textId="0BFB78E1" w:rsidR="005D3762" w:rsidRDefault="005D3762" w:rsidP="005D3762">
      <w:pPr>
        <w:spacing w:after="0"/>
      </w:pPr>
      <w:r>
        <w:t>&lt;ESMA_QUESTION_CP3_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5C3618E4" w:rsidR="005D3762" w:rsidRDefault="005D3762" w:rsidP="005D3762">
      <w:pPr>
        <w:spacing w:after="0"/>
      </w:pPr>
      <w:r>
        <w:t>&lt;ESMA_QUESTION_CP3_</w:t>
      </w:r>
      <w:r w:rsidR="00BE02A2">
        <w:t>49</w:t>
      </w:r>
      <w:r>
        <w:t>&gt;</w:t>
      </w:r>
    </w:p>
    <w:p w14:paraId="49245049" w14:textId="77777777" w:rsidR="005D3762" w:rsidRDefault="005D3762" w:rsidP="005D3762">
      <w:pPr>
        <w:spacing w:after="0"/>
      </w:pPr>
      <w:permStart w:id="1549152834" w:edGrp="everyone"/>
      <w:r>
        <w:t>TYPE YOUR TEXT HERE</w:t>
      </w:r>
    </w:p>
    <w:permEnd w:id="1549152834"/>
    <w:p w14:paraId="1128D292" w14:textId="2284FBBC" w:rsidR="005D3762" w:rsidRDefault="005D3762" w:rsidP="005D3762">
      <w:pPr>
        <w:spacing w:after="0"/>
      </w:pPr>
      <w:r>
        <w:t>&lt;ESMA_QUESTION_CP3_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1769" w14:textId="77777777" w:rsidR="005C3564" w:rsidRDefault="005C3564" w:rsidP="00F716D4">
      <w:r>
        <w:separator/>
      </w:r>
    </w:p>
    <w:p w14:paraId="642FE0CC" w14:textId="77777777" w:rsidR="005C3564" w:rsidRDefault="005C3564" w:rsidP="00F716D4"/>
  </w:endnote>
  <w:endnote w:type="continuationSeparator" w:id="0">
    <w:p w14:paraId="10FD765A" w14:textId="77777777" w:rsidR="005C3564" w:rsidRDefault="005C3564" w:rsidP="00F716D4">
      <w:r>
        <w:continuationSeparator/>
      </w:r>
    </w:p>
    <w:p w14:paraId="66B224B9" w14:textId="77777777" w:rsidR="005C3564" w:rsidRDefault="005C3564" w:rsidP="00F716D4"/>
  </w:endnote>
  <w:endnote w:type="continuationNotice" w:id="1">
    <w:p w14:paraId="03B6AA84" w14:textId="77777777" w:rsidR="005C3564" w:rsidRDefault="005C3564"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BD0" w14:textId="77777777" w:rsidR="005A4533" w:rsidRDefault="005A453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Pidipagina"/>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Collegamentoipertestuale"/>
          <w:sz w:val="15"/>
          <w:szCs w:val="15"/>
          <w:lang w:val="fr-FR"/>
        </w:rPr>
        <w:t>www.esma.</w:t>
      </w:r>
      <w:r w:rsidRPr="00A8626B">
        <w:rPr>
          <w:rStyle w:val="Collegamentoipertestuale"/>
          <w:sz w:val="15"/>
          <w:szCs w:val="15"/>
          <w:lang w:val="fr-BE"/>
        </w:rPr>
        <w:t>europa</w:t>
      </w:r>
      <w:r w:rsidRPr="00A8626B">
        <w:rPr>
          <w:rStyle w:val="Collegamentoipertestuale"/>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110" w14:textId="77777777" w:rsidR="005A4533" w:rsidRDefault="005A453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Pidipagina"/>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Collegamentoipertestuale"/>
          <w:sz w:val="15"/>
          <w:szCs w:val="15"/>
          <w:lang w:val="fr-FR"/>
        </w:rPr>
        <w:t>www.esma.</w:t>
      </w:r>
      <w:r w:rsidRPr="00A8626B">
        <w:rPr>
          <w:rStyle w:val="Collegamentoipertestuale"/>
          <w:sz w:val="15"/>
          <w:szCs w:val="15"/>
          <w:lang w:val="fr-BE"/>
        </w:rPr>
        <w:t>europa</w:t>
      </w:r>
      <w:r w:rsidRPr="00A8626B">
        <w:rPr>
          <w:rStyle w:val="Collegamentoipertestual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6500" w14:textId="77777777" w:rsidR="005C3564" w:rsidRDefault="005C3564" w:rsidP="00F716D4">
      <w:r>
        <w:separator/>
      </w:r>
    </w:p>
    <w:p w14:paraId="60836692" w14:textId="77777777" w:rsidR="005C3564" w:rsidRDefault="005C3564" w:rsidP="00F716D4"/>
  </w:footnote>
  <w:footnote w:type="continuationSeparator" w:id="0">
    <w:p w14:paraId="06E62E9C" w14:textId="77777777" w:rsidR="005C3564" w:rsidRDefault="005C3564" w:rsidP="00F716D4">
      <w:r>
        <w:continuationSeparator/>
      </w:r>
    </w:p>
    <w:p w14:paraId="4796BFF5" w14:textId="77777777" w:rsidR="005C3564" w:rsidRDefault="005C3564" w:rsidP="00F716D4"/>
  </w:footnote>
  <w:footnote w:type="continuationNotice" w:id="1">
    <w:p w14:paraId="59691194" w14:textId="77777777" w:rsidR="005C3564" w:rsidRDefault="005C3564"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3789" w14:textId="77777777" w:rsidR="005A4533" w:rsidRDefault="005A453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4BB1A90"/>
    <w:multiLevelType w:val="hybridMultilevel"/>
    <w:tmpl w:val="5F6411E8"/>
    <w:lvl w:ilvl="0" w:tplc="15F6FF6C">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3EB72B96"/>
    <w:multiLevelType w:val="hybridMultilevel"/>
    <w:tmpl w:val="A6442A90"/>
    <w:lvl w:ilvl="0" w:tplc="B580A050">
      <w:start w:val="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0150C4"/>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65398D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4" w15:restartNumberingAfterBreak="0">
    <w:nsid w:val="634F1675"/>
    <w:multiLevelType w:val="hybridMultilevel"/>
    <w:tmpl w:val="E39440AE"/>
    <w:lvl w:ilvl="0" w:tplc="44004120">
      <w:start w:val="1"/>
      <w:numFmt w:val="lowerRoman"/>
      <w:lvlText w:val="%1)"/>
      <w:lvlJc w:val="left"/>
      <w:pPr>
        <w:ind w:left="1080" w:hanging="72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A06282"/>
    <w:multiLevelType w:val="hybridMultilevel"/>
    <w:tmpl w:val="C360A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EF56C0"/>
    <w:multiLevelType w:val="hybridMultilevel"/>
    <w:tmpl w:val="3CD65192"/>
    <w:lvl w:ilvl="0" w:tplc="E674947E">
      <w:start w:val="1"/>
      <w:numFmt w:val="decimal"/>
      <w:pStyle w:val="Titolo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20"/>
  </w:num>
  <w:num w:numId="3" w16cid:durableId="550074866">
    <w:abstractNumId w:val="10"/>
  </w:num>
  <w:num w:numId="4" w16cid:durableId="1881627233">
    <w:abstractNumId w:val="25"/>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3"/>
  </w:num>
  <w:num w:numId="9" w16cid:durableId="100884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9"/>
  </w:num>
  <w:num w:numId="12" w16cid:durableId="1500659627">
    <w:abstractNumId w:val="32"/>
  </w:num>
  <w:num w:numId="13" w16cid:durableId="1879658227">
    <w:abstractNumId w:val="24"/>
  </w:num>
  <w:num w:numId="14" w16cid:durableId="1495758855">
    <w:abstractNumId w:val="8"/>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8"/>
  </w:num>
  <w:num w:numId="20" w16cid:durableId="1805388212">
    <w:abstractNumId w:val="38"/>
  </w:num>
  <w:num w:numId="21" w16cid:durableId="538709007">
    <w:abstractNumId w:val="26"/>
  </w:num>
  <w:num w:numId="22" w16cid:durableId="104540172">
    <w:abstractNumId w:val="7"/>
  </w:num>
  <w:num w:numId="23" w16cid:durableId="1824349076">
    <w:abstractNumId w:val="31"/>
  </w:num>
  <w:num w:numId="24" w16cid:durableId="672032853">
    <w:abstractNumId w:val="30"/>
  </w:num>
  <w:num w:numId="25" w16cid:durableId="48917541">
    <w:abstractNumId w:val="21"/>
  </w:num>
  <w:num w:numId="26" w16cid:durableId="978925443">
    <w:abstractNumId w:val="35"/>
  </w:num>
  <w:num w:numId="27" w16cid:durableId="1036613928">
    <w:abstractNumId w:val="40"/>
  </w:num>
  <w:num w:numId="28" w16cid:durableId="872039349">
    <w:abstractNumId w:val="5"/>
  </w:num>
  <w:num w:numId="29" w16cid:durableId="924530660">
    <w:abstractNumId w:val="2"/>
  </w:num>
  <w:num w:numId="30" w16cid:durableId="419180233">
    <w:abstractNumId w:val="23"/>
  </w:num>
  <w:num w:numId="31" w16cid:durableId="276761337">
    <w:abstractNumId w:val="22"/>
  </w:num>
  <w:num w:numId="32" w16cid:durableId="1166238383">
    <w:abstractNumId w:val="37"/>
  </w:num>
  <w:num w:numId="33" w16cid:durableId="2076850202">
    <w:abstractNumId w:val="36"/>
  </w:num>
  <w:num w:numId="34" w16cid:durableId="469176496">
    <w:abstractNumId w:val="11"/>
  </w:num>
  <w:num w:numId="35" w16cid:durableId="674843309">
    <w:abstractNumId w:val="19"/>
  </w:num>
  <w:num w:numId="36" w16cid:durableId="1954971501">
    <w:abstractNumId w:val="42"/>
  </w:num>
  <w:num w:numId="37" w16cid:durableId="1833179267">
    <w:abstractNumId w:val="34"/>
  </w:num>
  <w:num w:numId="38" w16cid:durableId="1675692949">
    <w:abstractNumId w:val="41"/>
  </w:num>
  <w:num w:numId="39" w16cid:durableId="1209998640">
    <w:abstractNumId w:val="18"/>
  </w:num>
  <w:num w:numId="40" w16cid:durableId="1436094376">
    <w:abstractNumId w:val="17"/>
  </w:num>
  <w:num w:numId="41" w16cid:durableId="1624657651">
    <w:abstractNumId w:val="9"/>
  </w:num>
  <w:num w:numId="42" w16cid:durableId="1303460711">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BDE"/>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2FF"/>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26F"/>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C6ABB"/>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67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240"/>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1CC8"/>
    <w:rsid w:val="004F6376"/>
    <w:rsid w:val="004F64B7"/>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2407"/>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564"/>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0C6"/>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14C4"/>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570"/>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0BF1"/>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15EF"/>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58C"/>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557"/>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51C"/>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2DF"/>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7CD"/>
    <w:rsid w:val="00AC7E8A"/>
    <w:rsid w:val="00AD0C8A"/>
    <w:rsid w:val="00AD0CB4"/>
    <w:rsid w:val="00AD1FF2"/>
    <w:rsid w:val="00AD2A21"/>
    <w:rsid w:val="00AD3B43"/>
    <w:rsid w:val="00AD4FF2"/>
    <w:rsid w:val="00AD506C"/>
    <w:rsid w:val="00AD6BE5"/>
    <w:rsid w:val="00AD783E"/>
    <w:rsid w:val="00AE11E3"/>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0F50"/>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83E"/>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CC6"/>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1E78"/>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80B"/>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55F8"/>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3D90"/>
    <w:rsid w:val="00D54050"/>
    <w:rsid w:val="00D56AC0"/>
    <w:rsid w:val="00D6081B"/>
    <w:rsid w:val="00D60960"/>
    <w:rsid w:val="00D6240A"/>
    <w:rsid w:val="00D63093"/>
    <w:rsid w:val="00D63189"/>
    <w:rsid w:val="00D63599"/>
    <w:rsid w:val="00D63EBD"/>
    <w:rsid w:val="00D67101"/>
    <w:rsid w:val="00D70F4C"/>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6F22"/>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DE2"/>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4784C"/>
    <w:rsid w:val="00F504DD"/>
    <w:rsid w:val="00F50874"/>
    <w:rsid w:val="00F516C6"/>
    <w:rsid w:val="00F52221"/>
    <w:rsid w:val="00F52B28"/>
    <w:rsid w:val="00F536BB"/>
    <w:rsid w:val="00F53755"/>
    <w:rsid w:val="00F5380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6ED3"/>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6E58"/>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Titolo1">
    <w:name w:val="heading 1"/>
    <w:basedOn w:val="Normale"/>
    <w:next w:val="Normale"/>
    <w:link w:val="Titolo1Carattere"/>
    <w:qFormat/>
    <w:locked/>
    <w:rsid w:val="00BB1973"/>
    <w:pPr>
      <w:keepNext/>
      <w:numPr>
        <w:numId w:val="36"/>
      </w:numPr>
      <w:spacing w:before="240" w:after="60" w:line="360" w:lineRule="auto"/>
      <w:outlineLvl w:val="0"/>
    </w:pPr>
    <w:rPr>
      <w:b/>
      <w:bCs/>
      <w:color w:val="00379F"/>
      <w:kern w:val="32"/>
      <w:sz w:val="28"/>
      <w:szCs w:val="28"/>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2"/>
      </w:numPr>
      <w:spacing w:before="200"/>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qFormat/>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rPr>
  </w:style>
  <w:style w:type="paragraph" w:styleId="Sommario4">
    <w:name w:val="toc 4"/>
    <w:basedOn w:val="Normale"/>
    <w:next w:val="Normale"/>
    <w:autoRedefine/>
    <w:uiPriority w:val="39"/>
    <w:unhideWhenUsed/>
    <w:locked/>
    <w:rsid w:val="00F377CD"/>
    <w:pPr>
      <w:spacing w:after="100"/>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7"/>
      </w:numPr>
      <w:spacing w:after="240"/>
    </w:pPr>
    <w:rPr>
      <w:rFonts w:ascii="Times New Roman" w:hAnsi="Times New Roman"/>
      <w:sz w:val="24"/>
      <w:lang w:eastAsia="en-GB"/>
    </w:rPr>
  </w:style>
  <w:style w:type="character" w:customStyle="1" w:styleId="CorpotestoCarattere">
    <w:name w:val="Corpo testo Carattere"/>
    <w:link w:val="Corpotesto"/>
    <w:rsid w:val="00AA016B"/>
    <w:rPr>
      <w:rFonts w:eastAsiaTheme="minorEastAsia" w:cs="Arial"/>
      <w:color w:val="1A1A1A" w:themeColor="background1" w:themeShade="1A"/>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rFonts w:eastAsiaTheme="minorEastAsia" w:cs="Arial"/>
      <w:b/>
      <w:bCs/>
      <w:color w:val="1A1A1A" w:themeColor="background1" w:themeShade="1A"/>
      <w:sz w:val="22"/>
      <w:szCs w:val="22"/>
      <w:lang w:eastAsia="en-US"/>
    </w:rPr>
  </w:style>
  <w:style w:type="character" w:customStyle="1" w:styleId="Titolo8Carattere">
    <w:name w:val="Titolo 8 Carattere"/>
    <w:link w:val="Titolo8"/>
    <w:rsid w:val="002D6E1A"/>
    <w:rPr>
      <w:rFonts w:eastAsiaTheme="minorEastAsia" w:cs="Arial"/>
      <w:i/>
      <w:iCs/>
      <w:color w:val="1A1A1A" w:themeColor="background1" w:themeShade="1A"/>
      <w:sz w:val="22"/>
      <w:lang w:eastAsia="en-US"/>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uiPriority w:val="99"/>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8"/>
      </w:numPr>
      <w:spacing w:before="120" w:after="120"/>
      <w:ind w:left="360" w:hanging="360"/>
    </w:pPr>
    <w:rPr>
      <w:rFonts w:ascii="Times New Roman" w:hAnsi="Times New Roman"/>
      <w:sz w:val="24"/>
    </w:r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pPr>
    <w:rPr>
      <w:rFonts w:eastAsia="Calibri"/>
      <w:lang w:eastAsia="en-GB"/>
    </w:rPr>
  </w:style>
  <w:style w:type="paragraph" w:customStyle="1" w:styleId="Tiret1">
    <w:name w:val="Tiret 1"/>
    <w:basedOn w:val="Normale"/>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pPr>
    <w:rPr>
      <w:b/>
      <w:u w:val="single"/>
    </w:rPr>
  </w:style>
  <w:style w:type="paragraph" w:customStyle="1" w:styleId="Bullet">
    <w:name w:val="Bullet"/>
    <w:basedOn w:val="Normale"/>
    <w:locked/>
    <w:rsid w:val="002D6E1A"/>
    <w:pPr>
      <w:numPr>
        <w:numId w:val="10"/>
      </w:numPr>
      <w:tabs>
        <w:tab w:val="left" w:pos="708"/>
      </w:tabs>
      <w:spacing w:before="120" w:after="120"/>
    </w:pPr>
    <w:rPr>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eastAsiaTheme="minorEastAsia" w:hAnsi="Arial" w:cs="Arial"/>
      <w:b/>
      <w:color w:val="1A1A1A" w:themeColor="background1" w:themeShade="1A"/>
      <w:sz w:val="22"/>
      <w:lang w:eastAsia="en-US"/>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line="340" w:lineRule="exact"/>
      <w:ind w:left="397" w:hanging="397"/>
    </w:pPr>
    <w:rPr>
      <w:b/>
      <w:caps/>
      <w:color w:val="2D4190"/>
      <w:sz w:val="28"/>
      <w:lang w:val="de-DE"/>
    </w:rPr>
  </w:style>
  <w:style w:type="paragraph" w:customStyle="1" w:styleId="04RunningText">
    <w:name w:val="04_Running Text"/>
    <w:basedOn w:val="Normale"/>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ind w:left="284" w:hanging="284"/>
    </w:pPr>
    <w:rPr>
      <w:rFonts w:eastAsia="Calibri"/>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e"/>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e"/>
    <w:next w:val="Normale"/>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e"/>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e"/>
    <w:rsid w:val="000D2D0B"/>
  </w:style>
  <w:style w:type="paragraph" w:customStyle="1" w:styleId="Sbuchead">
    <w:name w:val="Sbuchead"/>
    <w:basedOn w:val="Normale"/>
    <w:locked/>
    <w:rsid w:val="000D2D0B"/>
    <w:pPr>
      <w:spacing w:after="360"/>
    </w:pPr>
    <w:rPr>
      <w:rFonts w:ascii="Times New Roman" w:hAnsi="Times New Roman"/>
      <w:b/>
      <w:caps/>
      <w:sz w:val="24"/>
      <w:lang w:eastAsia="en-GB"/>
    </w:rPr>
  </w:style>
  <w:style w:type="paragraph" w:customStyle="1" w:styleId="Applicationdirecte">
    <w:name w:val="Application directe"/>
    <w:basedOn w:val="Normale"/>
    <w:next w:val="Fait"/>
    <w:locked/>
    <w:rsid w:val="000D2D0B"/>
    <w:pPr>
      <w:spacing w:before="480" w:after="120"/>
    </w:pPr>
    <w:rPr>
      <w:rFonts w:ascii="Times New Roman" w:hAnsi="Times New Roman"/>
      <w:sz w:val="24"/>
    </w:rPr>
  </w:style>
  <w:style w:type="paragraph" w:customStyle="1" w:styleId="Fait">
    <w:name w:val="Fait à"/>
    <w:basedOn w:val="Normale"/>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e"/>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e"/>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e"/>
    <w:locked/>
    <w:rsid w:val="000D2D0B"/>
    <w:pPr>
      <w:spacing w:before="120" w:after="120"/>
      <w:ind w:left="850"/>
    </w:pPr>
    <w:rPr>
      <w:rFonts w:ascii="Times New Roman" w:hAnsi="Times New Roman"/>
      <w:sz w:val="24"/>
    </w:rPr>
  </w:style>
  <w:style w:type="paragraph" w:customStyle="1" w:styleId="Text2">
    <w:name w:val="Text 2"/>
    <w:basedOn w:val="Normale"/>
    <w:locked/>
    <w:rsid w:val="000D2D0B"/>
    <w:pPr>
      <w:spacing w:before="120" w:after="120"/>
      <w:ind w:left="1417"/>
    </w:pPr>
    <w:rPr>
      <w:rFonts w:ascii="Times New Roman" w:hAnsi="Times New Roman"/>
      <w:sz w:val="24"/>
    </w:rPr>
  </w:style>
  <w:style w:type="paragraph" w:customStyle="1" w:styleId="Text3">
    <w:name w:val="Text 3"/>
    <w:basedOn w:val="Normale"/>
    <w:locked/>
    <w:rsid w:val="000D2D0B"/>
    <w:pPr>
      <w:spacing w:before="120" w:after="120"/>
      <w:ind w:left="1984"/>
    </w:pPr>
    <w:rPr>
      <w:rFonts w:ascii="Times New Roman" w:hAnsi="Times New Roman"/>
      <w:sz w:val="24"/>
    </w:rPr>
  </w:style>
  <w:style w:type="paragraph" w:customStyle="1" w:styleId="Text4">
    <w:name w:val="Text 4"/>
    <w:basedOn w:val="Normale"/>
    <w:locked/>
    <w:rsid w:val="000D2D0B"/>
    <w:pPr>
      <w:spacing w:before="120" w:after="120"/>
      <w:ind w:left="2551"/>
    </w:pPr>
    <w:rPr>
      <w:rFonts w:ascii="Times New Roman" w:hAnsi="Times New Roman"/>
      <w:sz w:val="24"/>
    </w:rPr>
  </w:style>
  <w:style w:type="paragraph" w:customStyle="1" w:styleId="NormalCentered">
    <w:name w:val="Normal Centered"/>
    <w:basedOn w:val="Normale"/>
    <w:rsid w:val="000D2D0B"/>
    <w:pPr>
      <w:spacing w:before="120" w:after="120"/>
      <w:jc w:val="center"/>
    </w:pPr>
    <w:rPr>
      <w:rFonts w:ascii="Times New Roman" w:hAnsi="Times New Roman"/>
      <w:sz w:val="24"/>
    </w:rPr>
  </w:style>
  <w:style w:type="paragraph" w:customStyle="1" w:styleId="NormalLeft">
    <w:name w:val="Normal Left"/>
    <w:basedOn w:val="Normale"/>
    <w:rsid w:val="000D2D0B"/>
    <w:pPr>
      <w:spacing w:before="120" w:after="120"/>
    </w:pPr>
    <w:rPr>
      <w:rFonts w:ascii="Times New Roman" w:hAnsi="Times New Roman"/>
      <w:sz w:val="24"/>
    </w:rPr>
  </w:style>
  <w:style w:type="paragraph" w:customStyle="1" w:styleId="NormalRight">
    <w:name w:val="Normal Right"/>
    <w:basedOn w:val="Normale"/>
    <w:rsid w:val="000D2D0B"/>
    <w:pPr>
      <w:spacing w:before="120" w:after="120"/>
      <w:jc w:val="right"/>
    </w:pPr>
    <w:rPr>
      <w:rFonts w:ascii="Times New Roman" w:hAnsi="Times New Roman"/>
      <w:sz w:val="24"/>
    </w:rPr>
  </w:style>
  <w:style w:type="paragraph" w:customStyle="1" w:styleId="QuotedText">
    <w:name w:val="Quoted Text"/>
    <w:basedOn w:val="Normale"/>
    <w:locked/>
    <w:rsid w:val="000D2D0B"/>
    <w:pPr>
      <w:spacing w:before="120" w:after="120"/>
      <w:ind w:left="1417"/>
    </w:pPr>
    <w:rPr>
      <w:rFonts w:ascii="Times New Roman" w:hAnsi="Times New Roman"/>
      <w:sz w:val="24"/>
    </w:rPr>
  </w:style>
  <w:style w:type="paragraph" w:customStyle="1" w:styleId="Point0">
    <w:name w:val="Point 0"/>
    <w:basedOn w:val="Normale"/>
    <w:locked/>
    <w:rsid w:val="000D2D0B"/>
    <w:pPr>
      <w:spacing w:before="120" w:after="120"/>
      <w:ind w:left="850" w:hanging="850"/>
    </w:pPr>
    <w:rPr>
      <w:rFonts w:ascii="Times New Roman" w:hAnsi="Times New Roman"/>
      <w:sz w:val="24"/>
    </w:rPr>
  </w:style>
  <w:style w:type="paragraph" w:customStyle="1" w:styleId="Point1">
    <w:name w:val="Point 1"/>
    <w:basedOn w:val="Normale"/>
    <w:locked/>
    <w:rsid w:val="000D2D0B"/>
    <w:pPr>
      <w:spacing w:before="120" w:after="120"/>
      <w:ind w:left="1417" w:hanging="567"/>
    </w:pPr>
    <w:rPr>
      <w:rFonts w:ascii="Times New Roman" w:hAnsi="Times New Roman"/>
      <w:sz w:val="24"/>
    </w:rPr>
  </w:style>
  <w:style w:type="paragraph" w:customStyle="1" w:styleId="Point2">
    <w:name w:val="Point 2"/>
    <w:basedOn w:val="Normale"/>
    <w:locked/>
    <w:rsid w:val="000D2D0B"/>
    <w:pPr>
      <w:spacing w:before="120" w:after="120"/>
      <w:ind w:left="1984" w:hanging="567"/>
    </w:pPr>
    <w:rPr>
      <w:rFonts w:ascii="Times New Roman" w:hAnsi="Times New Roman"/>
      <w:sz w:val="24"/>
    </w:rPr>
  </w:style>
  <w:style w:type="paragraph" w:customStyle="1" w:styleId="Point3">
    <w:name w:val="Point 3"/>
    <w:basedOn w:val="Normale"/>
    <w:locked/>
    <w:rsid w:val="000D2D0B"/>
    <w:pPr>
      <w:spacing w:before="120" w:after="120"/>
      <w:ind w:left="2551" w:hanging="567"/>
    </w:pPr>
    <w:rPr>
      <w:rFonts w:ascii="Times New Roman" w:hAnsi="Times New Roman"/>
      <w:sz w:val="24"/>
    </w:rPr>
  </w:style>
  <w:style w:type="paragraph" w:customStyle="1" w:styleId="Point4">
    <w:name w:val="Point 4"/>
    <w:basedOn w:val="Normale"/>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e"/>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e"/>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e"/>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e"/>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e"/>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e"/>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e"/>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e"/>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e"/>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e"/>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e"/>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e"/>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e"/>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e"/>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e"/>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e"/>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e"/>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e"/>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e"/>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e"/>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e"/>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e"/>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7"/>
      </w:numPr>
      <w:spacing w:before="120" w:after="120"/>
    </w:pPr>
    <w:rPr>
      <w:rFonts w:ascii="Times New Roman" w:hAnsi="Times New Roman"/>
      <w:sz w:val="24"/>
    </w:rPr>
  </w:style>
  <w:style w:type="paragraph" w:customStyle="1" w:styleId="Point1number">
    <w:name w:val="Point 1 (number)"/>
    <w:basedOn w:val="Normale"/>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e"/>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e"/>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e"/>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e"/>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e"/>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e"/>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e"/>
    <w:locked/>
    <w:rsid w:val="000D2D0B"/>
    <w:pPr>
      <w:numPr>
        <w:ilvl w:val="8"/>
        <w:numId w:val="27"/>
      </w:numPr>
      <w:spacing w:before="120" w:after="120"/>
    </w:pPr>
    <w:rPr>
      <w:rFonts w:ascii="Times New Roman" w:hAnsi="Times New Roman"/>
      <w:sz w:val="24"/>
    </w:rPr>
  </w:style>
  <w:style w:type="paragraph" w:customStyle="1" w:styleId="Bullet0">
    <w:name w:val="Bullet 0"/>
    <w:basedOn w:val="Normale"/>
    <w:locked/>
    <w:rsid w:val="000D2D0B"/>
    <w:pPr>
      <w:numPr>
        <w:numId w:val="21"/>
      </w:numPr>
      <w:spacing w:before="120" w:after="120"/>
    </w:pPr>
    <w:rPr>
      <w:rFonts w:ascii="Times New Roman" w:hAnsi="Times New Roman"/>
      <w:sz w:val="24"/>
    </w:rPr>
  </w:style>
  <w:style w:type="paragraph" w:customStyle="1" w:styleId="Bullet1">
    <w:name w:val="Bullet 1"/>
    <w:basedOn w:val="Normale"/>
    <w:locked/>
    <w:rsid w:val="000D2D0B"/>
    <w:pPr>
      <w:numPr>
        <w:numId w:val="22"/>
      </w:numPr>
      <w:spacing w:before="120" w:after="120"/>
    </w:pPr>
    <w:rPr>
      <w:rFonts w:ascii="Times New Roman" w:hAnsi="Times New Roman"/>
      <w:sz w:val="24"/>
    </w:rPr>
  </w:style>
  <w:style w:type="paragraph" w:customStyle="1" w:styleId="Bullet2">
    <w:name w:val="Bullet 2"/>
    <w:basedOn w:val="Normale"/>
    <w:locked/>
    <w:rsid w:val="000D2D0B"/>
    <w:pPr>
      <w:numPr>
        <w:numId w:val="23"/>
      </w:numPr>
      <w:spacing w:before="120" w:after="120"/>
    </w:pPr>
    <w:rPr>
      <w:rFonts w:ascii="Times New Roman" w:hAnsi="Times New Roman"/>
      <w:sz w:val="24"/>
    </w:rPr>
  </w:style>
  <w:style w:type="paragraph" w:customStyle="1" w:styleId="Bullet3">
    <w:name w:val="Bullet 3"/>
    <w:basedOn w:val="Normale"/>
    <w:locked/>
    <w:rsid w:val="000D2D0B"/>
    <w:pPr>
      <w:numPr>
        <w:numId w:val="24"/>
      </w:numPr>
      <w:spacing w:before="120" w:after="120"/>
    </w:pPr>
    <w:rPr>
      <w:rFonts w:ascii="Times New Roman" w:hAnsi="Times New Roman"/>
      <w:sz w:val="24"/>
    </w:rPr>
  </w:style>
  <w:style w:type="paragraph" w:customStyle="1" w:styleId="Bullet4">
    <w:name w:val="Bullet 4"/>
    <w:basedOn w:val="Normale"/>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e"/>
    <w:next w:val="Normale"/>
    <w:locked/>
    <w:rsid w:val="000D2D0B"/>
    <w:pPr>
      <w:keepNext/>
      <w:spacing w:before="480" w:after="120"/>
    </w:pPr>
    <w:rPr>
      <w:rFonts w:ascii="Times New Roman" w:hAnsi="Times New Roman"/>
      <w:sz w:val="24"/>
      <w:u w:val="single"/>
    </w:rPr>
  </w:style>
  <w:style w:type="paragraph" w:customStyle="1" w:styleId="Confidence">
    <w:name w:val="Confidence"/>
    <w:basedOn w:val="Normale"/>
    <w:next w:val="Normale"/>
    <w:locked/>
    <w:rsid w:val="000D2D0B"/>
    <w:pPr>
      <w:spacing w:before="360" w:after="120"/>
      <w:jc w:val="center"/>
    </w:pPr>
    <w:rPr>
      <w:rFonts w:ascii="Times New Roman" w:hAnsi="Times New Roman"/>
      <w:sz w:val="24"/>
    </w:rPr>
  </w:style>
  <w:style w:type="paragraph" w:customStyle="1" w:styleId="Confidentialit">
    <w:name w:val="Confidentialité"/>
    <w:basedOn w:val="Normale"/>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e"/>
    <w:next w:val="Normale"/>
    <w:locked/>
    <w:rsid w:val="000D2D0B"/>
    <w:pPr>
      <w:spacing w:after="240"/>
    </w:pPr>
    <w:rPr>
      <w:rFonts w:ascii="Times New Roman" w:hAnsi="Times New Roman"/>
      <w:sz w:val="24"/>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rPr>
  </w:style>
  <w:style w:type="paragraph" w:customStyle="1" w:styleId="Emission">
    <w:name w:val="Emission"/>
    <w:basedOn w:val="Normale"/>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e"/>
    <w:next w:val="Normale"/>
    <w:locked/>
    <w:rsid w:val="000D2D0B"/>
    <w:pPr>
      <w:keepNext/>
      <w:spacing w:before="600" w:after="120"/>
    </w:pPr>
    <w:rPr>
      <w:rFonts w:ascii="Times New Roman" w:hAnsi="Times New Roman"/>
      <w:sz w:val="24"/>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e"/>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e"/>
    <w:next w:val="Emission"/>
    <w:locked/>
    <w:rsid w:val="000D2D0B"/>
    <w:rPr>
      <w:sz w:val="24"/>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rPr>
  </w:style>
  <w:style w:type="paragraph" w:customStyle="1" w:styleId="Sous-titreobjet">
    <w:name w:val="Sous-titre objet"/>
    <w:basedOn w:val="Normale"/>
    <w:locked/>
    <w:rsid w:val="000D2D0B"/>
    <w:pPr>
      <w:jc w:val="center"/>
    </w:pPr>
    <w:rPr>
      <w:rFonts w:ascii="Times New Roman" w:hAnsi="Times New Roman"/>
      <w:b/>
      <w:sz w:val="24"/>
    </w:rPr>
  </w:style>
  <w:style w:type="paragraph" w:customStyle="1" w:styleId="Statut">
    <w:name w:val="Statut"/>
    <w:basedOn w:val="Normale"/>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e"/>
    <w:next w:val="Normale"/>
    <w:locked/>
    <w:rsid w:val="000D2D0B"/>
    <w:pPr>
      <w:spacing w:before="120" w:after="120"/>
    </w:pPr>
    <w:rPr>
      <w:rFonts w:ascii="Times New Roman" w:hAnsi="Times New Roman"/>
      <w:i/>
      <w:caps/>
      <w:sz w:val="24"/>
    </w:rPr>
  </w:style>
  <w:style w:type="paragraph" w:customStyle="1" w:styleId="Pagedecouverture">
    <w:name w:val="Page de couverture"/>
    <w:basedOn w:val="Normale"/>
    <w:next w:val="Normale"/>
    <w:locked/>
    <w:rsid w:val="000D2D0B"/>
    <w:pPr>
      <w:spacing w:before="120" w:after="120"/>
    </w:pPr>
    <w:rPr>
      <w:rFonts w:ascii="Times New Roman" w:hAnsi="Times New Roman"/>
      <w:sz w:val="24"/>
    </w:rPr>
  </w:style>
  <w:style w:type="paragraph" w:customStyle="1" w:styleId="Supertitre">
    <w:name w:val="Supertitre"/>
    <w:basedOn w:val="Normale"/>
    <w:next w:val="Normale"/>
    <w:locked/>
    <w:rsid w:val="000D2D0B"/>
    <w:pPr>
      <w:spacing w:after="600"/>
      <w:jc w:val="center"/>
    </w:pPr>
    <w:rPr>
      <w:rFonts w:ascii="Times New Roman" w:hAnsi="Times New Roman"/>
      <w:b/>
      <w:sz w:val="24"/>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rPr>
  </w:style>
  <w:style w:type="paragraph" w:customStyle="1" w:styleId="Rfrencecroise">
    <w:name w:val="Référence croisée"/>
    <w:basedOn w:val="Normale"/>
    <w:locked/>
    <w:rsid w:val="000D2D0B"/>
    <w:pPr>
      <w:jc w:val="center"/>
    </w:pPr>
    <w:rPr>
      <w:rFonts w:ascii="Times New Roman" w:hAnsi="Times New Roman"/>
      <w:sz w:val="24"/>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rPr>
  </w:style>
  <w:style w:type="paragraph" w:styleId="Numeroelenco2">
    <w:name w:val="List Number 2"/>
    <w:basedOn w:val="Normale"/>
    <w:locked/>
    <w:rsid w:val="000D2D0B"/>
    <w:pPr>
      <w:tabs>
        <w:tab w:val="num" w:pos="643"/>
      </w:tabs>
      <w:spacing w:before="120" w:after="120"/>
      <w:ind w:left="643" w:hanging="360"/>
    </w:pPr>
    <w:rPr>
      <w:rFonts w:ascii="Times New Roman" w:hAnsi="Times New Roman"/>
      <w:sz w:val="24"/>
    </w:rPr>
  </w:style>
  <w:style w:type="paragraph" w:styleId="Numeroelenco3">
    <w:name w:val="List Number 3"/>
    <w:basedOn w:val="Normale"/>
    <w:locked/>
    <w:rsid w:val="000D2D0B"/>
    <w:pPr>
      <w:tabs>
        <w:tab w:val="num" w:pos="926"/>
      </w:tabs>
      <w:spacing w:before="120" w:after="120"/>
      <w:ind w:left="926" w:hanging="360"/>
    </w:pPr>
    <w:rPr>
      <w:rFonts w:ascii="Times New Roman" w:hAnsi="Times New Roman"/>
      <w:sz w:val="24"/>
    </w:rPr>
  </w:style>
  <w:style w:type="paragraph" w:styleId="Numeroelenco4">
    <w:name w:val="List Number 4"/>
    <w:basedOn w:val="Normale"/>
    <w:locked/>
    <w:rsid w:val="000D2D0B"/>
    <w:pPr>
      <w:tabs>
        <w:tab w:val="num" w:pos="1209"/>
        <w:tab w:val="num" w:pos="1417"/>
      </w:tabs>
      <w:spacing w:before="120" w:after="120"/>
      <w:ind w:left="1209" w:hanging="360"/>
    </w:pPr>
    <w:rPr>
      <w:rFonts w:ascii="Times New Roman" w:hAnsi="Times New Roman"/>
      <w:sz w:val="24"/>
    </w:rPr>
  </w:style>
  <w:style w:type="paragraph" w:styleId="Puntoelenco">
    <w:name w:val="List Bullet"/>
    <w:basedOn w:val="Normale"/>
    <w:locked/>
    <w:rsid w:val="000D2D0B"/>
    <w:pPr>
      <w:numPr>
        <w:numId w:val="13"/>
      </w:numPr>
      <w:tabs>
        <w:tab w:val="num" w:pos="360"/>
      </w:tabs>
      <w:spacing w:before="120" w:after="120"/>
      <w:ind w:left="360" w:hanging="360"/>
    </w:pPr>
    <w:rPr>
      <w:rFonts w:ascii="Times New Roman" w:hAnsi="Times New Roman"/>
      <w:sz w:val="24"/>
    </w:rPr>
  </w:style>
  <w:style w:type="paragraph" w:styleId="Puntoelenco2">
    <w:name w:val="List Bullet 2"/>
    <w:basedOn w:val="Normale"/>
    <w:locked/>
    <w:rsid w:val="000D2D0B"/>
    <w:pPr>
      <w:tabs>
        <w:tab w:val="num" w:pos="643"/>
        <w:tab w:val="num" w:pos="851"/>
      </w:tabs>
      <w:spacing w:before="120" w:after="120"/>
      <w:ind w:left="643" w:hanging="360"/>
    </w:pPr>
    <w:rPr>
      <w:rFonts w:ascii="Times New Roman" w:hAnsi="Times New Roman"/>
      <w:sz w:val="24"/>
    </w:rPr>
  </w:style>
  <w:style w:type="paragraph" w:styleId="Puntoelenco3">
    <w:name w:val="List Bullet 3"/>
    <w:basedOn w:val="Normale"/>
    <w:locked/>
    <w:rsid w:val="000D2D0B"/>
    <w:pPr>
      <w:numPr>
        <w:numId w:val="15"/>
      </w:numPr>
      <w:tabs>
        <w:tab w:val="num" w:pos="926"/>
      </w:tabs>
      <w:spacing w:before="120" w:after="120"/>
      <w:ind w:left="926"/>
    </w:pPr>
    <w:rPr>
      <w:rFonts w:ascii="Times New Roman" w:hAnsi="Times New Roman"/>
      <w:sz w:val="24"/>
    </w:rPr>
  </w:style>
  <w:style w:type="paragraph" w:styleId="Puntoelenco4">
    <w:name w:val="List Bullet 4"/>
    <w:basedOn w:val="Normale"/>
    <w:locked/>
    <w:rsid w:val="000D2D0B"/>
    <w:pPr>
      <w:numPr>
        <w:numId w:val="16"/>
      </w:numPr>
      <w:tabs>
        <w:tab w:val="num" w:pos="1209"/>
      </w:tabs>
      <w:spacing w:before="120" w:after="120"/>
      <w:ind w:left="1209"/>
    </w:pPr>
    <w:rPr>
      <w:rFonts w:ascii="Times New Roman" w:hAnsi="Times New Roman"/>
      <w:sz w:val="24"/>
    </w:rPr>
  </w:style>
  <w:style w:type="paragraph" w:styleId="Indicedellefigure">
    <w:name w:val="table of figures"/>
    <w:basedOn w:val="Normale"/>
    <w:next w:val="Normale"/>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pPr>
    <w:rPr>
      <w:rFonts w:ascii="Myriad Pro Light" w:hAnsi="Myriad Pro Light"/>
      <w:b/>
      <w:sz w:val="21"/>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ind w:left="284" w:hanging="284"/>
    </w:p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e"/>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e"/>
    <w:locked/>
    <w:rsid w:val="003A6E9A"/>
    <w:pPr>
      <w:keepNext/>
      <w:numPr>
        <w:numId w:val="29"/>
      </w:numPr>
      <w:spacing w:before="240"/>
      <w:outlineLvl w:val="0"/>
    </w:pPr>
    <w:rPr>
      <w:b/>
      <w:bCs/>
      <w:kern w:val="32"/>
      <w:sz w:val="28"/>
      <w:szCs w:val="28"/>
    </w:rPr>
  </w:style>
  <w:style w:type="paragraph" w:customStyle="1" w:styleId="NEW-Level1">
    <w:name w:val="NEW-Level1"/>
    <w:basedOn w:val="Normale"/>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e"/>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e"/>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e"/>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1"/>
      </w:numPr>
      <w:spacing w:before="250"/>
    </w:pPr>
    <w:rPr>
      <w:rFonts w:cstheme="minorBidi"/>
      <w:b/>
    </w:rPr>
  </w:style>
  <w:style w:type="character" w:customStyle="1" w:styleId="CPQuestionsChar">
    <w:name w:val="CP_Questions Char"/>
    <w:basedOn w:val="Carpredefinitoparagrafo"/>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olo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e"/>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e"/>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e"/>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e"/>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e"/>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e"/>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e"/>
    <w:next w:val="Normale"/>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Carpredefinitoparagrafo"/>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Enfasigrassetto"/>
    <w:uiPriority w:val="1"/>
    <w:qFormat/>
    <w:rsid w:val="00F87468"/>
    <w:rPr>
      <w:b w:val="0"/>
      <w:bCs/>
      <w:caps/>
      <w:smallCaps w:val="0"/>
      <w:color w:val="F79646" w:themeColor="accent6"/>
      <w:sz w:val="22"/>
    </w:rPr>
  </w:style>
  <w:style w:type="paragraph" w:styleId="Sottotitolo">
    <w:name w:val="Subtitle"/>
    <w:basedOn w:val="Normale"/>
    <w:next w:val="Normale"/>
    <w:link w:val="SottotitoloCarattere"/>
    <w:uiPriority w:val="11"/>
    <w:qFormat/>
    <w:locked/>
    <w:rsid w:val="00E70E2E"/>
    <w:pPr>
      <w:numPr>
        <w:ilvl w:val="1"/>
      </w:numPr>
    </w:pPr>
    <w:rPr>
      <w:rFonts w:eastAsiaTheme="majorEastAsia"/>
      <w:b/>
      <w:bCs/>
      <w:sz w:val="28"/>
    </w:rPr>
  </w:style>
  <w:style w:type="character" w:customStyle="1" w:styleId="SottotitoloCarattere">
    <w:name w:val="Sottotitolo Carattere"/>
    <w:basedOn w:val="Carpredefinitoparagrafo"/>
    <w:link w:val="Sottotitolo"/>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e"/>
    <w:link w:val="HeaderFootChar"/>
    <w:qFormat/>
    <w:rsid w:val="00F716D4"/>
    <w:pPr>
      <w:spacing w:after="0"/>
      <w:jc w:val="right"/>
    </w:pPr>
    <w:rPr>
      <w:color w:val="001B4F"/>
      <w:sz w:val="16"/>
      <w:szCs w:val="16"/>
    </w:rPr>
  </w:style>
  <w:style w:type="character" w:styleId="Menzionenonrisolta">
    <w:name w:val="Unresolved Mention"/>
    <w:basedOn w:val="Carpredefinitoparagrafo"/>
    <w:uiPriority w:val="99"/>
    <w:semiHidden/>
    <w:unhideWhenUsed/>
    <w:rsid w:val="0034374F"/>
    <w:rPr>
      <w:color w:val="605E5C"/>
      <w:shd w:val="clear" w:color="auto" w:fill="E1DFDD"/>
    </w:rPr>
  </w:style>
  <w:style w:type="character" w:customStyle="1" w:styleId="HeaderFootChar">
    <w:name w:val="HeaderFoot Char"/>
    <w:basedOn w:val="Carpredefinitoparagrafo"/>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e"/>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Carpredefinitoparagrafo"/>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hyperlink" Target="https://www.esma.europa.eu/sites/default/files/2024-01/ESMA12-437499640-2360_Study_on_data_formats_and_transmission_protocols.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5569</Words>
  <Characters>31748</Characters>
  <Application>Microsoft Office Word</Application>
  <DocSecurity>0</DocSecurity>
  <Lines>264</Lines>
  <Paragraphs>74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37243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Angeloni David</cp:lastModifiedBy>
  <cp:revision>23</cp:revision>
  <cp:lastPrinted>2015-02-18T11:01:00Z</cp:lastPrinted>
  <dcterms:created xsi:type="dcterms:W3CDTF">2024-10-08T06:52:00Z</dcterms:created>
  <dcterms:modified xsi:type="dcterms:W3CDTF">2025-01-17T14:31:00Z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