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proofErr w:type="gramStart"/>
      <w:r w:rsidRPr="00F716D4">
        <w:rPr>
          <w:rFonts w:eastAsiaTheme="majorEastAsia"/>
          <w:b/>
          <w:bCs/>
          <w:color w:val="00379F"/>
          <w:sz w:val="56"/>
          <w:szCs w:val="56"/>
        </w:rPr>
        <w:t>form</w:t>
      </w:r>
      <w:bookmarkEnd w:id="0"/>
      <w:proofErr w:type="gramEnd"/>
    </w:p>
    <w:p w14:paraId="06CF669B" w14:textId="093BB144" w:rsidR="00FD7A8D" w:rsidRPr="00F716D4" w:rsidRDefault="0032560C" w:rsidP="0032560C">
      <w:pPr>
        <w:pStyle w:val="Subttulo"/>
      </w:pPr>
      <w:r>
        <w:t xml:space="preserve">Review of RTS 22 on transaction data reporting under Art. 26 and RTS 24 on order book data to be maintained under Art. 25 of </w:t>
      </w:r>
      <w:proofErr w:type="spellStart"/>
      <w:r>
        <w:t>MiFIR</w:t>
      </w:r>
      <w:proofErr w:type="spellEnd"/>
      <w:r w:rsidR="00F87468"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D58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Prrafodelista"/>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Prrafodelista"/>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Prrafodelista"/>
        <w:numPr>
          <w:ilvl w:val="0"/>
          <w:numId w:val="35"/>
        </w:numPr>
        <w:contextualSpacing w:val="0"/>
      </w:pPr>
      <w:r w:rsidRPr="005B6B12">
        <w:t>contain a clear rationale; and</w:t>
      </w:r>
    </w:p>
    <w:p w14:paraId="30D73002" w14:textId="77777777" w:rsidR="00E70E2E" w:rsidRPr="005B6B12" w:rsidRDefault="00E70E2E" w:rsidP="00E43387">
      <w:pPr>
        <w:pStyle w:val="Prrafodelista"/>
        <w:numPr>
          <w:ilvl w:val="0"/>
          <w:numId w:val="35"/>
        </w:numPr>
        <w:contextualSpacing w:val="0"/>
      </w:pPr>
      <w:r w:rsidRPr="005B6B12">
        <w:t>describe any alternatives ESMA should consider.</w:t>
      </w:r>
    </w:p>
    <w:p w14:paraId="4A599464" w14:textId="1755B809" w:rsidR="00E70E2E" w:rsidRDefault="00E70E2E" w:rsidP="00E70E2E">
      <w:pPr>
        <w:rPr>
          <w:b/>
        </w:rPr>
      </w:pPr>
      <w:r w:rsidRPr="005B6B12">
        <w:t xml:space="preserve">ESMA will consider all comments </w:t>
      </w:r>
      <w:r w:rsidRPr="009E1C55">
        <w:t xml:space="preserve">received by </w:t>
      </w:r>
      <w:r w:rsidR="002E2DC6">
        <w:rPr>
          <w:b/>
        </w:rPr>
        <w:t>3</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Prrafodelista"/>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43387">
      <w:pPr>
        <w:pStyle w:val="Prrafodelista"/>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Prrafodelista"/>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43387">
      <w:pPr>
        <w:pStyle w:val="Prrafodelista"/>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Prrafodelista"/>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43387">
      <w:pPr>
        <w:pStyle w:val="Prrafodelista"/>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ipervnculo"/>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 xml:space="preserve">All contributions received will be published following the close of the </w:t>
      </w:r>
      <w:proofErr w:type="gramStart"/>
      <w:r w:rsidRPr="009D6E99">
        <w:t>consultation, unless</w:t>
      </w:r>
      <w:proofErr w:type="gramEnd"/>
      <w:r w:rsidRPr="009D6E99">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ipervnculo"/>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ipervnculo"/>
        </w:rPr>
        <w:t>‘</w:t>
      </w:r>
      <w:hyperlink r:id="rId23" w:history="1">
        <w:r>
          <w:rPr>
            <w:rStyle w:val="Hipervnculo"/>
          </w:rPr>
          <w:t>Data protection</w:t>
        </w:r>
      </w:hyperlink>
      <w:r>
        <w:rPr>
          <w:rStyle w:val="Hipervnculo"/>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tulo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xtodelmarcadordeposicin"/>
            </w:rPr>
            <w:id w:val="651570699"/>
            <w:text/>
          </w:sdtPr>
          <w:sdtContent>
            <w:tc>
              <w:tcPr>
                <w:tcW w:w="5595" w:type="dxa"/>
                <w:shd w:val="clear" w:color="auto" w:fill="auto"/>
                <w:vAlign w:val="center"/>
              </w:tcPr>
              <w:p w14:paraId="633DB1B6" w14:textId="4CC7F41A" w:rsidR="00C2682A" w:rsidRPr="00104E00" w:rsidRDefault="00341CE0" w:rsidP="00104E00">
                <w:pPr>
                  <w:jc w:val="left"/>
                  <w:rPr>
                    <w:rStyle w:val="Textodelmarcadordeposicin"/>
                  </w:rPr>
                </w:pPr>
                <w:r>
                  <w:rPr>
                    <w:rStyle w:val="Textodelmarcadordeposicin"/>
                  </w:rPr>
                  <w:t>BME GROUP (SIX GROUP)</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33DC20C"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41CE0">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080D1BCE" w:rsidR="00C2682A" w:rsidRPr="00104E00" w:rsidRDefault="00341CE0" w:rsidP="00104E00">
                <w:pPr>
                  <w:jc w:val="left"/>
                </w:pPr>
                <w:r>
                  <w:t>Spain</w:t>
                </w:r>
              </w:p>
            </w:tc>
          </w:sdtContent>
        </w:sdt>
      </w:tr>
      <w:permEnd w:id="1727412903"/>
    </w:tbl>
    <w:p w14:paraId="398E9C9E" w14:textId="10C9CC3D" w:rsidR="00C2682A" w:rsidRDefault="00C2682A" w:rsidP="00F716D4"/>
    <w:p w14:paraId="7F986E69" w14:textId="77777777" w:rsidR="00FA4100" w:rsidRDefault="00BB1973" w:rsidP="00FA4100">
      <w:pPr>
        <w:pStyle w:val="Ttulo1"/>
      </w:pPr>
      <w:r>
        <w:t>Questions</w:t>
      </w:r>
      <w:bookmarkStart w:id="10" w:name="_Hlk124780170"/>
    </w:p>
    <w:bookmarkEnd w:id="9"/>
    <w:bookmarkEnd w:id="10"/>
    <w:p w14:paraId="1EC367CD" w14:textId="16908F92" w:rsidR="00E619AB" w:rsidRPr="00B25E0D" w:rsidRDefault="00E619AB" w:rsidP="0029493B">
      <w:pPr>
        <w:pStyle w:val="aNEW-Level4"/>
      </w:pPr>
    </w:p>
    <w:p w14:paraId="77898857" w14:textId="77777777" w:rsidR="0029493B" w:rsidRDefault="0029493B" w:rsidP="006B5DF1">
      <w:pPr>
        <w:pStyle w:val="Questionstyle"/>
      </w:pPr>
      <w:r>
        <w:t xml:space="preserve">Are any other adjustments needed to enable comprehensive and accurate reporting of transactions which will </w:t>
      </w:r>
      <w:proofErr w:type="gramStart"/>
      <w:r>
        <w:t>enter into</w:t>
      </w:r>
      <w:proofErr w:type="gramEnd"/>
      <w:r>
        <w:t xml:space="preserve"> scope of the revised Article 26(2)?</w:t>
      </w:r>
    </w:p>
    <w:p w14:paraId="3C453C7F" w14:textId="270E5DE5" w:rsidR="006B5DF1" w:rsidRDefault="006B5DF1" w:rsidP="006B5DF1">
      <w:pPr>
        <w:spacing w:after="0"/>
      </w:pPr>
      <w:r>
        <w:t>&lt;ESMA_QUESTION_CP3_01&gt;</w:t>
      </w:r>
    </w:p>
    <w:p w14:paraId="472EA06A" w14:textId="77777777" w:rsidR="006B5DF1" w:rsidRDefault="006B5DF1" w:rsidP="006B5DF1">
      <w:pPr>
        <w:spacing w:after="0"/>
      </w:pPr>
      <w:permStart w:id="1107116594" w:edGrp="everyone"/>
      <w:r>
        <w:t>TYPE YOUR TEXT HERE</w:t>
      </w:r>
    </w:p>
    <w:permEnd w:id="1107116594"/>
    <w:p w14:paraId="6E58CC4E" w14:textId="397B0CDF" w:rsidR="006B5DF1" w:rsidRDefault="006B5DF1" w:rsidP="00EE33D9">
      <w:pPr>
        <w:spacing w:after="0"/>
      </w:pPr>
      <w:r>
        <w:t>&lt;ESMA_QUESTION_CP3_01&gt;</w:t>
      </w:r>
    </w:p>
    <w:p w14:paraId="7059191C" w14:textId="77777777" w:rsidR="00EE33D9" w:rsidRDefault="00EE33D9" w:rsidP="00EE33D9">
      <w:pPr>
        <w:spacing w:after="0"/>
      </w:pPr>
    </w:p>
    <w:p w14:paraId="1B3BADF2" w14:textId="77777777" w:rsidR="00EE33D9" w:rsidRPr="006B5DF1" w:rsidRDefault="00EE33D9" w:rsidP="00EE33D9">
      <w:pPr>
        <w:spacing w:after="0"/>
      </w:pPr>
    </w:p>
    <w:p w14:paraId="7240600C" w14:textId="77777777" w:rsidR="0029493B" w:rsidRDefault="0029493B" w:rsidP="006B5DF1">
      <w:pPr>
        <w:pStyle w:val="Questionstyle"/>
      </w:pPr>
      <w:r>
        <w:t xml:space="preserve">Does the existing divergence in the implementation of the MRMTL concept under Art. 4 and Art. 26 of </w:t>
      </w:r>
      <w:proofErr w:type="spellStart"/>
      <w:r>
        <w:t>MiFIR</w:t>
      </w:r>
      <w:proofErr w:type="spellEnd"/>
      <w:r>
        <w:t xml:space="preserve"> results in any practical challenges for the market participants? If so, please explain the nature of these challenges and provide examples.</w:t>
      </w:r>
    </w:p>
    <w:p w14:paraId="7CB7DC30" w14:textId="1CD6CB9E" w:rsidR="006B5DF1" w:rsidRDefault="006B5DF1" w:rsidP="006B5DF1">
      <w:pPr>
        <w:spacing w:after="0"/>
      </w:pPr>
      <w:r>
        <w:t>&lt;ESMA_QUESTION_CP3_</w:t>
      </w:r>
      <w:r w:rsidR="003E7313">
        <w:t>02</w:t>
      </w:r>
      <w:r>
        <w:t>&gt;</w:t>
      </w:r>
    </w:p>
    <w:p w14:paraId="3487238F" w14:textId="4AEB3776" w:rsidR="006B5DF1" w:rsidRDefault="00341CE0" w:rsidP="00EE33D9">
      <w:pPr>
        <w:spacing w:after="0"/>
      </w:pPr>
      <w:permStart w:id="731332295" w:edGrp="everyone"/>
      <w:r w:rsidRPr="00341CE0">
        <w:t>This divergence has not led to any operational issues for BME. BME ensures transaction reporting for non-MiFID firms trading on our venues. The current process remains stable without relying on the MRMTL concept</w:t>
      </w:r>
      <w:r w:rsidR="00EE33D9">
        <w:t>.</w:t>
      </w:r>
    </w:p>
    <w:permEnd w:id="731332295"/>
    <w:p w14:paraId="5C99C845" w14:textId="03A76058" w:rsidR="006B5DF1" w:rsidRDefault="006B5DF1" w:rsidP="00EE33D9">
      <w:pPr>
        <w:spacing w:after="0"/>
      </w:pPr>
      <w:r>
        <w:t>&lt;ESMA_QUESTION_CP3_</w:t>
      </w:r>
      <w:r w:rsidR="003E7313">
        <w:t>02</w:t>
      </w:r>
      <w:r>
        <w:t>&gt;</w:t>
      </w:r>
    </w:p>
    <w:p w14:paraId="5D13008F" w14:textId="77777777" w:rsidR="006B5DF1" w:rsidRPr="006B5DF1" w:rsidRDefault="006B5DF1" w:rsidP="006B5DF1"/>
    <w:p w14:paraId="2AB1A2AC" w14:textId="77777777" w:rsidR="0029493B" w:rsidRDefault="0029493B" w:rsidP="006B5DF1">
      <w:pPr>
        <w:pStyle w:val="Questionstyle"/>
      </w:pPr>
      <w:r>
        <w:t>To what extent the rules applied for the determination of the RCA and RCA_MIC are relevant for your operations? Do you agree with the potential alignment of the RCA rules with the RCA_MIC rules for equities? Please provide details in your answer.</w:t>
      </w:r>
    </w:p>
    <w:p w14:paraId="29B4AF4E" w14:textId="77777777" w:rsidR="006B5DF1" w:rsidRDefault="006B5DF1" w:rsidP="006B5DF1"/>
    <w:p w14:paraId="3DFB978C" w14:textId="186723D4" w:rsidR="006B5DF1" w:rsidRDefault="006B5DF1" w:rsidP="006B5DF1">
      <w:pPr>
        <w:spacing w:after="0"/>
      </w:pPr>
      <w:r>
        <w:t>&lt;ESMA_QUESTION_CP3_</w:t>
      </w:r>
      <w:r w:rsidR="003E7313">
        <w:t>03</w:t>
      </w:r>
      <w:r>
        <w:t>&gt;</w:t>
      </w:r>
    </w:p>
    <w:p w14:paraId="1E3BBCDB" w14:textId="2691F995" w:rsidR="00DF346E" w:rsidRDefault="00341CE0" w:rsidP="00DF346E">
      <w:pPr>
        <w:spacing w:after="0"/>
      </w:pPr>
      <w:permStart w:id="237444181" w:edGrp="everyone"/>
      <w:permStart w:id="1954616897" w:edGrp="everyone"/>
      <w:r w:rsidRPr="00EE33D9">
        <w:lastRenderedPageBreak/>
        <w:t>For equity instruments, BME supports that the RCA should be determined based on the venue of admission, tied to where the issuer raised capital and the first admission date. This ensures data quality and aligns with ESMA's proposals for newly listed instruments.</w:t>
      </w:r>
    </w:p>
    <w:permEnd w:id="237444181"/>
    <w:permEnd w:id="1954616897"/>
    <w:p w14:paraId="4928DFF2" w14:textId="54DBBBED" w:rsidR="006B5DF1" w:rsidRDefault="006B5DF1" w:rsidP="00EE33D9">
      <w:pPr>
        <w:spacing w:after="0"/>
      </w:pPr>
      <w:r>
        <w:t>&lt;ESMA_QUESTION_CP3_</w:t>
      </w:r>
      <w:r w:rsidR="003E7313">
        <w:t>03</w:t>
      </w:r>
      <w:r>
        <w:t>&gt;</w:t>
      </w:r>
    </w:p>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47B452E7" w14:textId="05B0C85D" w:rsidR="006B5DF1" w:rsidRDefault="006B5DF1" w:rsidP="006B5DF1">
      <w:pPr>
        <w:spacing w:after="0"/>
      </w:pPr>
      <w:r>
        <w:t>&lt;ESMA_QUESTION_CP3_</w:t>
      </w:r>
      <w:r w:rsidR="003E7313">
        <w:t>04</w:t>
      </w:r>
      <w:r>
        <w:t>&gt;</w:t>
      </w:r>
    </w:p>
    <w:p w14:paraId="6BDD43ED" w14:textId="77777777" w:rsidR="006B5DF1" w:rsidRDefault="006B5DF1" w:rsidP="006B5DF1">
      <w:pPr>
        <w:spacing w:after="0"/>
      </w:pPr>
      <w:permStart w:id="1534341782" w:edGrp="everyone"/>
      <w:r>
        <w:t>TYPE YOUR TEXT HERE</w:t>
      </w:r>
    </w:p>
    <w:permEnd w:id="1534341782"/>
    <w:p w14:paraId="34F3233E" w14:textId="1A20CB8C" w:rsidR="006B5DF1" w:rsidRDefault="006B5DF1" w:rsidP="00EE33D9">
      <w:pPr>
        <w:spacing w:after="0"/>
      </w:pPr>
      <w:r>
        <w:t>&lt;ESMA_QUESTION_CP3_</w:t>
      </w:r>
      <w:r w:rsidR="003E7313">
        <w:t>04</w:t>
      </w:r>
      <w:r>
        <w:t>&gt;</w:t>
      </w:r>
    </w:p>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48F7A2C7" w14:textId="50C94C1A" w:rsidR="006B5DF1" w:rsidRDefault="006B5DF1" w:rsidP="006B5DF1">
      <w:pPr>
        <w:spacing w:after="0"/>
      </w:pPr>
      <w:r>
        <w:t>&lt;ESMA_QUESTION_CP3_</w:t>
      </w:r>
      <w:r w:rsidR="003E7313">
        <w:t>05</w:t>
      </w:r>
      <w:r>
        <w:t>&gt;</w:t>
      </w:r>
    </w:p>
    <w:p w14:paraId="0C15038F" w14:textId="77777777" w:rsidR="00341CE0" w:rsidRPr="0075334B" w:rsidRDefault="00341CE0" w:rsidP="00341CE0">
      <w:pPr>
        <w:spacing w:after="0"/>
      </w:pPr>
      <w:permStart w:id="1430660683" w:edGrp="everyone"/>
      <w:permStart w:id="911233410" w:edGrp="everyone"/>
      <w:r w:rsidRPr="0075334B">
        <w:t>BME suggests that initial admission to trading should be treated equally across both regulated markets and Multilateral Trading Facilities (MTFs). Therefore, we recommend that ESMA extend the new field 6b in RTS 23 ("venue of first admission to trading") to include all trading venues. This would allow field 6b, along with field 11 ("date and time of admission to trading or date of first trade"), to be used in determining the MRMTL when there is insufficient data to calculate turnover. The focus should be on where the issuer has specifically requested the security to be admitted.</w:t>
      </w:r>
    </w:p>
    <w:p w14:paraId="340C0885" w14:textId="0F7D14DB" w:rsidR="00DF346E" w:rsidRDefault="00341CE0" w:rsidP="00DF346E">
      <w:pPr>
        <w:spacing w:after="0"/>
      </w:pPr>
      <w:r w:rsidRPr="0075334B">
        <w:t>Furthermore, new ISINs can arise from non-IPO listings, such as mergers and splits. It is crucial to establish a clear link between the old and new ISINs to ensure continuity with the MRMTL before the corporate action.</w:t>
      </w:r>
    </w:p>
    <w:permEnd w:id="1430660683"/>
    <w:permEnd w:id="911233410"/>
    <w:p w14:paraId="29A935B1" w14:textId="51BC519F" w:rsidR="006B5DF1" w:rsidRDefault="006B5DF1" w:rsidP="00EE33D9">
      <w:pPr>
        <w:spacing w:after="0"/>
      </w:pPr>
      <w:r>
        <w:t>&lt;ESMA_QUESTION_CP3_</w:t>
      </w:r>
      <w:r w:rsidR="003E7313">
        <w:t>05</w:t>
      </w:r>
      <w:r>
        <w:t>&gt;</w:t>
      </w:r>
    </w:p>
    <w:p w14:paraId="7BEC8725" w14:textId="77777777" w:rsidR="006B5DF1" w:rsidRPr="006B5DF1" w:rsidRDefault="006B5DF1" w:rsidP="006B5DF1"/>
    <w:p w14:paraId="301329B0" w14:textId="77777777" w:rsidR="0029493B" w:rsidRDefault="0029493B" w:rsidP="006B5DF1">
      <w:pPr>
        <w:pStyle w:val="Questionstyle"/>
      </w:pPr>
      <w:r>
        <w:t xml:space="preserve">Do you agree with the proposed RCA determination rules for the derivative contracts falling under Article 8a(2) of </w:t>
      </w:r>
      <w:proofErr w:type="spellStart"/>
      <w:r>
        <w:t>MiFIR</w:t>
      </w:r>
      <w:proofErr w:type="spellEnd"/>
      <w:r>
        <w:t>? Please provide details in your answer.</w:t>
      </w:r>
    </w:p>
    <w:p w14:paraId="2AFE7DFE" w14:textId="3EB15BD5" w:rsidR="006B5DF1" w:rsidRDefault="006B5DF1" w:rsidP="006B5DF1">
      <w:pPr>
        <w:spacing w:after="0"/>
      </w:pPr>
      <w:r>
        <w:t>&lt;ESMA_QUESTION_CP3_</w:t>
      </w:r>
      <w:r w:rsidR="003E7313">
        <w:t>0</w:t>
      </w:r>
      <w:r>
        <w:t>6&gt;</w:t>
      </w:r>
    </w:p>
    <w:p w14:paraId="003446C1" w14:textId="77777777" w:rsidR="006B5DF1" w:rsidRDefault="006B5DF1" w:rsidP="006B5DF1">
      <w:pPr>
        <w:spacing w:after="0"/>
      </w:pPr>
      <w:permStart w:id="387008066" w:edGrp="everyone"/>
      <w:r>
        <w:t>TYPE YOUR TEXT HERE</w:t>
      </w:r>
    </w:p>
    <w:permEnd w:id="387008066"/>
    <w:p w14:paraId="7FD3C941" w14:textId="618E96F8" w:rsidR="006B5DF1" w:rsidRDefault="006B5DF1" w:rsidP="00EE33D9">
      <w:pPr>
        <w:spacing w:after="0"/>
      </w:pPr>
      <w:r>
        <w:t>&lt;ESMA_QUESTION_CP3_</w:t>
      </w:r>
      <w:r w:rsidR="003E7313">
        <w:t>0</w:t>
      </w:r>
      <w:r>
        <w:t>6&gt;</w:t>
      </w:r>
    </w:p>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3DB087E" w:rsidR="006B5DF1" w:rsidRDefault="006B5DF1" w:rsidP="006B5DF1">
      <w:pPr>
        <w:spacing w:after="0"/>
      </w:pPr>
      <w:r>
        <w:lastRenderedPageBreak/>
        <w:t>&lt;ESMA_QUESTION_CP3_</w:t>
      </w:r>
      <w:r w:rsidR="003E7313">
        <w:t>07</w:t>
      </w:r>
      <w:r>
        <w:t>&gt;</w:t>
      </w:r>
    </w:p>
    <w:p w14:paraId="20A10098" w14:textId="77777777" w:rsidR="006B5DF1" w:rsidRDefault="006B5DF1" w:rsidP="006B5DF1">
      <w:pPr>
        <w:spacing w:after="0"/>
      </w:pPr>
      <w:permStart w:id="147727742" w:edGrp="everyone"/>
      <w:r>
        <w:t>TYPE YOUR TEXT HERE</w:t>
      </w:r>
    </w:p>
    <w:permEnd w:id="147727742"/>
    <w:p w14:paraId="481C662D" w14:textId="448A5D6B" w:rsidR="006B5DF1" w:rsidRDefault="006B5DF1" w:rsidP="00E55FE0">
      <w:pPr>
        <w:spacing w:after="0"/>
      </w:pPr>
      <w:r>
        <w:t>&lt;ESMA_QUESTION_CP3_</w:t>
      </w:r>
      <w:r w:rsidR="003E7313">
        <w:t>07</w:t>
      </w:r>
      <w:r>
        <w:t>&gt;</w:t>
      </w:r>
    </w:p>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3367C427" w14:textId="4E49C51E" w:rsidR="006B5DF1" w:rsidRDefault="006B5DF1" w:rsidP="006B5DF1">
      <w:pPr>
        <w:spacing w:after="0"/>
      </w:pPr>
      <w:r>
        <w:t>&lt;ESMA_QUESTION_CP3_</w:t>
      </w:r>
      <w:r w:rsidR="003E7313">
        <w:t>08</w:t>
      </w:r>
      <w:r>
        <w:t>&gt;</w:t>
      </w:r>
    </w:p>
    <w:p w14:paraId="3CE695BC" w14:textId="77777777" w:rsidR="00146479" w:rsidRPr="00146479" w:rsidRDefault="00146479" w:rsidP="00146479">
      <w:pPr>
        <w:shd w:val="clear" w:color="auto" w:fill="FFFFFF"/>
        <w:spacing w:before="180" w:after="0" w:line="240" w:lineRule="auto"/>
        <w:jc w:val="left"/>
      </w:pPr>
      <w:permStart w:id="1395752143" w:edGrp="everyone"/>
      <w:r w:rsidRPr="00146479">
        <w:t>The concept of “effective date” is not applicable to some asset classes, such as bonds and equities.</w:t>
      </w:r>
    </w:p>
    <w:p w14:paraId="750B1A52" w14:textId="77777777" w:rsidR="00146479" w:rsidRPr="00146479" w:rsidRDefault="00146479" w:rsidP="00146479">
      <w:pPr>
        <w:shd w:val="clear" w:color="auto" w:fill="FFFFFF"/>
        <w:spacing w:before="180" w:after="0" w:line="240" w:lineRule="auto"/>
        <w:jc w:val="left"/>
      </w:pPr>
      <w:r w:rsidRPr="00146479">
        <w:t>We have understood that ESMA is considering requiring the intended Settlement Date to be populated in the new “Effective Date” field to capture the intended Settlement Date of the transaction. If this is the expectation, this requirement should be explicitly specified in the updated RTS 22 Annex to provide regulatory certainty to reporting firms of the information they should report.</w:t>
      </w:r>
    </w:p>
    <w:p w14:paraId="65737321" w14:textId="4BC4C220" w:rsidR="00587340" w:rsidRPr="00587340" w:rsidRDefault="00341CE0" w:rsidP="00587340">
      <w:pPr>
        <w:shd w:val="clear" w:color="auto" w:fill="FFFFFF"/>
        <w:spacing w:before="180" w:after="0" w:line="240" w:lineRule="auto"/>
        <w:jc w:val="left"/>
      </w:pPr>
      <w:r>
        <w:t>BME</w:t>
      </w:r>
      <w:r w:rsidRPr="00587340">
        <w:t xml:space="preserve"> </w:t>
      </w:r>
      <w:r w:rsidR="00587340" w:rsidRPr="00587340">
        <w:t>advocate</w:t>
      </w:r>
      <w:r w:rsidR="005245F7">
        <w:t>s</w:t>
      </w:r>
      <w:r w:rsidR="00587340" w:rsidRPr="00587340">
        <w:t xml:space="preserve"> for maintaining the transaction reporting regime as simple as possible, balancing the need for information to ensure market integrity and supervision without overwhelming supervised entities with requirements</w:t>
      </w:r>
      <w:r w:rsidR="00D01701" w:rsidRPr="00A1621B">
        <w:t xml:space="preserve"> </w:t>
      </w:r>
      <w:r w:rsidR="00D01701">
        <w:t>beyond th</w:t>
      </w:r>
      <w:r w:rsidR="000B236E">
        <w:t xml:space="preserve">at </w:t>
      </w:r>
      <w:r w:rsidR="00D01701">
        <w:t>sufficiency point</w:t>
      </w:r>
      <w:r w:rsidR="00587340" w:rsidRPr="00587340">
        <w:t>.</w:t>
      </w:r>
    </w:p>
    <w:p w14:paraId="1914A6E9" w14:textId="455810C4" w:rsidR="00587340" w:rsidRPr="00587340" w:rsidRDefault="00587340" w:rsidP="00587340">
      <w:pPr>
        <w:shd w:val="clear" w:color="auto" w:fill="FFFFFF"/>
        <w:spacing w:before="180" w:after="0" w:line="240" w:lineRule="auto"/>
        <w:jc w:val="left"/>
      </w:pPr>
      <w:r w:rsidRPr="00587340">
        <w:t>While full alignment between different transaction reporting regimes may sometimes be desirable, it is crucial to strike the right balance</w:t>
      </w:r>
      <w:r w:rsidR="000B236E" w:rsidRPr="00A1621B">
        <w:t xml:space="preserve"> to </w:t>
      </w:r>
      <w:r w:rsidRPr="00587340">
        <w:t>avoid collecting data that might have limited value to regulators.</w:t>
      </w:r>
    </w:p>
    <w:p w14:paraId="1EDDBF77" w14:textId="77777777" w:rsidR="00A1621B" w:rsidRDefault="00587340" w:rsidP="000B236E">
      <w:pPr>
        <w:shd w:val="clear" w:color="auto" w:fill="FFFFFF"/>
        <w:spacing w:before="180" w:after="0" w:line="240" w:lineRule="auto"/>
        <w:jc w:val="left"/>
      </w:pPr>
      <w:r w:rsidRPr="00587340">
        <w:t>The proposal for a revised RTS 22 includes over 125 fields, nearly doubling the current version’s 65 fields. We suggest a thorough assessment of the necessity for each additional field and a cost-benefit analysis to find a balanced approach that does not hinder the EU market’s competitiveness on the global stage.</w:t>
      </w:r>
      <w:r w:rsidR="00D03BC9">
        <w:t xml:space="preserve"> </w:t>
      </w:r>
      <w:r w:rsidR="00A1621B">
        <w:t xml:space="preserve"> </w:t>
      </w:r>
    </w:p>
    <w:permEnd w:id="1395752143"/>
    <w:p w14:paraId="453A8C03" w14:textId="420EE0AB" w:rsidR="006B5DF1" w:rsidRDefault="006B5DF1" w:rsidP="00E55FE0">
      <w:pPr>
        <w:shd w:val="clear" w:color="auto" w:fill="FFFFFF"/>
        <w:spacing w:before="180" w:after="0" w:line="240" w:lineRule="auto"/>
        <w:jc w:val="left"/>
      </w:pPr>
      <w:r>
        <w:t>&lt;ESMA_QUESTION_CP3_</w:t>
      </w:r>
      <w:r w:rsidR="003E7313">
        <w:t>08</w:t>
      </w:r>
      <w:r>
        <w:t>&gt;</w:t>
      </w:r>
    </w:p>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25FE0CD5" w14:textId="086B4F0F" w:rsidR="006B5DF1" w:rsidRDefault="006B5DF1" w:rsidP="006B5DF1">
      <w:pPr>
        <w:spacing w:after="0"/>
      </w:pPr>
      <w:r>
        <w:t>&lt;ESMA_QUESTION_CP3_</w:t>
      </w:r>
      <w:r w:rsidR="003E7313">
        <w:t>09</w:t>
      </w:r>
      <w:r>
        <w:t>&gt;</w:t>
      </w:r>
    </w:p>
    <w:p w14:paraId="1E3F044C" w14:textId="0EB09251" w:rsidR="006B5DF1" w:rsidRDefault="00F7291E" w:rsidP="006B5DF1">
      <w:pPr>
        <w:spacing w:after="0"/>
      </w:pPr>
      <w:permStart w:id="1354110368" w:edGrp="everyone"/>
      <w:r>
        <w:t>No.</w:t>
      </w:r>
    </w:p>
    <w:permEnd w:id="1354110368"/>
    <w:p w14:paraId="56A0F5E2" w14:textId="123B1E1F" w:rsidR="006B5DF1" w:rsidRDefault="006B5DF1" w:rsidP="00E55FE0">
      <w:pPr>
        <w:spacing w:after="0"/>
      </w:pPr>
      <w:r>
        <w:t>&lt;ESMA_QUESTION_CP3_</w:t>
      </w:r>
      <w:r w:rsidR="003E7313">
        <w:t>09</w:t>
      </w:r>
      <w:r>
        <w:t>&gt;</w:t>
      </w:r>
    </w:p>
    <w:p w14:paraId="0F8EDBF9" w14:textId="77777777" w:rsidR="006B5DF1" w:rsidRPr="006B5DF1" w:rsidRDefault="006B5DF1" w:rsidP="006B5DF1"/>
    <w:p w14:paraId="5B050A43" w14:textId="77777777" w:rsidR="0029493B" w:rsidRDefault="0029493B" w:rsidP="006B5DF1">
      <w:pPr>
        <w:pStyle w:val="Questionstyle"/>
      </w:pPr>
      <w:r>
        <w:t>Do you agree with the inclusion of this new field according to the analysed scenario? Please specify if you see additional cases to take into consideration in the definition of this new field.</w:t>
      </w:r>
    </w:p>
    <w:p w14:paraId="4D938823" w14:textId="77CA789F" w:rsidR="006B5DF1" w:rsidRDefault="006B5DF1" w:rsidP="006B5DF1">
      <w:pPr>
        <w:spacing w:after="0"/>
      </w:pPr>
      <w:r>
        <w:lastRenderedPageBreak/>
        <w:t>&lt;ESMA_QUESTION_CP3_</w:t>
      </w:r>
      <w:r w:rsidR="003E7313">
        <w:t>10</w:t>
      </w:r>
      <w:r>
        <w:t>&gt;</w:t>
      </w:r>
    </w:p>
    <w:p w14:paraId="2FDA7C0F" w14:textId="6D3597D6" w:rsidR="006B5DF1" w:rsidRDefault="00FE4027" w:rsidP="006B5DF1">
      <w:pPr>
        <w:spacing w:after="0"/>
      </w:pPr>
      <w:permStart w:id="791629733" w:edGrp="everyone"/>
      <w:r>
        <w:t>Please see answer to Q8.</w:t>
      </w:r>
    </w:p>
    <w:p w14:paraId="2442EAA0" w14:textId="77777777" w:rsidR="00FE4027" w:rsidRDefault="00FE4027" w:rsidP="006B5DF1">
      <w:pPr>
        <w:spacing w:after="0"/>
      </w:pPr>
    </w:p>
    <w:p w14:paraId="0B2D87AF" w14:textId="64A9117F" w:rsidR="00681E16" w:rsidRDefault="00FE4027" w:rsidP="000F5720">
      <w:pPr>
        <w:spacing w:after="0"/>
        <w:jc w:val="left"/>
      </w:pPr>
      <w:r>
        <w:t xml:space="preserve">Additionally, </w:t>
      </w:r>
      <w:r w:rsidR="00B52C5A">
        <w:t>t</w:t>
      </w:r>
      <w:r>
        <w:t>h</w:t>
      </w:r>
      <w:r w:rsidR="00B52C5A">
        <w:t xml:space="preserve">e </w:t>
      </w:r>
      <w:r w:rsidR="00B93615">
        <w:t xml:space="preserve">specific </w:t>
      </w:r>
      <w:r w:rsidR="001012FB">
        <w:t xml:space="preserve">example provided in the </w:t>
      </w:r>
      <w:r w:rsidR="004A1D0E">
        <w:t xml:space="preserve">CP refers to </w:t>
      </w:r>
      <w:r w:rsidR="00B52C5A">
        <w:t>a case where the reporting entity (i.e., the trading venue</w:t>
      </w:r>
      <w:r w:rsidR="000F72B4">
        <w:t xml:space="preserve"> on behalf of a member or firm not subject to </w:t>
      </w:r>
      <w:proofErr w:type="spellStart"/>
      <w:r w:rsidR="000F72B4">
        <w:t>MiFIR</w:t>
      </w:r>
      <w:proofErr w:type="spellEnd"/>
      <w:r w:rsidR="000F72B4">
        <w:t xml:space="preserve">) is obliged to report according the </w:t>
      </w:r>
      <w:r w:rsidR="00813254">
        <w:t xml:space="preserve">text of </w:t>
      </w:r>
      <w:proofErr w:type="spellStart"/>
      <w:r w:rsidR="00813254">
        <w:t>MiFIR</w:t>
      </w:r>
      <w:proofErr w:type="spellEnd"/>
      <w:r w:rsidR="00813254">
        <w:t xml:space="preserve"> Art. 26.5, which </w:t>
      </w:r>
      <w:r w:rsidR="00254B8A">
        <w:t>states:</w:t>
      </w:r>
      <w:r w:rsidR="00813254">
        <w:t xml:space="preserve"> </w:t>
      </w:r>
      <w:r w:rsidR="00681E16">
        <w:rPr>
          <w:i/>
          <w:iCs/>
        </w:rPr>
        <w:t>‘</w:t>
      </w:r>
      <w:r w:rsidR="00813254" w:rsidRPr="000035AD">
        <w:rPr>
          <w:i/>
          <w:iCs/>
        </w:rPr>
        <w:t>The operator of a trading venue shall report details of transactions in financial instruments traded on its platform which are executed through its systems by any member, participant or user not subject to this Regulation in accordance with paragraphs 1 and 3.</w:t>
      </w:r>
      <w:r w:rsidR="00813254" w:rsidRPr="00813254">
        <w:t>’</w:t>
      </w:r>
      <w:r w:rsidR="000F5720">
        <w:t xml:space="preserve"> </w:t>
      </w:r>
    </w:p>
    <w:p w14:paraId="5BBC7D0A" w14:textId="77777777" w:rsidR="00681E16" w:rsidRDefault="00681E16" w:rsidP="000F5720">
      <w:pPr>
        <w:spacing w:after="0"/>
        <w:jc w:val="left"/>
      </w:pPr>
    </w:p>
    <w:p w14:paraId="6C032785" w14:textId="7C3D04EB" w:rsidR="006D65E8" w:rsidRDefault="000F5720" w:rsidP="000F5720">
      <w:pPr>
        <w:spacing w:after="0"/>
        <w:jc w:val="left"/>
      </w:pPr>
      <w:r>
        <w:t xml:space="preserve">The </w:t>
      </w:r>
      <w:r w:rsidR="00E614C6">
        <w:t xml:space="preserve">third party </w:t>
      </w:r>
      <w:r w:rsidR="00681E16">
        <w:t xml:space="preserve">that </w:t>
      </w:r>
      <w:r w:rsidR="00E614C6">
        <w:t>submit</w:t>
      </w:r>
      <w:r w:rsidR="00681E16">
        <w:t>s</w:t>
      </w:r>
      <w:r w:rsidR="00E614C6">
        <w:t xml:space="preserve"> the report acts mere</w:t>
      </w:r>
      <w:r w:rsidR="00681E16">
        <w:t>ly as an</w:t>
      </w:r>
      <w:r w:rsidR="00E614C6">
        <w:t xml:space="preserve"> IT provider</w:t>
      </w:r>
      <w:r w:rsidR="00AA535C">
        <w:t xml:space="preserve"> and hence does not </w:t>
      </w:r>
      <w:r w:rsidR="00883C81">
        <w:t>need to be identified from a transaction reporting perspective.</w:t>
      </w:r>
    </w:p>
    <w:p w14:paraId="119398F7" w14:textId="77777777" w:rsidR="006D65E8" w:rsidRDefault="006D65E8" w:rsidP="006B5DF1">
      <w:pPr>
        <w:spacing w:after="0"/>
      </w:pPr>
    </w:p>
    <w:p w14:paraId="6ED8C52D" w14:textId="3D93B8EC" w:rsidR="006D65E8" w:rsidRDefault="006D65E8" w:rsidP="006B5DF1">
      <w:pPr>
        <w:spacing w:after="0"/>
      </w:pPr>
      <w:r>
        <w:t>Therefore</w:t>
      </w:r>
      <w:r w:rsidR="00AA535C">
        <w:t>,</w:t>
      </w:r>
      <w:r>
        <w:t xml:space="preserve"> </w:t>
      </w:r>
      <w:r w:rsidR="000035AD">
        <w:t xml:space="preserve">it is </w:t>
      </w:r>
      <w:r w:rsidR="00AA535C">
        <w:t xml:space="preserve">unclear </w:t>
      </w:r>
      <w:r w:rsidR="00280D93">
        <w:t xml:space="preserve">if </w:t>
      </w:r>
      <w:r w:rsidR="000035AD">
        <w:t xml:space="preserve">the value this field </w:t>
      </w:r>
      <w:r>
        <w:t>adds</w:t>
      </w:r>
      <w:r w:rsidR="004C7ADE">
        <w:t xml:space="preserve">, given the </w:t>
      </w:r>
      <w:proofErr w:type="spellStart"/>
      <w:r w:rsidR="004C7ADE">
        <w:t>th</w:t>
      </w:r>
      <w:r>
        <w:t>e</w:t>
      </w:r>
      <w:proofErr w:type="spellEnd"/>
      <w:r>
        <w:t xml:space="preserve"> reporting obligation is legally mandated</w:t>
      </w:r>
      <w:r w:rsidR="004C7ADE">
        <w:t>,</w:t>
      </w:r>
      <w:r w:rsidR="00280D93">
        <w:t xml:space="preserve"> </w:t>
      </w:r>
      <w:proofErr w:type="spellStart"/>
      <w:r w:rsidR="00280D93">
        <w:t>overweights</w:t>
      </w:r>
      <w:proofErr w:type="spellEnd"/>
      <w:r w:rsidR="00280D93">
        <w:t xml:space="preserve"> the burden </w:t>
      </w:r>
      <w:r w:rsidR="004C7ADE">
        <w:t xml:space="preserve">of </w:t>
      </w:r>
      <w:r w:rsidR="00280D93">
        <w:t>includ</w:t>
      </w:r>
      <w:r w:rsidR="004C7ADE">
        <w:t xml:space="preserve">ing an </w:t>
      </w:r>
      <w:r w:rsidR="00280D93">
        <w:t>additional field and the associated set of validation rules</w:t>
      </w:r>
      <w:r>
        <w:t>.</w:t>
      </w:r>
    </w:p>
    <w:p w14:paraId="0009DFF4" w14:textId="77777777" w:rsidR="002E0907" w:rsidRDefault="002E0907" w:rsidP="002E0907">
      <w:pPr>
        <w:spacing w:after="0"/>
      </w:pPr>
    </w:p>
    <w:p w14:paraId="3D04CEA1" w14:textId="2F43C4CF" w:rsidR="002E0907" w:rsidRDefault="00CF3852" w:rsidP="006B5DF1">
      <w:pPr>
        <w:spacing w:after="0"/>
      </w:pPr>
      <w:r w:rsidRPr="005524AB">
        <w:t xml:space="preserve">Validation rules </w:t>
      </w:r>
      <w:r>
        <w:t>need to be revised accordingly to ensure a homogeneous application</w:t>
      </w:r>
      <w:r w:rsidR="002E0907">
        <w:t>.</w:t>
      </w:r>
    </w:p>
    <w:permEnd w:id="791629733"/>
    <w:p w14:paraId="3154352F" w14:textId="7B12A6E4" w:rsidR="006B5DF1" w:rsidRDefault="006B5DF1" w:rsidP="006D0386">
      <w:pPr>
        <w:spacing w:after="0"/>
      </w:pPr>
      <w:r>
        <w:t>&lt;ESMA_QUESTION_CP3_</w:t>
      </w:r>
      <w:r w:rsidR="003E7313">
        <w:t>10</w:t>
      </w:r>
      <w:r>
        <w:t>&gt;</w:t>
      </w:r>
    </w:p>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349184A3" w14:textId="44B3489A" w:rsidR="006B5DF1" w:rsidRPr="000A181C" w:rsidRDefault="006B5DF1" w:rsidP="006B5DF1">
      <w:pPr>
        <w:spacing w:after="0"/>
      </w:pPr>
      <w:r w:rsidRPr="000A181C">
        <w:t>&lt;ESMA_QUESTION_CP3_</w:t>
      </w:r>
      <w:r w:rsidR="003E7313" w:rsidRPr="000A181C">
        <w:t>11</w:t>
      </w:r>
      <w:r w:rsidRPr="000A181C">
        <w:t>&gt;</w:t>
      </w:r>
    </w:p>
    <w:p w14:paraId="4D9A2C25" w14:textId="64D5C15E" w:rsidR="006B5DF1" w:rsidRPr="00AE0108" w:rsidRDefault="006B5DF1" w:rsidP="006B5DF1">
      <w:pPr>
        <w:spacing w:after="0"/>
      </w:pPr>
      <w:permStart w:id="1475742058" w:edGrp="everyone"/>
      <w:r w:rsidRPr="00AE0108">
        <w:t>TYPE YOUR TEXT HERE</w:t>
      </w:r>
    </w:p>
    <w:permEnd w:id="1475742058"/>
    <w:p w14:paraId="06E5BE60" w14:textId="182992D9" w:rsidR="006B5DF1" w:rsidRPr="00AE0108" w:rsidRDefault="006B5DF1" w:rsidP="006D0386">
      <w:pPr>
        <w:spacing w:after="0"/>
      </w:pPr>
      <w:r w:rsidRPr="00AE0108">
        <w:t>&lt;ESMA_QUESTION_CP3_</w:t>
      </w:r>
      <w:r w:rsidR="003E7313" w:rsidRPr="00AE0108">
        <w:t>11</w:t>
      </w:r>
      <w:r w:rsidRPr="00AE0108">
        <w:t>&gt;</w:t>
      </w:r>
    </w:p>
    <w:p w14:paraId="443C2A97" w14:textId="77777777" w:rsidR="006B5DF1" w:rsidRPr="00AE0108"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F765C17" w14:textId="2FFB1153" w:rsidR="006B5DF1" w:rsidRPr="000A181C" w:rsidRDefault="006B5DF1" w:rsidP="006B5DF1">
      <w:pPr>
        <w:spacing w:after="0"/>
      </w:pPr>
      <w:r w:rsidRPr="000A181C">
        <w:t>&lt;ESMA_QUESTION_CP3_</w:t>
      </w:r>
      <w:r w:rsidR="003E7313" w:rsidRPr="000A181C">
        <w:t>12</w:t>
      </w:r>
      <w:r w:rsidRPr="000A181C">
        <w:t>&gt;</w:t>
      </w:r>
    </w:p>
    <w:p w14:paraId="4AB78DDC" w14:textId="331DD8CD" w:rsidR="006B5DF1" w:rsidRPr="00AE0108" w:rsidRDefault="006B5DF1" w:rsidP="006B5DF1">
      <w:pPr>
        <w:spacing w:after="0"/>
      </w:pPr>
      <w:permStart w:id="368387494" w:edGrp="everyone"/>
      <w:r w:rsidRPr="00AE0108">
        <w:t>TYPE YOUR TEXT HERE</w:t>
      </w:r>
    </w:p>
    <w:permEnd w:id="368387494"/>
    <w:p w14:paraId="72912EE8" w14:textId="3AF4A26B" w:rsidR="006B5DF1" w:rsidRPr="00AE0108" w:rsidRDefault="006B5DF1" w:rsidP="00817313">
      <w:pPr>
        <w:spacing w:after="0"/>
      </w:pPr>
      <w:r w:rsidRPr="00AE0108">
        <w:t>&lt;ESMA_QUESTION_CP3_</w:t>
      </w:r>
      <w:r w:rsidR="003E7313" w:rsidRPr="00AE0108">
        <w:t>12</w:t>
      </w:r>
      <w:r w:rsidRPr="00AE0108">
        <w:t>&gt;</w:t>
      </w:r>
    </w:p>
    <w:p w14:paraId="0853AF7C" w14:textId="77777777" w:rsidR="006B5DF1" w:rsidRPr="00AE0108" w:rsidRDefault="006B5DF1" w:rsidP="006B5DF1"/>
    <w:p w14:paraId="5D976D73" w14:textId="77777777" w:rsidR="0029493B" w:rsidRDefault="0029493B" w:rsidP="006B5DF1">
      <w:pPr>
        <w:pStyle w:val="Questionstyle"/>
      </w:pPr>
      <w:r>
        <w:t>Do you have views on how to improve the consistency of the TVTIC ( non-EEA TV TIC) generation process for transactions executed in non- EAA venue? Please provide your view on the proposed syntax methodology based on the already reported fields or suggest alternatives.</w:t>
      </w:r>
    </w:p>
    <w:p w14:paraId="267D208E" w14:textId="4C4A7102" w:rsidR="006B5DF1" w:rsidRDefault="006B5DF1" w:rsidP="006B5DF1">
      <w:pPr>
        <w:spacing w:after="0"/>
      </w:pPr>
      <w:r>
        <w:lastRenderedPageBreak/>
        <w:t>&lt;ESMA_QUESTION_CP3_</w:t>
      </w:r>
      <w:r w:rsidR="003E7313">
        <w:t>13</w:t>
      </w:r>
      <w:r>
        <w:t>&gt;</w:t>
      </w:r>
    </w:p>
    <w:p w14:paraId="194A6708" w14:textId="03219AD6" w:rsidR="00C66C22" w:rsidRDefault="00FE314B" w:rsidP="006B5DF1">
      <w:pPr>
        <w:spacing w:after="0"/>
      </w:pPr>
      <w:permStart w:id="1298809498" w:edGrp="everyone"/>
      <w:r>
        <w:t xml:space="preserve">For the sake of consistency and data </w:t>
      </w:r>
      <w:r w:rsidR="00B2340E">
        <w:t xml:space="preserve">usability maximization, </w:t>
      </w:r>
      <w:r w:rsidR="00AA746A">
        <w:t>BME</w:t>
      </w:r>
      <w:r w:rsidR="007C3B9C">
        <w:t xml:space="preserve"> </w:t>
      </w:r>
      <w:r>
        <w:t>would advocate for a functional approach in this regard (i.e., same business, same rules).</w:t>
      </w:r>
      <w:r w:rsidR="00B2340E">
        <w:t xml:space="preserve"> Hence</w:t>
      </w:r>
      <w:r w:rsidR="00656F6A">
        <w:t>,</w:t>
      </w:r>
      <w:r w:rsidR="00B2340E">
        <w:t xml:space="preserve"> it would make sense to </w:t>
      </w:r>
      <w:r w:rsidR="002B72A1">
        <w:t xml:space="preserve">ensure </w:t>
      </w:r>
      <w:r w:rsidR="0026128C">
        <w:t xml:space="preserve">that the same set of data is collected for </w:t>
      </w:r>
      <w:r w:rsidR="002B72A1">
        <w:t>every transaction subject to transaction reporting in the EU</w:t>
      </w:r>
      <w:r w:rsidR="0026128C">
        <w:t>, whether executed on venue, off venue</w:t>
      </w:r>
      <w:r w:rsidR="00457BA7">
        <w:t>,</w:t>
      </w:r>
      <w:r w:rsidR="0026128C">
        <w:t xml:space="preserve"> or </w:t>
      </w:r>
      <w:r w:rsidR="00C66C22">
        <w:t>in non-EEU venues.</w:t>
      </w:r>
    </w:p>
    <w:p w14:paraId="22742642" w14:textId="77777777" w:rsidR="00C66C22" w:rsidRDefault="00C66C22" w:rsidP="006B5DF1">
      <w:pPr>
        <w:spacing w:after="0"/>
      </w:pPr>
    </w:p>
    <w:p w14:paraId="2956AE52" w14:textId="63EF169A" w:rsidR="006B5DF1" w:rsidRDefault="00C66C22" w:rsidP="006B5DF1">
      <w:pPr>
        <w:spacing w:after="0"/>
      </w:pPr>
      <w:r>
        <w:t xml:space="preserve">However, </w:t>
      </w:r>
      <w:r w:rsidR="00C271EE">
        <w:t xml:space="preserve">requiring </w:t>
      </w:r>
      <w:r w:rsidR="006B2A80">
        <w:t>non-EEA venues</w:t>
      </w:r>
      <w:r w:rsidR="00C271EE">
        <w:t xml:space="preserve"> to generate and disseminate a TVTIC</w:t>
      </w:r>
      <w:r w:rsidR="00FD07FB">
        <w:t xml:space="preserve"> could be beyond the reach of ESMA</w:t>
      </w:r>
      <w:r w:rsidR="00584F77">
        <w:t xml:space="preserve"> as it remains unclear how could such a duty be enforced on entities out of the supervisory scope of ESMA.</w:t>
      </w:r>
      <w:r w:rsidR="0014033C">
        <w:t xml:space="preserve"> </w:t>
      </w:r>
      <w:r w:rsidR="00271B72">
        <w:t xml:space="preserve">From a market integrity </w:t>
      </w:r>
      <w:proofErr w:type="gramStart"/>
      <w:r w:rsidR="00271B72">
        <w:t>perspective</w:t>
      </w:r>
      <w:proofErr w:type="gramEnd"/>
      <w:r w:rsidR="00271B72">
        <w:t xml:space="preserve"> o</w:t>
      </w:r>
      <w:r w:rsidR="0014033C">
        <w:t xml:space="preserve">ne could </w:t>
      </w:r>
      <w:r w:rsidR="00271B72">
        <w:t xml:space="preserve">question </w:t>
      </w:r>
      <w:r w:rsidR="007E3414">
        <w:t xml:space="preserve">whether the </w:t>
      </w:r>
      <w:proofErr w:type="spellStart"/>
      <w:r w:rsidR="00E77050">
        <w:t>benefict</w:t>
      </w:r>
      <w:proofErr w:type="spellEnd"/>
      <w:r w:rsidR="00E77050">
        <w:t xml:space="preserve"> of the </w:t>
      </w:r>
      <w:r w:rsidR="007E3414">
        <w:t>eventual rejection of transactions carried out on non-EEA venues lacking</w:t>
      </w:r>
      <w:r w:rsidR="00E77050">
        <w:t xml:space="preserve"> a TVTIC </w:t>
      </w:r>
      <w:r w:rsidR="001A3F78">
        <w:t xml:space="preserve">would </w:t>
      </w:r>
      <w:r w:rsidR="00680D93">
        <w:t xml:space="preserve">be preferable to </w:t>
      </w:r>
      <w:r w:rsidR="00271B72">
        <w:t>accept</w:t>
      </w:r>
      <w:r w:rsidR="001A3F78">
        <w:t>ing</w:t>
      </w:r>
      <w:r w:rsidR="00271B72">
        <w:t xml:space="preserve"> such report</w:t>
      </w:r>
      <w:r w:rsidR="005D1FA5">
        <w:t>s</w:t>
      </w:r>
      <w:r w:rsidR="00271B72">
        <w:t xml:space="preserve"> despite lacking the TVTIC.</w:t>
      </w:r>
      <w:r w:rsidR="001352B7">
        <w:t xml:space="preserve"> In this regard, keeping the </w:t>
      </w:r>
      <w:proofErr w:type="spellStart"/>
      <w:r w:rsidR="001352B7">
        <w:t>statu</w:t>
      </w:r>
      <w:proofErr w:type="spellEnd"/>
      <w:r w:rsidR="001352B7">
        <w:t xml:space="preserve"> quo or making this filed voluntary might be</w:t>
      </w:r>
      <w:r w:rsidR="008362B9">
        <w:t xml:space="preserve"> </w:t>
      </w:r>
      <w:r w:rsidR="005D1FA5">
        <w:t>sub-</w:t>
      </w:r>
      <w:r w:rsidR="008362B9">
        <w:t>optim</w:t>
      </w:r>
      <w:r w:rsidR="005D1FA5">
        <w:t>al</w:t>
      </w:r>
      <w:r w:rsidR="00826E3B">
        <w:t xml:space="preserve"> </w:t>
      </w:r>
      <w:r w:rsidR="001352B7">
        <w:t>options to explore</w:t>
      </w:r>
      <w:r w:rsidR="008362B9">
        <w:t xml:space="preserve"> </w:t>
      </w:r>
      <w:proofErr w:type="gramStart"/>
      <w:r w:rsidR="008362B9">
        <w:t>in order to</w:t>
      </w:r>
      <w:proofErr w:type="gramEnd"/>
      <w:r w:rsidR="008362B9">
        <w:t xml:space="preserve"> ensure market integrity does not deteriorate</w:t>
      </w:r>
      <w:r w:rsidR="001352B7">
        <w:t>.</w:t>
      </w:r>
      <w:r w:rsidR="00BD1576">
        <w:t xml:space="preserve"> </w:t>
      </w:r>
    </w:p>
    <w:p w14:paraId="7992CC2C" w14:textId="77777777" w:rsidR="002E0907" w:rsidRDefault="002E0907" w:rsidP="006B5DF1">
      <w:pPr>
        <w:spacing w:after="0"/>
      </w:pPr>
    </w:p>
    <w:p w14:paraId="7A5F0696" w14:textId="377F71F6" w:rsidR="002E0907" w:rsidRDefault="00CF3852" w:rsidP="006B5DF1">
      <w:pPr>
        <w:spacing w:after="0"/>
      </w:pPr>
      <w:r w:rsidRPr="005524AB">
        <w:t xml:space="preserve">Validation rules </w:t>
      </w:r>
      <w:r>
        <w:t>need to be revised accordingly to ensure a homogeneous application</w:t>
      </w:r>
      <w:r w:rsidR="002E0907">
        <w:t>.</w:t>
      </w:r>
    </w:p>
    <w:permEnd w:id="1298809498"/>
    <w:p w14:paraId="14191270" w14:textId="11B605C7" w:rsidR="006B5DF1" w:rsidRDefault="006B5DF1" w:rsidP="00817313">
      <w:pPr>
        <w:spacing w:after="0"/>
      </w:pPr>
      <w:r>
        <w:t>&lt;ESMA_QUESTION_CP3_</w:t>
      </w:r>
      <w:r w:rsidR="003E7313">
        <w:t>13</w:t>
      </w:r>
      <w:r>
        <w:t>&gt;</w:t>
      </w:r>
    </w:p>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5172AC4C" w14:textId="6FF299C4" w:rsidR="006B5DF1" w:rsidRDefault="006B5DF1" w:rsidP="006B5DF1">
      <w:pPr>
        <w:spacing w:after="0"/>
      </w:pPr>
      <w:r>
        <w:t>&lt;ESMA_QUESTION_CP3_</w:t>
      </w:r>
      <w:r w:rsidR="003E7313">
        <w:t>14</w:t>
      </w:r>
      <w:r>
        <w:t>&gt;</w:t>
      </w:r>
    </w:p>
    <w:p w14:paraId="7FED3984" w14:textId="46E0A861" w:rsidR="006E34E3" w:rsidRDefault="006E34E3" w:rsidP="006E34E3">
      <w:pPr>
        <w:spacing w:after="0"/>
      </w:pPr>
      <w:permStart w:id="1859999702" w:edGrp="everyone"/>
      <w:r>
        <w:t>Please see answer to Q13.</w:t>
      </w:r>
    </w:p>
    <w:permEnd w:id="1859999702"/>
    <w:p w14:paraId="55A012FE" w14:textId="5EBB3469" w:rsidR="006B5DF1" w:rsidRDefault="006B5DF1" w:rsidP="00817313">
      <w:pPr>
        <w:spacing w:after="0"/>
      </w:pPr>
      <w:r>
        <w:t>&lt;ESMA_QUESTION_CP3_</w:t>
      </w:r>
      <w:r w:rsidR="003E7313">
        <w:t>14</w:t>
      </w:r>
      <w:r>
        <w:t>&gt;</w:t>
      </w:r>
    </w:p>
    <w:p w14:paraId="620205AB" w14:textId="77777777" w:rsidR="006B5DF1" w:rsidRPr="006B5DF1" w:rsidRDefault="006B5DF1" w:rsidP="006B5DF1"/>
    <w:p w14:paraId="08651FDD" w14:textId="77777777" w:rsidR="0029493B" w:rsidRDefault="0029493B" w:rsidP="006B5DF1">
      <w:pPr>
        <w:pStyle w:val="Questionstyle"/>
      </w:pPr>
      <w:r>
        <w:t xml:space="preserve">Do you have any further comment or suggestion in relation to the definition of a new transaction identification code (TIC) for off venue transactions? Please provide your view for the proposed syntax methodology for creating the TIC based on the already reported </w:t>
      </w:r>
      <w:proofErr w:type="gramStart"/>
      <w:r>
        <w:t>fields, or</w:t>
      </w:r>
      <w:proofErr w:type="gramEnd"/>
      <w:r>
        <w:t xml:space="preserve"> suggest alternatives.</w:t>
      </w:r>
    </w:p>
    <w:p w14:paraId="761CC5DB" w14:textId="523B6D29" w:rsidR="006B5DF1" w:rsidRDefault="006B5DF1" w:rsidP="006B5DF1">
      <w:pPr>
        <w:spacing w:after="0"/>
      </w:pPr>
      <w:r>
        <w:t>&lt;ESMA_QUESTION_CP3_</w:t>
      </w:r>
      <w:r w:rsidR="003E7313">
        <w:t>15</w:t>
      </w:r>
      <w:r>
        <w:t>&gt;</w:t>
      </w:r>
    </w:p>
    <w:p w14:paraId="1B428BEF" w14:textId="4A29E159" w:rsidR="00AE0108" w:rsidRDefault="00AE0108" w:rsidP="006B5DF1">
      <w:pPr>
        <w:spacing w:after="0"/>
      </w:pPr>
      <w:permStart w:id="1859985972" w:edGrp="everyone"/>
      <w:r>
        <w:t>From a transaction reporting perspective, there should be a common approach</w:t>
      </w:r>
      <w:r w:rsidR="00A600A1">
        <w:t xml:space="preserve"> </w:t>
      </w:r>
      <w:r w:rsidR="0062717D">
        <w:t xml:space="preserve">to how </w:t>
      </w:r>
      <w:r>
        <w:t>on</w:t>
      </w:r>
      <w:r w:rsidR="0062717D">
        <w:t>-venue</w:t>
      </w:r>
      <w:r>
        <w:t xml:space="preserve"> and off</w:t>
      </w:r>
      <w:r w:rsidR="00A600A1">
        <w:t>-</w:t>
      </w:r>
      <w:r>
        <w:t xml:space="preserve">venue transactions are reported to ensure </w:t>
      </w:r>
      <w:r w:rsidR="00455FB6">
        <w:t>homogeneous market surveillance by supervisors.</w:t>
      </w:r>
    </w:p>
    <w:p w14:paraId="7E7BC62B" w14:textId="77777777" w:rsidR="005F402F" w:rsidRDefault="005F402F" w:rsidP="006B5DF1">
      <w:pPr>
        <w:spacing w:after="0"/>
      </w:pPr>
    </w:p>
    <w:p w14:paraId="118D2094" w14:textId="28212503" w:rsidR="00F544B3" w:rsidRDefault="005F402F" w:rsidP="006B5DF1">
      <w:pPr>
        <w:spacing w:after="0"/>
      </w:pPr>
      <w:r>
        <w:t>However</w:t>
      </w:r>
      <w:r w:rsidR="00E57D72">
        <w:t xml:space="preserve">, this </w:t>
      </w:r>
      <w:r w:rsidR="00CE7201">
        <w:t>ability might be hindered when it comes to reportable transactions carried out in non-EEA venues</w:t>
      </w:r>
      <w:r w:rsidR="00A71243">
        <w:t>,</w:t>
      </w:r>
      <w:r w:rsidR="0004507D">
        <w:t xml:space="preserve"> as stated in previous </w:t>
      </w:r>
      <w:r w:rsidR="0034479D">
        <w:t>answers. We would suggest reflectin</w:t>
      </w:r>
      <w:r w:rsidR="00A71243">
        <w:t>g</w:t>
      </w:r>
      <w:r w:rsidR="0034479D">
        <w:t xml:space="preserve"> on whether there is merit in pursuing a </w:t>
      </w:r>
      <w:r w:rsidR="00E0150D">
        <w:t>change</w:t>
      </w:r>
      <w:r w:rsidR="00A71243">
        <w:t>,</w:t>
      </w:r>
      <w:r w:rsidR="00E0150D">
        <w:t xml:space="preserve"> </w:t>
      </w:r>
      <w:proofErr w:type="gramStart"/>
      <w:r w:rsidR="00E0150D">
        <w:t xml:space="preserve">despite the </w:t>
      </w:r>
      <w:r w:rsidR="00A95AE4">
        <w:t>fact that</w:t>
      </w:r>
      <w:proofErr w:type="gramEnd"/>
      <w:r w:rsidR="00A95AE4">
        <w:t xml:space="preserve"> it c</w:t>
      </w:r>
      <w:r w:rsidR="00E0150D">
        <w:t>ould deliver incomplete results</w:t>
      </w:r>
      <w:r w:rsidR="000147E1">
        <w:t>,</w:t>
      </w:r>
      <w:r w:rsidR="00E0150D">
        <w:t xml:space="preserve"> </w:t>
      </w:r>
      <w:r w:rsidR="00A64C83">
        <w:t xml:space="preserve">or whether the data currently collected provides sufficient </w:t>
      </w:r>
      <w:r w:rsidR="00F544B3">
        <w:t>information for supervisory purposes</w:t>
      </w:r>
      <w:r w:rsidR="00372A41">
        <w:t xml:space="preserve"> to ensure market integrity does not deteriorate</w:t>
      </w:r>
      <w:r w:rsidR="00F544B3">
        <w:t>.</w:t>
      </w:r>
    </w:p>
    <w:p w14:paraId="1F6635AD" w14:textId="77777777" w:rsidR="005524AB" w:rsidRDefault="005524AB" w:rsidP="006B5DF1">
      <w:pPr>
        <w:spacing w:after="0"/>
      </w:pPr>
    </w:p>
    <w:p w14:paraId="69965993" w14:textId="796875E3" w:rsidR="005524AB" w:rsidRPr="005524AB" w:rsidRDefault="00CF3852" w:rsidP="006B5DF1">
      <w:pPr>
        <w:spacing w:after="0"/>
      </w:pPr>
      <w:r w:rsidRPr="005524AB">
        <w:lastRenderedPageBreak/>
        <w:t xml:space="preserve">Validation rules </w:t>
      </w:r>
      <w:r>
        <w:t>need to be revised accordingly to ensure a homogeneous application</w:t>
      </w:r>
      <w:r w:rsidR="00DF67B4">
        <w:t>.</w:t>
      </w:r>
    </w:p>
    <w:permEnd w:id="1859985972"/>
    <w:p w14:paraId="3A64410A" w14:textId="1BD69133" w:rsidR="006B5DF1" w:rsidRPr="005524AB" w:rsidRDefault="006B5DF1" w:rsidP="006B5DF1">
      <w:pPr>
        <w:spacing w:after="0"/>
      </w:pPr>
      <w:r w:rsidRPr="005524AB">
        <w:t>&lt;ESMA_QUESTION_CP3_</w:t>
      </w:r>
      <w:r w:rsidR="003E7313" w:rsidRPr="005524AB">
        <w:t>15</w:t>
      </w:r>
      <w:r w:rsidRPr="005524AB">
        <w:t>&gt;</w:t>
      </w:r>
    </w:p>
    <w:p w14:paraId="6EA3EFD9" w14:textId="77777777" w:rsidR="006B5DF1" w:rsidRPr="005524AB"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3E4937E7" w14:textId="0772BD10" w:rsidR="006B5DF1" w:rsidRDefault="006B5DF1" w:rsidP="006B5DF1">
      <w:pPr>
        <w:spacing w:after="0"/>
      </w:pPr>
      <w:r>
        <w:t>&lt;ESMA_QUESTION_CP3_</w:t>
      </w:r>
      <w:r w:rsidR="003E7313">
        <w:t>16</w:t>
      </w:r>
      <w:r>
        <w:t>&gt;</w:t>
      </w:r>
    </w:p>
    <w:p w14:paraId="5A709754" w14:textId="77777777" w:rsidR="00240947" w:rsidRDefault="00E67D20" w:rsidP="006B5DF1">
      <w:pPr>
        <w:spacing w:after="0"/>
      </w:pPr>
      <w:permStart w:id="1850953902" w:edGrp="everyone"/>
      <w:r>
        <w:t>Should the revised TVTIC generation regime be endorsed</w:t>
      </w:r>
      <w:r w:rsidR="00CD2B48">
        <w:t xml:space="preserve">, we </w:t>
      </w:r>
      <w:r w:rsidR="00A7134B">
        <w:t xml:space="preserve">would support the approach </w:t>
      </w:r>
      <w:r w:rsidR="00A33880">
        <w:t xml:space="preserve">of placing </w:t>
      </w:r>
      <w:r w:rsidR="0073196D">
        <w:t xml:space="preserve">the </w:t>
      </w:r>
      <w:r w:rsidR="00A33880">
        <w:t>responsibility</w:t>
      </w:r>
      <w:r w:rsidR="0073196D">
        <w:t xml:space="preserve"> to generate the TVTIC for off-venue transactions onto </w:t>
      </w:r>
      <w:r w:rsidR="002A403C">
        <w:t>a market facing firm (i.e., any of the counterparties to a transaction)</w:t>
      </w:r>
      <w:r w:rsidR="0073196D">
        <w:t>.</w:t>
      </w:r>
      <w:r w:rsidR="00535CE1">
        <w:t xml:space="preserve"> </w:t>
      </w:r>
    </w:p>
    <w:p w14:paraId="0771B5DC" w14:textId="77777777" w:rsidR="00240947" w:rsidRDefault="00240947" w:rsidP="006B5DF1">
      <w:pPr>
        <w:spacing w:after="0"/>
      </w:pPr>
    </w:p>
    <w:p w14:paraId="30126696" w14:textId="023ED7E8" w:rsidR="00E57217" w:rsidRDefault="00240947" w:rsidP="006B5DF1">
      <w:pPr>
        <w:spacing w:after="0"/>
      </w:pPr>
      <w:r>
        <w:t>However, w</w:t>
      </w:r>
      <w:r w:rsidR="00535CE1">
        <w:t xml:space="preserve">e are agnostic on </w:t>
      </w:r>
      <w:r w:rsidR="00FF0C1C">
        <w:t>which of the counterparties (i.e., seller or buyer) it needs to be placed onto</w:t>
      </w:r>
      <w:r w:rsidR="009F4505">
        <w:t xml:space="preserve">, especially considering that </w:t>
      </w:r>
      <w:r w:rsidR="00D44374">
        <w:t xml:space="preserve">it </w:t>
      </w:r>
      <w:r w:rsidR="001143E6">
        <w:t>will</w:t>
      </w:r>
      <w:r w:rsidR="00D44374">
        <w:t xml:space="preserve"> not impact the re</w:t>
      </w:r>
      <w:r w:rsidR="007D4EC3">
        <w:t>portability of the transaction n</w:t>
      </w:r>
      <w:r w:rsidR="00453CB3">
        <w:t xml:space="preserve">or </w:t>
      </w:r>
      <w:r w:rsidR="007D4EC3">
        <w:t>the criteria to accept / reject a reported transaction.</w:t>
      </w:r>
    </w:p>
    <w:permEnd w:id="1850953902"/>
    <w:p w14:paraId="061AC34A" w14:textId="508BC611" w:rsidR="006B5DF1" w:rsidRPr="009F4505" w:rsidRDefault="006B5DF1" w:rsidP="006B5DF1">
      <w:pPr>
        <w:spacing w:after="0"/>
      </w:pPr>
      <w:r w:rsidRPr="009F4505">
        <w:t>&lt;ESMA_QUESTION_CP3_</w:t>
      </w:r>
      <w:r w:rsidR="003E7313" w:rsidRPr="009F4505">
        <w:t>16</w:t>
      </w:r>
      <w:r w:rsidRPr="009F4505">
        <w:t>&gt;</w:t>
      </w:r>
    </w:p>
    <w:p w14:paraId="5847AC71" w14:textId="77777777" w:rsidR="006B5DF1" w:rsidRPr="009F4505" w:rsidRDefault="006B5DF1" w:rsidP="006B5DF1"/>
    <w:p w14:paraId="2A3F75F1" w14:textId="77777777" w:rsidR="0029493B" w:rsidRDefault="0029493B" w:rsidP="006B5DF1">
      <w:pPr>
        <w:pStyle w:val="Questionstyle"/>
      </w:pPr>
      <w:r>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19286DDF" w14:textId="086B4926" w:rsidR="006B5DF1" w:rsidRDefault="006B5DF1" w:rsidP="006B5DF1">
      <w:pPr>
        <w:spacing w:after="0"/>
      </w:pPr>
      <w:r>
        <w:t>&lt;ESMA_QUESTION_CP3_</w:t>
      </w:r>
      <w:r w:rsidR="003E7313">
        <w:t>17</w:t>
      </w:r>
      <w:r>
        <w:t>&gt;</w:t>
      </w:r>
    </w:p>
    <w:p w14:paraId="46099BE3" w14:textId="2E68A466" w:rsidR="00A2011B" w:rsidRDefault="00A2011B" w:rsidP="00A2011B">
      <w:pPr>
        <w:spacing w:after="0"/>
      </w:pPr>
      <w:permStart w:id="938018820" w:edGrp="everyone"/>
      <w:r w:rsidRPr="00A2011B">
        <w:t xml:space="preserve">The reporting of allocations remains a very operationally challenging activity for trading venues. The requirement to track additional data points, such as the INTC identifier, will increase the operational burden yet further. </w:t>
      </w:r>
      <w:r w:rsidR="00AA746A">
        <w:t>BME</w:t>
      </w:r>
      <w:r w:rsidRPr="00A2011B">
        <w:t xml:space="preserve"> believes that creating a new field solely to combine data from existing fields is unnecessary and inefficient. </w:t>
      </w:r>
    </w:p>
    <w:p w14:paraId="32D93AB0" w14:textId="77777777" w:rsidR="00A2011B" w:rsidRDefault="00A2011B" w:rsidP="00A2011B">
      <w:pPr>
        <w:spacing w:after="0"/>
      </w:pPr>
    </w:p>
    <w:p w14:paraId="4BBDA6BF" w14:textId="1AAE7C0A" w:rsidR="00A2011B" w:rsidRPr="00A2011B" w:rsidRDefault="00A2011B" w:rsidP="00A2011B">
      <w:pPr>
        <w:spacing w:after="0"/>
      </w:pPr>
      <w:r w:rsidRPr="00A2011B">
        <w:t>ESMA should limit transaction reporting by trading venues to the “market-side”, i.e. without any allocations. This would level the playing field with OTC trading, where MiFID counterparties of non-MiFID firms do not have to report their counterparties’ allocations.</w:t>
      </w:r>
    </w:p>
    <w:p w14:paraId="2596B1EB" w14:textId="77777777" w:rsidR="00A2011B" w:rsidRDefault="00A2011B" w:rsidP="00146479">
      <w:pPr>
        <w:spacing w:after="0"/>
      </w:pPr>
    </w:p>
    <w:p w14:paraId="13612C19" w14:textId="5E95A76F" w:rsidR="00146479" w:rsidRDefault="00AA746A" w:rsidP="00146479">
      <w:pPr>
        <w:spacing w:after="0"/>
      </w:pPr>
      <w:r>
        <w:t>BME</w:t>
      </w:r>
      <w:r w:rsidR="00146479">
        <w:t xml:space="preserve"> </w:t>
      </w:r>
      <w:r w:rsidR="00146479" w:rsidRPr="00146479">
        <w:t xml:space="preserve">would like to underline the difficulties and costs associated with collecting information from external sources and would appreciate that the regulators </w:t>
      </w:r>
      <w:proofErr w:type="gramStart"/>
      <w:r w:rsidR="00146479" w:rsidRPr="00146479">
        <w:t>take into account</w:t>
      </w:r>
      <w:proofErr w:type="gramEnd"/>
      <w:r w:rsidR="00146479" w:rsidRPr="00146479">
        <w:t xml:space="preserve"> the special situation faced by trading venues. As operator of trading venues, </w:t>
      </w:r>
      <w:r w:rsidR="00146479">
        <w:t xml:space="preserve">we </w:t>
      </w:r>
      <w:r w:rsidR="00146479" w:rsidRPr="00146479">
        <w:t xml:space="preserve">are required to report under Art. 26 </w:t>
      </w:r>
      <w:proofErr w:type="spellStart"/>
      <w:r w:rsidR="00146479" w:rsidRPr="00146479">
        <w:t>MiFIR</w:t>
      </w:r>
      <w:proofErr w:type="spellEnd"/>
      <w:r w:rsidR="00146479" w:rsidRPr="00146479">
        <w:t xml:space="preserve"> on behalf of non-</w:t>
      </w:r>
      <w:proofErr w:type="spellStart"/>
      <w:r w:rsidR="00146479" w:rsidRPr="00146479">
        <w:t>MiFIR</w:t>
      </w:r>
      <w:proofErr w:type="spellEnd"/>
      <w:r w:rsidR="00146479" w:rsidRPr="00146479">
        <w:t xml:space="preserve"> firms. However, since trading venues would not possess the relevant information to produce the relevant INTC identifier, our non-</w:t>
      </w:r>
      <w:proofErr w:type="spellStart"/>
      <w:r w:rsidR="00146479" w:rsidRPr="00146479">
        <w:t>MiFIR</w:t>
      </w:r>
      <w:proofErr w:type="spellEnd"/>
      <w:r w:rsidR="00146479" w:rsidRPr="00146479">
        <w:t xml:space="preserve"> members would be required to provide this identifier to the respective trading venue. Previous experience has shown that relying on members’ input to be able to provide comprehensive transaction reporting data </w:t>
      </w:r>
      <w:r w:rsidR="00146479" w:rsidRPr="00146479">
        <w:lastRenderedPageBreak/>
        <w:t>entails significant effort for both the trading venue and the non-</w:t>
      </w:r>
      <w:proofErr w:type="spellStart"/>
      <w:r w:rsidR="00146479" w:rsidRPr="00146479">
        <w:t>MiFIR</w:t>
      </w:r>
      <w:proofErr w:type="spellEnd"/>
      <w:r w:rsidR="00146479" w:rsidRPr="00146479">
        <w:t xml:space="preserve"> member. As a result: (1) data quality might be compromised, or the transaction reporting might be incomplete upon transmission; (2) trading venues cannot validate the accuracy of the third-party information they receive; and (3) – data privacy rules may be violated.</w:t>
      </w:r>
    </w:p>
    <w:p w14:paraId="7CFB5AD0" w14:textId="77777777" w:rsidR="00D84663" w:rsidRPr="00146479" w:rsidRDefault="00D84663" w:rsidP="00146479">
      <w:pPr>
        <w:spacing w:after="0"/>
      </w:pPr>
    </w:p>
    <w:p w14:paraId="072AE2BD" w14:textId="0CAFF187" w:rsidR="00146479" w:rsidRDefault="00146479" w:rsidP="006B5DF1">
      <w:pPr>
        <w:spacing w:after="0"/>
      </w:pPr>
      <w:r w:rsidRPr="00146479">
        <w:t>Additionally, the inclusion of the INTC identifier implies the need to upgrade the systems used, as is the case with any newly added field. Introducing a new field in the transactions reporting file has an IT impact (including validation rules) and thus a cost-benefit assessment would be required.</w:t>
      </w:r>
    </w:p>
    <w:permEnd w:id="938018820"/>
    <w:p w14:paraId="434B1CE3" w14:textId="40F70F15" w:rsidR="006B5DF1" w:rsidRDefault="006B5DF1" w:rsidP="006B5DF1">
      <w:pPr>
        <w:spacing w:after="0"/>
      </w:pPr>
      <w:r>
        <w:t>&lt;ESMA_QUESTION_CP3_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t>Do you agree that the executing investment firm should be responsible for generating consistently the INTC identifier?</w:t>
      </w:r>
    </w:p>
    <w:p w14:paraId="236C5087" w14:textId="246574AF" w:rsidR="006B5DF1" w:rsidRDefault="006B5DF1" w:rsidP="006B5DF1">
      <w:pPr>
        <w:spacing w:after="0"/>
      </w:pPr>
      <w:r>
        <w:t>&lt;ESMA_QUESTION_CP3_</w:t>
      </w:r>
      <w:r w:rsidR="003E7313">
        <w:t>18</w:t>
      </w:r>
      <w:r>
        <w:t>&gt;</w:t>
      </w:r>
    </w:p>
    <w:p w14:paraId="48E17771" w14:textId="64EF54E0" w:rsidR="00A2011B" w:rsidRDefault="00A2011B" w:rsidP="00A2011B">
      <w:pPr>
        <w:spacing w:after="0"/>
      </w:pPr>
      <w:permStart w:id="1092633402" w:edGrp="everyone"/>
      <w:r w:rsidRPr="00A2011B">
        <w:t xml:space="preserve">The reporting of allocations remains a very operationally challenging activity for trading venues. The requirement to track additional data points, such as the INTC identifier, will increase the operational burden yet further. </w:t>
      </w:r>
      <w:r w:rsidR="00CA5533">
        <w:t>BME</w:t>
      </w:r>
      <w:r w:rsidRPr="00A2011B">
        <w:t xml:space="preserve"> believes that creating a new field solely to combine data from existing fields is unnecessary and inefficient.</w:t>
      </w:r>
    </w:p>
    <w:p w14:paraId="5332F595" w14:textId="77777777" w:rsidR="00A2011B" w:rsidRPr="00A2011B" w:rsidRDefault="00A2011B" w:rsidP="00A2011B">
      <w:pPr>
        <w:spacing w:after="0"/>
      </w:pPr>
    </w:p>
    <w:p w14:paraId="0CAFFA14" w14:textId="77777777" w:rsidR="00A2011B" w:rsidRDefault="00A2011B" w:rsidP="00A2011B">
      <w:pPr>
        <w:spacing w:after="0"/>
      </w:pPr>
      <w:r w:rsidRPr="00A2011B">
        <w:t>ESMA should limit transaction reporting by trading venues to the “market-side”, i.e. without any allocations. This would level the playing field with OTC trading, where MiFID counterparties of non-MiFID firms do not have to report their counterparties’ allocations.</w:t>
      </w:r>
    </w:p>
    <w:p w14:paraId="06CAB262" w14:textId="77777777" w:rsidR="00A2011B" w:rsidRPr="00A2011B" w:rsidRDefault="00A2011B" w:rsidP="00A2011B">
      <w:pPr>
        <w:spacing w:after="0"/>
      </w:pPr>
    </w:p>
    <w:p w14:paraId="62C3E1B2" w14:textId="6F9D7CE0" w:rsidR="00A2011B" w:rsidRDefault="00AA746A" w:rsidP="00A2011B">
      <w:pPr>
        <w:spacing w:after="0"/>
      </w:pPr>
      <w:r>
        <w:t>BME</w:t>
      </w:r>
      <w:r w:rsidR="00A2011B" w:rsidRPr="00A2011B">
        <w:t xml:space="preserve"> would highlight that if the executing investment firm is made responsible for generating the INTC identifier, this will not cover the Article 26(5) scenario, in which trading venues would still need to produce the INTC identifier. Unless or until Article 26(5) is limited to market-side reports, as advocated by ESMA, this will remain the case.</w:t>
      </w:r>
    </w:p>
    <w:p w14:paraId="30DC57B6" w14:textId="77777777" w:rsidR="00A2011B" w:rsidRDefault="00A2011B" w:rsidP="006B5DF1">
      <w:pPr>
        <w:spacing w:after="0"/>
      </w:pPr>
    </w:p>
    <w:p w14:paraId="12FB1365" w14:textId="7B5617CF" w:rsidR="00BA07F2" w:rsidRDefault="00F74C86" w:rsidP="006B5DF1">
      <w:pPr>
        <w:spacing w:after="0"/>
      </w:pPr>
      <w:r>
        <w:t xml:space="preserve">Should the </w:t>
      </w:r>
      <w:r w:rsidR="00D1549B">
        <w:t>inclusion of a new INTC identifier fi</w:t>
      </w:r>
      <w:r w:rsidR="002D699F">
        <w:t>eld</w:t>
      </w:r>
      <w:r w:rsidR="00215FE7">
        <w:t xml:space="preserve"> </w:t>
      </w:r>
      <w:r>
        <w:t xml:space="preserve">be endorsed, we would support the approach of placing the responsibility to generate </w:t>
      </w:r>
      <w:r w:rsidR="003E0F81">
        <w:t>i</w:t>
      </w:r>
      <w:r>
        <w:t>t</w:t>
      </w:r>
      <w:r w:rsidR="003E0F81">
        <w:t xml:space="preserve"> on the </w:t>
      </w:r>
      <w:r w:rsidR="00193680">
        <w:t xml:space="preserve">participant that originates the aggregation / linkage of orders to ensure proper </w:t>
      </w:r>
      <w:r w:rsidR="00D11139">
        <w:t>identification</w:t>
      </w:r>
      <w:r>
        <w:t>.</w:t>
      </w:r>
    </w:p>
    <w:permEnd w:id="1092633402"/>
    <w:p w14:paraId="51F035B1" w14:textId="566F9D86" w:rsidR="006B5DF1" w:rsidRDefault="006B5DF1" w:rsidP="006B5DF1">
      <w:pPr>
        <w:spacing w:after="0"/>
      </w:pPr>
      <w:r>
        <w:t>&lt;ESMA_QUESTION_CP3_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168BD9B5" w:rsidR="006B5DF1" w:rsidRDefault="006B5DF1" w:rsidP="006B5DF1">
      <w:pPr>
        <w:spacing w:after="0"/>
      </w:pPr>
      <w:r>
        <w:lastRenderedPageBreak/>
        <w:t>&lt;ESMA_QUESTION_CP3_</w:t>
      </w:r>
      <w:r w:rsidR="003E7313">
        <w:t>19</w:t>
      </w:r>
      <w:r>
        <w:t>&gt;</w:t>
      </w:r>
    </w:p>
    <w:p w14:paraId="182321F4" w14:textId="78264AF6" w:rsidR="002C2DF7" w:rsidRDefault="002C2DF7" w:rsidP="002C2DF7">
      <w:pPr>
        <w:spacing w:after="0"/>
      </w:pPr>
      <w:permStart w:id="1566987131" w:edGrp="everyone"/>
      <w:r>
        <w:t xml:space="preserve">While </w:t>
      </w:r>
      <w:r w:rsidR="00AD7459">
        <w:t xml:space="preserve">a Chain Identifier code could prove useful, </w:t>
      </w:r>
      <w:r w:rsidR="00AA1DF6">
        <w:t>the CP recogni</w:t>
      </w:r>
      <w:r w:rsidR="000E1127">
        <w:t>z</w:t>
      </w:r>
      <w:r w:rsidR="00AA1DF6">
        <w:t xml:space="preserve">es the difficulty </w:t>
      </w:r>
      <w:r w:rsidR="000E1127">
        <w:t>of</w:t>
      </w:r>
      <w:r w:rsidR="00AA1DF6">
        <w:t xml:space="preserve"> enforcing </w:t>
      </w:r>
      <w:r w:rsidR="00A50DA4">
        <w:t xml:space="preserve">the generation or transmission </w:t>
      </w:r>
      <w:r w:rsidR="000E1127">
        <w:t xml:space="preserve">of it </w:t>
      </w:r>
      <w:r w:rsidR="00325646">
        <w:t xml:space="preserve">where </w:t>
      </w:r>
      <w:r w:rsidR="00A50DA4">
        <w:t xml:space="preserve">non-EEA </w:t>
      </w:r>
      <w:r w:rsidR="00325646">
        <w:t xml:space="preserve">firms are part of the transmission chain. </w:t>
      </w:r>
    </w:p>
    <w:p w14:paraId="1033A042" w14:textId="77777777" w:rsidR="00E17F97" w:rsidRDefault="00E17F97" w:rsidP="002C2DF7">
      <w:pPr>
        <w:spacing w:after="0"/>
      </w:pPr>
    </w:p>
    <w:p w14:paraId="76767E26" w14:textId="7BDC8466" w:rsidR="006B5DF1" w:rsidRDefault="00E17F97" w:rsidP="002C2DF7">
      <w:pPr>
        <w:spacing w:after="0"/>
      </w:pPr>
      <w:proofErr w:type="gramStart"/>
      <w:r>
        <w:t>Similar to</w:t>
      </w:r>
      <w:proofErr w:type="gramEnd"/>
      <w:r>
        <w:t xml:space="preserve"> our answer to Q13, </w:t>
      </w:r>
      <w:r w:rsidR="002C2DF7">
        <w:t xml:space="preserve">requiring non-EEA venues to generate and </w:t>
      </w:r>
      <w:r w:rsidR="00F623DE">
        <w:t>pass th</w:t>
      </w:r>
      <w:r w:rsidR="00CE2211">
        <w:t>rough th</w:t>
      </w:r>
      <w:r w:rsidR="00F623DE">
        <w:t xml:space="preserve">e code </w:t>
      </w:r>
      <w:r w:rsidR="002C2DF7">
        <w:t>could be beyond the reach of ESMA</w:t>
      </w:r>
      <w:r w:rsidR="000777FA">
        <w:t xml:space="preserve"> and NCAs</w:t>
      </w:r>
      <w:r w:rsidR="002C2DF7">
        <w:t xml:space="preserve">. From a market integrity </w:t>
      </w:r>
      <w:proofErr w:type="gramStart"/>
      <w:r w:rsidR="002C2DF7">
        <w:t>perspective</w:t>
      </w:r>
      <w:proofErr w:type="gramEnd"/>
      <w:r w:rsidR="002C2DF7">
        <w:t xml:space="preserve"> one could question whether the benefit of the eventual rejection of </w:t>
      </w:r>
      <w:r w:rsidR="00D343D9">
        <w:t xml:space="preserve">reported </w:t>
      </w:r>
      <w:r w:rsidR="002C2DF7">
        <w:t>transactions</w:t>
      </w:r>
      <w:r w:rsidR="00D343D9">
        <w:t xml:space="preserve"> lacking th</w:t>
      </w:r>
      <w:r w:rsidR="00242504">
        <w:t xml:space="preserve">e Chain Identifier </w:t>
      </w:r>
      <w:r w:rsidR="00FE32EB">
        <w:t xml:space="preserve">would </w:t>
      </w:r>
      <w:r w:rsidR="002C2DF7">
        <w:t>be preferable to accept</w:t>
      </w:r>
      <w:r w:rsidR="00FE32EB">
        <w:t>ing</w:t>
      </w:r>
      <w:r w:rsidR="002C2DF7">
        <w:t xml:space="preserve"> such report</w:t>
      </w:r>
      <w:r w:rsidR="00FE32EB">
        <w:t>s</w:t>
      </w:r>
      <w:r w:rsidR="002C2DF7">
        <w:t xml:space="preserve"> despite </w:t>
      </w:r>
      <w:r w:rsidR="00242504">
        <w:t>th</w:t>
      </w:r>
      <w:r w:rsidR="00FE32EB">
        <w:t xml:space="preserve">e </w:t>
      </w:r>
      <w:r w:rsidR="00242504">
        <w:t>a</w:t>
      </w:r>
      <w:r w:rsidR="00FE32EB">
        <w:t>bsence of the code</w:t>
      </w:r>
      <w:r w:rsidR="00242504">
        <w:t>. In this regard</w:t>
      </w:r>
      <w:r w:rsidR="001352B7">
        <w:t xml:space="preserve">, keeping the </w:t>
      </w:r>
      <w:proofErr w:type="spellStart"/>
      <w:r w:rsidR="001352B7">
        <w:t>statu</w:t>
      </w:r>
      <w:proofErr w:type="spellEnd"/>
      <w:r w:rsidR="001352B7">
        <w:t xml:space="preserve"> quo or making this f</w:t>
      </w:r>
      <w:r w:rsidR="00FE32EB">
        <w:t>ield</w:t>
      </w:r>
      <w:r w:rsidR="001352B7">
        <w:t xml:space="preserve"> voluntary might be options to explore.</w:t>
      </w:r>
      <w:r w:rsidR="00242504">
        <w:t xml:space="preserve"> </w:t>
      </w:r>
    </w:p>
    <w:p w14:paraId="18586806" w14:textId="77777777" w:rsidR="00066D61" w:rsidRDefault="00066D61" w:rsidP="002C2DF7">
      <w:pPr>
        <w:spacing w:after="0"/>
      </w:pPr>
    </w:p>
    <w:p w14:paraId="7EDE547C" w14:textId="55D03A7C" w:rsidR="00066D61" w:rsidRDefault="00CF3852" w:rsidP="002C2DF7">
      <w:pPr>
        <w:spacing w:after="0"/>
      </w:pPr>
      <w:r w:rsidRPr="005524AB">
        <w:t xml:space="preserve">Validation rules </w:t>
      </w:r>
      <w:r>
        <w:t xml:space="preserve">need to be revised accordingly to ensure </w:t>
      </w:r>
      <w:proofErr w:type="gramStart"/>
      <w:r>
        <w:t>an</w:t>
      </w:r>
      <w:proofErr w:type="gramEnd"/>
      <w:r>
        <w:t xml:space="preserve"> homogeneous application.</w:t>
      </w:r>
    </w:p>
    <w:permEnd w:id="1566987131"/>
    <w:p w14:paraId="3AD2704A" w14:textId="4405DE65" w:rsidR="006B5DF1" w:rsidRDefault="006B5DF1" w:rsidP="006B5DF1">
      <w:pPr>
        <w:spacing w:after="0"/>
      </w:pPr>
      <w:r>
        <w:t>&lt;ESMA_QUESTION_CP3_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2DE9D9DE" w14:textId="0F42F38F" w:rsidR="006B5DF1" w:rsidRDefault="006B5DF1" w:rsidP="006B5DF1">
      <w:pPr>
        <w:spacing w:after="0"/>
      </w:pPr>
      <w:r>
        <w:t>&lt;ESMA_QUESTION_CP3_</w:t>
      </w:r>
      <w:r w:rsidR="003E7313">
        <w:t>20</w:t>
      </w:r>
      <w:r>
        <w:t>&gt;</w:t>
      </w:r>
    </w:p>
    <w:p w14:paraId="7F57DFED" w14:textId="556F5786" w:rsidR="006B5DF1" w:rsidRDefault="00E00EDC" w:rsidP="006B5DF1">
      <w:pPr>
        <w:spacing w:after="0"/>
      </w:pPr>
      <w:permStart w:id="1381705258" w:edGrp="everyone"/>
      <w:r>
        <w:t xml:space="preserve">In line with </w:t>
      </w:r>
      <w:r w:rsidR="00EA6FEC">
        <w:t xml:space="preserve">the </w:t>
      </w:r>
      <w:r>
        <w:t>answer to Q18, s</w:t>
      </w:r>
      <w:r w:rsidR="00E61AFF">
        <w:t xml:space="preserve">hould the inclusion of a new </w:t>
      </w:r>
      <w:r w:rsidR="00776EDC">
        <w:t xml:space="preserve">Chain Identifier </w:t>
      </w:r>
      <w:r w:rsidR="00E61AFF">
        <w:t xml:space="preserve">field be endorsed, we would support the approach of placing the responsibility to generate it on the participant that originates the </w:t>
      </w:r>
      <w:r w:rsidR="001A5899">
        <w:t xml:space="preserve">transmission </w:t>
      </w:r>
      <w:r w:rsidR="00E61AFF">
        <w:t>of orders to ensure proper identification.</w:t>
      </w:r>
    </w:p>
    <w:p w14:paraId="1E1ADB85" w14:textId="77777777" w:rsidR="00DC4A52" w:rsidRDefault="00DC4A52" w:rsidP="006B5DF1">
      <w:pPr>
        <w:spacing w:after="0"/>
      </w:pPr>
    </w:p>
    <w:p w14:paraId="5DCB6A55" w14:textId="6CA80158" w:rsidR="00AE7D1E" w:rsidRDefault="00FD6E56" w:rsidP="006B5DF1">
      <w:pPr>
        <w:spacing w:after="0"/>
      </w:pPr>
      <w:r>
        <w:t>However, in line with</w:t>
      </w:r>
      <w:r w:rsidR="00716CB8">
        <w:t xml:space="preserve"> the</w:t>
      </w:r>
      <w:r>
        <w:t xml:space="preserve"> answer to Q16, </w:t>
      </w:r>
      <w:r w:rsidR="00716CB8">
        <w:t xml:space="preserve">the </w:t>
      </w:r>
      <w:r w:rsidR="00F839AE">
        <w:t xml:space="preserve">definition of which firm within the chain bears responsibility </w:t>
      </w:r>
      <w:r w:rsidR="00F121A8">
        <w:t xml:space="preserve">for the creation of the code </w:t>
      </w:r>
      <w:r>
        <w:t>sh</w:t>
      </w:r>
      <w:r w:rsidR="00716CB8">
        <w:t xml:space="preserve">ould </w:t>
      </w:r>
      <w:r>
        <w:t>not impact on the reportability of the transaction n</w:t>
      </w:r>
      <w:r w:rsidR="00716CB8">
        <w:t xml:space="preserve">or </w:t>
      </w:r>
      <w:r>
        <w:t>on the criteria to accept / reject a reported transaction.</w:t>
      </w:r>
      <w:r w:rsidR="00AE7D1E">
        <w:t xml:space="preserve"> </w:t>
      </w:r>
    </w:p>
    <w:permEnd w:id="1381705258"/>
    <w:p w14:paraId="693695D5" w14:textId="34593823" w:rsidR="006B5DF1" w:rsidRPr="00DC4A52" w:rsidRDefault="006B5DF1" w:rsidP="006B5DF1">
      <w:pPr>
        <w:spacing w:after="0"/>
        <w:rPr>
          <w:lang w:val="it-IT"/>
        </w:rPr>
      </w:pPr>
      <w:r w:rsidRPr="00DC4A52">
        <w:rPr>
          <w:lang w:val="it-IT"/>
        </w:rPr>
        <w:t>&lt;ESMA_QUESTION_CP3_</w:t>
      </w:r>
      <w:r w:rsidR="003E7313" w:rsidRPr="00DC4A52">
        <w:rPr>
          <w:lang w:val="it-IT"/>
        </w:rPr>
        <w:t>20</w:t>
      </w:r>
      <w:r w:rsidRPr="00DC4A52">
        <w:rPr>
          <w:lang w:val="it-IT"/>
        </w:rPr>
        <w:t>&gt;</w:t>
      </w:r>
    </w:p>
    <w:p w14:paraId="00D929F2" w14:textId="77777777" w:rsidR="006B5DF1" w:rsidRPr="00DC4A52" w:rsidRDefault="006B5DF1" w:rsidP="006B5DF1">
      <w:pPr>
        <w:rPr>
          <w:lang w:val="it-IT"/>
        </w:rPr>
      </w:pPr>
    </w:p>
    <w:p w14:paraId="145209C2" w14:textId="77777777" w:rsidR="0029493B" w:rsidRDefault="0029493B" w:rsidP="006B5DF1">
      <w:pPr>
        <w:pStyle w:val="Questionstyle"/>
      </w:pPr>
      <w:r>
        <w:t>Do you agree with the proposed reference to Art. 3(3) of Benchmark Regulation to define the relevant categories of indices?</w:t>
      </w:r>
    </w:p>
    <w:p w14:paraId="30A46B82" w14:textId="18C37ADD" w:rsidR="006B5DF1" w:rsidRDefault="006B5DF1" w:rsidP="006B5DF1">
      <w:pPr>
        <w:spacing w:after="0"/>
      </w:pPr>
      <w:r>
        <w:t>&lt;ESMA_QUESTION_CP3_</w:t>
      </w:r>
      <w:r w:rsidR="003E7313">
        <w:t>21</w:t>
      </w:r>
      <w:r>
        <w:t>&gt;</w:t>
      </w:r>
    </w:p>
    <w:p w14:paraId="43223A48" w14:textId="77777777" w:rsidR="007E01DC" w:rsidRDefault="007E1569" w:rsidP="006B5DF1">
      <w:pPr>
        <w:spacing w:after="0"/>
      </w:pPr>
      <w:permStart w:id="2065267156" w:edGrp="everyone"/>
      <w:r>
        <w:t>Yes. A clearer perim</w:t>
      </w:r>
      <w:r w:rsidR="007E01DC">
        <w:t xml:space="preserve">eter is preferable. </w:t>
      </w:r>
    </w:p>
    <w:permEnd w:id="2065267156"/>
    <w:p w14:paraId="2A4CCFD1" w14:textId="264F1696" w:rsidR="006B5DF1" w:rsidRDefault="006B5DF1" w:rsidP="006B5DF1">
      <w:pPr>
        <w:spacing w:after="0"/>
      </w:pPr>
      <w:r>
        <w:t>&lt;ESMA_QUESTION_CP3_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52E1D95" w:rsidR="006B5DF1" w:rsidRDefault="006B5DF1" w:rsidP="006B5DF1">
      <w:pPr>
        <w:spacing w:after="0"/>
      </w:pPr>
      <w:r>
        <w:lastRenderedPageBreak/>
        <w:t>&lt;ESMA_QUESTION_CP3_</w:t>
      </w:r>
      <w:r w:rsidR="003E7313">
        <w:t>22</w:t>
      </w:r>
      <w:r>
        <w:t>&gt;</w:t>
      </w:r>
    </w:p>
    <w:p w14:paraId="11B5204F" w14:textId="6E22397A" w:rsidR="00B814BF" w:rsidRDefault="00341CE0" w:rsidP="00130687">
      <w:pPr>
        <w:spacing w:after="0"/>
      </w:pPr>
      <w:permStart w:id="1173250579" w:edGrp="everyone"/>
      <w:r>
        <w:t xml:space="preserve">BME </w:t>
      </w:r>
      <w:r w:rsidR="00D429F3">
        <w:t>agree</w:t>
      </w:r>
      <w:r>
        <w:t>s</w:t>
      </w:r>
      <w:r w:rsidR="00D429F3">
        <w:t xml:space="preserve"> with the CP on</w:t>
      </w:r>
      <w:r w:rsidR="00EE6C46">
        <w:t xml:space="preserve"> the approach to set the date by which transactions are to be reported equal to the date of application of the revised RTS 22. However, considering the </w:t>
      </w:r>
      <w:r w:rsidR="00F7126D">
        <w:t>interdependen</w:t>
      </w:r>
      <w:r w:rsidR="006E0300">
        <w:t>ce</w:t>
      </w:r>
      <w:r w:rsidR="00F7126D">
        <w:t xml:space="preserve"> with other regulatory changes</w:t>
      </w:r>
      <w:r w:rsidR="006E0300">
        <w:t xml:space="preserve"> (e.g., RTS 23, RTS 1 and RTS 2)</w:t>
      </w:r>
      <w:r w:rsidR="00CE40BA">
        <w:t>, we would advocate for a</w:t>
      </w:r>
      <w:r w:rsidR="0059303A">
        <w:t xml:space="preserve"> sufficient </w:t>
      </w:r>
      <w:r w:rsidR="00CE40BA">
        <w:t>implementation timeline</w:t>
      </w:r>
      <w:r w:rsidR="0059303A">
        <w:t xml:space="preserve"> </w:t>
      </w:r>
      <w:r w:rsidR="000D5E92" w:rsidRPr="000D5E92">
        <w:t>to ensure a robust functioning of the relevant systems</w:t>
      </w:r>
      <w:r w:rsidR="00B814BF">
        <w:t xml:space="preserve">. </w:t>
      </w:r>
    </w:p>
    <w:p w14:paraId="19DD0741" w14:textId="77777777" w:rsidR="00341CE0" w:rsidRDefault="00341CE0" w:rsidP="00130687">
      <w:pPr>
        <w:spacing w:after="0"/>
      </w:pPr>
    </w:p>
    <w:p w14:paraId="498236A1" w14:textId="77777777" w:rsidR="00341CE0" w:rsidRPr="006144EB" w:rsidRDefault="00341CE0" w:rsidP="00341CE0">
      <w:pPr>
        <w:spacing w:after="0"/>
      </w:pPr>
      <w:r w:rsidRPr="006144EB">
        <w:t>While alignment across all these RTS is highly preferable, as a general remark we wish to state that lead times of 18 months are generally more suitable over 12 months. These would provide market participants with sufficient time to implement all the required system changes, for the sake of data quality and a smooth industry transition.</w:t>
      </w:r>
    </w:p>
    <w:p w14:paraId="6AB08085" w14:textId="70ACFC59" w:rsidR="006B5DF1" w:rsidRDefault="00B814BF" w:rsidP="006B5DF1">
      <w:pPr>
        <w:spacing w:after="0"/>
      </w:pPr>
      <w:r>
        <w:t>Co</w:t>
      </w:r>
      <w:r w:rsidR="000D5E92" w:rsidRPr="000D5E92">
        <w:t xml:space="preserve">mplying with the revised regime </w:t>
      </w:r>
      <w:r>
        <w:t xml:space="preserve">requires the </w:t>
      </w:r>
      <w:r w:rsidR="000D5E92" w:rsidRPr="000D5E92">
        <w:t>correct preparedness by the relevant industry players</w:t>
      </w:r>
      <w:r w:rsidR="00A94F4A">
        <w:t xml:space="preserve">. Avoiding </w:t>
      </w:r>
      <w:r w:rsidR="000D5E92" w:rsidRPr="000D5E92">
        <w:t>unnecessary IT effort and stress</w:t>
      </w:r>
      <w:r w:rsidR="00A94F4A">
        <w:t xml:space="preserve"> would be needed to ensure robust and </w:t>
      </w:r>
      <w:proofErr w:type="spellStart"/>
      <w:r w:rsidR="00A94F4A">
        <w:t>well functioning</w:t>
      </w:r>
      <w:proofErr w:type="spellEnd"/>
      <w:r w:rsidR="00A94F4A">
        <w:t xml:space="preserve"> adaptations.</w:t>
      </w:r>
      <w:r w:rsidR="00B14F8C">
        <w:t xml:space="preserve"> A common and sufficient timeline is desirable t</w:t>
      </w:r>
      <w:r w:rsidR="005F6EF1">
        <w:t xml:space="preserve">o allow for </w:t>
      </w:r>
      <w:r w:rsidR="008F612E" w:rsidRPr="008F612E">
        <w:t>proper analysis,</w:t>
      </w:r>
      <w:r w:rsidR="005F6EF1">
        <w:t xml:space="preserve"> IT</w:t>
      </w:r>
      <w:r w:rsidR="008F612E" w:rsidRPr="008F612E">
        <w:t xml:space="preserve"> development and </w:t>
      </w:r>
      <w:r w:rsidR="005F6EF1">
        <w:t xml:space="preserve">both internal and external </w:t>
      </w:r>
      <w:r w:rsidR="008F612E" w:rsidRPr="008F612E">
        <w:t xml:space="preserve">testing. </w:t>
      </w:r>
      <w:r w:rsidR="00ED6E27">
        <w:t xml:space="preserve">The lack of </w:t>
      </w:r>
      <w:r w:rsidR="008F612E" w:rsidRPr="008F612E">
        <w:t xml:space="preserve">a common approach could </w:t>
      </w:r>
      <w:r w:rsidR="00ED6E27">
        <w:t xml:space="preserve">result in </w:t>
      </w:r>
      <w:r w:rsidR="008F612E" w:rsidRPr="008F612E">
        <w:t>a high degree of confusion and IT development effort.</w:t>
      </w:r>
      <w:r w:rsidR="00CE40BA">
        <w:t xml:space="preserve"> </w:t>
      </w:r>
      <w:r w:rsidR="00EE6C46">
        <w:t xml:space="preserve"> </w:t>
      </w:r>
    </w:p>
    <w:permEnd w:id="1173250579"/>
    <w:p w14:paraId="103F6D06" w14:textId="06D121CD" w:rsidR="006B5DF1" w:rsidRDefault="006B5DF1" w:rsidP="006B5DF1">
      <w:pPr>
        <w:spacing w:after="0"/>
      </w:pPr>
      <w:r>
        <w:t>&lt;ESMA_QUESTION_CP3_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5F5F10CC" w14:textId="2D5562D1" w:rsidR="006B5DF1" w:rsidRPr="000A181C" w:rsidRDefault="006B5DF1" w:rsidP="006B5DF1">
      <w:pPr>
        <w:spacing w:after="0"/>
      </w:pPr>
      <w:r w:rsidRPr="000A181C">
        <w:t>&lt;ESMA_QUESTION_CP3_</w:t>
      </w:r>
      <w:r w:rsidR="003E7313" w:rsidRPr="000A181C">
        <w:t>23</w:t>
      </w:r>
      <w:r w:rsidRPr="000A181C">
        <w:t>&gt;</w:t>
      </w:r>
    </w:p>
    <w:p w14:paraId="09AFF9BE" w14:textId="3D89965F" w:rsidR="00DE0419" w:rsidRPr="000A181C" w:rsidRDefault="00324491" w:rsidP="006B5DF1">
      <w:pPr>
        <w:spacing w:after="0"/>
        <w:rPr>
          <w:b/>
          <w:bCs/>
          <w:color w:val="FF0000"/>
        </w:rPr>
      </w:pPr>
      <w:permStart w:id="1864581970" w:edGrp="everyone"/>
      <w:r>
        <w:t>TYPE YOUR TEXT HERE</w:t>
      </w:r>
    </w:p>
    <w:permEnd w:id="1864581970"/>
    <w:p w14:paraId="70F87526" w14:textId="7FB624D5" w:rsidR="006B5DF1" w:rsidRPr="004A7F98" w:rsidRDefault="006B5DF1" w:rsidP="006B5DF1">
      <w:pPr>
        <w:spacing w:after="0"/>
        <w:rPr>
          <w:lang w:val="es-ES"/>
        </w:rPr>
      </w:pPr>
      <w:r w:rsidRPr="004A7F98">
        <w:rPr>
          <w:lang w:val="es-ES"/>
        </w:rPr>
        <w:t>&lt;ESMA_QUESTION_CP3_</w:t>
      </w:r>
      <w:r w:rsidR="003E7313" w:rsidRPr="004A7F98">
        <w:rPr>
          <w:lang w:val="es-ES"/>
        </w:rPr>
        <w:t>23</w:t>
      </w:r>
      <w:r w:rsidRPr="004A7F98">
        <w:rPr>
          <w:lang w:val="es-ES"/>
        </w:rPr>
        <w:t>&gt;</w:t>
      </w:r>
    </w:p>
    <w:p w14:paraId="79797390" w14:textId="77777777" w:rsidR="006B5DF1" w:rsidRPr="004A7F98" w:rsidRDefault="006B5DF1" w:rsidP="006B5DF1">
      <w:pPr>
        <w:rPr>
          <w:lang w:val="es-ES"/>
        </w:rPr>
      </w:pPr>
    </w:p>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4AD15D62" w14:textId="3AB5269C" w:rsidR="006B5DF1" w:rsidRDefault="006B5DF1" w:rsidP="006B5DF1">
      <w:pPr>
        <w:spacing w:after="0"/>
      </w:pPr>
      <w:r>
        <w:t>&lt;ESMA_QUESTION_CP3_</w:t>
      </w:r>
      <w:r w:rsidR="003E7313">
        <w:t>24</w:t>
      </w:r>
      <w:r>
        <w:t>&gt;</w:t>
      </w:r>
    </w:p>
    <w:p w14:paraId="7E200232" w14:textId="77777777" w:rsidR="00C26152" w:rsidRDefault="00B03421" w:rsidP="006B5DF1">
      <w:pPr>
        <w:spacing w:after="0"/>
      </w:pPr>
      <w:permStart w:id="604202828" w:edGrp="everyone"/>
      <w:r>
        <w:t xml:space="preserve">In principle, alignment of definitions and </w:t>
      </w:r>
      <w:r w:rsidR="005513FC">
        <w:t>the</w:t>
      </w:r>
      <w:r w:rsidR="00F40E7D">
        <w:t xml:space="preserve"> contents </w:t>
      </w:r>
      <w:r w:rsidR="005513FC">
        <w:t xml:space="preserve">associated </w:t>
      </w:r>
      <w:r w:rsidR="007E21C3">
        <w:t>with</w:t>
      </w:r>
      <w:r w:rsidR="005513FC">
        <w:t xml:space="preserve"> each of them </w:t>
      </w:r>
      <w:r w:rsidR="002C01D1">
        <w:t>with other reporting regimes may prove useful as it may enhance comparability</w:t>
      </w:r>
      <w:r w:rsidR="00354DE8">
        <w:t xml:space="preserve"> and </w:t>
      </w:r>
      <w:r w:rsidR="004224FE">
        <w:t xml:space="preserve">clarity. In </w:t>
      </w:r>
      <w:r w:rsidR="006B2341">
        <w:t>this vein, we would like to draw your attention t</w:t>
      </w:r>
      <w:r w:rsidR="00812F10">
        <w:t>o the wording of fields 51 and 52</w:t>
      </w:r>
      <w:r w:rsidR="00FE6441">
        <w:t>, which includes the expression ‘[…] and similar products</w:t>
      </w:r>
      <w:r w:rsidR="00710DF7">
        <w:t xml:space="preserve">.’. </w:t>
      </w:r>
    </w:p>
    <w:p w14:paraId="4B45B56F" w14:textId="5F19E84E" w:rsidR="000A7609" w:rsidRDefault="00A34DB5" w:rsidP="006B5DF1">
      <w:pPr>
        <w:spacing w:after="0"/>
      </w:pPr>
      <w:r>
        <w:t>BME</w:t>
      </w:r>
      <w:r w:rsidR="00710DF7">
        <w:t xml:space="preserve"> suggest</w:t>
      </w:r>
      <w:r>
        <w:t>s</w:t>
      </w:r>
      <w:r w:rsidR="00710DF7">
        <w:t xml:space="preserve"> avoid</w:t>
      </w:r>
      <w:r w:rsidR="008B3416">
        <w:t>ing</w:t>
      </w:r>
      <w:r w:rsidR="00710DF7">
        <w:t xml:space="preserve"> </w:t>
      </w:r>
      <w:r w:rsidR="0082519A">
        <w:t xml:space="preserve">this sort of open categories (e.g., similar) as they bring uncertainty and </w:t>
      </w:r>
      <w:r w:rsidR="00995D40">
        <w:t>leave room for subjective interpretation</w:t>
      </w:r>
      <w:r w:rsidR="008B3416">
        <w:t>, lea</w:t>
      </w:r>
      <w:r w:rsidR="00545964">
        <w:t xml:space="preserve">ding to </w:t>
      </w:r>
      <w:r w:rsidR="001C1F9F">
        <w:t>divergent implementation and compliance with the RTS</w:t>
      </w:r>
      <w:r w:rsidR="00995D40">
        <w:t>.</w:t>
      </w:r>
      <w:r w:rsidR="001C1F9F">
        <w:t xml:space="preserve"> </w:t>
      </w:r>
      <w:r w:rsidR="000A7609">
        <w:t xml:space="preserve">A more </w:t>
      </w:r>
      <w:r w:rsidR="001C1F9F">
        <w:t>exh</w:t>
      </w:r>
      <w:r w:rsidR="000A7609">
        <w:t>austive typif</w:t>
      </w:r>
      <w:r w:rsidR="00545964">
        <w:t>i</w:t>
      </w:r>
      <w:r w:rsidR="000A7609">
        <w:t>cation would be preferable.</w:t>
      </w:r>
    </w:p>
    <w:p w14:paraId="7850C6CB" w14:textId="7D6AC40D" w:rsidR="00D84663" w:rsidRDefault="00D84663" w:rsidP="006B5DF1">
      <w:pPr>
        <w:spacing w:after="0"/>
      </w:pPr>
      <w:r w:rsidRPr="00D84663">
        <w:t>For field 53 (Option Style): in cases where a specific instrument (Ex Corporate Warrant CFI start with RW*) cannot use the values EURO/AMER/BERM, there is the risk of rejection. We suggest it should be possible to maintain the value OTHR.</w:t>
      </w:r>
    </w:p>
    <w:permEnd w:id="604202828"/>
    <w:p w14:paraId="3D62CC04" w14:textId="0606BB22" w:rsidR="006B5DF1" w:rsidRDefault="006B5DF1" w:rsidP="006B5DF1">
      <w:pPr>
        <w:spacing w:after="0"/>
      </w:pPr>
      <w:r>
        <w:t>&lt;ESMA_QUESTION_CP3_</w:t>
      </w:r>
      <w:r w:rsidR="003E7313">
        <w:t>24</w:t>
      </w:r>
      <w:r>
        <w:t>&gt;</w:t>
      </w:r>
    </w:p>
    <w:p w14:paraId="78999886" w14:textId="28E59189" w:rsidR="006B5DF1" w:rsidRDefault="0029493B" w:rsidP="00164CB5">
      <w:pPr>
        <w:pStyle w:val="Questionstyle"/>
      </w:pPr>
      <w:r>
        <w:lastRenderedPageBreak/>
        <w:t>Do you agree with the proposed approach for the alignment of reporting of the information related to direction of the transaction?</w:t>
      </w:r>
    </w:p>
    <w:p w14:paraId="56BCC5CD" w14:textId="5C5B027A" w:rsidR="006B5DF1" w:rsidRDefault="006B5DF1" w:rsidP="006B5DF1">
      <w:pPr>
        <w:spacing w:after="0"/>
      </w:pPr>
      <w:r>
        <w:t>&lt;ESMA_QUESTION_CP3_</w:t>
      </w:r>
      <w:r w:rsidR="003E7313">
        <w:t>25</w:t>
      </w:r>
      <w:r>
        <w:t>&gt;</w:t>
      </w:r>
    </w:p>
    <w:p w14:paraId="20E029D3" w14:textId="3AB0ECE4" w:rsidR="00257715" w:rsidRDefault="00892C66" w:rsidP="006B5DF1">
      <w:pPr>
        <w:spacing w:after="0"/>
      </w:pPr>
      <w:permStart w:id="1792834567" w:edGrp="everyone"/>
      <w:r>
        <w:t>Regardless</w:t>
      </w:r>
      <w:r w:rsidR="0057591A">
        <w:t xml:space="preserve"> of</w:t>
      </w:r>
      <w:r>
        <w:t xml:space="preserve"> the approach </w:t>
      </w:r>
      <w:r w:rsidR="006D60D8">
        <w:t xml:space="preserve">eventually endorsed, </w:t>
      </w:r>
      <w:r w:rsidR="00110AB2">
        <w:t>clari</w:t>
      </w:r>
      <w:r w:rsidR="0094568F">
        <w:t>f</w:t>
      </w:r>
      <w:r w:rsidR="00110AB2">
        <w:t>y</w:t>
      </w:r>
      <w:r w:rsidR="0094568F">
        <w:t>ing</w:t>
      </w:r>
      <w:r w:rsidR="00110AB2">
        <w:t xml:space="preserve"> ambiguous </w:t>
      </w:r>
      <w:r w:rsidR="00122FF2">
        <w:t>or not straightforward cases</w:t>
      </w:r>
      <w:r w:rsidR="0094568F">
        <w:t xml:space="preserve"> should prove beneficial. </w:t>
      </w:r>
      <w:r w:rsidR="00DB7AE4">
        <w:t>C</w:t>
      </w:r>
      <w:r w:rsidR="0094568F">
        <w:t>hanges should be limited to</w:t>
      </w:r>
      <w:r w:rsidR="00DB7AE4">
        <w:t xml:space="preserve"> those cases for which the current approach is suboptimal.</w:t>
      </w:r>
    </w:p>
    <w:p w14:paraId="743AD78B" w14:textId="77777777" w:rsidR="00257715" w:rsidRDefault="00257715" w:rsidP="006B5DF1">
      <w:pPr>
        <w:spacing w:after="0"/>
      </w:pPr>
    </w:p>
    <w:p w14:paraId="22FD2603" w14:textId="3C967631" w:rsidR="006B5DF1" w:rsidRDefault="00257715" w:rsidP="006B5DF1">
      <w:pPr>
        <w:spacing w:after="0"/>
      </w:pPr>
      <w:r w:rsidRPr="005524AB">
        <w:t xml:space="preserve">Validation rules </w:t>
      </w:r>
      <w:r>
        <w:t>need to be revised accordingly</w:t>
      </w:r>
      <w:r w:rsidR="003832B3">
        <w:t xml:space="preserve"> to ensure </w:t>
      </w:r>
      <w:r w:rsidR="00CF3852">
        <w:t>a homogeneous application</w:t>
      </w:r>
      <w:r>
        <w:t>.</w:t>
      </w:r>
    </w:p>
    <w:permEnd w:id="1792834567"/>
    <w:p w14:paraId="64A80114" w14:textId="64B75614" w:rsidR="006B5DF1" w:rsidRDefault="006B5DF1" w:rsidP="006B5DF1">
      <w:pPr>
        <w:spacing w:after="0"/>
      </w:pPr>
      <w:r>
        <w:t>&lt;ESMA_QUESTION_CP3_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3FB5BC36" w14:textId="62D53457" w:rsidR="006B5DF1" w:rsidRDefault="006B5DF1" w:rsidP="006B5DF1">
      <w:pPr>
        <w:spacing w:after="0"/>
      </w:pPr>
      <w:r>
        <w:t>&lt;ESMA_QUESTION_CP3_</w:t>
      </w:r>
      <w:r w:rsidR="003E7313">
        <w:t>2</w:t>
      </w:r>
      <w:r>
        <w:t>6&gt;</w:t>
      </w:r>
    </w:p>
    <w:p w14:paraId="3A023F1B" w14:textId="1AAA2932" w:rsidR="006B5DF1" w:rsidRDefault="003B4839" w:rsidP="006B5DF1">
      <w:pPr>
        <w:spacing w:after="0"/>
      </w:pPr>
      <w:permStart w:id="2128023615" w:edGrp="everyone"/>
      <w:r>
        <w:t xml:space="preserve">Please see </w:t>
      </w:r>
      <w:r w:rsidR="0057591A">
        <w:t xml:space="preserve">the </w:t>
      </w:r>
      <w:r>
        <w:t>answer to Q</w:t>
      </w:r>
      <w:r w:rsidR="005406EF">
        <w:t>25</w:t>
      </w:r>
      <w:r>
        <w:t>.</w:t>
      </w:r>
    </w:p>
    <w:permEnd w:id="2128023615"/>
    <w:p w14:paraId="033BC056" w14:textId="1B2BCD9E" w:rsidR="006B5DF1" w:rsidRDefault="006B5DF1" w:rsidP="006B5DF1">
      <w:pPr>
        <w:spacing w:after="0"/>
      </w:pPr>
      <w:r>
        <w:t>&lt;ESMA_QUESTION_CP3_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27437ADA" w14:textId="2694C4E8" w:rsidR="006B5DF1" w:rsidRDefault="006B5DF1" w:rsidP="006B5DF1">
      <w:pPr>
        <w:spacing w:after="0"/>
      </w:pPr>
      <w:r>
        <w:t>&lt;ESMA_QUESTION_CP3_</w:t>
      </w:r>
      <w:r w:rsidR="003E7313">
        <w:t>27</w:t>
      </w:r>
      <w:r>
        <w:t>&gt;</w:t>
      </w:r>
    </w:p>
    <w:p w14:paraId="4E8C68F6" w14:textId="7E1CCD4D" w:rsidR="008E6B86" w:rsidRDefault="00655528" w:rsidP="006B5DF1">
      <w:pPr>
        <w:spacing w:after="0"/>
        <w:rPr>
          <w:b/>
          <w:bCs/>
          <w:color w:val="FF0000"/>
        </w:rPr>
      </w:pPr>
      <w:permStart w:id="904620653" w:edGrp="everyone"/>
      <w:r>
        <w:t xml:space="preserve">In line with </w:t>
      </w:r>
      <w:r w:rsidR="00BD570E">
        <w:t xml:space="preserve">the </w:t>
      </w:r>
      <w:r>
        <w:t xml:space="preserve">answer to Q24, alignment of </w:t>
      </w:r>
      <w:r w:rsidR="002321DC">
        <w:t xml:space="preserve">concepts between the </w:t>
      </w:r>
      <w:r>
        <w:t>reporting regimes may prove useful as it may enhance comparability and clarity</w:t>
      </w:r>
      <w:r w:rsidR="002321DC">
        <w:t>. In this case, w</w:t>
      </w:r>
      <w:r w:rsidR="00544B39">
        <w:t>hile</w:t>
      </w:r>
      <w:r>
        <w:t xml:space="preserve"> </w:t>
      </w:r>
      <w:r w:rsidR="00E757D1">
        <w:t xml:space="preserve">this </w:t>
      </w:r>
      <w:r w:rsidR="00EA2BAC">
        <w:t xml:space="preserve">approach is still valid, the </w:t>
      </w:r>
      <w:proofErr w:type="spellStart"/>
      <w:r w:rsidR="00EA2BAC">
        <w:t>MiFIR</w:t>
      </w:r>
      <w:proofErr w:type="spellEnd"/>
      <w:r w:rsidR="00EE1A18">
        <w:t xml:space="preserve"> approach to complex trades seems </w:t>
      </w:r>
      <w:r w:rsidR="008E6B86">
        <w:t xml:space="preserve">clearer. </w:t>
      </w:r>
    </w:p>
    <w:permEnd w:id="904620653"/>
    <w:p w14:paraId="622F61D1" w14:textId="637D0742" w:rsidR="006B5DF1" w:rsidRDefault="006B5DF1" w:rsidP="006B5DF1">
      <w:pPr>
        <w:spacing w:after="0"/>
      </w:pPr>
      <w:r>
        <w:t>&lt;ESMA_QUESTION_CP3_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 xml:space="preserve">Do you agree with adding the field ‘Package transaction price’ to align the reporting under </w:t>
      </w:r>
      <w:proofErr w:type="spellStart"/>
      <w:r>
        <w:t>MiFIR</w:t>
      </w:r>
      <w:proofErr w:type="spellEnd"/>
      <w:r>
        <w:t xml:space="preserve"> with EMIR Refit and CDE Technical Guidance?</w:t>
      </w:r>
    </w:p>
    <w:p w14:paraId="7C4630B3" w14:textId="1C464FF0" w:rsidR="005D3762" w:rsidRDefault="005D3762" w:rsidP="005D3762">
      <w:pPr>
        <w:spacing w:after="0"/>
      </w:pPr>
      <w:r>
        <w:t>&lt;ESMA_QUESTION_CP3_</w:t>
      </w:r>
      <w:r w:rsidR="003E7313">
        <w:t>28</w:t>
      </w:r>
      <w:r>
        <w:t>&gt;</w:t>
      </w:r>
    </w:p>
    <w:p w14:paraId="2BC73DE9" w14:textId="3591A63C" w:rsidR="005D3762" w:rsidRDefault="007F1DFE" w:rsidP="005D3762">
      <w:pPr>
        <w:spacing w:after="0"/>
      </w:pPr>
      <w:permStart w:id="1129537263" w:edGrp="everyone"/>
      <w:r>
        <w:t xml:space="preserve">While a </w:t>
      </w:r>
      <w:r w:rsidR="00782039">
        <w:t>‘</w:t>
      </w:r>
      <w:r>
        <w:t>Package transaction price</w:t>
      </w:r>
      <w:r w:rsidR="00782039">
        <w:t xml:space="preserve">’ might prove useful, ARMs should not be required to validate </w:t>
      </w:r>
      <w:r w:rsidR="00FA3FBB">
        <w:t xml:space="preserve">if such price is </w:t>
      </w:r>
      <w:r w:rsidR="007F7389">
        <w:t>calculated correctly by the reporting entity.</w:t>
      </w:r>
    </w:p>
    <w:permEnd w:id="1129537263"/>
    <w:p w14:paraId="159EE94A" w14:textId="5128B029" w:rsidR="005D3762" w:rsidRDefault="005D3762" w:rsidP="005D3762">
      <w:pPr>
        <w:spacing w:after="0"/>
      </w:pPr>
      <w:r>
        <w:t>&lt;ESMA_QUESTION_CP3_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5934B920" w:rsidR="005D3762" w:rsidRDefault="005D3762" w:rsidP="005D3762">
      <w:pPr>
        <w:spacing w:after="0"/>
      </w:pPr>
      <w:r>
        <w:lastRenderedPageBreak/>
        <w:t>&lt;ESMA_QUESTION_CP3_</w:t>
      </w:r>
      <w:r w:rsidR="003E7313">
        <w:t>29</w:t>
      </w:r>
      <w:r>
        <w:t>&gt;</w:t>
      </w:r>
    </w:p>
    <w:p w14:paraId="299C618A" w14:textId="2C8C62CE" w:rsidR="00D84663" w:rsidRPr="006144EB" w:rsidRDefault="006F685C" w:rsidP="005D3762">
      <w:pPr>
        <w:spacing w:after="0"/>
      </w:pPr>
      <w:permStart w:id="1588948984" w:edGrp="everyone"/>
      <w:r>
        <w:t>BME</w:t>
      </w:r>
      <w:r w:rsidR="00D84663" w:rsidRPr="006144EB">
        <w:t xml:space="preserve"> caution</w:t>
      </w:r>
      <w:r>
        <w:t>s</w:t>
      </w:r>
      <w:r w:rsidR="00D84663" w:rsidRPr="006144EB">
        <w:t xml:space="preserve"> against requiring multiple identifiers to identify the same financial instrument. ISIN should be sufficient for </w:t>
      </w:r>
      <w:proofErr w:type="spellStart"/>
      <w:r w:rsidR="00D84663" w:rsidRPr="006144EB">
        <w:t>MiFIR</w:t>
      </w:r>
      <w:proofErr w:type="spellEnd"/>
      <w:r w:rsidR="00D84663" w:rsidRPr="006144EB">
        <w:t xml:space="preserve"> transaction reporting.</w:t>
      </w:r>
    </w:p>
    <w:p w14:paraId="31FFFEA3" w14:textId="77777777" w:rsidR="006F685C" w:rsidRDefault="006F685C" w:rsidP="005D3762">
      <w:pPr>
        <w:spacing w:after="0"/>
      </w:pPr>
    </w:p>
    <w:p w14:paraId="14066C32" w14:textId="20B745DD" w:rsidR="008030E7" w:rsidRDefault="001B7FE5" w:rsidP="005D3762">
      <w:pPr>
        <w:spacing w:after="0"/>
      </w:pPr>
      <w:r>
        <w:t>Should</w:t>
      </w:r>
      <w:r w:rsidR="007546E1">
        <w:t xml:space="preserve"> </w:t>
      </w:r>
      <w:r>
        <w:t>a ‘</w:t>
      </w:r>
      <w:r w:rsidR="007546E1">
        <w:t>Digital Token Identifier’ be included</w:t>
      </w:r>
      <w:r>
        <w:t xml:space="preserve">, ARMs should not be required to validate </w:t>
      </w:r>
      <w:r w:rsidR="00691433">
        <w:t>the exis</w:t>
      </w:r>
      <w:r w:rsidR="00DE1F98">
        <w:t>tence</w:t>
      </w:r>
      <w:r w:rsidR="00691433">
        <w:t xml:space="preserve"> or the validity of any such identifier. </w:t>
      </w:r>
    </w:p>
    <w:permEnd w:id="1588948984"/>
    <w:p w14:paraId="64D40008" w14:textId="6890BF43" w:rsidR="005D3762" w:rsidRDefault="005D3762" w:rsidP="005D3762">
      <w:pPr>
        <w:spacing w:after="0"/>
      </w:pPr>
      <w:r>
        <w:t>&lt;ESMA_QUESTION_CP3_</w:t>
      </w:r>
      <w:r w:rsidR="003E7313">
        <w:t>29</w:t>
      </w:r>
      <w:r>
        <w:t>&gt;</w:t>
      </w:r>
    </w:p>
    <w:p w14:paraId="4EA6CC56" w14:textId="77777777" w:rsidR="005D3762" w:rsidRPr="005D3762" w:rsidRDefault="005D3762" w:rsidP="005D3762"/>
    <w:p w14:paraId="71693441" w14:textId="12E26B94" w:rsidR="005D3762" w:rsidRDefault="0029493B" w:rsidP="00141737">
      <w:pPr>
        <w:pStyle w:val="Questionstyle"/>
      </w:pPr>
      <w:r>
        <w:t>Do you agree with the proposed amendments to Art.4 to extend the transmission of order agreement also to cases of acting on own account? Please detail your answer.</w:t>
      </w:r>
    </w:p>
    <w:p w14:paraId="7EA26ACB" w14:textId="632EF669" w:rsidR="005D3762" w:rsidRDefault="005D3762" w:rsidP="005D3762">
      <w:pPr>
        <w:spacing w:after="0"/>
      </w:pPr>
      <w:r>
        <w:t>&lt;ESMA_QUESTION_CP3_3</w:t>
      </w:r>
      <w:r w:rsidR="003E7313">
        <w:t>0</w:t>
      </w:r>
      <w:r>
        <w:t>&gt;</w:t>
      </w:r>
    </w:p>
    <w:p w14:paraId="2C090B5D" w14:textId="44D87467" w:rsidR="006D46CF" w:rsidRDefault="006D46CF" w:rsidP="005D3762">
      <w:pPr>
        <w:spacing w:after="0"/>
      </w:pPr>
      <w:permStart w:id="717119251" w:edGrp="everyone"/>
      <w:r>
        <w:t xml:space="preserve">Should </w:t>
      </w:r>
      <w:r w:rsidR="008825CA">
        <w:t xml:space="preserve">the </w:t>
      </w:r>
      <w:r w:rsidR="008111E6">
        <w:t xml:space="preserve">sending </w:t>
      </w:r>
      <w:r w:rsidR="008825CA">
        <w:t>of orders by an investment firm acting o</w:t>
      </w:r>
      <w:r w:rsidR="00C54E85">
        <w:t>n</w:t>
      </w:r>
      <w:r w:rsidR="008825CA">
        <w:t xml:space="preserve"> i</w:t>
      </w:r>
      <w:r w:rsidR="00C54E85">
        <w:t>t</w:t>
      </w:r>
      <w:r w:rsidR="008825CA">
        <w:t>s own account (DEAL</w:t>
      </w:r>
      <w:r w:rsidR="00C54E85">
        <w:t xml:space="preserve">) </w:t>
      </w:r>
      <w:r w:rsidR="008111E6">
        <w:t xml:space="preserve">to other firms for execution </w:t>
      </w:r>
      <w:r w:rsidR="00C54E85">
        <w:t>be compatible with the</w:t>
      </w:r>
      <w:r w:rsidR="008111E6">
        <w:t xml:space="preserve"> </w:t>
      </w:r>
      <w:r w:rsidR="006F05B8">
        <w:t xml:space="preserve">concept of transmission of orders, </w:t>
      </w:r>
      <w:r w:rsidR="00B269E2">
        <w:t>there seem</w:t>
      </w:r>
      <w:r w:rsidR="006F685C">
        <w:t>s</w:t>
      </w:r>
      <w:r w:rsidR="00B269E2">
        <w:t xml:space="preserve"> to be no logical reason not to treat them similarly.</w:t>
      </w:r>
    </w:p>
    <w:permEnd w:id="717119251"/>
    <w:p w14:paraId="55DD0967" w14:textId="4ACABE37" w:rsidR="005D3762" w:rsidRDefault="005D3762" w:rsidP="005D3762">
      <w:pPr>
        <w:spacing w:after="0"/>
      </w:pPr>
      <w:r>
        <w:t>&lt;ESMA_QUESTION_CP3_3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361FBD3A" w14:textId="3D168E90" w:rsidR="005D3762" w:rsidRDefault="005D3762" w:rsidP="005D3762">
      <w:pPr>
        <w:spacing w:after="0"/>
      </w:pPr>
      <w:r>
        <w:t>&lt;ESMA_QUESTION_CP3_3</w:t>
      </w:r>
      <w:r w:rsidR="003E7313">
        <w:t>1</w:t>
      </w:r>
      <w:r>
        <w:t>&gt;</w:t>
      </w:r>
    </w:p>
    <w:p w14:paraId="7B932E2E" w14:textId="5AEBB46A" w:rsidR="000E560A" w:rsidRDefault="000E560A" w:rsidP="005D3762">
      <w:pPr>
        <w:spacing w:after="0"/>
      </w:pPr>
      <w:permStart w:id="5922041" w:edGrp="everyone"/>
      <w:proofErr w:type="gramStart"/>
      <w:r>
        <w:t>Similar to</w:t>
      </w:r>
      <w:proofErr w:type="gramEnd"/>
      <w:r>
        <w:t xml:space="preserve"> </w:t>
      </w:r>
      <w:r w:rsidR="00844F7F">
        <w:t xml:space="preserve">the </w:t>
      </w:r>
      <w:r>
        <w:t>answer to Q30, should the case of</w:t>
      </w:r>
      <w:r w:rsidR="00EF2BC9">
        <w:t xml:space="preserve"> both portfolio and fund managers be </w:t>
      </w:r>
      <w:r w:rsidR="00A2011B">
        <w:t xml:space="preserve">alike, </w:t>
      </w:r>
      <w:r w:rsidR="00EF2BC9">
        <w:t xml:space="preserve">they </w:t>
      </w:r>
      <w:r w:rsidR="00303A70">
        <w:t>need to be treated similar</w:t>
      </w:r>
      <w:r w:rsidR="00C0336D">
        <w:t>l</w:t>
      </w:r>
      <w:r w:rsidR="00303A70">
        <w:t xml:space="preserve">y. Also, should the current </w:t>
      </w:r>
      <w:r w:rsidR="008E4785">
        <w:t xml:space="preserve">example 69 of the ESMA Guidelines and the Q6 of the </w:t>
      </w:r>
      <w:r w:rsidR="00BF128C">
        <w:t xml:space="preserve">Q&amp;A provide for </w:t>
      </w:r>
      <w:r w:rsidR="00754C9A">
        <w:t xml:space="preserve">an </w:t>
      </w:r>
      <w:r w:rsidR="00BF128C">
        <w:t xml:space="preserve">efficient and acceptable approach to reporting investment decisions by </w:t>
      </w:r>
      <w:r w:rsidR="007F7AF4">
        <w:t>portfolio and fund managers on behalf of a client or fund respectively</w:t>
      </w:r>
      <w:r w:rsidR="00754C9A">
        <w:t xml:space="preserve">, </w:t>
      </w:r>
      <w:r w:rsidR="0056597B">
        <w:t>it might prove useful to reflect this in RTS</w:t>
      </w:r>
      <w:r w:rsidR="007F7AF4">
        <w:t>.</w:t>
      </w:r>
    </w:p>
    <w:p w14:paraId="6745E9EF" w14:textId="77777777" w:rsidR="0056597B" w:rsidRDefault="0056597B" w:rsidP="005D3762">
      <w:pPr>
        <w:spacing w:after="0"/>
      </w:pPr>
    </w:p>
    <w:p w14:paraId="6417D396" w14:textId="2E3DFFFB" w:rsidR="000E560A" w:rsidRDefault="0056597B" w:rsidP="005D3762">
      <w:pPr>
        <w:spacing w:after="0"/>
      </w:pPr>
      <w:r>
        <w:t xml:space="preserve">In any case, we </w:t>
      </w:r>
      <w:r w:rsidR="00666C24">
        <w:t>would not go against the current meaning of Art. 7.2</w:t>
      </w:r>
      <w:r w:rsidR="00236801">
        <w:t xml:space="preserve"> by which the portfolio or the fund manager are to be identified as </w:t>
      </w:r>
      <w:r w:rsidR="00107A99">
        <w:t xml:space="preserve">the </w:t>
      </w:r>
      <w:r w:rsidR="00236801">
        <w:t>decision makers</w:t>
      </w:r>
      <w:r w:rsidR="00A00F92">
        <w:t xml:space="preserve"> which is the ultimate activity they undertake. From a legal perspective, the client or the fund could be said to be the </w:t>
      </w:r>
      <w:r w:rsidR="00A575D9">
        <w:t xml:space="preserve">buyer or seller </w:t>
      </w:r>
      <w:r w:rsidR="00107A99">
        <w:t xml:space="preserve">of </w:t>
      </w:r>
      <w:r w:rsidR="00A575D9">
        <w:t xml:space="preserve">the transaction as they </w:t>
      </w:r>
      <w:r w:rsidR="00EF158A">
        <w:t>hold the</w:t>
      </w:r>
      <w:r w:rsidR="00434B58">
        <w:t xml:space="preserve"> economic impact of the transaction (i.e., </w:t>
      </w:r>
      <w:r w:rsidR="00A575D9">
        <w:t>beneficial owners</w:t>
      </w:r>
      <w:r w:rsidR="00434B58">
        <w:t>hip)</w:t>
      </w:r>
      <w:r w:rsidR="00A575D9">
        <w:t>.</w:t>
      </w:r>
    </w:p>
    <w:p w14:paraId="637FF095" w14:textId="77777777" w:rsidR="0076549F" w:rsidRDefault="0076549F" w:rsidP="0076549F">
      <w:pPr>
        <w:spacing w:after="0"/>
      </w:pPr>
    </w:p>
    <w:p w14:paraId="7AAB1F61" w14:textId="283A2A29" w:rsidR="005D3762" w:rsidRDefault="0076549F" w:rsidP="005D3762">
      <w:pPr>
        <w:spacing w:after="0"/>
      </w:pPr>
      <w:r w:rsidRPr="005524AB">
        <w:t xml:space="preserve">Validation rules </w:t>
      </w:r>
      <w:r>
        <w:t>need to be revised accordingly to ensure a homogeneous application.</w:t>
      </w:r>
    </w:p>
    <w:p w14:paraId="2BF4099B" w14:textId="77777777" w:rsidR="00D84663" w:rsidRDefault="00D84663" w:rsidP="005D3762">
      <w:pPr>
        <w:spacing w:after="0"/>
      </w:pPr>
    </w:p>
    <w:p w14:paraId="01C728B5" w14:textId="2294205D" w:rsidR="00D84663" w:rsidRDefault="00D84663" w:rsidP="005D3762">
      <w:pPr>
        <w:spacing w:after="0"/>
      </w:pPr>
      <w:r>
        <w:t>W</w:t>
      </w:r>
      <w:r w:rsidRPr="00BF4107">
        <w:t>e also note that Regulation (EU) 2024/791 (“</w:t>
      </w:r>
      <w:proofErr w:type="spellStart"/>
      <w:r w:rsidRPr="00BF4107">
        <w:t>MiFIR</w:t>
      </w:r>
      <w:proofErr w:type="spellEnd"/>
      <w:r w:rsidRPr="00BF4107">
        <w:t xml:space="preserve"> Review”) Article 1(46) envisages a review of the scope of reporting firms to include AIFMs and UCITS </w:t>
      </w:r>
      <w:proofErr w:type="spellStart"/>
      <w:r w:rsidRPr="00BF4107">
        <w:t>ManCos</w:t>
      </w:r>
      <w:proofErr w:type="spellEnd"/>
      <w:r w:rsidRPr="00BF4107">
        <w:t xml:space="preserve">. Currently, trading venues are required to report for such firms where they execute transactions on their venues, which represents a significant operational burden for trading venues. Furthermore, it must be considered that having oversight only of on-venue transactions for such firms represents a gap for competent </w:t>
      </w:r>
      <w:r w:rsidRPr="00BF4107">
        <w:lastRenderedPageBreak/>
        <w:t xml:space="preserve">authorities. Therefore, we support the change in scope to include AIFMs and UCITS </w:t>
      </w:r>
      <w:proofErr w:type="spellStart"/>
      <w:r w:rsidRPr="00BF4107">
        <w:t>ManCos</w:t>
      </w:r>
      <w:proofErr w:type="spellEnd"/>
      <w:r w:rsidRPr="00BF4107">
        <w:t xml:space="preserve"> as reporting firms.</w:t>
      </w:r>
    </w:p>
    <w:permEnd w:id="5922041"/>
    <w:p w14:paraId="11DFB524" w14:textId="24628799" w:rsidR="005D3762" w:rsidRDefault="005D3762" w:rsidP="005D3762">
      <w:pPr>
        <w:spacing w:after="0"/>
      </w:pPr>
      <w:r>
        <w:t>&lt;ESMA_QUESTION_CP3_3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2AEE4CA4" w14:textId="4BDEAB3D" w:rsidR="005D3762" w:rsidRDefault="005D3762" w:rsidP="005D3762">
      <w:pPr>
        <w:spacing w:after="0"/>
      </w:pPr>
      <w:r>
        <w:t>&lt;ESMA_QUESTION_CP3_3</w:t>
      </w:r>
      <w:r w:rsidR="003E7313">
        <w:t>2</w:t>
      </w:r>
      <w:r>
        <w:t>&gt;</w:t>
      </w:r>
    </w:p>
    <w:p w14:paraId="71E7E4A7" w14:textId="58394AF2" w:rsidR="007856EB" w:rsidRDefault="00640D56" w:rsidP="005D3762">
      <w:pPr>
        <w:spacing w:after="0"/>
      </w:pPr>
      <w:permStart w:id="787828672" w:edGrp="everyone"/>
      <w:r>
        <w:t xml:space="preserve">As </w:t>
      </w:r>
      <w:r w:rsidR="00E177C0">
        <w:t xml:space="preserve">expressed in the </w:t>
      </w:r>
      <w:r w:rsidR="00BC7B1D">
        <w:t>text of the CP,</w:t>
      </w:r>
      <w:r w:rsidR="00950999">
        <w:t xml:space="preserve"> it seems that at </w:t>
      </w:r>
      <w:r w:rsidR="00BC7B1D">
        <w:t>th</w:t>
      </w:r>
      <w:r w:rsidR="00950999">
        <w:t xml:space="preserve">e time of publication of the CP </w:t>
      </w:r>
      <w:r w:rsidR="00BC7B1D">
        <w:t xml:space="preserve">ESMA does not </w:t>
      </w:r>
      <w:r w:rsidR="00B72824">
        <w:t>have</w:t>
      </w:r>
      <w:r w:rsidR="00BC7B1D">
        <w:t xml:space="preserve"> all</w:t>
      </w:r>
      <w:r w:rsidR="00950999">
        <w:t xml:space="preserve"> the elements to develop a complete proposal. </w:t>
      </w:r>
      <w:r w:rsidR="004F3C57">
        <w:t xml:space="preserve">In the absence of such </w:t>
      </w:r>
      <w:r w:rsidR="00B72824">
        <w:t xml:space="preserve">a </w:t>
      </w:r>
      <w:r w:rsidR="004F3C57">
        <w:t xml:space="preserve">complete proposal it is hard to provide </w:t>
      </w:r>
      <w:r w:rsidR="005C547D">
        <w:t xml:space="preserve">useful </w:t>
      </w:r>
      <w:r w:rsidR="004F3C57">
        <w:t>feedback</w:t>
      </w:r>
      <w:r w:rsidR="005C547D">
        <w:t>. We would suggest not implement</w:t>
      </w:r>
      <w:r w:rsidR="00B72824">
        <w:t>ing</w:t>
      </w:r>
      <w:r w:rsidR="0009724B">
        <w:t xml:space="preserve"> partial</w:t>
      </w:r>
      <w:r w:rsidR="005C547D">
        <w:t xml:space="preserve"> </w:t>
      </w:r>
      <w:r w:rsidR="00A70962">
        <w:t xml:space="preserve">changes to RTS 22 </w:t>
      </w:r>
      <w:proofErr w:type="gramStart"/>
      <w:r w:rsidR="00A70962">
        <w:t>in order to</w:t>
      </w:r>
      <w:proofErr w:type="gramEnd"/>
      <w:r w:rsidR="00A70962">
        <w:t xml:space="preserve"> </w:t>
      </w:r>
      <w:r w:rsidR="00CB5BC0">
        <w:t>minimiz</w:t>
      </w:r>
      <w:r w:rsidR="0009724B">
        <w:t>e</w:t>
      </w:r>
      <w:r w:rsidR="00CB5BC0">
        <w:t xml:space="preserve"> uncertainty and complexity derived from </w:t>
      </w:r>
      <w:r w:rsidR="003A5064">
        <w:t>different dates of application for interdependent</w:t>
      </w:r>
      <w:r w:rsidR="007856EB">
        <w:t xml:space="preserve"> regulatory requirements (e.g., RTS 23).</w:t>
      </w:r>
    </w:p>
    <w:p w14:paraId="2A6CE469" w14:textId="77777777" w:rsidR="00637848" w:rsidRDefault="00637848" w:rsidP="005D3762">
      <w:pPr>
        <w:spacing w:after="0"/>
      </w:pPr>
    </w:p>
    <w:p w14:paraId="5131283B" w14:textId="433704FA" w:rsidR="00AC36C5" w:rsidRDefault="00AC36C5" w:rsidP="00AC36C5">
      <w:pPr>
        <w:spacing w:after="0"/>
      </w:pPr>
      <w:r>
        <w:t>Also, we would advocate against an excessive atomization of data to be collected and exceptions for the treatment and systematization of such data (e.g., paragraph 114 refers to IRS’s effective and expiry dates as not considered reference data and thus to be reported under RTS 22; however, they are not to be put together, making it more difficult to gather a comprehensive view of the report).</w:t>
      </w:r>
    </w:p>
    <w:p w14:paraId="6C6C93BC" w14:textId="77777777" w:rsidR="00AC36C5" w:rsidRDefault="00AC36C5" w:rsidP="00AC36C5">
      <w:pPr>
        <w:spacing w:after="0"/>
      </w:pPr>
    </w:p>
    <w:p w14:paraId="58D8AAE5" w14:textId="6C6E0572" w:rsidR="007856EB" w:rsidRDefault="00637848" w:rsidP="005D3762">
      <w:pPr>
        <w:spacing w:after="0"/>
      </w:pPr>
      <w:r>
        <w:t xml:space="preserve">From a market integrity </w:t>
      </w:r>
      <w:r w:rsidR="00DB24B2">
        <w:t xml:space="preserve">and efficiency </w:t>
      </w:r>
      <w:r>
        <w:t>perspective, it seem</w:t>
      </w:r>
      <w:r w:rsidR="00465703">
        <w:t xml:space="preserve">s reasonable to implement a full block of changes </w:t>
      </w:r>
      <w:r w:rsidR="00420EBB">
        <w:t xml:space="preserve">at </w:t>
      </w:r>
      <w:r w:rsidR="00465703">
        <w:t xml:space="preserve">once </w:t>
      </w:r>
      <w:r w:rsidR="00DB24B2">
        <w:t xml:space="preserve">unless doing </w:t>
      </w:r>
      <w:r w:rsidR="00420EBB">
        <w:t xml:space="preserve">so </w:t>
      </w:r>
      <w:r w:rsidR="00DB24B2">
        <w:t xml:space="preserve">could seriously damage to the overall functioning of </w:t>
      </w:r>
      <w:r w:rsidR="00731A38">
        <w:t>the market.</w:t>
      </w:r>
      <w:r w:rsidR="00DB24B2">
        <w:t xml:space="preserve"> </w:t>
      </w:r>
    </w:p>
    <w:p w14:paraId="5DF58963" w14:textId="77777777" w:rsidR="00D84663" w:rsidRDefault="00D84663" w:rsidP="005D3762">
      <w:pPr>
        <w:spacing w:after="0"/>
      </w:pPr>
    </w:p>
    <w:p w14:paraId="513F3663" w14:textId="0F0C17B1" w:rsidR="00D84663" w:rsidRDefault="00D84663" w:rsidP="005D3762">
      <w:pPr>
        <w:spacing w:after="0"/>
      </w:pPr>
      <w:r w:rsidRPr="00BF4107">
        <w:t>As a general remark, to avoid duplication in reporting and possible issues with overall data quality, it is very important to maintain the current approach, where referential data for instruments already present in the FIRDS system (RTS 23) are not duplicated in transaction reports.</w:t>
      </w:r>
    </w:p>
    <w:permEnd w:id="787828672"/>
    <w:p w14:paraId="583C778A" w14:textId="3FEB6505" w:rsidR="005D3762" w:rsidRDefault="005D3762" w:rsidP="005D3762">
      <w:pPr>
        <w:spacing w:after="0"/>
      </w:pPr>
      <w:r>
        <w:t>&lt;ESMA_QUESTION_CP3_3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0B7D1A54" w14:textId="45C8BC61" w:rsidR="005D3762" w:rsidRDefault="005D3762" w:rsidP="005D3762">
      <w:pPr>
        <w:spacing w:after="0"/>
      </w:pPr>
      <w:r>
        <w:t>&lt;ESMA_QUESTION_CP3_3</w:t>
      </w:r>
      <w:r w:rsidR="003E7313">
        <w:t>3</w:t>
      </w:r>
      <w:r>
        <w:t>&gt;</w:t>
      </w:r>
    </w:p>
    <w:p w14:paraId="5064BEE0" w14:textId="55CE016B" w:rsidR="00A2011B" w:rsidRPr="00A2011B" w:rsidRDefault="00A2011B" w:rsidP="00A2011B">
      <w:pPr>
        <w:spacing w:after="0"/>
      </w:pPr>
      <w:permStart w:id="1750278235" w:edGrp="everyone"/>
      <w:r w:rsidRPr="00A2011B">
        <w:t xml:space="preserve">The reporting of allocations remains a very operationally challenging activity for trading venues. The requirement to track additional data points, such as the INTC identifier, will increase the operational burden yet further. </w:t>
      </w:r>
      <w:r w:rsidR="00CA5533">
        <w:t>BME</w:t>
      </w:r>
      <w:r w:rsidRPr="00A2011B">
        <w:t xml:space="preserve"> believe</w:t>
      </w:r>
      <w:r w:rsidR="00CA5533">
        <w:t>s</w:t>
      </w:r>
      <w:r w:rsidRPr="00A2011B">
        <w:t xml:space="preserve"> that creating a new field solely to combine data from existing fields is unnecessary and inefficient.</w:t>
      </w:r>
    </w:p>
    <w:p w14:paraId="5159DB7D" w14:textId="77777777" w:rsidR="00A2011B" w:rsidRPr="00A2011B" w:rsidRDefault="00A2011B" w:rsidP="00A2011B">
      <w:pPr>
        <w:spacing w:after="0"/>
      </w:pPr>
      <w:r w:rsidRPr="00A2011B">
        <w:lastRenderedPageBreak/>
        <w:t>ESMA should limit transaction reporting by trading venues to the “market-side”, i.e. without any allocations. This would level the playing field with OTC trading, where MiFID counterparties of non-MiFID firms do not have to report their counterparties’ allocations.</w:t>
      </w:r>
    </w:p>
    <w:p w14:paraId="26F256BA" w14:textId="77777777" w:rsidR="00A2011B" w:rsidRDefault="00A2011B" w:rsidP="00A2011B">
      <w:pPr>
        <w:spacing w:after="0"/>
        <w:rPr>
          <w:rFonts w:asciiTheme="minorHAnsi" w:hAnsiTheme="minorHAnsi"/>
        </w:rPr>
      </w:pPr>
    </w:p>
    <w:p w14:paraId="5967B1A6" w14:textId="120F00CF" w:rsidR="005D3762" w:rsidRDefault="00846230" w:rsidP="00A2011B">
      <w:pPr>
        <w:spacing w:after="0"/>
      </w:pPr>
      <w:r w:rsidRPr="00846230">
        <w:t xml:space="preserve">As a general comment, it should be highlighted that trading venues who report transactions on behalf of non-MiFID firms should not be accountable for these fields, since trading venues would not be in a position to verify </w:t>
      </w:r>
      <w:proofErr w:type="gramStart"/>
      <w:r w:rsidRPr="00846230">
        <w:t>them, but</w:t>
      </w:r>
      <w:proofErr w:type="gramEnd"/>
      <w:r w:rsidRPr="00846230">
        <w:t xml:space="preserve"> can only rely on the information provided by their clients. </w:t>
      </w:r>
      <w:r>
        <w:t xml:space="preserve">Similarly, </w:t>
      </w:r>
      <w:r w:rsidR="00D31BA8">
        <w:t xml:space="preserve">ARMs should not be required to validate </w:t>
      </w:r>
      <w:r w:rsidR="008377A1">
        <w:t>the content of any of these fields.</w:t>
      </w:r>
    </w:p>
    <w:p w14:paraId="1C39C1B1" w14:textId="77777777" w:rsidR="00846230" w:rsidRDefault="00846230" w:rsidP="005D3762">
      <w:pPr>
        <w:spacing w:after="0"/>
      </w:pPr>
    </w:p>
    <w:p w14:paraId="44C6840D" w14:textId="1A2F3BCD" w:rsidR="00846230" w:rsidRPr="00846230" w:rsidRDefault="006F685C" w:rsidP="00846230">
      <w:pPr>
        <w:spacing w:after="0"/>
      </w:pPr>
      <w:r>
        <w:t>BME</w:t>
      </w:r>
      <w:r w:rsidR="00846230" w:rsidRPr="00846230">
        <w:t xml:space="preserve"> do</w:t>
      </w:r>
      <w:r>
        <w:t>es</w:t>
      </w:r>
      <w:r w:rsidR="00846230" w:rsidRPr="00846230">
        <w:t xml:space="preserve"> not support the proposal to include the client category in the reporting details. Client-related information is already </w:t>
      </w:r>
      <w:r w:rsidR="00846230">
        <w:t>s</w:t>
      </w:r>
      <w:r w:rsidR="00846230" w:rsidRPr="00846230">
        <w:t xml:space="preserve">pecified in RTS 22. In addition, third-country clients might not be permitted to provide personal data including any categorisation making the compliance of trading venues with Article 26(5) </w:t>
      </w:r>
      <w:proofErr w:type="spellStart"/>
      <w:r w:rsidR="00846230" w:rsidRPr="00846230">
        <w:t>MiFIR</w:t>
      </w:r>
      <w:proofErr w:type="spellEnd"/>
      <w:r w:rsidR="00846230" w:rsidRPr="00846230">
        <w:t xml:space="preserve"> to report on behalf of third-country clients even more difficult.  </w:t>
      </w:r>
    </w:p>
    <w:p w14:paraId="0EC4BE78" w14:textId="3BF5D864" w:rsidR="00846230" w:rsidRPr="00846230" w:rsidRDefault="00846230" w:rsidP="00846230">
      <w:pPr>
        <w:spacing w:after="0"/>
      </w:pPr>
    </w:p>
    <w:p w14:paraId="2585A2DD" w14:textId="7BB02EE9" w:rsidR="00846230" w:rsidRDefault="00A2011B" w:rsidP="00846230">
      <w:pPr>
        <w:spacing w:after="0"/>
      </w:pPr>
      <w:r w:rsidRPr="00A2011B">
        <w:t>Regarding the validity timestamp – Action type: it is not clear from the proposal what logic ESMA is expecting reporting firms to follow. We strongly encourage ESMA to define this precisely in the technical standards to ensure firms report this field consistently and in line with regulatory expectations</w:t>
      </w:r>
      <w:r w:rsidR="00846230" w:rsidRPr="00846230">
        <w:t>.</w:t>
      </w:r>
    </w:p>
    <w:permEnd w:id="1750278235"/>
    <w:p w14:paraId="7A1722CA" w14:textId="45F9E57D" w:rsidR="005D3762" w:rsidRDefault="005D3762" w:rsidP="005D3762">
      <w:pPr>
        <w:spacing w:after="0"/>
      </w:pPr>
      <w:r>
        <w:t>&lt;ESMA_QUESTION_CP3_3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74AAA439" w14:textId="718B848E" w:rsidR="005D3762" w:rsidRDefault="005D3762" w:rsidP="005D3762">
      <w:pPr>
        <w:spacing w:after="0"/>
      </w:pPr>
      <w:r>
        <w:t>&lt;ESMA_QUESTION_CP3_3</w:t>
      </w:r>
      <w:r w:rsidR="003E7313">
        <w:t>4</w:t>
      </w:r>
      <w:r>
        <w:t>&gt;</w:t>
      </w:r>
    </w:p>
    <w:p w14:paraId="49418446" w14:textId="496D7E1C" w:rsidR="002478C8" w:rsidRDefault="008A7486" w:rsidP="005D3762">
      <w:pPr>
        <w:spacing w:after="0"/>
      </w:pPr>
      <w:permStart w:id="40110413" w:edGrp="everyone"/>
      <w:r w:rsidRPr="003F7A30">
        <w:rPr>
          <w:color w:val="auto"/>
        </w:rPr>
        <w:t xml:space="preserve">It is not clear </w:t>
      </w:r>
      <w:r>
        <w:t xml:space="preserve">whether the changes to Field 35 </w:t>
      </w:r>
      <w:r w:rsidR="00732FC3">
        <w:t xml:space="preserve">Net </w:t>
      </w:r>
      <w:r w:rsidR="005F44CC">
        <w:t>A</w:t>
      </w:r>
      <w:r w:rsidR="00732FC3">
        <w:t>mount</w:t>
      </w:r>
      <w:r w:rsidR="00262A19">
        <w:t xml:space="preserve"> should apply to </w:t>
      </w:r>
      <w:r w:rsidR="00732FC3">
        <w:t>certain types of instruments (e.g., shares)</w:t>
      </w:r>
      <w:r w:rsidR="00653661">
        <w:t xml:space="preserve"> where the</w:t>
      </w:r>
      <w:r w:rsidR="00E478EB">
        <w:t xml:space="preserve"> concept of </w:t>
      </w:r>
      <w:r w:rsidR="0085476A">
        <w:t>clean price, coupon</w:t>
      </w:r>
      <w:r w:rsidR="00573E1E">
        <w:t xml:space="preserve">s or nominal value might not be applicable. </w:t>
      </w:r>
      <w:r w:rsidR="00C7071F">
        <w:t xml:space="preserve">The indicator NOAP implies the data is not available while for certain instruments </w:t>
      </w:r>
      <w:r w:rsidR="0040546A">
        <w:t xml:space="preserve">this is not accurate and rather </w:t>
      </w:r>
      <w:r w:rsidR="002478C8">
        <w:t xml:space="preserve">the field is not populated because </w:t>
      </w:r>
      <w:r w:rsidR="009D5FE4">
        <w:t>the data is non-existent.</w:t>
      </w:r>
    </w:p>
    <w:p w14:paraId="460A82A3" w14:textId="77777777" w:rsidR="002478C8" w:rsidRDefault="002478C8" w:rsidP="005D3762">
      <w:pPr>
        <w:spacing w:after="0"/>
      </w:pPr>
    </w:p>
    <w:p w14:paraId="3F37C933" w14:textId="0AF3AD09" w:rsidR="00A16E4F" w:rsidRDefault="009D5FE4" w:rsidP="005D3762">
      <w:pPr>
        <w:spacing w:after="0"/>
      </w:pPr>
      <w:r>
        <w:t>Should this change be endorsed, v</w:t>
      </w:r>
      <w:r w:rsidR="002478C8" w:rsidRPr="005524AB">
        <w:t xml:space="preserve">alidation rules </w:t>
      </w:r>
      <w:r w:rsidR="002478C8">
        <w:t>need to be revised accordingly to ensure a homogeneous application.</w:t>
      </w:r>
      <w:r w:rsidR="00E478EB">
        <w:t xml:space="preserve"> </w:t>
      </w:r>
      <w:r w:rsidR="00262A19">
        <w:t xml:space="preserve"> </w:t>
      </w:r>
    </w:p>
    <w:permEnd w:id="40110413"/>
    <w:p w14:paraId="145FE6FA" w14:textId="2EA097B8" w:rsidR="005D3762" w:rsidRDefault="005D3762" w:rsidP="005D3762">
      <w:pPr>
        <w:spacing w:after="0"/>
      </w:pPr>
      <w:r>
        <w:t>&lt;ESMA_QUESTION_CP3_3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0D5E4BB6" w14:textId="74C6F19C" w:rsidR="005D3762" w:rsidRDefault="005D3762" w:rsidP="005D3762">
      <w:pPr>
        <w:spacing w:after="0"/>
      </w:pPr>
      <w:r>
        <w:t>&lt;ESMA_QUESTION_CP3_3</w:t>
      </w:r>
      <w:r w:rsidR="00BE02A2">
        <w:t>5</w:t>
      </w:r>
      <w:r>
        <w:t>&gt;</w:t>
      </w:r>
    </w:p>
    <w:p w14:paraId="758B481A" w14:textId="3ABE4E9E" w:rsidR="005D3762" w:rsidRDefault="00766BB1" w:rsidP="005D3762">
      <w:pPr>
        <w:spacing w:after="0"/>
      </w:pPr>
      <w:permStart w:id="757149039" w:edGrp="everyone"/>
      <w:r w:rsidRPr="006C3687">
        <w:rPr>
          <w:color w:val="auto"/>
        </w:rPr>
        <w:t>Yes.</w:t>
      </w:r>
      <w:r w:rsidR="000B289C" w:rsidRPr="006C3687">
        <w:rPr>
          <w:color w:val="auto"/>
        </w:rPr>
        <w:t xml:space="preserve"> </w:t>
      </w:r>
      <w:r w:rsidR="00486B87" w:rsidRPr="006C3687">
        <w:rPr>
          <w:color w:val="auto"/>
        </w:rPr>
        <w:t>The u</w:t>
      </w:r>
      <w:r w:rsidR="000B289C" w:rsidRPr="006C3687">
        <w:rPr>
          <w:color w:val="auto"/>
        </w:rPr>
        <w:t xml:space="preserve">sage of </w:t>
      </w:r>
      <w:r w:rsidR="004D7F73" w:rsidRPr="006C3687">
        <w:rPr>
          <w:color w:val="auto"/>
        </w:rPr>
        <w:t xml:space="preserve">this </w:t>
      </w:r>
      <w:r w:rsidR="000B289C">
        <w:t>indicator seems to have been very limited</w:t>
      </w:r>
      <w:r w:rsidR="000F6D42">
        <w:t xml:space="preserve"> so far</w:t>
      </w:r>
      <w:r w:rsidR="000B289C">
        <w:t>.</w:t>
      </w:r>
    </w:p>
    <w:permEnd w:id="757149039"/>
    <w:p w14:paraId="7B59F61E" w14:textId="3B724B62" w:rsidR="005D3762" w:rsidRDefault="005D3762" w:rsidP="005D3762">
      <w:pPr>
        <w:spacing w:after="0"/>
      </w:pPr>
      <w:r>
        <w:t>&lt;ESMA_QUESTION_CP3_3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lastRenderedPageBreak/>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3758271E" w14:textId="77777777" w:rsidR="005D3762" w:rsidRDefault="005D3762" w:rsidP="005D3762">
      <w:pPr>
        <w:spacing w:after="0"/>
      </w:pPr>
      <w:r>
        <w:t>&lt;ESMA_QUESTION_CP3_36&gt;</w:t>
      </w:r>
    </w:p>
    <w:p w14:paraId="27939B62" w14:textId="49915439" w:rsidR="00DA4BCF" w:rsidRDefault="00473AE8" w:rsidP="005D3762">
      <w:pPr>
        <w:spacing w:after="0"/>
      </w:pPr>
      <w:permStart w:id="1330537633" w:edGrp="everyone"/>
      <w:r>
        <w:t xml:space="preserve">Yes. </w:t>
      </w:r>
      <w:r w:rsidR="00DA4BCF">
        <w:t xml:space="preserve">If the exemption implies that these reports need to be rejected </w:t>
      </w:r>
      <w:r w:rsidR="00351EA6">
        <w:t>if submitted, the va</w:t>
      </w:r>
      <w:r w:rsidR="00351EA6" w:rsidRPr="005524AB">
        <w:t xml:space="preserve">lidation rules </w:t>
      </w:r>
      <w:r w:rsidR="00351EA6">
        <w:t>need to be revised accordingly to ensure</w:t>
      </w:r>
      <w:r w:rsidR="00736FF0">
        <w:t xml:space="preserve"> proper management.</w:t>
      </w:r>
    </w:p>
    <w:permEnd w:id="1330537633"/>
    <w:p w14:paraId="2473C7C0" w14:textId="77777777" w:rsidR="005D3762" w:rsidRDefault="005D3762" w:rsidP="005D3762">
      <w:pPr>
        <w:spacing w:after="0"/>
      </w:pPr>
      <w:r>
        <w:t>&lt;ESMA_QUESTION_CP3_36&gt;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59A330DC" w14:textId="0CAD52F1" w:rsidR="005D3762" w:rsidRDefault="005D3762" w:rsidP="005D3762">
      <w:pPr>
        <w:spacing w:after="0"/>
      </w:pPr>
      <w:r>
        <w:t>&lt;ESMA_QUESTION_CP3_3</w:t>
      </w:r>
      <w:r w:rsidR="00BE02A2">
        <w:t>7</w:t>
      </w:r>
      <w:r>
        <w:t>&gt;</w:t>
      </w:r>
    </w:p>
    <w:p w14:paraId="6496540B" w14:textId="186A1682" w:rsidR="005D3762" w:rsidRDefault="005D3762" w:rsidP="005D3762">
      <w:pPr>
        <w:spacing w:after="0"/>
      </w:pPr>
      <w:permStart w:id="1178228359" w:edGrp="everyone"/>
      <w:r w:rsidRPr="00CA044C">
        <w:t>TYPE YOUR TEXT HERE</w:t>
      </w:r>
    </w:p>
    <w:permEnd w:id="1178228359"/>
    <w:p w14:paraId="762307F4" w14:textId="5529ADCA" w:rsidR="005D3762" w:rsidRDefault="005D3762" w:rsidP="005D3762">
      <w:pPr>
        <w:spacing w:after="0"/>
      </w:pPr>
      <w:r>
        <w:t>&lt;ESMA_QUESTION_CP3_3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2B799AB3" w14:textId="1524BBE2" w:rsidR="005D3762" w:rsidRDefault="005D3762" w:rsidP="005D3762">
      <w:pPr>
        <w:spacing w:after="0"/>
      </w:pPr>
      <w:r>
        <w:t>&lt;ESMA_QUESTION_CP3_3</w:t>
      </w:r>
      <w:r w:rsidR="00BE02A2">
        <w:t>8</w:t>
      </w:r>
      <w:r>
        <w:t>&gt;</w:t>
      </w:r>
    </w:p>
    <w:p w14:paraId="2B111764" w14:textId="23D25C83" w:rsidR="00865D2A" w:rsidRDefault="00865D2A" w:rsidP="00865D2A">
      <w:pPr>
        <w:spacing w:after="0"/>
      </w:pPr>
      <w:permStart w:id="1976173807" w:edGrp="everyone"/>
      <w:r>
        <w:t>In line with the answer to Q36, should the exemption imply that these reports need to be rejected if submitted, the va</w:t>
      </w:r>
      <w:r w:rsidRPr="005524AB">
        <w:t xml:space="preserve">lidation rules </w:t>
      </w:r>
      <w:r>
        <w:t>need to be revised accordingly to ensure proper management.</w:t>
      </w:r>
    </w:p>
    <w:permEnd w:id="1976173807"/>
    <w:p w14:paraId="2A544772" w14:textId="22BB70F5" w:rsidR="005D3762" w:rsidRDefault="005D3762" w:rsidP="005D3762">
      <w:pPr>
        <w:spacing w:after="0"/>
      </w:pPr>
      <w:r>
        <w:t>&lt;ESMA_QUESTION_CP3_3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7C8A2197" w14:textId="086A7534" w:rsidR="005D3762" w:rsidRDefault="005D3762" w:rsidP="005D3762">
      <w:pPr>
        <w:spacing w:after="0"/>
      </w:pPr>
      <w:r>
        <w:t>&lt;ESMA_QUESTION_CP3_3</w:t>
      </w:r>
      <w:r w:rsidR="00BE02A2">
        <w:t>9</w:t>
      </w:r>
      <w:r>
        <w:t>&gt;</w:t>
      </w:r>
    </w:p>
    <w:p w14:paraId="5A378FE5" w14:textId="0EF94FE8" w:rsidR="005D3762" w:rsidRDefault="00443F3F" w:rsidP="005D3762">
      <w:pPr>
        <w:spacing w:after="0"/>
      </w:pPr>
      <w:permStart w:id="442242659" w:edGrp="everyone"/>
      <w:r>
        <w:t>Yes, we agree</w:t>
      </w:r>
      <w:r w:rsidR="00203218">
        <w:t>. However, given the nature of the data, ARMs should not be required to validate its correctness.</w:t>
      </w:r>
    </w:p>
    <w:permEnd w:id="442242659"/>
    <w:p w14:paraId="20982FB7" w14:textId="7D3CF38A" w:rsidR="005D3762" w:rsidRDefault="005D3762" w:rsidP="005D3762">
      <w:pPr>
        <w:spacing w:after="0"/>
      </w:pPr>
      <w:r>
        <w:t>&lt;ESMA_QUESTION_CP3_3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35417C7C" w:rsidR="005D3762" w:rsidRDefault="005D3762" w:rsidP="005D3762">
      <w:pPr>
        <w:spacing w:after="0"/>
      </w:pPr>
      <w:r>
        <w:lastRenderedPageBreak/>
        <w:t>&lt;ESMA_QUESTION_CP3_</w:t>
      </w:r>
      <w:r w:rsidR="00BE02A2">
        <w:t>40</w:t>
      </w:r>
      <w:r>
        <w:t>&gt;</w:t>
      </w:r>
    </w:p>
    <w:p w14:paraId="2A54F42A" w14:textId="3887D42A" w:rsidR="00846230" w:rsidRDefault="00DA2FAD" w:rsidP="005D3762">
      <w:pPr>
        <w:spacing w:after="0"/>
      </w:pPr>
      <w:permStart w:id="923106790" w:edGrp="everyone"/>
      <w:r>
        <w:t>BME</w:t>
      </w:r>
      <w:r w:rsidR="00846230" w:rsidRPr="008030E7">
        <w:t xml:space="preserve"> note</w:t>
      </w:r>
      <w:r>
        <w:t>s</w:t>
      </w:r>
      <w:r w:rsidR="00846230" w:rsidRPr="008030E7">
        <w:t xml:space="preserve"> that ESMA is considering the use of JSON format for reporting in </w:t>
      </w:r>
      <w:proofErr w:type="gramStart"/>
      <w:r w:rsidR="00846230" w:rsidRPr="008030E7">
        <w:t>a number of</w:t>
      </w:r>
      <w:proofErr w:type="gramEnd"/>
      <w:r w:rsidR="00846230" w:rsidRPr="008030E7">
        <w:t xml:space="preserve"> areas (i.e. RTS 3, 21, 22, 23 &amp; 24). It is critical that any approach ESMA decides to take in relation to reporting formats must be holistic and seek to progressively extend to all areas and reporting layers; otherwise, it will not produce benefits and instead will lead to additional complexity and unnecessary costs.</w:t>
      </w:r>
      <w:r w:rsidR="00DF346E" w:rsidRPr="008030E7">
        <w:t xml:space="preserve"> The conclusion not to change to JSON formatting in the Final Report on Commodities (published on 16 December 2024) is already a dent in this </w:t>
      </w:r>
      <w:proofErr w:type="gramStart"/>
      <w:r w:rsidR="00DF346E" w:rsidRPr="008030E7">
        <w:t>approach, and</w:t>
      </w:r>
      <w:proofErr w:type="gramEnd"/>
      <w:r w:rsidR="00DF346E" w:rsidRPr="008030E7">
        <w:t xml:space="preserve"> would therefore make it questionable that ESMA reaches a different conclusion for other RTS reporting.</w:t>
      </w:r>
      <w:r w:rsidR="00846230" w:rsidRPr="008030E7">
        <w:t xml:space="preserve"> It is critical that a thorough cost / benefit analysis is carried out by ESMA before proceeding with such a significant change.</w:t>
      </w:r>
    </w:p>
    <w:p w14:paraId="284C5384" w14:textId="77777777" w:rsidR="00846230" w:rsidRDefault="00846230" w:rsidP="005D3762">
      <w:pPr>
        <w:spacing w:after="0"/>
      </w:pPr>
    </w:p>
    <w:p w14:paraId="0DB36103" w14:textId="60F12E76" w:rsidR="00A3399E" w:rsidRDefault="00846230" w:rsidP="005D3762">
      <w:pPr>
        <w:spacing w:after="0"/>
      </w:pPr>
      <w:r>
        <w:t>In this regard, w</w:t>
      </w:r>
      <w:r w:rsidR="00D7054F">
        <w:t xml:space="preserve">e would discourage the adoption of JSON for transaction reporting </w:t>
      </w:r>
      <w:r w:rsidR="00AF5F2D">
        <w:t>purposes</w:t>
      </w:r>
      <w:r w:rsidR="00AA3DBD">
        <w:t xml:space="preserve"> as i</w:t>
      </w:r>
      <w:r w:rsidR="004D31DE">
        <w:t>t does not</w:t>
      </w:r>
      <w:r w:rsidR="00AA3DBD">
        <w:t xml:space="preserve"> seem to</w:t>
      </w:r>
      <w:r w:rsidR="004D31DE">
        <w:t xml:space="preserve"> bring an efficient solution</w:t>
      </w:r>
      <w:r w:rsidR="00F514C4">
        <w:t xml:space="preserve"> and raises </w:t>
      </w:r>
      <w:r w:rsidR="00AA3DBD">
        <w:t xml:space="preserve">some risks. </w:t>
      </w:r>
    </w:p>
    <w:p w14:paraId="3612886A" w14:textId="2E304AD4" w:rsidR="00F514C4" w:rsidRDefault="00F514C4" w:rsidP="005D3762">
      <w:pPr>
        <w:spacing w:after="0"/>
      </w:pPr>
      <w:r>
        <w:t xml:space="preserve"> </w:t>
      </w:r>
    </w:p>
    <w:p w14:paraId="081F5196" w14:textId="37D01B4F" w:rsidR="009100C1" w:rsidRDefault="00A3399E" w:rsidP="005D3762">
      <w:pPr>
        <w:spacing w:after="0"/>
      </w:pPr>
      <w:r>
        <w:t xml:space="preserve">JSON </w:t>
      </w:r>
      <w:r w:rsidR="00AA3DBD">
        <w:t>could</w:t>
      </w:r>
      <w:r w:rsidR="00BE163D">
        <w:t xml:space="preserve"> reduce </w:t>
      </w:r>
      <w:r w:rsidR="00AA3DBD">
        <w:t xml:space="preserve">the </w:t>
      </w:r>
      <w:r w:rsidR="00BE163D">
        <w:t>ability to manage an increasing set of fields and data vali</w:t>
      </w:r>
      <w:r w:rsidR="00C23B0E">
        <w:t>d</w:t>
      </w:r>
      <w:r w:rsidR="00BE163D">
        <w:t>ation</w:t>
      </w:r>
      <w:r w:rsidR="00C23B0E">
        <w:t>s</w:t>
      </w:r>
      <w:r w:rsidR="00BE163D">
        <w:t xml:space="preserve"> </w:t>
      </w:r>
      <w:r w:rsidR="0045265B">
        <w:t>needed to ensure a well</w:t>
      </w:r>
      <w:r w:rsidR="00D87D2C">
        <w:t>-</w:t>
      </w:r>
      <w:r w:rsidR="0045265B">
        <w:t xml:space="preserve">functioning system </w:t>
      </w:r>
      <w:r w:rsidR="00D87D2C">
        <w:t xml:space="preserve">that </w:t>
      </w:r>
      <w:r w:rsidR="0045265B">
        <w:t>allow</w:t>
      </w:r>
      <w:r w:rsidR="00D87D2C">
        <w:t>s</w:t>
      </w:r>
      <w:r w:rsidR="0045265B">
        <w:t xml:space="preserve"> for proper market abuse and market integrity </w:t>
      </w:r>
      <w:proofErr w:type="spellStart"/>
      <w:r w:rsidR="0045265B">
        <w:t>tho</w:t>
      </w:r>
      <w:r w:rsidR="009100C1">
        <w:t>ughout</w:t>
      </w:r>
      <w:proofErr w:type="spellEnd"/>
      <w:r w:rsidR="009100C1">
        <w:t xml:space="preserve"> the EU</w:t>
      </w:r>
      <w:r w:rsidR="00C23B0E">
        <w:t>.</w:t>
      </w:r>
    </w:p>
    <w:p w14:paraId="7B6A51E9" w14:textId="77777777" w:rsidR="008A54D6" w:rsidRDefault="008A54D6" w:rsidP="005D3762">
      <w:pPr>
        <w:spacing w:after="0"/>
      </w:pPr>
    </w:p>
    <w:p w14:paraId="6C94E632" w14:textId="0B1F4A13" w:rsidR="008A54D6" w:rsidRDefault="00AA3DBD" w:rsidP="005D3762">
      <w:pPr>
        <w:spacing w:after="0"/>
      </w:pPr>
      <w:r>
        <w:t xml:space="preserve">Please find below some arguments against switching to JSON for transaction </w:t>
      </w:r>
      <w:proofErr w:type="gramStart"/>
      <w:r>
        <w:t>reporting:</w:t>
      </w:r>
      <w:r w:rsidR="00D9563D">
        <w:t>:</w:t>
      </w:r>
      <w:proofErr w:type="gramEnd"/>
    </w:p>
    <w:p w14:paraId="0E5013BE" w14:textId="77777777" w:rsidR="00D647C1" w:rsidRDefault="00D647C1" w:rsidP="005D3762">
      <w:pPr>
        <w:spacing w:after="0"/>
      </w:pPr>
    </w:p>
    <w:p w14:paraId="5FBD0C90" w14:textId="21DA2298" w:rsidR="00B850F8" w:rsidRDefault="007D7621" w:rsidP="007D7621">
      <w:pPr>
        <w:pStyle w:val="Prrafodelista"/>
        <w:numPr>
          <w:ilvl w:val="0"/>
          <w:numId w:val="37"/>
        </w:numPr>
        <w:spacing w:after="0" w:line="240" w:lineRule="auto"/>
        <w:contextualSpacing w:val="0"/>
        <w:jc w:val="left"/>
      </w:pPr>
      <w:r w:rsidRPr="007D7621">
        <w:t xml:space="preserve">XML </w:t>
      </w:r>
      <w:r w:rsidR="007D0784">
        <w:t>has work</w:t>
      </w:r>
      <w:r w:rsidR="00AA3DBD">
        <w:t xml:space="preserve">ed properly </w:t>
      </w:r>
      <w:r w:rsidR="007D0784">
        <w:t>through the years</w:t>
      </w:r>
      <w:r w:rsidR="00D647C1">
        <w:t>,</w:t>
      </w:r>
      <w:r w:rsidR="007D0784">
        <w:t xml:space="preserve"> and no market failure</w:t>
      </w:r>
      <w:r w:rsidR="00A9329B">
        <w:t xml:space="preserve"> has been evidenced in this regard. </w:t>
      </w:r>
      <w:r w:rsidR="005D0485">
        <w:t>The IT systems of exchanges, ARMs</w:t>
      </w:r>
      <w:r w:rsidR="00F93B1B">
        <w:t>,</w:t>
      </w:r>
      <w:r w:rsidR="005D0485">
        <w:t xml:space="preserve"> and industry participants</w:t>
      </w:r>
      <w:r w:rsidR="005B4B28">
        <w:t>, including NCAs and ESMA, are working properly</w:t>
      </w:r>
      <w:r w:rsidR="00485C97">
        <w:t>,</w:t>
      </w:r>
      <w:r w:rsidR="005B4B28">
        <w:t xml:space="preserve"> and there are no indications of </w:t>
      </w:r>
      <w:r w:rsidR="00A700EC">
        <w:t>jeopardy to market abuse and integrity monitorization ability.</w:t>
      </w:r>
    </w:p>
    <w:p w14:paraId="05092297" w14:textId="785E9668" w:rsidR="007D7621" w:rsidRPr="007D7621" w:rsidRDefault="00A9329B" w:rsidP="00B850F8">
      <w:pPr>
        <w:pStyle w:val="Prrafodelista"/>
        <w:spacing w:after="0" w:line="240" w:lineRule="auto"/>
        <w:contextualSpacing w:val="0"/>
        <w:jc w:val="left"/>
      </w:pPr>
      <w:r>
        <w:t xml:space="preserve"> </w:t>
      </w:r>
    </w:p>
    <w:p w14:paraId="556C3BC5" w14:textId="468CE5CD" w:rsidR="00FF193E" w:rsidRPr="000236DC" w:rsidRDefault="00FF193E" w:rsidP="00FF193E">
      <w:pPr>
        <w:pStyle w:val="Prrafodelista"/>
        <w:numPr>
          <w:ilvl w:val="0"/>
          <w:numId w:val="37"/>
        </w:numPr>
        <w:spacing w:after="0" w:line="240" w:lineRule="auto"/>
        <w:contextualSpacing w:val="0"/>
        <w:jc w:val="left"/>
      </w:pPr>
      <w:r w:rsidRPr="000236DC">
        <w:t>XML is more suitable</w:t>
      </w:r>
      <w:r w:rsidR="00BE756A">
        <w:t xml:space="preserve"> than JSON</w:t>
      </w:r>
      <w:r w:rsidRPr="000236DC">
        <w:t xml:space="preserve"> for complex document structures that require data interchange.</w:t>
      </w:r>
    </w:p>
    <w:p w14:paraId="54CE3EEA" w14:textId="75D091E3" w:rsidR="00C7347F" w:rsidRDefault="00E538D3" w:rsidP="007C0B15">
      <w:pPr>
        <w:pStyle w:val="Prrafodelista"/>
        <w:numPr>
          <w:ilvl w:val="0"/>
          <w:numId w:val="37"/>
        </w:numPr>
        <w:spacing w:after="0" w:line="240" w:lineRule="auto"/>
        <w:contextualSpacing w:val="0"/>
        <w:jc w:val="left"/>
      </w:pPr>
      <w:r>
        <w:t xml:space="preserve">While JSON may allow a higher </w:t>
      </w:r>
      <w:r w:rsidR="004F7FA3">
        <w:t>speed of process</w:t>
      </w:r>
      <w:r w:rsidR="00254056">
        <w:t>ing</w:t>
      </w:r>
      <w:r w:rsidR="004F7FA3">
        <w:t xml:space="preserve">, </w:t>
      </w:r>
      <w:r w:rsidR="00C40011" w:rsidRPr="000236DC">
        <w:t>XML is more detailed</w:t>
      </w:r>
      <w:r w:rsidR="00C40011">
        <w:t xml:space="preserve">, allowing </w:t>
      </w:r>
      <w:r w:rsidR="007C0B15">
        <w:t>a</w:t>
      </w:r>
      <w:r w:rsidR="00E542DD">
        <w:t xml:space="preserve"> more </w:t>
      </w:r>
      <w:r w:rsidR="007C0B15">
        <w:t xml:space="preserve">efficient </w:t>
      </w:r>
      <w:r w:rsidR="00165992">
        <w:t xml:space="preserve">management of </w:t>
      </w:r>
      <w:r w:rsidR="007C0B15">
        <w:t xml:space="preserve">a </w:t>
      </w:r>
      <w:r w:rsidR="00165992">
        <w:t>wider and more complex set of data</w:t>
      </w:r>
      <w:r w:rsidR="004F7FA3">
        <w:t xml:space="preserve"> as the transaction reporting data requires.</w:t>
      </w:r>
      <w:r w:rsidR="00996C2A">
        <w:t xml:space="preserve"> </w:t>
      </w:r>
    </w:p>
    <w:p w14:paraId="504A1EAA" w14:textId="77777777" w:rsidR="0032164A" w:rsidRDefault="0032164A" w:rsidP="0032164A">
      <w:pPr>
        <w:pStyle w:val="Prrafodelista"/>
      </w:pPr>
    </w:p>
    <w:p w14:paraId="03CF0382" w14:textId="486DE4E1" w:rsidR="0032164A" w:rsidRPr="000236DC" w:rsidRDefault="0032164A" w:rsidP="0032164A">
      <w:pPr>
        <w:pStyle w:val="Prrafodelista"/>
        <w:numPr>
          <w:ilvl w:val="0"/>
          <w:numId w:val="37"/>
        </w:numPr>
        <w:spacing w:after="0" w:line="240" w:lineRule="auto"/>
        <w:contextualSpacing w:val="0"/>
        <w:jc w:val="left"/>
      </w:pPr>
      <w:r w:rsidRPr="000236DC">
        <w:t>JSON supports a limited range of data types, such as strings, numbers, and objects. XML is more flexible and supports complex data types, such as binary data and timestamps</w:t>
      </w:r>
      <w:r w:rsidR="00DD1C45">
        <w:t xml:space="preserve">, which </w:t>
      </w:r>
      <w:r w:rsidR="00B4331D">
        <w:t>are</w:t>
      </w:r>
      <w:r w:rsidR="00DD1C45">
        <w:t xml:space="preserve"> essential </w:t>
      </w:r>
      <w:r w:rsidR="00FC1B79">
        <w:t>for transaction reporting purposes</w:t>
      </w:r>
      <w:r w:rsidRPr="000236DC">
        <w:t>.</w:t>
      </w:r>
    </w:p>
    <w:p w14:paraId="13BAFA82" w14:textId="77777777" w:rsidR="00996C2A" w:rsidRDefault="00996C2A" w:rsidP="00996C2A">
      <w:pPr>
        <w:pStyle w:val="Prrafodelista"/>
      </w:pPr>
    </w:p>
    <w:p w14:paraId="3518FFB0" w14:textId="42C34271" w:rsidR="00996C2A" w:rsidRDefault="00996C2A" w:rsidP="00996C2A">
      <w:pPr>
        <w:pStyle w:val="Prrafodelista"/>
        <w:numPr>
          <w:ilvl w:val="0"/>
          <w:numId w:val="37"/>
        </w:numPr>
        <w:spacing w:after="0" w:line="240" w:lineRule="auto"/>
        <w:contextualSpacing w:val="0"/>
        <w:jc w:val="left"/>
      </w:pPr>
      <w:r w:rsidRPr="007D7621">
        <w:t>The potential speed of process</w:t>
      </w:r>
      <w:r w:rsidR="00B4331D">
        <w:t>ing</w:t>
      </w:r>
      <w:r w:rsidRPr="007D7621">
        <w:t xml:space="preserve"> gains with JSON </w:t>
      </w:r>
      <w:r>
        <w:t xml:space="preserve">are </w:t>
      </w:r>
      <w:r w:rsidRPr="007D7621">
        <w:t xml:space="preserve">not relevant </w:t>
      </w:r>
      <w:r w:rsidR="00BC68EC">
        <w:t xml:space="preserve">in the context of transaction reporting, where </w:t>
      </w:r>
      <w:r w:rsidRPr="007D7621">
        <w:t xml:space="preserve">no real time data </w:t>
      </w:r>
      <w:r w:rsidR="00BC68EC">
        <w:t xml:space="preserve">processing </w:t>
      </w:r>
      <w:r w:rsidRPr="007D7621">
        <w:t>is required</w:t>
      </w:r>
      <w:r w:rsidR="00BC68EC">
        <w:t>.</w:t>
      </w:r>
    </w:p>
    <w:p w14:paraId="65A49DC7" w14:textId="77777777" w:rsidR="00555621" w:rsidRDefault="00555621" w:rsidP="00555621">
      <w:pPr>
        <w:pStyle w:val="Prrafodelista"/>
      </w:pPr>
    </w:p>
    <w:p w14:paraId="54B2A4D9" w14:textId="7D8D5199" w:rsidR="00555621" w:rsidRPr="000236DC" w:rsidRDefault="00555621" w:rsidP="00555621">
      <w:pPr>
        <w:pStyle w:val="Prrafodelista"/>
        <w:numPr>
          <w:ilvl w:val="0"/>
          <w:numId w:val="37"/>
        </w:numPr>
        <w:spacing w:after="0" w:line="240" w:lineRule="auto"/>
        <w:contextualSpacing w:val="0"/>
        <w:jc w:val="left"/>
      </w:pPr>
      <w:r w:rsidRPr="000236DC">
        <w:t>XML checks for errors in complex data more efficiently than JSON</w:t>
      </w:r>
      <w:r w:rsidR="00FE5CA4">
        <w:t xml:space="preserve"> and </w:t>
      </w:r>
      <w:r w:rsidRPr="000236DC">
        <w:t>has a more advanced set of tools and libraries.</w:t>
      </w:r>
    </w:p>
    <w:p w14:paraId="1DB2859F" w14:textId="77777777" w:rsidR="00BC68EC" w:rsidRDefault="00BC68EC" w:rsidP="00BC68EC">
      <w:pPr>
        <w:pStyle w:val="Prrafodelista"/>
        <w:spacing w:after="0" w:line="240" w:lineRule="auto"/>
        <w:contextualSpacing w:val="0"/>
        <w:jc w:val="left"/>
      </w:pPr>
    </w:p>
    <w:p w14:paraId="11214506" w14:textId="368A5CFC" w:rsidR="002B2D92" w:rsidRDefault="00F07297" w:rsidP="00BC68EC">
      <w:pPr>
        <w:pStyle w:val="Prrafodelista"/>
        <w:numPr>
          <w:ilvl w:val="0"/>
          <w:numId w:val="37"/>
        </w:numPr>
        <w:spacing w:after="0" w:line="240" w:lineRule="auto"/>
        <w:contextualSpacing w:val="0"/>
        <w:jc w:val="left"/>
      </w:pPr>
      <w:r>
        <w:t xml:space="preserve">While XML is complemented by </w:t>
      </w:r>
      <w:r w:rsidR="00BC68EC" w:rsidRPr="007D7621">
        <w:t>XSD</w:t>
      </w:r>
      <w:r>
        <w:t xml:space="preserve">, JSON is </w:t>
      </w:r>
      <w:r w:rsidR="009F18F8">
        <w:t xml:space="preserve">complemented </w:t>
      </w:r>
      <w:r>
        <w:t xml:space="preserve">by JSON Schema. XSD </w:t>
      </w:r>
      <w:r w:rsidR="00BC68EC" w:rsidRPr="007D7621">
        <w:t xml:space="preserve">allows for more complex validations and a </w:t>
      </w:r>
      <w:r w:rsidR="009F18F8">
        <w:t xml:space="preserve">greater number </w:t>
      </w:r>
      <w:r w:rsidR="00BC68EC" w:rsidRPr="007D7621">
        <w:t>of them to be deployed</w:t>
      </w:r>
      <w:r w:rsidR="000B7BA4">
        <w:t>, minimizing reporting errors</w:t>
      </w:r>
      <w:r w:rsidR="0010530F">
        <w:t xml:space="preserve"> </w:t>
      </w:r>
      <w:r w:rsidR="00BC68EC" w:rsidRPr="007D7621">
        <w:t>compared to JSON Schema</w:t>
      </w:r>
      <w:r w:rsidR="00286CA7">
        <w:t xml:space="preserve">. </w:t>
      </w:r>
    </w:p>
    <w:p w14:paraId="26AF7BDD" w14:textId="6283D5F3" w:rsidR="00BC68EC" w:rsidRPr="007D7621" w:rsidRDefault="00286CA7" w:rsidP="002B2D92">
      <w:pPr>
        <w:pStyle w:val="Prrafodelista"/>
        <w:spacing w:after="0" w:line="240" w:lineRule="auto"/>
        <w:contextualSpacing w:val="0"/>
        <w:jc w:val="left"/>
      </w:pPr>
      <w:r>
        <w:lastRenderedPageBreak/>
        <w:t xml:space="preserve">In the absence of a JSON Schema </w:t>
      </w:r>
      <w:r w:rsidR="00B56F77">
        <w:t>comparable to current XSD</w:t>
      </w:r>
      <w:r w:rsidR="002B2D92">
        <w:t>’s</w:t>
      </w:r>
      <w:r w:rsidR="006829F3">
        <w:t xml:space="preserve"> ability to cope with </w:t>
      </w:r>
      <w:r w:rsidR="00777705">
        <w:t xml:space="preserve">both syntactic and semantic validation rules, </w:t>
      </w:r>
      <w:r w:rsidR="0065446A">
        <w:t>a whole new set of</w:t>
      </w:r>
      <w:r w:rsidR="006F3549">
        <w:t xml:space="preserve"> validation arrangements would need to be set up</w:t>
      </w:r>
      <w:r w:rsidR="0065446A">
        <w:t xml:space="preserve"> within the source code of the software</w:t>
      </w:r>
      <w:r w:rsidR="0006586A">
        <w:t>. This implies higher risk</w:t>
      </w:r>
      <w:r w:rsidR="00253C4E">
        <w:t xml:space="preserve">, </w:t>
      </w:r>
      <w:r w:rsidR="00AD59A4">
        <w:t xml:space="preserve">less agile management of changes and software versions </w:t>
      </w:r>
      <w:r w:rsidR="00253C4E">
        <w:t>and potentially a higher ratio of reporting and validating errors.</w:t>
      </w:r>
    </w:p>
    <w:p w14:paraId="48D3568F" w14:textId="77777777" w:rsidR="00B850F8" w:rsidRDefault="00B850F8" w:rsidP="00B850F8">
      <w:pPr>
        <w:pStyle w:val="Prrafodelista"/>
        <w:spacing w:after="0" w:line="240" w:lineRule="auto"/>
        <w:contextualSpacing w:val="0"/>
        <w:jc w:val="left"/>
      </w:pPr>
    </w:p>
    <w:p w14:paraId="45706744" w14:textId="3AF26667" w:rsidR="007D7621" w:rsidRPr="007D7621" w:rsidRDefault="007D7621" w:rsidP="007D7621">
      <w:pPr>
        <w:pStyle w:val="Prrafodelista"/>
        <w:numPr>
          <w:ilvl w:val="0"/>
          <w:numId w:val="37"/>
        </w:numPr>
        <w:spacing w:after="0" w:line="240" w:lineRule="auto"/>
        <w:contextualSpacing w:val="0"/>
        <w:jc w:val="left"/>
      </w:pPr>
      <w:r w:rsidRPr="007D7621">
        <w:t xml:space="preserve">Implementation costs would be incurred not only at </w:t>
      </w:r>
      <w:r w:rsidR="002035D7">
        <w:t xml:space="preserve">the </w:t>
      </w:r>
      <w:r w:rsidRPr="007D7621">
        <w:t xml:space="preserve">industry participant level but also at </w:t>
      </w:r>
      <w:r w:rsidR="002035D7">
        <w:t xml:space="preserve">the </w:t>
      </w:r>
      <w:r w:rsidRPr="007D7621">
        <w:t>ESMA and NCAs level</w:t>
      </w:r>
      <w:r w:rsidR="00FA5632">
        <w:t xml:space="preserve"> to adopt a format which might be </w:t>
      </w:r>
      <w:r w:rsidR="00AA3DBD">
        <w:t>sub</w:t>
      </w:r>
      <w:r w:rsidR="00FA5632">
        <w:t>optim</w:t>
      </w:r>
      <w:r w:rsidR="00636F89">
        <w:t>al f</w:t>
      </w:r>
      <w:r w:rsidR="00FA5632">
        <w:t>or transaction reporting</w:t>
      </w:r>
      <w:r w:rsidR="00AA3DBD">
        <w:t xml:space="preserve"> purposes</w:t>
      </w:r>
      <w:r w:rsidR="00FA5632">
        <w:t>.</w:t>
      </w:r>
    </w:p>
    <w:p w14:paraId="6A0E79A4" w14:textId="77777777" w:rsidR="00B850F8" w:rsidRDefault="00B850F8" w:rsidP="00B850F8">
      <w:pPr>
        <w:pStyle w:val="Prrafodelista"/>
        <w:spacing w:after="0" w:line="240" w:lineRule="auto"/>
        <w:contextualSpacing w:val="0"/>
        <w:jc w:val="left"/>
      </w:pPr>
    </w:p>
    <w:p w14:paraId="0279D510" w14:textId="298849B9" w:rsidR="000F5C4F" w:rsidRDefault="000F5C4F" w:rsidP="00C651AA">
      <w:pPr>
        <w:pStyle w:val="Prrafodelista"/>
        <w:numPr>
          <w:ilvl w:val="0"/>
          <w:numId w:val="37"/>
        </w:numPr>
        <w:spacing w:after="0" w:line="240" w:lineRule="auto"/>
        <w:contextualSpacing w:val="0"/>
        <w:jc w:val="left"/>
      </w:pPr>
      <w:r>
        <w:t xml:space="preserve">Moving into JSON from XML </w:t>
      </w:r>
      <w:r w:rsidR="00AA3DBD">
        <w:t xml:space="preserve">might </w:t>
      </w:r>
      <w:r>
        <w:t xml:space="preserve">not </w:t>
      </w:r>
      <w:r w:rsidR="00AA3DBD">
        <w:t xml:space="preserve">be </w:t>
      </w:r>
      <w:r>
        <w:t xml:space="preserve">coherent </w:t>
      </w:r>
      <w:r w:rsidR="00AA3DBD">
        <w:t>as</w:t>
      </w:r>
      <w:r>
        <w:t>:</w:t>
      </w:r>
    </w:p>
    <w:p w14:paraId="3D32AABA" w14:textId="77777777" w:rsidR="00FE5CA4" w:rsidRDefault="00FE5CA4" w:rsidP="00FE5CA4">
      <w:pPr>
        <w:pStyle w:val="Prrafodelista"/>
      </w:pPr>
    </w:p>
    <w:p w14:paraId="04367EEA" w14:textId="6C81180B" w:rsidR="007D7621" w:rsidRDefault="007D7621" w:rsidP="000F5C4F">
      <w:pPr>
        <w:pStyle w:val="Prrafodelista"/>
        <w:numPr>
          <w:ilvl w:val="1"/>
          <w:numId w:val="37"/>
        </w:numPr>
        <w:spacing w:after="0" w:line="240" w:lineRule="auto"/>
        <w:contextualSpacing w:val="0"/>
        <w:jc w:val="left"/>
      </w:pPr>
      <w:r w:rsidRPr="007D7621">
        <w:t xml:space="preserve">EMIR and SFTR reporting </w:t>
      </w:r>
      <w:proofErr w:type="gramStart"/>
      <w:r w:rsidRPr="007D7621">
        <w:t>is</w:t>
      </w:r>
      <w:proofErr w:type="gramEnd"/>
      <w:r w:rsidRPr="007D7621">
        <w:t xml:space="preserve"> carried out on XML</w:t>
      </w:r>
      <w:r w:rsidR="006A3E7B">
        <w:t xml:space="preserve">, even after implementation of EMIR Refit earlier </w:t>
      </w:r>
      <w:r w:rsidR="00A252D0">
        <w:t xml:space="preserve">in </w:t>
      </w:r>
      <w:r w:rsidR="006A3E7B">
        <w:t>2024</w:t>
      </w:r>
      <w:r w:rsidR="00A252D0">
        <w:t xml:space="preserve">. The CP points </w:t>
      </w:r>
      <w:r w:rsidR="00CE2F58">
        <w:t>to</w:t>
      </w:r>
      <w:r w:rsidR="00A252D0">
        <w:t xml:space="preserve"> an alignment effort between the </w:t>
      </w:r>
      <w:r w:rsidR="00C27767">
        <w:t xml:space="preserve">three </w:t>
      </w:r>
      <w:r w:rsidR="00DB6DB5">
        <w:t xml:space="preserve">reporting regimes in </w:t>
      </w:r>
      <w:proofErr w:type="spellStart"/>
      <w:r w:rsidR="00DB6DB5">
        <w:t>MiFIR</w:t>
      </w:r>
      <w:proofErr w:type="spellEnd"/>
      <w:r w:rsidR="00DB6DB5">
        <w:t xml:space="preserve">, EMIR and SFTR, and the adoption of a different format in the case of </w:t>
      </w:r>
      <w:proofErr w:type="spellStart"/>
      <w:r w:rsidR="00DB6DB5">
        <w:t>MiFIR</w:t>
      </w:r>
      <w:proofErr w:type="spellEnd"/>
      <w:r w:rsidR="00D74EB8">
        <w:t xml:space="preserve"> transaction reporting deviates from </w:t>
      </w:r>
      <w:r w:rsidR="00AA3DBD">
        <w:t>that approach</w:t>
      </w:r>
      <w:r w:rsidR="00D74EB8">
        <w:t>.</w:t>
      </w:r>
    </w:p>
    <w:p w14:paraId="43297568" w14:textId="77777777" w:rsidR="00C819C7" w:rsidRDefault="00C819C7" w:rsidP="00C819C7">
      <w:pPr>
        <w:pStyle w:val="Prrafodelista"/>
        <w:spacing w:after="0" w:line="240" w:lineRule="auto"/>
        <w:ind w:left="1440"/>
        <w:contextualSpacing w:val="0"/>
        <w:jc w:val="left"/>
      </w:pPr>
    </w:p>
    <w:p w14:paraId="0671566D" w14:textId="205D8ECB" w:rsidR="00C23B0E" w:rsidRDefault="00D74EB8" w:rsidP="00C87000">
      <w:pPr>
        <w:pStyle w:val="Prrafodelista"/>
        <w:numPr>
          <w:ilvl w:val="1"/>
          <w:numId w:val="37"/>
        </w:numPr>
        <w:spacing w:after="0" w:line="240" w:lineRule="auto"/>
        <w:contextualSpacing w:val="0"/>
        <w:jc w:val="left"/>
      </w:pPr>
      <w:r>
        <w:t xml:space="preserve">The CP </w:t>
      </w:r>
      <w:r w:rsidR="00C819C7">
        <w:t xml:space="preserve">proposes a significant enlargement of the number of fields </w:t>
      </w:r>
      <w:r w:rsidR="008D1128">
        <w:t xml:space="preserve">and data to be reported under the revised RTS 22 </w:t>
      </w:r>
      <w:r w:rsidR="00CA477F">
        <w:t xml:space="preserve">(i.e., </w:t>
      </w:r>
      <w:r w:rsidR="00CA477F" w:rsidRPr="007D7621">
        <w:t>i.e., from 65 to over 120 fields</w:t>
      </w:r>
      <w:r w:rsidR="004A1B10">
        <w:t>)</w:t>
      </w:r>
      <w:r w:rsidR="00CA477F" w:rsidRPr="007D7621">
        <w:t xml:space="preserve"> and the</w:t>
      </w:r>
      <w:r w:rsidR="004A1B10">
        <w:t xml:space="preserve"> associated </w:t>
      </w:r>
      <w:r w:rsidR="00CA477F" w:rsidRPr="007D7621">
        <w:t>validation rules</w:t>
      </w:r>
      <w:r w:rsidR="004A1B10">
        <w:t xml:space="preserve">. </w:t>
      </w:r>
      <w:r w:rsidR="00DA3317">
        <w:t xml:space="preserve">Reducing the ability to cope with </w:t>
      </w:r>
      <w:r w:rsidR="007C6EBF">
        <w:t>a heavier load of fields, data</w:t>
      </w:r>
      <w:r w:rsidR="00C27767">
        <w:t>,</w:t>
      </w:r>
      <w:r w:rsidR="007C6EBF">
        <w:t xml:space="preserve"> and validations might not be </w:t>
      </w:r>
      <w:r w:rsidR="000236DC">
        <w:t xml:space="preserve">an </w:t>
      </w:r>
      <w:r w:rsidR="007C6EBF">
        <w:t xml:space="preserve">efficient </w:t>
      </w:r>
      <w:r w:rsidR="000236DC">
        <w:t>move.</w:t>
      </w:r>
    </w:p>
    <w:permEnd w:id="923106790"/>
    <w:p w14:paraId="2DD70268" w14:textId="77EE2794" w:rsidR="005D3762" w:rsidRDefault="005D3762" w:rsidP="005D3762">
      <w:pPr>
        <w:spacing w:after="0"/>
      </w:pPr>
      <w:r>
        <w:t>&lt;ESMA_QUESTION_CP3_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20E38B84" w14:textId="3ABCD2F3" w:rsidR="005D3762" w:rsidRDefault="005D3762" w:rsidP="005D3762">
      <w:pPr>
        <w:spacing w:after="0"/>
      </w:pPr>
      <w:r>
        <w:t>&lt;ESMA_QUESTION_CP3_</w:t>
      </w:r>
      <w:r w:rsidR="00BE02A2">
        <w:t>41</w:t>
      </w:r>
      <w:r>
        <w:t>&gt;</w:t>
      </w:r>
    </w:p>
    <w:p w14:paraId="7A728679" w14:textId="320DD4C6" w:rsidR="00341CE0" w:rsidRPr="008030E7" w:rsidRDefault="00341CE0" w:rsidP="00341CE0">
      <w:pPr>
        <w:spacing w:after="0"/>
      </w:pPr>
      <w:permStart w:id="1378762484" w:edGrp="everyone"/>
      <w:permStart w:id="2074366874" w:edGrp="everyone"/>
      <w:permStart w:id="829248978" w:edGrp="everyone"/>
      <w:permStart w:id="1831416967" w:edGrp="everyone"/>
      <w:r w:rsidRPr="008030E7">
        <w:t xml:space="preserve">BME agrees to avoid duplicative submissions of quantitative data under RTS 1, 2, and 3 to avoid duplicative submissions. </w:t>
      </w:r>
    </w:p>
    <w:p w14:paraId="169DD854" w14:textId="77777777" w:rsidR="00341CE0" w:rsidRPr="008030E7" w:rsidRDefault="00341CE0" w:rsidP="00341CE0">
      <w:pPr>
        <w:spacing w:after="0"/>
      </w:pPr>
    </w:p>
    <w:p w14:paraId="4080D878" w14:textId="77777777" w:rsidR="00341CE0" w:rsidRPr="008030E7" w:rsidRDefault="00341CE0" w:rsidP="00341CE0">
      <w:pPr>
        <w:spacing w:after="0"/>
      </w:pPr>
      <w:r w:rsidRPr="008030E7">
        <w:t xml:space="preserve">With regards to non-equities, BME supports ending with these reporting flows due to the </w:t>
      </w:r>
      <w:proofErr w:type="spellStart"/>
      <w:r w:rsidRPr="008030E7">
        <w:t>MiFIR</w:t>
      </w:r>
      <w:proofErr w:type="spellEnd"/>
      <w:r w:rsidRPr="008030E7">
        <w:t xml:space="preserve"> Review's shift to static thresholds and characteristics. However, for equities, BME does not </w:t>
      </w:r>
      <w:proofErr w:type="spellStart"/>
      <w:r w:rsidRPr="008030E7">
        <w:t>forsee</w:t>
      </w:r>
      <w:proofErr w:type="spellEnd"/>
      <w:r w:rsidRPr="008030E7">
        <w:t xml:space="preserve"> significant cost savings and are concerned about potential data quality issues from relying solely on transaction reporting. </w:t>
      </w:r>
    </w:p>
    <w:p w14:paraId="29FD5826" w14:textId="77777777" w:rsidR="00341CE0" w:rsidRPr="008030E7" w:rsidRDefault="00341CE0" w:rsidP="00341CE0">
      <w:pPr>
        <w:spacing w:after="0"/>
      </w:pPr>
    </w:p>
    <w:p w14:paraId="772B7A80" w14:textId="77777777" w:rsidR="00341CE0" w:rsidRDefault="00341CE0" w:rsidP="00341CE0">
      <w:pPr>
        <w:spacing w:after="0"/>
      </w:pPr>
      <w:r w:rsidRPr="008030E7">
        <w:t xml:space="preserve">BME suggests that ESMA further refines transaction reporting before seeking further efficiencies. Trading venues may still need to submit the same data for different purposes. Hence using both transaction reporting and FITRS data for checks would be impossible if venues stop reporting to FITRS and DVCAP. Removing trading venues’ </w:t>
      </w:r>
      <w:proofErr w:type="gramStart"/>
      <w:r w:rsidRPr="008030E7">
        <w:t>high quality</w:t>
      </w:r>
      <w:proofErr w:type="gramEnd"/>
      <w:r w:rsidRPr="008030E7">
        <w:t xml:space="preserve"> data would hamper reliability of the data used.</w:t>
      </w:r>
    </w:p>
    <w:permEnd w:id="1378762484"/>
    <w:permEnd w:id="2074366874"/>
    <w:permEnd w:id="829248978"/>
    <w:permEnd w:id="1831416967"/>
    <w:p w14:paraId="4DB81C87" w14:textId="78B1B44D" w:rsidR="005D3762" w:rsidRDefault="005D3762" w:rsidP="005D3762">
      <w:pPr>
        <w:spacing w:after="0"/>
      </w:pPr>
      <w:r>
        <w:t>&lt;ESMA_QUESTION_CP3_</w:t>
      </w:r>
      <w:r w:rsidR="00BE02A2">
        <w:t>41</w:t>
      </w:r>
      <w:r>
        <w:t>&gt;</w:t>
      </w:r>
    </w:p>
    <w:p w14:paraId="05F9A6D4" w14:textId="77777777" w:rsidR="0029493B" w:rsidRDefault="0029493B" w:rsidP="006B5DF1">
      <w:pPr>
        <w:pStyle w:val="Questionstyle"/>
      </w:pPr>
      <w:r>
        <w:lastRenderedPageBreak/>
        <w:t>Do you have any comments on the methodological approach outlined above?</w:t>
      </w:r>
    </w:p>
    <w:p w14:paraId="6DC6FE8D" w14:textId="1A49DD06" w:rsidR="005D3762" w:rsidRDefault="005D3762" w:rsidP="005D3762">
      <w:pPr>
        <w:spacing w:after="0"/>
      </w:pPr>
      <w:r>
        <w:t>&lt;ESMA_QUESTION_CP3_</w:t>
      </w:r>
      <w:r w:rsidR="00BE02A2">
        <w:t>42</w:t>
      </w:r>
      <w:r>
        <w:t>&gt;</w:t>
      </w:r>
    </w:p>
    <w:p w14:paraId="522A2BFB" w14:textId="77777777" w:rsidR="00341CE0" w:rsidRDefault="00341CE0" w:rsidP="00341CE0">
      <w:pPr>
        <w:spacing w:after="0"/>
      </w:pPr>
      <w:permStart w:id="1539267528" w:edGrp="everyone"/>
      <w:r>
        <w:t xml:space="preserve">BME agrees with ESMA's additional information on the proof of </w:t>
      </w:r>
      <w:proofErr w:type="gramStart"/>
      <w:r>
        <w:t>concept, but</w:t>
      </w:r>
      <w:proofErr w:type="gramEnd"/>
      <w:r>
        <w:t xml:space="preserve"> is also concerned about how accurate is the data and if could be reliable to support trading metrics. Key issues include:</w:t>
      </w:r>
    </w:p>
    <w:p w14:paraId="342CB2C0" w14:textId="77777777" w:rsidR="00341CE0" w:rsidRDefault="00341CE0" w:rsidP="00341CE0">
      <w:pPr>
        <w:pStyle w:val="Prrafodelista"/>
        <w:numPr>
          <w:ilvl w:val="0"/>
          <w:numId w:val="39"/>
        </w:numPr>
        <w:spacing w:after="0"/>
      </w:pPr>
      <w:r>
        <w:t>Difficulties in determining the LIS threshold, as significant discrepancies between data sets make reconciliation challenging.</w:t>
      </w:r>
    </w:p>
    <w:p w14:paraId="31D232F6" w14:textId="77777777" w:rsidR="00341CE0" w:rsidRDefault="00341CE0" w:rsidP="00341CE0">
      <w:pPr>
        <w:pStyle w:val="Prrafodelista"/>
        <w:numPr>
          <w:ilvl w:val="0"/>
          <w:numId w:val="39"/>
        </w:numPr>
        <w:spacing w:after="0"/>
      </w:pPr>
      <w:r>
        <w:t>The low results for the LIS threshold may point to problems with waivers, as firms may lack full visibility of waivers used in trading systems, potentially requiring unnecessary updates.</w:t>
      </w:r>
    </w:p>
    <w:p w14:paraId="67F9DE95" w14:textId="77777777" w:rsidR="00341CE0" w:rsidRDefault="00341CE0" w:rsidP="00341CE0">
      <w:pPr>
        <w:pStyle w:val="Prrafodelista"/>
        <w:numPr>
          <w:ilvl w:val="0"/>
          <w:numId w:val="39"/>
        </w:numPr>
        <w:spacing w:after="0"/>
      </w:pPr>
      <w:r>
        <w:t>Uncertainty over whether regulators should retain waiver-related information to track volumes.</w:t>
      </w:r>
    </w:p>
    <w:p w14:paraId="77DCE473" w14:textId="77777777" w:rsidR="00341CE0" w:rsidRDefault="00341CE0" w:rsidP="00341CE0">
      <w:pPr>
        <w:spacing w:after="0"/>
      </w:pPr>
    </w:p>
    <w:p w14:paraId="06205033" w14:textId="15CBA685" w:rsidR="005D3762" w:rsidRDefault="00341CE0" w:rsidP="005D3762">
      <w:pPr>
        <w:spacing w:after="0"/>
      </w:pPr>
      <w:r>
        <w:t xml:space="preserve">BME is concerned about </w:t>
      </w:r>
      <w:proofErr w:type="spellStart"/>
      <w:r>
        <w:t>MiFIR</w:t>
      </w:r>
      <w:proofErr w:type="spellEnd"/>
      <w:r>
        <w:t xml:space="preserve"> data submission deadlines, particularly the alignment of transaction reporting with reference data, which is leading to rejections. These issues must be addressed before ESMA can move forward with the proposal.</w:t>
      </w:r>
    </w:p>
    <w:permEnd w:id="1539267528"/>
    <w:p w14:paraId="20B17A70" w14:textId="60DF0953" w:rsidR="005D3762" w:rsidRDefault="005D3762" w:rsidP="005D3762">
      <w:pPr>
        <w:spacing w:after="0"/>
      </w:pPr>
      <w:r>
        <w:t>&lt;ESMA_QUESTION_CP3_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2D6DF330" w14:textId="1A30B0E3" w:rsidR="005D3762" w:rsidRDefault="005D3762" w:rsidP="005D3762">
      <w:pPr>
        <w:spacing w:after="0"/>
      </w:pPr>
      <w:r>
        <w:t>&lt;ESMA_QUESTION_CP3_</w:t>
      </w:r>
      <w:r w:rsidR="00BE02A2">
        <w:t>43</w:t>
      </w:r>
      <w:r>
        <w:t>&gt;</w:t>
      </w:r>
    </w:p>
    <w:p w14:paraId="340ECAD9" w14:textId="4DE32A25" w:rsidR="00341CE0" w:rsidRPr="00DA1EA4" w:rsidRDefault="00341CE0" w:rsidP="00341CE0">
      <w:pPr>
        <w:spacing w:after="0"/>
      </w:pPr>
      <w:permStart w:id="2065639823" w:edGrp="everyone"/>
      <w:permStart w:id="158760805" w:edGrp="everyone"/>
      <w:r w:rsidRPr="0075334B">
        <w:t>Regarding equities, BME suggest</w:t>
      </w:r>
      <w:r w:rsidR="00DA2FAD">
        <w:t>s</w:t>
      </w:r>
      <w:r w:rsidRPr="0075334B">
        <w:t xml:space="preserve"> ESMA should work on further refining transaction reporting first and then, once this has been delivered, there could be further consideration of where efficiencies could be achieved.</w:t>
      </w:r>
    </w:p>
    <w:permEnd w:id="2065639823"/>
    <w:permEnd w:id="158760805"/>
    <w:p w14:paraId="0ECACA55" w14:textId="2E2747CF" w:rsidR="005D3762" w:rsidRDefault="005D3762" w:rsidP="005D3762">
      <w:pPr>
        <w:spacing w:after="0"/>
      </w:pPr>
      <w:r>
        <w:t>&lt;ESMA_QUESTION_CP3_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45F621AE" w14:textId="4C8B52EB" w:rsidR="005D3762" w:rsidRDefault="005D3762" w:rsidP="005D3762">
      <w:pPr>
        <w:spacing w:after="0"/>
      </w:pPr>
      <w:r>
        <w:t>&lt;ESMA_QUESTION_CP3_</w:t>
      </w:r>
      <w:r w:rsidR="00BE02A2">
        <w:t>44</w:t>
      </w:r>
      <w:r>
        <w:t>&gt;</w:t>
      </w:r>
    </w:p>
    <w:p w14:paraId="0E76F3F2" w14:textId="6EE8E772" w:rsidR="005D3762" w:rsidRDefault="00146479" w:rsidP="005D3762">
      <w:pPr>
        <w:spacing w:after="0"/>
      </w:pPr>
      <w:permStart w:id="1740114836" w:edGrp="everyone"/>
      <w:r w:rsidRPr="005678A6">
        <w:t>Please refer to our response to Q40 for our general views on ESM</w:t>
      </w:r>
      <w:r>
        <w:t>A’</w:t>
      </w:r>
      <w:r w:rsidRPr="005678A6">
        <w:t xml:space="preserve">s proposals to use JSON for </w:t>
      </w:r>
      <w:r>
        <w:t>Order Record Keeping reporting.</w:t>
      </w:r>
    </w:p>
    <w:permEnd w:id="1740114836"/>
    <w:p w14:paraId="04793554" w14:textId="6EA27AFD" w:rsidR="005D3762" w:rsidRDefault="005D3762" w:rsidP="005D3762">
      <w:pPr>
        <w:spacing w:after="0"/>
      </w:pPr>
      <w:r>
        <w:t>&lt;ESMA_QUESTION_CP3_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 xml:space="preserve">Please provide your views on the format of reporting and any challenges you foresee with the use of JSON format compared to XML. Please provide estimates of the costs, </w:t>
      </w:r>
      <w:proofErr w:type="gramStart"/>
      <w:r>
        <w:t>timelines</w:t>
      </w:r>
      <w:proofErr w:type="gramEnd"/>
      <w:r>
        <w:t xml:space="preserve"> and benefits (short and long term) related to the potential implementation of JSON syntax.</w:t>
      </w:r>
    </w:p>
    <w:p w14:paraId="1372D452" w14:textId="2B8D03DD" w:rsidR="005D3762" w:rsidRDefault="005D3762" w:rsidP="005D3762">
      <w:pPr>
        <w:spacing w:after="0"/>
      </w:pPr>
      <w:r>
        <w:lastRenderedPageBreak/>
        <w:t>&lt;ESMA_QUESTION_CP3_</w:t>
      </w:r>
      <w:r w:rsidR="00BE02A2">
        <w:t>45</w:t>
      </w:r>
      <w:r>
        <w:t>&gt;</w:t>
      </w:r>
    </w:p>
    <w:p w14:paraId="5318D61A" w14:textId="77777777" w:rsidR="006144EB" w:rsidRDefault="006144EB" w:rsidP="006144EB">
      <w:pPr>
        <w:spacing w:after="0"/>
      </w:pPr>
      <w:permStart w:id="1225332318" w:edGrp="everyone"/>
      <w:r w:rsidRPr="004B14E1">
        <w:t xml:space="preserve">Please refer to our response to Q40 for our general views on </w:t>
      </w:r>
      <w:r>
        <w:t xml:space="preserve">the </w:t>
      </w:r>
      <w:r w:rsidRPr="004B14E1">
        <w:t>proposals to use JSON for various regulatory reporting requirements under multiple RTS.</w:t>
      </w:r>
    </w:p>
    <w:p w14:paraId="7ADA976E" w14:textId="77777777" w:rsidR="006144EB" w:rsidRPr="004B14E1" w:rsidRDefault="006144EB" w:rsidP="006144EB">
      <w:pPr>
        <w:spacing w:after="0"/>
      </w:pPr>
    </w:p>
    <w:p w14:paraId="2EF05E0F" w14:textId="77777777" w:rsidR="006144EB" w:rsidRPr="00AC5E2C" w:rsidRDefault="006144EB" w:rsidP="006144EB">
      <w:pPr>
        <w:spacing w:after="0"/>
      </w:pPr>
      <w:r w:rsidRPr="00AC5E2C">
        <w:t>Regarding Order Record Keeping reporting, we believe JSON does not offer sufficient additional benefits to justify the costs that markets would incur.</w:t>
      </w:r>
    </w:p>
    <w:p w14:paraId="56552C1B" w14:textId="77777777" w:rsidR="006144EB" w:rsidRPr="00AC5E2C" w:rsidRDefault="006144EB" w:rsidP="006144EB">
      <w:pPr>
        <w:spacing w:after="0"/>
      </w:pPr>
    </w:p>
    <w:p w14:paraId="1C89ECAA" w14:textId="77777777" w:rsidR="006144EB" w:rsidRPr="00AC5E2C" w:rsidRDefault="006144EB" w:rsidP="006144EB">
      <w:pPr>
        <w:spacing w:after="0"/>
      </w:pPr>
      <w:r w:rsidRPr="00AC5E2C">
        <w:t>BME believes that moving to either a common XML format or JSON would incur costs, which are difficult to estimate without further clarity on the specific changes required. It is important to ensure that these templates do not impose unnecessary burdens or costs on NCAs and trading venues, as these could ultimately be passed on to market participants.</w:t>
      </w:r>
    </w:p>
    <w:p w14:paraId="7248FBF6" w14:textId="77777777" w:rsidR="006144EB" w:rsidRPr="00AC5E2C" w:rsidRDefault="006144EB" w:rsidP="006144EB">
      <w:pPr>
        <w:spacing w:after="0"/>
      </w:pPr>
    </w:p>
    <w:p w14:paraId="74F71422" w14:textId="77777777" w:rsidR="006144EB" w:rsidRPr="00AC5E2C" w:rsidRDefault="006144EB" w:rsidP="006144EB">
      <w:pPr>
        <w:spacing w:after="0"/>
      </w:pPr>
      <w:r w:rsidRPr="00AC5E2C">
        <w:t xml:space="preserve">Should any change be requested we strongly recommend making it mandatory for regulators to provide a transition phase when the JSON format is </w:t>
      </w:r>
      <w:proofErr w:type="gramStart"/>
      <w:r w:rsidRPr="00AC5E2C">
        <w:t>approved</w:t>
      </w:r>
      <w:proofErr w:type="gramEnd"/>
      <w:r w:rsidRPr="00AC5E2C">
        <w:t xml:space="preserve"> or the schema is updated. </w:t>
      </w:r>
    </w:p>
    <w:p w14:paraId="45CC61A6" w14:textId="77777777" w:rsidR="006144EB" w:rsidRPr="00740125" w:rsidRDefault="006144EB" w:rsidP="006144EB">
      <w:pPr>
        <w:spacing w:after="0"/>
      </w:pPr>
    </w:p>
    <w:p w14:paraId="4CCAFC8A" w14:textId="77777777" w:rsidR="006144EB" w:rsidRDefault="006144EB" w:rsidP="006144EB">
      <w:pPr>
        <w:spacing w:after="0"/>
      </w:pPr>
      <w:bookmarkStart w:id="11" w:name="_Hlk185419015"/>
      <w:r w:rsidRPr="00AC5E2C">
        <w:t>Inclusion of SIs in scope</w:t>
      </w:r>
      <w:r>
        <w:t>:</w:t>
      </w:r>
    </w:p>
    <w:bookmarkEnd w:id="11"/>
    <w:p w14:paraId="22470ECE" w14:textId="77777777" w:rsidR="006144EB" w:rsidRPr="00AC5E2C" w:rsidRDefault="006144EB" w:rsidP="006144EB">
      <w:pPr>
        <w:spacing w:after="0"/>
      </w:pPr>
    </w:p>
    <w:p w14:paraId="1B0FB20E" w14:textId="77777777" w:rsidR="006144EB" w:rsidRDefault="006144EB" w:rsidP="006144EB">
      <w:pPr>
        <w:spacing w:after="0"/>
      </w:pPr>
      <w:r w:rsidRPr="00AC5E2C">
        <w:t xml:space="preserve">We note that the </w:t>
      </w:r>
      <w:proofErr w:type="spellStart"/>
      <w:r w:rsidRPr="00AC5E2C">
        <w:t>MiFIR</w:t>
      </w:r>
      <w:proofErr w:type="spellEnd"/>
      <w:r w:rsidRPr="00AC5E2C">
        <w:t xml:space="preserve"> review under the Listing Act has not mandated a common template for investment firms under Article 25(1). However, we strongly believe that standardised pre-trade information requirements should apply to all execution venues, including SIs, which would also allow for simpler processing for regulators.</w:t>
      </w:r>
    </w:p>
    <w:p w14:paraId="442E85EC" w14:textId="77777777" w:rsidR="006144EB" w:rsidRPr="00AC5E2C" w:rsidRDefault="006144EB" w:rsidP="006144EB">
      <w:pPr>
        <w:spacing w:after="0"/>
      </w:pPr>
    </w:p>
    <w:p w14:paraId="3747F98C" w14:textId="71643610" w:rsidR="005D3762" w:rsidRPr="00146479" w:rsidRDefault="006144EB" w:rsidP="005D3762">
      <w:pPr>
        <w:spacing w:after="0"/>
        <w:rPr>
          <w:lang w:val="en-US"/>
        </w:rPr>
      </w:pPr>
      <w:r w:rsidRPr="00AC5E2C">
        <w:t xml:space="preserve">Under the amended MAR regulation, the Commission is required to deliver a report seven years after its entry into force on the functioning of the mechanism to exchange order data under MAR Art. 25a, including the potential inclusion of SIs. Applying common templates to SIs would certainly facilitate their future inclusion, which </w:t>
      </w:r>
      <w:r>
        <w:t>BME</w:t>
      </w:r>
      <w:r w:rsidRPr="00AC5E2C">
        <w:t xml:space="preserve"> strongly advocates to ensure effective market surveillance and a level playing field with trading venues. All transactions, whether on multilateral or bilateral systems, can be negotiated under unequal or manipulated terms or involve potential insider trading. Given that SIs now represent a significant share of trading, not requiring the same information from them as from regulated markets and MTFs poses a risk to market integrity.</w:t>
      </w:r>
    </w:p>
    <w:permEnd w:id="1225332318"/>
    <w:p w14:paraId="5F3D4CB2" w14:textId="38F91CFF" w:rsidR="005D3762" w:rsidRDefault="005D3762" w:rsidP="005D3762">
      <w:pPr>
        <w:spacing w:after="0"/>
      </w:pPr>
      <w:r>
        <w:t>&lt;ESMA_QUESTION_CP3_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E8256DC" w14:textId="633EB43F" w:rsidR="005D3762" w:rsidRDefault="005D3762" w:rsidP="005D3762">
      <w:pPr>
        <w:spacing w:after="0"/>
      </w:pPr>
      <w:r>
        <w:t>&lt;ESMA_QUESTION_CP3_</w:t>
      </w:r>
      <w:r w:rsidR="00BE02A2">
        <w:t>46</w:t>
      </w:r>
      <w:r>
        <w:t>&gt;</w:t>
      </w:r>
    </w:p>
    <w:p w14:paraId="594B0AAA" w14:textId="58776730" w:rsidR="005D3762" w:rsidRDefault="006144EB" w:rsidP="005D3762">
      <w:pPr>
        <w:spacing w:after="0"/>
      </w:pPr>
      <w:permStart w:id="779768261" w:edGrp="everyone"/>
      <w:r w:rsidRPr="006144EB">
        <w:t xml:space="preserve"> </w:t>
      </w:r>
      <w:r>
        <w:t xml:space="preserve">BME is </w:t>
      </w:r>
      <w:r w:rsidRPr="0061002A">
        <w:t>fully supportive of maintaining alignment between reporting under RTS 24 and RTS 22. We consider that aligning the fields between RTS 24 and RTS 22 ensures consistency across regulatory reporting regimes, which can streamline processes and reduce the risk of errors.</w:t>
      </w:r>
    </w:p>
    <w:permEnd w:id="779768261"/>
    <w:p w14:paraId="2EE5064F" w14:textId="49E047BE" w:rsidR="005D3762" w:rsidRDefault="005D3762" w:rsidP="005D3762">
      <w:pPr>
        <w:spacing w:after="0"/>
      </w:pPr>
      <w:r>
        <w:t>&lt;ESMA_QUESTION_CP3_</w:t>
      </w:r>
      <w:r w:rsidR="00BE02A2">
        <w:t>4</w:t>
      </w:r>
      <w:r>
        <w:t>6&gt;</w:t>
      </w:r>
    </w:p>
    <w:p w14:paraId="29DE53E1" w14:textId="77777777" w:rsidR="0029493B" w:rsidRDefault="0029493B" w:rsidP="006B5DF1">
      <w:pPr>
        <w:pStyle w:val="Questionstyle"/>
      </w:pPr>
      <w:r>
        <w:lastRenderedPageBreak/>
        <w:t>Do you support inclusion of the new fields listed above?</w:t>
      </w:r>
    </w:p>
    <w:p w14:paraId="67485EF9" w14:textId="5B19F277" w:rsidR="005D3762" w:rsidRDefault="005D3762" w:rsidP="005D3762">
      <w:pPr>
        <w:spacing w:after="0"/>
      </w:pPr>
      <w:r>
        <w:t>&lt;ESMA_QUESTION_CP3_</w:t>
      </w:r>
      <w:r w:rsidR="00BE02A2">
        <w:t>47</w:t>
      </w:r>
      <w:r>
        <w:t>&gt;</w:t>
      </w:r>
    </w:p>
    <w:p w14:paraId="5C24219E" w14:textId="77777777" w:rsidR="006144EB" w:rsidRDefault="006144EB" w:rsidP="006144EB">
      <w:pPr>
        <w:spacing w:after="0"/>
      </w:pPr>
      <w:permStart w:id="2138990765" w:edGrp="everyone"/>
      <w:r w:rsidRPr="00A61F3D">
        <w:t xml:space="preserve">Including this </w:t>
      </w:r>
      <w:r>
        <w:t>information</w:t>
      </w:r>
      <w:r w:rsidRPr="00A61F3D">
        <w:t xml:space="preserve"> can improve transparency and accuracy in reporting cancelled transactions. It ensures that all relevant information is captured, even for transactions that do not proceed to execution or settlement.</w:t>
      </w:r>
    </w:p>
    <w:p w14:paraId="712A9B03" w14:textId="77777777" w:rsidR="006144EB" w:rsidRDefault="006144EB" w:rsidP="006144EB">
      <w:pPr>
        <w:spacing w:after="0"/>
      </w:pPr>
    </w:p>
    <w:p w14:paraId="5E707742" w14:textId="7A068D8C" w:rsidR="005D3762" w:rsidRDefault="006144EB" w:rsidP="005D3762">
      <w:pPr>
        <w:spacing w:after="0"/>
      </w:pPr>
      <w:r>
        <w:t>However, BME considers that adding a new field to capture the date when a transaction is cancelled is not necessary as the current “Date and Time” field can show that information. Currently “CAME” flag represents the event of a cancellation of an order, a new flag in field 21 can be added to represent the cancellation of a trade.</w:t>
      </w:r>
    </w:p>
    <w:permEnd w:id="2138990765"/>
    <w:p w14:paraId="1B9C0209" w14:textId="7B11EFD8" w:rsidR="005D3762" w:rsidRDefault="005D3762" w:rsidP="005D3762">
      <w:pPr>
        <w:spacing w:after="0"/>
      </w:pPr>
      <w:r>
        <w:t>&lt;ESMA_QUESTION_CP3_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52B19782" w14:textId="2E5A8B08" w:rsidR="005D3762" w:rsidRDefault="005D3762" w:rsidP="005D3762">
      <w:pPr>
        <w:spacing w:after="0"/>
      </w:pPr>
      <w:r>
        <w:t>&lt;ESMA_QUESTION_CP3_</w:t>
      </w:r>
      <w:r w:rsidR="00BE02A2">
        <w:t>48</w:t>
      </w:r>
      <w:r>
        <w:t>&gt;</w:t>
      </w:r>
    </w:p>
    <w:p w14:paraId="7DFB53D7" w14:textId="77777777" w:rsidR="006144EB" w:rsidRDefault="006144EB" w:rsidP="006144EB">
      <w:pPr>
        <w:spacing w:after="0"/>
      </w:pPr>
      <w:permStart w:id="1985704236" w:edGrp="everyone"/>
      <w:r>
        <w:t xml:space="preserve">BME agrees with the addition of the value “NORE” </w:t>
      </w:r>
      <w:r w:rsidRPr="00F9206A">
        <w:t>to identify that the execution decision has</w:t>
      </w:r>
      <w:r>
        <w:t xml:space="preserve"> </w:t>
      </w:r>
      <w:r w:rsidRPr="00F9206A">
        <w:t>not been taken by the market participant</w:t>
      </w:r>
      <w:r>
        <w:t xml:space="preserve"> but by a third party, instead of leaving it empty. </w:t>
      </w:r>
      <w:r w:rsidRPr="000B650A">
        <w:t>This change can help distinguish between decisions made internally and those influenced by external parties.</w:t>
      </w:r>
    </w:p>
    <w:p w14:paraId="2DCC5D23" w14:textId="77777777" w:rsidR="006144EB" w:rsidRDefault="006144EB" w:rsidP="006144EB">
      <w:pPr>
        <w:spacing w:after="0"/>
      </w:pPr>
      <w:r>
        <w:t xml:space="preserve">We consider this a positive change as it enhances the alignment between </w:t>
      </w:r>
      <w:proofErr w:type="spellStart"/>
      <w:r>
        <w:t>between</w:t>
      </w:r>
      <w:proofErr w:type="spellEnd"/>
      <w:r>
        <w:t xml:space="preserve"> ORK and Transaction Reporting</w:t>
      </w:r>
    </w:p>
    <w:p w14:paraId="141DCF46" w14:textId="77777777" w:rsidR="006144EB" w:rsidRDefault="006144EB" w:rsidP="006144EB">
      <w:pPr>
        <w:spacing w:after="0"/>
      </w:pPr>
    </w:p>
    <w:p w14:paraId="56A575D0" w14:textId="77777777" w:rsidR="006144EB" w:rsidRDefault="006144EB" w:rsidP="006144EB">
      <w:pPr>
        <w:spacing w:after="0"/>
      </w:pPr>
      <w:r w:rsidRPr="000400ED">
        <w:t>Regarding the field 3 of RTS 24 for indicating an aggregate client account INT instead of AGG</w:t>
      </w:r>
      <w:r>
        <w:t>R</w:t>
      </w:r>
      <w:r w:rsidRPr="000400ED">
        <w:t xml:space="preserve">, </w:t>
      </w:r>
      <w:r>
        <w:t>BME understands that alignment of t</w:t>
      </w:r>
      <w:r w:rsidRPr="000400ED">
        <w:t>h</w:t>
      </w:r>
      <w:r>
        <w:t xml:space="preserve">is </w:t>
      </w:r>
      <w:r w:rsidRPr="000400ED">
        <w:t xml:space="preserve">field with RTS 22 by using INTC for aggregate client accounts </w:t>
      </w:r>
      <w:r>
        <w:t>(</w:t>
      </w:r>
      <w:r w:rsidRPr="000400ED">
        <w:t>instead of AGG</w:t>
      </w:r>
      <w:r>
        <w:t>R)</w:t>
      </w:r>
      <w:r w:rsidRPr="000400ED">
        <w:t xml:space="preserve"> ensures consistency across reporting frameworks. This amendment can simplify the reporting process and reduce confusion.</w:t>
      </w:r>
    </w:p>
    <w:permEnd w:id="1985704236"/>
    <w:p w14:paraId="78142E4A" w14:textId="0BFB78E1" w:rsidR="005D3762" w:rsidRDefault="005D3762" w:rsidP="005D3762">
      <w:pPr>
        <w:spacing w:after="0"/>
      </w:pPr>
      <w:r>
        <w:t>&lt;ESMA_QUESTION_CP3_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1DB879C6" w14:textId="5C3618E4" w:rsidR="005D3762" w:rsidRDefault="005D3762" w:rsidP="005D3762">
      <w:pPr>
        <w:spacing w:after="0"/>
      </w:pPr>
      <w:r>
        <w:t>&lt;ESMA_QUESTION_CP3_</w:t>
      </w:r>
      <w:r w:rsidR="00BE02A2">
        <w:t>49</w:t>
      </w:r>
      <w:r>
        <w:t>&gt;</w:t>
      </w:r>
    </w:p>
    <w:p w14:paraId="49245049" w14:textId="77777777" w:rsidR="005D3762" w:rsidRDefault="005D3762" w:rsidP="005D3762">
      <w:pPr>
        <w:spacing w:after="0"/>
      </w:pPr>
      <w:permStart w:id="1549152834" w:edGrp="everyone"/>
      <w:r>
        <w:t>TYPE YOUR TEXT HERE</w:t>
      </w:r>
    </w:p>
    <w:permEnd w:id="1549152834"/>
    <w:p w14:paraId="1128D292" w14:textId="2284FBBC" w:rsidR="005D3762" w:rsidRDefault="005D3762" w:rsidP="005D3762">
      <w:pPr>
        <w:spacing w:after="0"/>
      </w:pPr>
      <w:r>
        <w:t>&lt;ESMA_QUESTION_CP3_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DCB9" w14:textId="77777777" w:rsidR="005A7641" w:rsidRDefault="005A7641" w:rsidP="00F716D4">
      <w:r>
        <w:separator/>
      </w:r>
    </w:p>
    <w:p w14:paraId="0E8A8917" w14:textId="77777777" w:rsidR="005A7641" w:rsidRDefault="005A7641" w:rsidP="00F716D4"/>
  </w:endnote>
  <w:endnote w:type="continuationSeparator" w:id="0">
    <w:p w14:paraId="3F2D96A5" w14:textId="77777777" w:rsidR="005A7641" w:rsidRDefault="005A7641" w:rsidP="00F716D4">
      <w:r>
        <w:continuationSeparator/>
      </w:r>
    </w:p>
    <w:p w14:paraId="52F91214" w14:textId="77777777" w:rsidR="005A7641" w:rsidRDefault="005A7641" w:rsidP="00F716D4"/>
  </w:endnote>
  <w:endnote w:type="continuationNotice" w:id="1">
    <w:p w14:paraId="42D5D278" w14:textId="77777777" w:rsidR="005A7641" w:rsidRDefault="005A764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CBD0" w14:textId="10D63DED" w:rsidR="005A4533" w:rsidRDefault="00000F25">
    <w:pPr>
      <w:pStyle w:val="Piedepgina"/>
    </w:pPr>
    <w:r>
      <w:rPr>
        <w:noProof/>
      </w:rPr>
      <mc:AlternateContent>
        <mc:Choice Requires="wps">
          <w:drawing>
            <wp:anchor distT="0" distB="0" distL="0" distR="0" simplePos="0" relativeHeight="251668480" behindDoc="0" locked="0" layoutInCell="1" allowOverlap="1" wp14:anchorId="06127961" wp14:editId="67848529">
              <wp:simplePos x="635" y="635"/>
              <wp:positionH relativeFrom="page">
                <wp:align>left</wp:align>
              </wp:positionH>
              <wp:positionV relativeFrom="page">
                <wp:align>bottom</wp:align>
              </wp:positionV>
              <wp:extent cx="443865" cy="443865"/>
              <wp:effectExtent l="0" t="0" r="1270" b="0"/>
              <wp:wrapNone/>
              <wp:docPr id="258379127"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0A997" w14:textId="3006C2D9"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127961" id="_x0000_t202" coordsize="21600,21600" o:spt="202" path="m,l,21600r21600,l21600,xe">
              <v:stroke joinstyle="miter"/>
              <v:path gradientshapeok="t" o:connecttype="rect"/>
            </v:shapetype>
            <v:shape id="Cuadro de texto 2" o:spid="_x0000_s1026" type="#_x0000_t202" alt="Sensitivity: C2 Internal"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0D0A997" w14:textId="3006C2D9"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1E480B35" w:rsidR="00C54034" w:rsidRPr="00104E00" w:rsidRDefault="00000F25" w:rsidP="00104E00">
    <w:pPr>
      <w:pStyle w:val="Piedepgina"/>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69504" behindDoc="0" locked="0" layoutInCell="1" allowOverlap="1" wp14:anchorId="4CE2BB8E" wp14:editId="1CD3837E">
              <wp:simplePos x="635" y="635"/>
              <wp:positionH relativeFrom="page">
                <wp:align>left</wp:align>
              </wp:positionH>
              <wp:positionV relativeFrom="page">
                <wp:align>bottom</wp:align>
              </wp:positionV>
              <wp:extent cx="443865" cy="443865"/>
              <wp:effectExtent l="0" t="0" r="1270" b="0"/>
              <wp:wrapNone/>
              <wp:docPr id="780737851"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7126BC" w14:textId="2DE7BEB5"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E2BB8E" id="_x0000_t202" coordsize="21600,21600" o:spt="202" path="m,l,21600r21600,l21600,xe">
              <v:stroke joinstyle="miter"/>
              <v:path gradientshapeok="t" o:connecttype="rect"/>
            </v:shapetype>
            <v:shape id="Cuadro de texto 3" o:spid="_x0000_s1027" type="#_x0000_t202" alt="Sensitivity: C2 Internal"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67126BC" w14:textId="2DE7BEB5"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ipervnculo"/>
          <w:sz w:val="15"/>
          <w:szCs w:val="15"/>
          <w:lang w:val="fr-FR"/>
        </w:rPr>
        <w:t>www.esma.</w:t>
      </w:r>
      <w:r w:rsidR="00104E00" w:rsidRPr="00A8626B">
        <w:rPr>
          <w:rStyle w:val="Hipervnculo"/>
          <w:sz w:val="15"/>
          <w:szCs w:val="15"/>
          <w:lang w:val="fr-BE"/>
        </w:rPr>
        <w:t>europa</w:t>
      </w:r>
      <w:r w:rsidR="00104E00" w:rsidRPr="00A8626B">
        <w:rPr>
          <w:rStyle w:val="Hipervnculo"/>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104E00" w:rsidRPr="00104E00">
          <w:rPr>
            <w:color w:val="001B4F"/>
            <w:sz w:val="15"/>
            <w:szCs w:val="15"/>
          </w:rPr>
          <w:fldChar w:fldCharType="begin"/>
        </w:r>
        <w:r w:rsidR="00104E00" w:rsidRPr="00104E00">
          <w:rPr>
            <w:color w:val="001B4F"/>
            <w:sz w:val="15"/>
            <w:szCs w:val="15"/>
            <w:lang w:val="fr-FR"/>
          </w:rPr>
          <w:instrText xml:space="preserve"> PAGE   \* MERGEFORMAT </w:instrText>
        </w:r>
        <w:r w:rsidR="00104E00" w:rsidRPr="00104E00">
          <w:rPr>
            <w:color w:val="001B4F"/>
            <w:sz w:val="15"/>
            <w:szCs w:val="15"/>
          </w:rPr>
          <w:fldChar w:fldCharType="separate"/>
        </w:r>
        <w:r w:rsidR="00104E00">
          <w:rPr>
            <w:color w:val="001B4F"/>
            <w:sz w:val="15"/>
            <w:szCs w:val="15"/>
          </w:rPr>
          <w:t>2</w:t>
        </w:r>
        <w:r w:rsidR="00104E00"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2110" w14:textId="7C12D394" w:rsidR="005A4533" w:rsidRDefault="00000F25">
    <w:pPr>
      <w:pStyle w:val="Piedepgina"/>
    </w:pPr>
    <w:r>
      <w:rPr>
        <w:noProof/>
      </w:rPr>
      <mc:AlternateContent>
        <mc:Choice Requires="wps">
          <w:drawing>
            <wp:anchor distT="0" distB="0" distL="0" distR="0" simplePos="0" relativeHeight="251667456" behindDoc="0" locked="0" layoutInCell="1" allowOverlap="1" wp14:anchorId="794BD7D0" wp14:editId="0F3A4D23">
              <wp:simplePos x="899160" y="9898380"/>
              <wp:positionH relativeFrom="page">
                <wp:align>left</wp:align>
              </wp:positionH>
              <wp:positionV relativeFrom="page">
                <wp:align>bottom</wp:align>
              </wp:positionV>
              <wp:extent cx="443865" cy="443865"/>
              <wp:effectExtent l="0" t="0" r="1270" b="0"/>
              <wp:wrapNone/>
              <wp:docPr id="494198195"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F55FD" w14:textId="72628726"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4BD7D0" id="_x0000_t202" coordsize="21600,21600" o:spt="202" path="m,l,21600r21600,l21600,xe">
              <v:stroke joinstyle="miter"/>
              <v:path gradientshapeok="t" o:connecttype="rect"/>
            </v:shapetype>
            <v:shape id="Cuadro de texto 1" o:spid="_x0000_s1028" type="#_x0000_t202" alt="Sensitivity: C2 Internal"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70F55FD" w14:textId="72628726"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AFC0" w14:textId="2E17806D" w:rsidR="00000F25" w:rsidRDefault="00000F25">
    <w:pPr>
      <w:pStyle w:val="Piedepgina"/>
    </w:pPr>
    <w:r>
      <w:rPr>
        <w:noProof/>
      </w:rPr>
      <mc:AlternateContent>
        <mc:Choice Requires="wps">
          <w:drawing>
            <wp:anchor distT="0" distB="0" distL="0" distR="0" simplePos="0" relativeHeight="251671552" behindDoc="0" locked="0" layoutInCell="1" allowOverlap="1" wp14:anchorId="56A697D5" wp14:editId="27ED5A82">
              <wp:simplePos x="635" y="635"/>
              <wp:positionH relativeFrom="page">
                <wp:align>left</wp:align>
              </wp:positionH>
              <wp:positionV relativeFrom="page">
                <wp:align>bottom</wp:align>
              </wp:positionV>
              <wp:extent cx="443865" cy="443865"/>
              <wp:effectExtent l="0" t="0" r="1270" b="0"/>
              <wp:wrapNone/>
              <wp:docPr id="1494904666" name="Cuadro de texto 5"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E778EB" w14:textId="6D1697E6"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A697D5" id="_x0000_t202" coordsize="21600,21600" o:spt="202" path="m,l,21600r21600,l21600,xe">
              <v:stroke joinstyle="miter"/>
              <v:path gradientshapeok="t" o:connecttype="rect"/>
            </v:shapetype>
            <v:shape id="Cuadro de texto 5" o:spid="_x0000_s1029" type="#_x0000_t202" alt="Sensitivity: C2 Internal"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AE778EB" w14:textId="6D1697E6"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527D" w14:textId="3B46C5B8" w:rsidR="00000F25" w:rsidRDefault="00000F25">
    <w:pPr>
      <w:pStyle w:val="Piedepgina"/>
    </w:pPr>
    <w:r>
      <w:rPr>
        <w:noProof/>
      </w:rPr>
      <mc:AlternateContent>
        <mc:Choice Requires="wps">
          <w:drawing>
            <wp:anchor distT="0" distB="0" distL="0" distR="0" simplePos="0" relativeHeight="251672576" behindDoc="0" locked="0" layoutInCell="1" allowOverlap="1" wp14:anchorId="251BE5B5" wp14:editId="5FA432A6">
              <wp:simplePos x="635" y="635"/>
              <wp:positionH relativeFrom="page">
                <wp:align>left</wp:align>
              </wp:positionH>
              <wp:positionV relativeFrom="page">
                <wp:align>bottom</wp:align>
              </wp:positionV>
              <wp:extent cx="443865" cy="443865"/>
              <wp:effectExtent l="0" t="0" r="1270" b="0"/>
              <wp:wrapNone/>
              <wp:docPr id="1962929269" name="Cuadro de texto 6"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2A723" w14:textId="5B929D7D"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1BE5B5" id="_x0000_t202" coordsize="21600,21600" o:spt="202" path="m,l,21600r21600,l21600,xe">
              <v:stroke joinstyle="miter"/>
              <v:path gradientshapeok="t" o:connecttype="rect"/>
            </v:shapetype>
            <v:shape id="Cuadro de texto 6" o:spid="_x0000_s1030" type="#_x0000_t202" alt="Sensitivity: C2 Internal"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9C2A723" w14:textId="5B929D7D"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2D36FC42" w:rsidR="00C54034" w:rsidRPr="00104E00" w:rsidRDefault="00000F25" w:rsidP="00104E00">
    <w:pPr>
      <w:pStyle w:val="Piedepgina"/>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70528" behindDoc="0" locked="0" layoutInCell="1" allowOverlap="1" wp14:anchorId="317841E0" wp14:editId="1B0486FD">
              <wp:simplePos x="792480" y="9958070"/>
              <wp:positionH relativeFrom="page">
                <wp:align>left</wp:align>
              </wp:positionH>
              <wp:positionV relativeFrom="page">
                <wp:align>bottom</wp:align>
              </wp:positionV>
              <wp:extent cx="443865" cy="443865"/>
              <wp:effectExtent l="0" t="0" r="1270" b="0"/>
              <wp:wrapNone/>
              <wp:docPr id="2132958956" name="Cuadro de texto 4"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DBBF44" w14:textId="65455C28"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7841E0" id="_x0000_t202" coordsize="21600,21600" o:spt="202" path="m,l,21600r21600,l21600,xe">
              <v:stroke joinstyle="miter"/>
              <v:path gradientshapeok="t" o:connecttype="rect"/>
            </v:shapetype>
            <v:shape id="Cuadro de texto 4" o:spid="_x0000_s1031" type="#_x0000_t202" alt="Sensitivity: C2 Internal"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0CDBBF44" w14:textId="65455C28" w:rsidR="00000F25" w:rsidRPr="00000F25" w:rsidRDefault="00000F25" w:rsidP="00000F25">
                    <w:pPr>
                      <w:spacing w:after="0"/>
                      <w:rPr>
                        <w:rFonts w:ascii="Calibri" w:eastAsia="Calibri" w:hAnsi="Calibri" w:cs="Calibri"/>
                        <w:noProof/>
                        <w:color w:val="000000"/>
                        <w:sz w:val="20"/>
                      </w:rPr>
                    </w:pPr>
                    <w:r w:rsidRPr="00000F25">
                      <w:rPr>
                        <w:rFonts w:ascii="Calibri" w:eastAsia="Calibri" w:hAnsi="Calibri" w:cs="Calibri"/>
                        <w:noProof/>
                        <w:color w:val="000000"/>
                        <w:sz w:val="20"/>
                      </w:rPr>
                      <w:t>Sensitivity: C2 Internal</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ipervnculo"/>
          <w:sz w:val="15"/>
          <w:szCs w:val="15"/>
          <w:lang w:val="fr-FR"/>
        </w:rPr>
        <w:t>www.esma.</w:t>
      </w:r>
      <w:r w:rsidR="00104E00" w:rsidRPr="00A8626B">
        <w:rPr>
          <w:rStyle w:val="Hipervnculo"/>
          <w:sz w:val="15"/>
          <w:szCs w:val="15"/>
          <w:lang w:val="fr-BE"/>
        </w:rPr>
        <w:t>europa</w:t>
      </w:r>
      <w:r w:rsidR="00104E00" w:rsidRPr="00A8626B">
        <w:rPr>
          <w:rStyle w:val="Hipervnculo"/>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93A0" w14:textId="77777777" w:rsidR="005A7641" w:rsidRDefault="005A7641" w:rsidP="00F716D4">
      <w:r>
        <w:separator/>
      </w:r>
    </w:p>
    <w:p w14:paraId="18445BEF" w14:textId="77777777" w:rsidR="005A7641" w:rsidRDefault="005A7641" w:rsidP="00F716D4"/>
  </w:footnote>
  <w:footnote w:type="continuationSeparator" w:id="0">
    <w:p w14:paraId="1D3E33B4" w14:textId="77777777" w:rsidR="005A7641" w:rsidRDefault="005A7641" w:rsidP="00F716D4">
      <w:r>
        <w:continuationSeparator/>
      </w:r>
    </w:p>
    <w:p w14:paraId="765233A3" w14:textId="77777777" w:rsidR="005A7641" w:rsidRDefault="005A7641" w:rsidP="00F716D4"/>
  </w:footnote>
  <w:footnote w:type="continuationNotice" w:id="1">
    <w:p w14:paraId="2A78EE95" w14:textId="77777777" w:rsidR="005A7641" w:rsidRDefault="005A7641"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3789" w14:textId="77777777" w:rsidR="005A4533" w:rsidRDefault="005A45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A53D1"/>
    <w:multiLevelType w:val="hybridMultilevel"/>
    <w:tmpl w:val="FDA41252"/>
    <w:lvl w:ilvl="0" w:tplc="1D1C25AE">
      <w:numFmt w:val="bullet"/>
      <w:lvlText w:val="-"/>
      <w:lvlJc w:val="left"/>
      <w:pPr>
        <w:ind w:left="720" w:hanging="360"/>
      </w:pPr>
      <w:rPr>
        <w:rFonts w:ascii="Arial" w:eastAsiaTheme="minorEastAs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520C49"/>
    <w:multiLevelType w:val="hybridMultilevel"/>
    <w:tmpl w:val="357E702C"/>
    <w:lvl w:ilvl="0" w:tplc="F5FA2F4E">
      <w:start w:val="10"/>
      <w:numFmt w:val="bullet"/>
      <w:lvlText w:val="-"/>
      <w:lvlJc w:val="left"/>
      <w:pPr>
        <w:ind w:left="720" w:hanging="360"/>
      </w:pPr>
      <w:rPr>
        <w:rFonts w:ascii="Arial" w:eastAsia="Yu Gothic"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B65F3"/>
    <w:multiLevelType w:val="hybridMultilevel"/>
    <w:tmpl w:val="DDC0BFC6"/>
    <w:lvl w:ilvl="0" w:tplc="3F0282C2">
      <w:numFmt w:val="bullet"/>
      <w:lvlText w:val="•"/>
      <w:lvlJc w:val="left"/>
      <w:pPr>
        <w:ind w:left="1068" w:hanging="708"/>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Ttu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0"/>
  </w:num>
  <w:num w:numId="3" w16cid:durableId="550074866">
    <w:abstractNumId w:val="11"/>
  </w:num>
  <w:num w:numId="4" w16cid:durableId="1881627233">
    <w:abstractNumId w:val="25"/>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2"/>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1"/>
  </w:num>
  <w:num w:numId="13" w16cid:durableId="1879658227">
    <w:abstractNumId w:val="24"/>
  </w:num>
  <w:num w:numId="14" w16cid:durableId="1495758855">
    <w:abstractNumId w:val="10"/>
  </w:num>
  <w:num w:numId="15" w16cid:durableId="1186556611">
    <w:abstractNumId w:val="1"/>
  </w:num>
  <w:num w:numId="16" w16cid:durableId="679087124">
    <w:abstractNumId w:val="15"/>
  </w:num>
  <w:num w:numId="17" w16cid:durableId="1695498691">
    <w:abstractNumId w:val="16"/>
  </w:num>
  <w:num w:numId="18" w16cid:durableId="1042363640">
    <w:abstractNumId w:val="18"/>
  </w:num>
  <w:num w:numId="19" w16cid:durableId="820345968">
    <w:abstractNumId w:val="27"/>
  </w:num>
  <w:num w:numId="20" w16cid:durableId="1805388212">
    <w:abstractNumId w:val="36"/>
  </w:num>
  <w:num w:numId="21" w16cid:durableId="538709007">
    <w:abstractNumId w:val="26"/>
  </w:num>
  <w:num w:numId="22" w16cid:durableId="104540172">
    <w:abstractNumId w:val="9"/>
  </w:num>
  <w:num w:numId="23" w16cid:durableId="1824349076">
    <w:abstractNumId w:val="30"/>
  </w:num>
  <w:num w:numId="24" w16cid:durableId="672032853">
    <w:abstractNumId w:val="29"/>
  </w:num>
  <w:num w:numId="25" w16cid:durableId="48917541">
    <w:abstractNumId w:val="21"/>
  </w:num>
  <w:num w:numId="26" w16cid:durableId="978925443">
    <w:abstractNumId w:val="33"/>
  </w:num>
  <w:num w:numId="27" w16cid:durableId="1036613928">
    <w:abstractNumId w:val="38"/>
  </w:num>
  <w:num w:numId="28" w16cid:durableId="872039349">
    <w:abstractNumId w:val="7"/>
  </w:num>
  <w:num w:numId="29" w16cid:durableId="924530660">
    <w:abstractNumId w:val="2"/>
  </w:num>
  <w:num w:numId="30" w16cid:durableId="419180233">
    <w:abstractNumId w:val="23"/>
  </w:num>
  <w:num w:numId="31" w16cid:durableId="276761337">
    <w:abstractNumId w:val="22"/>
  </w:num>
  <w:num w:numId="32" w16cid:durableId="1166238383">
    <w:abstractNumId w:val="35"/>
  </w:num>
  <w:num w:numId="33" w16cid:durableId="2076850202">
    <w:abstractNumId w:val="34"/>
  </w:num>
  <w:num w:numId="34" w16cid:durableId="469176496">
    <w:abstractNumId w:val="13"/>
  </w:num>
  <w:num w:numId="35" w16cid:durableId="674843309">
    <w:abstractNumId w:val="19"/>
  </w:num>
  <w:num w:numId="36" w16cid:durableId="1954971501">
    <w:abstractNumId w:val="39"/>
  </w:num>
  <w:num w:numId="37" w16cid:durableId="1358502066">
    <w:abstractNumId w:val="3"/>
  </w:num>
  <w:num w:numId="38" w16cid:durableId="1497768480">
    <w:abstractNumId w:val="6"/>
  </w:num>
  <w:num w:numId="39" w16cid:durableId="1951933563">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0DCE"/>
    <w:rsid w:val="00000F25"/>
    <w:rsid w:val="00001490"/>
    <w:rsid w:val="00002232"/>
    <w:rsid w:val="00002491"/>
    <w:rsid w:val="000035AD"/>
    <w:rsid w:val="0000378E"/>
    <w:rsid w:val="00003AEB"/>
    <w:rsid w:val="00005BBA"/>
    <w:rsid w:val="00005D8C"/>
    <w:rsid w:val="00006C2B"/>
    <w:rsid w:val="00007014"/>
    <w:rsid w:val="00007968"/>
    <w:rsid w:val="0001067A"/>
    <w:rsid w:val="00013CCE"/>
    <w:rsid w:val="000140D5"/>
    <w:rsid w:val="0001410B"/>
    <w:rsid w:val="000141D6"/>
    <w:rsid w:val="000147E1"/>
    <w:rsid w:val="00014A95"/>
    <w:rsid w:val="00015B5E"/>
    <w:rsid w:val="00015F1D"/>
    <w:rsid w:val="0001774B"/>
    <w:rsid w:val="00020D0F"/>
    <w:rsid w:val="000215EB"/>
    <w:rsid w:val="00021E83"/>
    <w:rsid w:val="000236DC"/>
    <w:rsid w:val="00023713"/>
    <w:rsid w:val="00023C4D"/>
    <w:rsid w:val="00025E71"/>
    <w:rsid w:val="00026226"/>
    <w:rsid w:val="00026269"/>
    <w:rsid w:val="00027154"/>
    <w:rsid w:val="00027ECF"/>
    <w:rsid w:val="000303BE"/>
    <w:rsid w:val="00033A94"/>
    <w:rsid w:val="000344D6"/>
    <w:rsid w:val="00034960"/>
    <w:rsid w:val="00036FAE"/>
    <w:rsid w:val="00037DC1"/>
    <w:rsid w:val="00041858"/>
    <w:rsid w:val="00042A63"/>
    <w:rsid w:val="0004389E"/>
    <w:rsid w:val="0004507D"/>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86A"/>
    <w:rsid w:val="00066479"/>
    <w:rsid w:val="00066D61"/>
    <w:rsid w:val="0006723C"/>
    <w:rsid w:val="0006746D"/>
    <w:rsid w:val="00070376"/>
    <w:rsid w:val="00070630"/>
    <w:rsid w:val="00070974"/>
    <w:rsid w:val="00071EAD"/>
    <w:rsid w:val="00071F4E"/>
    <w:rsid w:val="00072271"/>
    <w:rsid w:val="00072B54"/>
    <w:rsid w:val="0007463D"/>
    <w:rsid w:val="00074979"/>
    <w:rsid w:val="000749F0"/>
    <w:rsid w:val="0007609D"/>
    <w:rsid w:val="000777FA"/>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24B"/>
    <w:rsid w:val="0009752D"/>
    <w:rsid w:val="000977E1"/>
    <w:rsid w:val="00097AEE"/>
    <w:rsid w:val="000A014A"/>
    <w:rsid w:val="000A0396"/>
    <w:rsid w:val="000A04B6"/>
    <w:rsid w:val="000A0E36"/>
    <w:rsid w:val="000A181C"/>
    <w:rsid w:val="000A1BD2"/>
    <w:rsid w:val="000A2127"/>
    <w:rsid w:val="000A358F"/>
    <w:rsid w:val="000A43CC"/>
    <w:rsid w:val="000A7314"/>
    <w:rsid w:val="000A7609"/>
    <w:rsid w:val="000A7B53"/>
    <w:rsid w:val="000A7B64"/>
    <w:rsid w:val="000B236E"/>
    <w:rsid w:val="000B275C"/>
    <w:rsid w:val="000B289C"/>
    <w:rsid w:val="000B2C3D"/>
    <w:rsid w:val="000B471B"/>
    <w:rsid w:val="000B55C0"/>
    <w:rsid w:val="000B5DF2"/>
    <w:rsid w:val="000B7BA4"/>
    <w:rsid w:val="000C014E"/>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5E92"/>
    <w:rsid w:val="000D705D"/>
    <w:rsid w:val="000D71F1"/>
    <w:rsid w:val="000D7EB9"/>
    <w:rsid w:val="000E0223"/>
    <w:rsid w:val="000E0627"/>
    <w:rsid w:val="000E0CF3"/>
    <w:rsid w:val="000E1127"/>
    <w:rsid w:val="000E18A8"/>
    <w:rsid w:val="000E1AEC"/>
    <w:rsid w:val="000E3293"/>
    <w:rsid w:val="000E3937"/>
    <w:rsid w:val="000E4926"/>
    <w:rsid w:val="000E49B7"/>
    <w:rsid w:val="000E560A"/>
    <w:rsid w:val="000E5F7F"/>
    <w:rsid w:val="000E7086"/>
    <w:rsid w:val="000E7C65"/>
    <w:rsid w:val="000F04D2"/>
    <w:rsid w:val="000F4A54"/>
    <w:rsid w:val="000F55B7"/>
    <w:rsid w:val="000F5720"/>
    <w:rsid w:val="000F5C4F"/>
    <w:rsid w:val="000F604F"/>
    <w:rsid w:val="000F6D42"/>
    <w:rsid w:val="000F72B4"/>
    <w:rsid w:val="000F7399"/>
    <w:rsid w:val="001012FB"/>
    <w:rsid w:val="00101BF1"/>
    <w:rsid w:val="001027F1"/>
    <w:rsid w:val="00104E00"/>
    <w:rsid w:val="00104F2E"/>
    <w:rsid w:val="0010530F"/>
    <w:rsid w:val="001072DD"/>
    <w:rsid w:val="00107A99"/>
    <w:rsid w:val="001101E8"/>
    <w:rsid w:val="00110AB2"/>
    <w:rsid w:val="00110D7A"/>
    <w:rsid w:val="00111464"/>
    <w:rsid w:val="0011167D"/>
    <w:rsid w:val="00112892"/>
    <w:rsid w:val="00112E48"/>
    <w:rsid w:val="001130EA"/>
    <w:rsid w:val="001138E8"/>
    <w:rsid w:val="00114259"/>
    <w:rsid w:val="001143E6"/>
    <w:rsid w:val="0011617A"/>
    <w:rsid w:val="001168B2"/>
    <w:rsid w:val="00117C20"/>
    <w:rsid w:val="001209B7"/>
    <w:rsid w:val="00120F0E"/>
    <w:rsid w:val="00121A5D"/>
    <w:rsid w:val="00121BED"/>
    <w:rsid w:val="00122FF2"/>
    <w:rsid w:val="00123D39"/>
    <w:rsid w:val="001244CD"/>
    <w:rsid w:val="0012566F"/>
    <w:rsid w:val="001262B1"/>
    <w:rsid w:val="00130687"/>
    <w:rsid w:val="00130F41"/>
    <w:rsid w:val="00130FAF"/>
    <w:rsid w:val="001352B7"/>
    <w:rsid w:val="00135F2B"/>
    <w:rsid w:val="001372DD"/>
    <w:rsid w:val="0014033C"/>
    <w:rsid w:val="001405BA"/>
    <w:rsid w:val="00141497"/>
    <w:rsid w:val="0014253A"/>
    <w:rsid w:val="001425C8"/>
    <w:rsid w:val="001431AE"/>
    <w:rsid w:val="00143B87"/>
    <w:rsid w:val="00143C29"/>
    <w:rsid w:val="001459E3"/>
    <w:rsid w:val="00146479"/>
    <w:rsid w:val="00146A0B"/>
    <w:rsid w:val="0014761E"/>
    <w:rsid w:val="00147BB6"/>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5992"/>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3680"/>
    <w:rsid w:val="0019508A"/>
    <w:rsid w:val="001960D8"/>
    <w:rsid w:val="001A1642"/>
    <w:rsid w:val="001A2238"/>
    <w:rsid w:val="001A371B"/>
    <w:rsid w:val="001A3F78"/>
    <w:rsid w:val="001A4766"/>
    <w:rsid w:val="001A5899"/>
    <w:rsid w:val="001A6A0D"/>
    <w:rsid w:val="001A6C51"/>
    <w:rsid w:val="001A6FAA"/>
    <w:rsid w:val="001A75E5"/>
    <w:rsid w:val="001A7D73"/>
    <w:rsid w:val="001B0363"/>
    <w:rsid w:val="001B1355"/>
    <w:rsid w:val="001B2FC9"/>
    <w:rsid w:val="001B3138"/>
    <w:rsid w:val="001B4E4B"/>
    <w:rsid w:val="001B50AC"/>
    <w:rsid w:val="001B5E05"/>
    <w:rsid w:val="001B6D68"/>
    <w:rsid w:val="001B6F2E"/>
    <w:rsid w:val="001B7FE5"/>
    <w:rsid w:val="001C0344"/>
    <w:rsid w:val="001C0F2A"/>
    <w:rsid w:val="001C1A59"/>
    <w:rsid w:val="001C1F9F"/>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759"/>
    <w:rsid w:val="001F697B"/>
    <w:rsid w:val="002005A6"/>
    <w:rsid w:val="00203218"/>
    <w:rsid w:val="002035D7"/>
    <w:rsid w:val="00204CBC"/>
    <w:rsid w:val="002051F1"/>
    <w:rsid w:val="002067BA"/>
    <w:rsid w:val="0021058D"/>
    <w:rsid w:val="00211E2F"/>
    <w:rsid w:val="00211E9E"/>
    <w:rsid w:val="00214FB4"/>
    <w:rsid w:val="00215940"/>
    <w:rsid w:val="00215FE7"/>
    <w:rsid w:val="00217C23"/>
    <w:rsid w:val="00220561"/>
    <w:rsid w:val="00220CE4"/>
    <w:rsid w:val="00222D9B"/>
    <w:rsid w:val="00223788"/>
    <w:rsid w:val="00223D11"/>
    <w:rsid w:val="002242D3"/>
    <w:rsid w:val="00227C1A"/>
    <w:rsid w:val="002301E6"/>
    <w:rsid w:val="002321DC"/>
    <w:rsid w:val="00232555"/>
    <w:rsid w:val="00232F90"/>
    <w:rsid w:val="00233B08"/>
    <w:rsid w:val="00233C3B"/>
    <w:rsid w:val="0023499C"/>
    <w:rsid w:val="00235CE3"/>
    <w:rsid w:val="0023636A"/>
    <w:rsid w:val="00236801"/>
    <w:rsid w:val="00236F34"/>
    <w:rsid w:val="002372F7"/>
    <w:rsid w:val="00237775"/>
    <w:rsid w:val="00237FA3"/>
    <w:rsid w:val="00240532"/>
    <w:rsid w:val="00240651"/>
    <w:rsid w:val="00240803"/>
    <w:rsid w:val="00240947"/>
    <w:rsid w:val="00242504"/>
    <w:rsid w:val="0024426D"/>
    <w:rsid w:val="00244F1D"/>
    <w:rsid w:val="00245004"/>
    <w:rsid w:val="00245FB4"/>
    <w:rsid w:val="002478C8"/>
    <w:rsid w:val="00250898"/>
    <w:rsid w:val="00251EA9"/>
    <w:rsid w:val="00252843"/>
    <w:rsid w:val="00253C4E"/>
    <w:rsid w:val="00254056"/>
    <w:rsid w:val="002543F8"/>
    <w:rsid w:val="00254B8A"/>
    <w:rsid w:val="002551A4"/>
    <w:rsid w:val="002559F3"/>
    <w:rsid w:val="00256DFE"/>
    <w:rsid w:val="00257353"/>
    <w:rsid w:val="00257715"/>
    <w:rsid w:val="0026128C"/>
    <w:rsid w:val="00261D56"/>
    <w:rsid w:val="00261FD3"/>
    <w:rsid w:val="00262A19"/>
    <w:rsid w:val="00263505"/>
    <w:rsid w:val="00264077"/>
    <w:rsid w:val="00266B9A"/>
    <w:rsid w:val="00270E54"/>
    <w:rsid w:val="00271B72"/>
    <w:rsid w:val="00273633"/>
    <w:rsid w:val="00273681"/>
    <w:rsid w:val="00275176"/>
    <w:rsid w:val="002754B5"/>
    <w:rsid w:val="002764C5"/>
    <w:rsid w:val="00276A5A"/>
    <w:rsid w:val="002772AE"/>
    <w:rsid w:val="00280613"/>
    <w:rsid w:val="00280D93"/>
    <w:rsid w:val="002819C4"/>
    <w:rsid w:val="0028274D"/>
    <w:rsid w:val="00282B96"/>
    <w:rsid w:val="002833D6"/>
    <w:rsid w:val="00283F51"/>
    <w:rsid w:val="00286064"/>
    <w:rsid w:val="002867B1"/>
    <w:rsid w:val="002868FC"/>
    <w:rsid w:val="00286CA7"/>
    <w:rsid w:val="00287BBB"/>
    <w:rsid w:val="00287E3B"/>
    <w:rsid w:val="00290638"/>
    <w:rsid w:val="00291763"/>
    <w:rsid w:val="00291D80"/>
    <w:rsid w:val="00292BAA"/>
    <w:rsid w:val="00292E82"/>
    <w:rsid w:val="00293156"/>
    <w:rsid w:val="00293BE7"/>
    <w:rsid w:val="00293D78"/>
    <w:rsid w:val="002946DC"/>
    <w:rsid w:val="0029493B"/>
    <w:rsid w:val="002A0C82"/>
    <w:rsid w:val="002A0CD8"/>
    <w:rsid w:val="002A13EB"/>
    <w:rsid w:val="002A35EF"/>
    <w:rsid w:val="002A3DE0"/>
    <w:rsid w:val="002A403C"/>
    <w:rsid w:val="002A40EA"/>
    <w:rsid w:val="002A41CA"/>
    <w:rsid w:val="002A46E8"/>
    <w:rsid w:val="002A491C"/>
    <w:rsid w:val="002A4C8E"/>
    <w:rsid w:val="002B1FEF"/>
    <w:rsid w:val="002B2D92"/>
    <w:rsid w:val="002B2DF8"/>
    <w:rsid w:val="002B3473"/>
    <w:rsid w:val="002B354F"/>
    <w:rsid w:val="002B3614"/>
    <w:rsid w:val="002B45D1"/>
    <w:rsid w:val="002B4ED8"/>
    <w:rsid w:val="002B4FAA"/>
    <w:rsid w:val="002B52C2"/>
    <w:rsid w:val="002B72A1"/>
    <w:rsid w:val="002B7656"/>
    <w:rsid w:val="002C01D1"/>
    <w:rsid w:val="002C0642"/>
    <w:rsid w:val="002C1492"/>
    <w:rsid w:val="002C1E8B"/>
    <w:rsid w:val="002C2DF7"/>
    <w:rsid w:val="002C2EFE"/>
    <w:rsid w:val="002C53AA"/>
    <w:rsid w:val="002C5B2D"/>
    <w:rsid w:val="002C6AF9"/>
    <w:rsid w:val="002C6B9F"/>
    <w:rsid w:val="002C7DFC"/>
    <w:rsid w:val="002D08B8"/>
    <w:rsid w:val="002D14F3"/>
    <w:rsid w:val="002D16E4"/>
    <w:rsid w:val="002D2FEF"/>
    <w:rsid w:val="002D36A3"/>
    <w:rsid w:val="002D36C2"/>
    <w:rsid w:val="002D3E3E"/>
    <w:rsid w:val="002D3FCB"/>
    <w:rsid w:val="002D4FEF"/>
    <w:rsid w:val="002D502D"/>
    <w:rsid w:val="002D63F5"/>
    <w:rsid w:val="002D699F"/>
    <w:rsid w:val="002D6E1A"/>
    <w:rsid w:val="002E036D"/>
    <w:rsid w:val="002E0907"/>
    <w:rsid w:val="002E10A5"/>
    <w:rsid w:val="002E1517"/>
    <w:rsid w:val="002E1760"/>
    <w:rsid w:val="002E1B22"/>
    <w:rsid w:val="002E2DC6"/>
    <w:rsid w:val="002E387F"/>
    <w:rsid w:val="002E4B7F"/>
    <w:rsid w:val="002E76FC"/>
    <w:rsid w:val="002E7F4B"/>
    <w:rsid w:val="002F0C91"/>
    <w:rsid w:val="002F0E3E"/>
    <w:rsid w:val="002F1683"/>
    <w:rsid w:val="002F1B19"/>
    <w:rsid w:val="002F1FBF"/>
    <w:rsid w:val="002F4139"/>
    <w:rsid w:val="002F4474"/>
    <w:rsid w:val="00300624"/>
    <w:rsid w:val="00300F56"/>
    <w:rsid w:val="00301006"/>
    <w:rsid w:val="00301C2B"/>
    <w:rsid w:val="00303A70"/>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164A"/>
    <w:rsid w:val="003223D7"/>
    <w:rsid w:val="003226DE"/>
    <w:rsid w:val="00323D9F"/>
    <w:rsid w:val="00324491"/>
    <w:rsid w:val="00324FDB"/>
    <w:rsid w:val="0032560C"/>
    <w:rsid w:val="00325646"/>
    <w:rsid w:val="00325F48"/>
    <w:rsid w:val="0033194F"/>
    <w:rsid w:val="00332304"/>
    <w:rsid w:val="00332406"/>
    <w:rsid w:val="00332D8D"/>
    <w:rsid w:val="00336B56"/>
    <w:rsid w:val="00341B25"/>
    <w:rsid w:val="00341CE0"/>
    <w:rsid w:val="00341EC0"/>
    <w:rsid w:val="0034240C"/>
    <w:rsid w:val="0034374F"/>
    <w:rsid w:val="00344496"/>
    <w:rsid w:val="0034479D"/>
    <w:rsid w:val="00345968"/>
    <w:rsid w:val="00347667"/>
    <w:rsid w:val="00347B78"/>
    <w:rsid w:val="003507E2"/>
    <w:rsid w:val="0035118C"/>
    <w:rsid w:val="00351EA6"/>
    <w:rsid w:val="003522B2"/>
    <w:rsid w:val="0035455E"/>
    <w:rsid w:val="00354A6F"/>
    <w:rsid w:val="00354B48"/>
    <w:rsid w:val="00354DE8"/>
    <w:rsid w:val="00355789"/>
    <w:rsid w:val="003609B6"/>
    <w:rsid w:val="00360C47"/>
    <w:rsid w:val="00361119"/>
    <w:rsid w:val="0036538D"/>
    <w:rsid w:val="00365D12"/>
    <w:rsid w:val="00366E20"/>
    <w:rsid w:val="0037018D"/>
    <w:rsid w:val="00372299"/>
    <w:rsid w:val="00372A41"/>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FC8"/>
    <w:rsid w:val="003832B3"/>
    <w:rsid w:val="00383D7D"/>
    <w:rsid w:val="00384CCE"/>
    <w:rsid w:val="003865E5"/>
    <w:rsid w:val="003926C1"/>
    <w:rsid w:val="00392900"/>
    <w:rsid w:val="00393357"/>
    <w:rsid w:val="00395E7B"/>
    <w:rsid w:val="00395F4C"/>
    <w:rsid w:val="003A5064"/>
    <w:rsid w:val="003A51C5"/>
    <w:rsid w:val="003A5A73"/>
    <w:rsid w:val="003A5DAC"/>
    <w:rsid w:val="003A6591"/>
    <w:rsid w:val="003A6E9A"/>
    <w:rsid w:val="003B08C8"/>
    <w:rsid w:val="003B2567"/>
    <w:rsid w:val="003B381A"/>
    <w:rsid w:val="003B46CC"/>
    <w:rsid w:val="003B4839"/>
    <w:rsid w:val="003B4976"/>
    <w:rsid w:val="003B4B3F"/>
    <w:rsid w:val="003B6258"/>
    <w:rsid w:val="003B7A99"/>
    <w:rsid w:val="003C0343"/>
    <w:rsid w:val="003C1C32"/>
    <w:rsid w:val="003C2925"/>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1"/>
    <w:rsid w:val="003E0F84"/>
    <w:rsid w:val="003E1FF3"/>
    <w:rsid w:val="003E3ACA"/>
    <w:rsid w:val="003E50EA"/>
    <w:rsid w:val="003E68C7"/>
    <w:rsid w:val="003E7313"/>
    <w:rsid w:val="003E79B0"/>
    <w:rsid w:val="003F0403"/>
    <w:rsid w:val="003F1094"/>
    <w:rsid w:val="003F2E45"/>
    <w:rsid w:val="003F3EFE"/>
    <w:rsid w:val="003F40B8"/>
    <w:rsid w:val="003F5C06"/>
    <w:rsid w:val="003F7A30"/>
    <w:rsid w:val="00400195"/>
    <w:rsid w:val="0040254B"/>
    <w:rsid w:val="00403086"/>
    <w:rsid w:val="00403460"/>
    <w:rsid w:val="004040FF"/>
    <w:rsid w:val="00404284"/>
    <w:rsid w:val="004042C4"/>
    <w:rsid w:val="0040546A"/>
    <w:rsid w:val="00405E58"/>
    <w:rsid w:val="00406E90"/>
    <w:rsid w:val="00410240"/>
    <w:rsid w:val="00412253"/>
    <w:rsid w:val="004142ED"/>
    <w:rsid w:val="00415B59"/>
    <w:rsid w:val="0041634D"/>
    <w:rsid w:val="00416ABC"/>
    <w:rsid w:val="00417EF7"/>
    <w:rsid w:val="00420EBB"/>
    <w:rsid w:val="004224FE"/>
    <w:rsid w:val="00422A7D"/>
    <w:rsid w:val="00422BFC"/>
    <w:rsid w:val="0042326D"/>
    <w:rsid w:val="00424642"/>
    <w:rsid w:val="00425ABB"/>
    <w:rsid w:val="00425BB6"/>
    <w:rsid w:val="004261A0"/>
    <w:rsid w:val="004265AA"/>
    <w:rsid w:val="00426BC3"/>
    <w:rsid w:val="00426CE1"/>
    <w:rsid w:val="0042739E"/>
    <w:rsid w:val="00427D52"/>
    <w:rsid w:val="00430412"/>
    <w:rsid w:val="00430497"/>
    <w:rsid w:val="004307B8"/>
    <w:rsid w:val="004313CE"/>
    <w:rsid w:val="0043173B"/>
    <w:rsid w:val="00431B0A"/>
    <w:rsid w:val="00431DA4"/>
    <w:rsid w:val="00432A91"/>
    <w:rsid w:val="004332A4"/>
    <w:rsid w:val="0043453F"/>
    <w:rsid w:val="00434851"/>
    <w:rsid w:val="00434A74"/>
    <w:rsid w:val="00434B58"/>
    <w:rsid w:val="00437929"/>
    <w:rsid w:val="00437A4A"/>
    <w:rsid w:val="00440541"/>
    <w:rsid w:val="0044162D"/>
    <w:rsid w:val="0044277A"/>
    <w:rsid w:val="004434EF"/>
    <w:rsid w:val="00443F3F"/>
    <w:rsid w:val="004456DC"/>
    <w:rsid w:val="004463D2"/>
    <w:rsid w:val="00447FBE"/>
    <w:rsid w:val="0045021A"/>
    <w:rsid w:val="0045035E"/>
    <w:rsid w:val="0045175A"/>
    <w:rsid w:val="00451ED9"/>
    <w:rsid w:val="00452180"/>
    <w:rsid w:val="0045265B"/>
    <w:rsid w:val="00453072"/>
    <w:rsid w:val="004539F8"/>
    <w:rsid w:val="00453CB3"/>
    <w:rsid w:val="00453F26"/>
    <w:rsid w:val="0045503F"/>
    <w:rsid w:val="00455273"/>
    <w:rsid w:val="00455AD4"/>
    <w:rsid w:val="00455FB6"/>
    <w:rsid w:val="00457BA7"/>
    <w:rsid w:val="00460905"/>
    <w:rsid w:val="00461E35"/>
    <w:rsid w:val="004621DB"/>
    <w:rsid w:val="004634A7"/>
    <w:rsid w:val="00463787"/>
    <w:rsid w:val="00465703"/>
    <w:rsid w:val="00466926"/>
    <w:rsid w:val="00466FDA"/>
    <w:rsid w:val="004671D0"/>
    <w:rsid w:val="004674D1"/>
    <w:rsid w:val="00470773"/>
    <w:rsid w:val="00471FF9"/>
    <w:rsid w:val="00473AE8"/>
    <w:rsid w:val="00473E74"/>
    <w:rsid w:val="00473FEF"/>
    <w:rsid w:val="00475B8E"/>
    <w:rsid w:val="0048104E"/>
    <w:rsid w:val="004814BB"/>
    <w:rsid w:val="004815DA"/>
    <w:rsid w:val="00482458"/>
    <w:rsid w:val="004837ED"/>
    <w:rsid w:val="00483942"/>
    <w:rsid w:val="004843CE"/>
    <w:rsid w:val="00485142"/>
    <w:rsid w:val="004852A7"/>
    <w:rsid w:val="004858D6"/>
    <w:rsid w:val="00485C97"/>
    <w:rsid w:val="00486B8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752"/>
    <w:rsid w:val="00496821"/>
    <w:rsid w:val="00497750"/>
    <w:rsid w:val="00497B44"/>
    <w:rsid w:val="004A00E5"/>
    <w:rsid w:val="004A01A7"/>
    <w:rsid w:val="004A0D09"/>
    <w:rsid w:val="004A116E"/>
    <w:rsid w:val="004A1B10"/>
    <w:rsid w:val="004A1D0E"/>
    <w:rsid w:val="004A357F"/>
    <w:rsid w:val="004A3DAD"/>
    <w:rsid w:val="004A4BA5"/>
    <w:rsid w:val="004A7F98"/>
    <w:rsid w:val="004B0335"/>
    <w:rsid w:val="004B0776"/>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ADE"/>
    <w:rsid w:val="004C7B33"/>
    <w:rsid w:val="004D1410"/>
    <w:rsid w:val="004D1478"/>
    <w:rsid w:val="004D19EE"/>
    <w:rsid w:val="004D1CF2"/>
    <w:rsid w:val="004D2D3A"/>
    <w:rsid w:val="004D31DE"/>
    <w:rsid w:val="004D374D"/>
    <w:rsid w:val="004D3DEC"/>
    <w:rsid w:val="004D42C8"/>
    <w:rsid w:val="004D4F57"/>
    <w:rsid w:val="004D50F6"/>
    <w:rsid w:val="004D5A0D"/>
    <w:rsid w:val="004D7910"/>
    <w:rsid w:val="004D7DEA"/>
    <w:rsid w:val="004D7F73"/>
    <w:rsid w:val="004E0A28"/>
    <w:rsid w:val="004E1A0F"/>
    <w:rsid w:val="004E2E89"/>
    <w:rsid w:val="004E33C2"/>
    <w:rsid w:val="004E3B9A"/>
    <w:rsid w:val="004E49B0"/>
    <w:rsid w:val="004E62DE"/>
    <w:rsid w:val="004E6B05"/>
    <w:rsid w:val="004E76A1"/>
    <w:rsid w:val="004F032E"/>
    <w:rsid w:val="004F05DE"/>
    <w:rsid w:val="004F3C57"/>
    <w:rsid w:val="004F6376"/>
    <w:rsid w:val="004F6A93"/>
    <w:rsid w:val="004F6F14"/>
    <w:rsid w:val="004F728D"/>
    <w:rsid w:val="004F76D9"/>
    <w:rsid w:val="004F79A6"/>
    <w:rsid w:val="004F7FA3"/>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45F7"/>
    <w:rsid w:val="005252DD"/>
    <w:rsid w:val="00527A02"/>
    <w:rsid w:val="00530A8D"/>
    <w:rsid w:val="00531C6D"/>
    <w:rsid w:val="00532EF4"/>
    <w:rsid w:val="005347CE"/>
    <w:rsid w:val="00535477"/>
    <w:rsid w:val="00535CE1"/>
    <w:rsid w:val="00535DEA"/>
    <w:rsid w:val="0053723A"/>
    <w:rsid w:val="00537636"/>
    <w:rsid w:val="00537B1D"/>
    <w:rsid w:val="00540191"/>
    <w:rsid w:val="005406EF"/>
    <w:rsid w:val="00540A2A"/>
    <w:rsid w:val="00541F27"/>
    <w:rsid w:val="00542297"/>
    <w:rsid w:val="005424BC"/>
    <w:rsid w:val="00542A28"/>
    <w:rsid w:val="00542E71"/>
    <w:rsid w:val="005441D4"/>
    <w:rsid w:val="00544B39"/>
    <w:rsid w:val="00545964"/>
    <w:rsid w:val="0054672D"/>
    <w:rsid w:val="00550F4E"/>
    <w:rsid w:val="005513FC"/>
    <w:rsid w:val="00551E98"/>
    <w:rsid w:val="005524AB"/>
    <w:rsid w:val="005532B5"/>
    <w:rsid w:val="00554A05"/>
    <w:rsid w:val="00555621"/>
    <w:rsid w:val="00555849"/>
    <w:rsid w:val="005559A8"/>
    <w:rsid w:val="00557048"/>
    <w:rsid w:val="00557FB5"/>
    <w:rsid w:val="00561AED"/>
    <w:rsid w:val="005648A8"/>
    <w:rsid w:val="00564DE3"/>
    <w:rsid w:val="00564E44"/>
    <w:rsid w:val="0056597B"/>
    <w:rsid w:val="00566C6A"/>
    <w:rsid w:val="00566CE5"/>
    <w:rsid w:val="00566D36"/>
    <w:rsid w:val="0057163A"/>
    <w:rsid w:val="0057174D"/>
    <w:rsid w:val="005725E6"/>
    <w:rsid w:val="00573569"/>
    <w:rsid w:val="00573871"/>
    <w:rsid w:val="0057389E"/>
    <w:rsid w:val="00573E1E"/>
    <w:rsid w:val="0057591A"/>
    <w:rsid w:val="005765C0"/>
    <w:rsid w:val="005778DE"/>
    <w:rsid w:val="00580B3F"/>
    <w:rsid w:val="005825F2"/>
    <w:rsid w:val="0058344D"/>
    <w:rsid w:val="00583885"/>
    <w:rsid w:val="00584F77"/>
    <w:rsid w:val="005860AF"/>
    <w:rsid w:val="00587340"/>
    <w:rsid w:val="00587F1D"/>
    <w:rsid w:val="00590348"/>
    <w:rsid w:val="00591161"/>
    <w:rsid w:val="00592318"/>
    <w:rsid w:val="0059303A"/>
    <w:rsid w:val="00593133"/>
    <w:rsid w:val="0059575D"/>
    <w:rsid w:val="00596825"/>
    <w:rsid w:val="005A06A0"/>
    <w:rsid w:val="005A0844"/>
    <w:rsid w:val="005A150A"/>
    <w:rsid w:val="005A2B3E"/>
    <w:rsid w:val="005A3644"/>
    <w:rsid w:val="005A4087"/>
    <w:rsid w:val="005A4533"/>
    <w:rsid w:val="005A4B18"/>
    <w:rsid w:val="005A537E"/>
    <w:rsid w:val="005A607D"/>
    <w:rsid w:val="005A6F43"/>
    <w:rsid w:val="005A7641"/>
    <w:rsid w:val="005A767D"/>
    <w:rsid w:val="005A775C"/>
    <w:rsid w:val="005B00F1"/>
    <w:rsid w:val="005B0CE7"/>
    <w:rsid w:val="005B10E2"/>
    <w:rsid w:val="005B1803"/>
    <w:rsid w:val="005B4079"/>
    <w:rsid w:val="005B428E"/>
    <w:rsid w:val="005B435F"/>
    <w:rsid w:val="005B4B28"/>
    <w:rsid w:val="005B5B3C"/>
    <w:rsid w:val="005B64CB"/>
    <w:rsid w:val="005B65C0"/>
    <w:rsid w:val="005B6AAA"/>
    <w:rsid w:val="005B7554"/>
    <w:rsid w:val="005B7C78"/>
    <w:rsid w:val="005C0FB2"/>
    <w:rsid w:val="005C1169"/>
    <w:rsid w:val="005C16E2"/>
    <w:rsid w:val="005C24EF"/>
    <w:rsid w:val="005C2796"/>
    <w:rsid w:val="005C3954"/>
    <w:rsid w:val="005C3C6C"/>
    <w:rsid w:val="005C3F4C"/>
    <w:rsid w:val="005C43AA"/>
    <w:rsid w:val="005C48C8"/>
    <w:rsid w:val="005C547D"/>
    <w:rsid w:val="005C56D3"/>
    <w:rsid w:val="005C663C"/>
    <w:rsid w:val="005D0485"/>
    <w:rsid w:val="005D0750"/>
    <w:rsid w:val="005D1023"/>
    <w:rsid w:val="005D148F"/>
    <w:rsid w:val="005D1FA5"/>
    <w:rsid w:val="005D2AD2"/>
    <w:rsid w:val="005D3762"/>
    <w:rsid w:val="005D3F37"/>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1B80"/>
    <w:rsid w:val="005F3FB1"/>
    <w:rsid w:val="005F402F"/>
    <w:rsid w:val="005F44CC"/>
    <w:rsid w:val="005F4C33"/>
    <w:rsid w:val="005F4D29"/>
    <w:rsid w:val="005F5ACF"/>
    <w:rsid w:val="005F60DC"/>
    <w:rsid w:val="005F6EF1"/>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13"/>
    <w:rsid w:val="00613629"/>
    <w:rsid w:val="006144EB"/>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17D"/>
    <w:rsid w:val="00627878"/>
    <w:rsid w:val="00627999"/>
    <w:rsid w:val="00630FF7"/>
    <w:rsid w:val="00633433"/>
    <w:rsid w:val="006341B5"/>
    <w:rsid w:val="006346C9"/>
    <w:rsid w:val="00634727"/>
    <w:rsid w:val="00634B64"/>
    <w:rsid w:val="0063578C"/>
    <w:rsid w:val="0063642C"/>
    <w:rsid w:val="0063681E"/>
    <w:rsid w:val="006368FE"/>
    <w:rsid w:val="00636F89"/>
    <w:rsid w:val="00636FF9"/>
    <w:rsid w:val="00637848"/>
    <w:rsid w:val="00640D56"/>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661"/>
    <w:rsid w:val="00653F69"/>
    <w:rsid w:val="0065446A"/>
    <w:rsid w:val="00654936"/>
    <w:rsid w:val="00655485"/>
    <w:rsid w:val="00655528"/>
    <w:rsid w:val="006558B3"/>
    <w:rsid w:val="00656F6A"/>
    <w:rsid w:val="00660BF0"/>
    <w:rsid w:val="0066189C"/>
    <w:rsid w:val="006630CF"/>
    <w:rsid w:val="00663EFF"/>
    <w:rsid w:val="00664FFB"/>
    <w:rsid w:val="00666C24"/>
    <w:rsid w:val="00666F74"/>
    <w:rsid w:val="00667FEA"/>
    <w:rsid w:val="0067001D"/>
    <w:rsid w:val="006710D2"/>
    <w:rsid w:val="00671A8B"/>
    <w:rsid w:val="00671F53"/>
    <w:rsid w:val="006725A0"/>
    <w:rsid w:val="00674628"/>
    <w:rsid w:val="0067555E"/>
    <w:rsid w:val="00677FAD"/>
    <w:rsid w:val="006802DE"/>
    <w:rsid w:val="0068032D"/>
    <w:rsid w:val="0068068C"/>
    <w:rsid w:val="00680D93"/>
    <w:rsid w:val="00681115"/>
    <w:rsid w:val="00681E16"/>
    <w:rsid w:val="006829F3"/>
    <w:rsid w:val="00683920"/>
    <w:rsid w:val="00685147"/>
    <w:rsid w:val="00685653"/>
    <w:rsid w:val="0068590D"/>
    <w:rsid w:val="00685A89"/>
    <w:rsid w:val="006861B3"/>
    <w:rsid w:val="00686FA2"/>
    <w:rsid w:val="006870C5"/>
    <w:rsid w:val="00690F0E"/>
    <w:rsid w:val="006911C0"/>
    <w:rsid w:val="00691433"/>
    <w:rsid w:val="00691B7C"/>
    <w:rsid w:val="00692ADF"/>
    <w:rsid w:val="00694B73"/>
    <w:rsid w:val="00694DF2"/>
    <w:rsid w:val="00695F80"/>
    <w:rsid w:val="006966CD"/>
    <w:rsid w:val="00696735"/>
    <w:rsid w:val="0069780E"/>
    <w:rsid w:val="006A2CA2"/>
    <w:rsid w:val="006A3E7B"/>
    <w:rsid w:val="006A3FAE"/>
    <w:rsid w:val="006B2341"/>
    <w:rsid w:val="006B2A80"/>
    <w:rsid w:val="006B2D40"/>
    <w:rsid w:val="006B34DF"/>
    <w:rsid w:val="006B39B2"/>
    <w:rsid w:val="006B3AF9"/>
    <w:rsid w:val="006B44D2"/>
    <w:rsid w:val="006B45A0"/>
    <w:rsid w:val="006B5552"/>
    <w:rsid w:val="006B5668"/>
    <w:rsid w:val="006B5DF1"/>
    <w:rsid w:val="006B5F71"/>
    <w:rsid w:val="006B6E44"/>
    <w:rsid w:val="006B7059"/>
    <w:rsid w:val="006B7287"/>
    <w:rsid w:val="006B7F2E"/>
    <w:rsid w:val="006C0BF8"/>
    <w:rsid w:val="006C2253"/>
    <w:rsid w:val="006C2CCB"/>
    <w:rsid w:val="006C3687"/>
    <w:rsid w:val="006C4334"/>
    <w:rsid w:val="006C4B0F"/>
    <w:rsid w:val="006C5E96"/>
    <w:rsid w:val="006D0386"/>
    <w:rsid w:val="006D399F"/>
    <w:rsid w:val="006D46CF"/>
    <w:rsid w:val="006D4F0C"/>
    <w:rsid w:val="006D5645"/>
    <w:rsid w:val="006D60D8"/>
    <w:rsid w:val="006D65E8"/>
    <w:rsid w:val="006E0300"/>
    <w:rsid w:val="006E0C8A"/>
    <w:rsid w:val="006E2A23"/>
    <w:rsid w:val="006E34E3"/>
    <w:rsid w:val="006E35E5"/>
    <w:rsid w:val="006E3C72"/>
    <w:rsid w:val="006E4F20"/>
    <w:rsid w:val="006E57A9"/>
    <w:rsid w:val="006E649A"/>
    <w:rsid w:val="006F05B8"/>
    <w:rsid w:val="006F08DC"/>
    <w:rsid w:val="006F3549"/>
    <w:rsid w:val="006F3948"/>
    <w:rsid w:val="006F4403"/>
    <w:rsid w:val="006F45EC"/>
    <w:rsid w:val="006F47B8"/>
    <w:rsid w:val="006F47D2"/>
    <w:rsid w:val="006F4B04"/>
    <w:rsid w:val="006F5456"/>
    <w:rsid w:val="006F57F2"/>
    <w:rsid w:val="006F6468"/>
    <w:rsid w:val="006F685C"/>
    <w:rsid w:val="006F6D86"/>
    <w:rsid w:val="006F71FA"/>
    <w:rsid w:val="006F7D6C"/>
    <w:rsid w:val="00700247"/>
    <w:rsid w:val="00701051"/>
    <w:rsid w:val="00701E69"/>
    <w:rsid w:val="007021C2"/>
    <w:rsid w:val="00702502"/>
    <w:rsid w:val="007033A8"/>
    <w:rsid w:val="0070421B"/>
    <w:rsid w:val="00704380"/>
    <w:rsid w:val="007043F0"/>
    <w:rsid w:val="0070482E"/>
    <w:rsid w:val="00704D25"/>
    <w:rsid w:val="00710519"/>
    <w:rsid w:val="00710DF7"/>
    <w:rsid w:val="00710F6E"/>
    <w:rsid w:val="00711663"/>
    <w:rsid w:val="007116B4"/>
    <w:rsid w:val="007121FB"/>
    <w:rsid w:val="00712580"/>
    <w:rsid w:val="007133E4"/>
    <w:rsid w:val="00713788"/>
    <w:rsid w:val="00713940"/>
    <w:rsid w:val="007151A2"/>
    <w:rsid w:val="00716774"/>
    <w:rsid w:val="00716CB8"/>
    <w:rsid w:val="0071740A"/>
    <w:rsid w:val="007209DD"/>
    <w:rsid w:val="00722E49"/>
    <w:rsid w:val="00723A08"/>
    <w:rsid w:val="00723B5C"/>
    <w:rsid w:val="00724391"/>
    <w:rsid w:val="00724C18"/>
    <w:rsid w:val="00725FB1"/>
    <w:rsid w:val="00726630"/>
    <w:rsid w:val="00727F73"/>
    <w:rsid w:val="00730705"/>
    <w:rsid w:val="00730944"/>
    <w:rsid w:val="00731475"/>
    <w:rsid w:val="0073196D"/>
    <w:rsid w:val="00731A38"/>
    <w:rsid w:val="0073248E"/>
    <w:rsid w:val="00732FC3"/>
    <w:rsid w:val="00733EE9"/>
    <w:rsid w:val="00735B8E"/>
    <w:rsid w:val="00736651"/>
    <w:rsid w:val="0073673C"/>
    <w:rsid w:val="00736935"/>
    <w:rsid w:val="00736FF0"/>
    <w:rsid w:val="007378EC"/>
    <w:rsid w:val="00737DD9"/>
    <w:rsid w:val="00743DE7"/>
    <w:rsid w:val="0074509E"/>
    <w:rsid w:val="00745B9F"/>
    <w:rsid w:val="0074726F"/>
    <w:rsid w:val="00752D4F"/>
    <w:rsid w:val="0075409F"/>
    <w:rsid w:val="007546E1"/>
    <w:rsid w:val="00754C9A"/>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9F"/>
    <w:rsid w:val="00766BB1"/>
    <w:rsid w:val="00766F4D"/>
    <w:rsid w:val="00770268"/>
    <w:rsid w:val="007706B9"/>
    <w:rsid w:val="007707ED"/>
    <w:rsid w:val="00771C3B"/>
    <w:rsid w:val="007726F9"/>
    <w:rsid w:val="00773B94"/>
    <w:rsid w:val="00773C65"/>
    <w:rsid w:val="00775937"/>
    <w:rsid w:val="00776EDC"/>
    <w:rsid w:val="00777046"/>
    <w:rsid w:val="007770DA"/>
    <w:rsid w:val="00777705"/>
    <w:rsid w:val="007805B9"/>
    <w:rsid w:val="00780C3A"/>
    <w:rsid w:val="00782039"/>
    <w:rsid w:val="007834A1"/>
    <w:rsid w:val="007856EB"/>
    <w:rsid w:val="00791EB4"/>
    <w:rsid w:val="007928F1"/>
    <w:rsid w:val="00793193"/>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0B15"/>
    <w:rsid w:val="007C17BE"/>
    <w:rsid w:val="007C1901"/>
    <w:rsid w:val="007C3B9C"/>
    <w:rsid w:val="007C49C0"/>
    <w:rsid w:val="007C55C1"/>
    <w:rsid w:val="007C5738"/>
    <w:rsid w:val="007C5772"/>
    <w:rsid w:val="007C5AC3"/>
    <w:rsid w:val="007C5BD5"/>
    <w:rsid w:val="007C6EBF"/>
    <w:rsid w:val="007C7233"/>
    <w:rsid w:val="007D0784"/>
    <w:rsid w:val="007D10EE"/>
    <w:rsid w:val="007D1193"/>
    <w:rsid w:val="007D21D5"/>
    <w:rsid w:val="007D3E8D"/>
    <w:rsid w:val="007D4EC3"/>
    <w:rsid w:val="007D5915"/>
    <w:rsid w:val="007D5B4F"/>
    <w:rsid w:val="007D5C30"/>
    <w:rsid w:val="007D7621"/>
    <w:rsid w:val="007E01DC"/>
    <w:rsid w:val="007E0660"/>
    <w:rsid w:val="007E0A54"/>
    <w:rsid w:val="007E1411"/>
    <w:rsid w:val="007E1569"/>
    <w:rsid w:val="007E1882"/>
    <w:rsid w:val="007E18B5"/>
    <w:rsid w:val="007E1BB4"/>
    <w:rsid w:val="007E2077"/>
    <w:rsid w:val="007E21C3"/>
    <w:rsid w:val="007E2A67"/>
    <w:rsid w:val="007E3414"/>
    <w:rsid w:val="007E3514"/>
    <w:rsid w:val="007E4207"/>
    <w:rsid w:val="007E4AAA"/>
    <w:rsid w:val="007E4BD2"/>
    <w:rsid w:val="007E4C29"/>
    <w:rsid w:val="007E5E44"/>
    <w:rsid w:val="007E68A3"/>
    <w:rsid w:val="007F0DDA"/>
    <w:rsid w:val="007F1939"/>
    <w:rsid w:val="007F1DFE"/>
    <w:rsid w:val="007F26C3"/>
    <w:rsid w:val="007F365C"/>
    <w:rsid w:val="007F3F1B"/>
    <w:rsid w:val="007F5066"/>
    <w:rsid w:val="007F621C"/>
    <w:rsid w:val="007F7155"/>
    <w:rsid w:val="007F7389"/>
    <w:rsid w:val="007F7AF4"/>
    <w:rsid w:val="00800C28"/>
    <w:rsid w:val="00801062"/>
    <w:rsid w:val="008012E7"/>
    <w:rsid w:val="0080245E"/>
    <w:rsid w:val="00802E10"/>
    <w:rsid w:val="008030E7"/>
    <w:rsid w:val="00803480"/>
    <w:rsid w:val="0080359C"/>
    <w:rsid w:val="008037AE"/>
    <w:rsid w:val="008037F6"/>
    <w:rsid w:val="008043F4"/>
    <w:rsid w:val="00804BB4"/>
    <w:rsid w:val="00805D9F"/>
    <w:rsid w:val="00807467"/>
    <w:rsid w:val="00807A4D"/>
    <w:rsid w:val="00807F30"/>
    <w:rsid w:val="008103DC"/>
    <w:rsid w:val="0081119F"/>
    <w:rsid w:val="008111E6"/>
    <w:rsid w:val="0081134D"/>
    <w:rsid w:val="00811EDA"/>
    <w:rsid w:val="00812403"/>
    <w:rsid w:val="00812F10"/>
    <w:rsid w:val="00812FD7"/>
    <w:rsid w:val="00813254"/>
    <w:rsid w:val="008156ED"/>
    <w:rsid w:val="00817313"/>
    <w:rsid w:val="00820623"/>
    <w:rsid w:val="00821747"/>
    <w:rsid w:val="008229A3"/>
    <w:rsid w:val="00822DFB"/>
    <w:rsid w:val="00822F64"/>
    <w:rsid w:val="0082519A"/>
    <w:rsid w:val="008253A6"/>
    <w:rsid w:val="00825A6B"/>
    <w:rsid w:val="00825C50"/>
    <w:rsid w:val="00826577"/>
    <w:rsid w:val="00826E3B"/>
    <w:rsid w:val="00827439"/>
    <w:rsid w:val="00827C79"/>
    <w:rsid w:val="00827C9D"/>
    <w:rsid w:val="0083003F"/>
    <w:rsid w:val="00831077"/>
    <w:rsid w:val="00831A4A"/>
    <w:rsid w:val="00832134"/>
    <w:rsid w:val="0083219E"/>
    <w:rsid w:val="008324B3"/>
    <w:rsid w:val="0083497C"/>
    <w:rsid w:val="008352A6"/>
    <w:rsid w:val="00835B5B"/>
    <w:rsid w:val="00835CC2"/>
    <w:rsid w:val="008362B9"/>
    <w:rsid w:val="008367AE"/>
    <w:rsid w:val="00836E50"/>
    <w:rsid w:val="008377A1"/>
    <w:rsid w:val="00840477"/>
    <w:rsid w:val="0084121D"/>
    <w:rsid w:val="008418E3"/>
    <w:rsid w:val="008419C1"/>
    <w:rsid w:val="00842207"/>
    <w:rsid w:val="00844515"/>
    <w:rsid w:val="0084465A"/>
    <w:rsid w:val="00844DFF"/>
    <w:rsid w:val="00844F7F"/>
    <w:rsid w:val="00845D87"/>
    <w:rsid w:val="00846230"/>
    <w:rsid w:val="00846C3A"/>
    <w:rsid w:val="008477BF"/>
    <w:rsid w:val="008503DA"/>
    <w:rsid w:val="00850B68"/>
    <w:rsid w:val="00850E82"/>
    <w:rsid w:val="0085122D"/>
    <w:rsid w:val="008519E8"/>
    <w:rsid w:val="008525FF"/>
    <w:rsid w:val="00852C03"/>
    <w:rsid w:val="0085476A"/>
    <w:rsid w:val="0085590C"/>
    <w:rsid w:val="008575EB"/>
    <w:rsid w:val="00861CB4"/>
    <w:rsid w:val="00862DDD"/>
    <w:rsid w:val="0086312D"/>
    <w:rsid w:val="0086326D"/>
    <w:rsid w:val="00863BEA"/>
    <w:rsid w:val="00863CC1"/>
    <w:rsid w:val="00865B01"/>
    <w:rsid w:val="00865D2A"/>
    <w:rsid w:val="00866D7A"/>
    <w:rsid w:val="00866EE3"/>
    <w:rsid w:val="00871F04"/>
    <w:rsid w:val="008746C1"/>
    <w:rsid w:val="00880224"/>
    <w:rsid w:val="0088244C"/>
    <w:rsid w:val="008825CA"/>
    <w:rsid w:val="00883367"/>
    <w:rsid w:val="00883C81"/>
    <w:rsid w:val="00884C47"/>
    <w:rsid w:val="00885E6F"/>
    <w:rsid w:val="008861AC"/>
    <w:rsid w:val="008868E4"/>
    <w:rsid w:val="00886A60"/>
    <w:rsid w:val="0088759B"/>
    <w:rsid w:val="008909B4"/>
    <w:rsid w:val="008922E8"/>
    <w:rsid w:val="00892C66"/>
    <w:rsid w:val="00893916"/>
    <w:rsid w:val="0089442C"/>
    <w:rsid w:val="00895818"/>
    <w:rsid w:val="008A2585"/>
    <w:rsid w:val="008A2718"/>
    <w:rsid w:val="008A386A"/>
    <w:rsid w:val="008A4CF6"/>
    <w:rsid w:val="008A4E42"/>
    <w:rsid w:val="008A51AA"/>
    <w:rsid w:val="008A53BD"/>
    <w:rsid w:val="008A54D6"/>
    <w:rsid w:val="008A6A12"/>
    <w:rsid w:val="008A7486"/>
    <w:rsid w:val="008B0DC6"/>
    <w:rsid w:val="008B2B9E"/>
    <w:rsid w:val="008B31F5"/>
    <w:rsid w:val="008B3416"/>
    <w:rsid w:val="008B4C79"/>
    <w:rsid w:val="008B5D2D"/>
    <w:rsid w:val="008B6361"/>
    <w:rsid w:val="008B72AB"/>
    <w:rsid w:val="008C0320"/>
    <w:rsid w:val="008C2A81"/>
    <w:rsid w:val="008C3863"/>
    <w:rsid w:val="008C3B6B"/>
    <w:rsid w:val="008C3EA6"/>
    <w:rsid w:val="008C4BDC"/>
    <w:rsid w:val="008C50FF"/>
    <w:rsid w:val="008C5435"/>
    <w:rsid w:val="008C6BD1"/>
    <w:rsid w:val="008D1128"/>
    <w:rsid w:val="008D2DB5"/>
    <w:rsid w:val="008D3F10"/>
    <w:rsid w:val="008D611D"/>
    <w:rsid w:val="008E1B6A"/>
    <w:rsid w:val="008E3054"/>
    <w:rsid w:val="008E32FF"/>
    <w:rsid w:val="008E4785"/>
    <w:rsid w:val="008E5625"/>
    <w:rsid w:val="008E5C5B"/>
    <w:rsid w:val="008E6A37"/>
    <w:rsid w:val="008E6B86"/>
    <w:rsid w:val="008F0354"/>
    <w:rsid w:val="008F085A"/>
    <w:rsid w:val="008F1462"/>
    <w:rsid w:val="008F2413"/>
    <w:rsid w:val="008F248D"/>
    <w:rsid w:val="008F4B2C"/>
    <w:rsid w:val="008F4C08"/>
    <w:rsid w:val="008F612E"/>
    <w:rsid w:val="008F6851"/>
    <w:rsid w:val="008F7BC4"/>
    <w:rsid w:val="009003B8"/>
    <w:rsid w:val="00900E7A"/>
    <w:rsid w:val="00903E11"/>
    <w:rsid w:val="00903EBE"/>
    <w:rsid w:val="009041DE"/>
    <w:rsid w:val="00905D59"/>
    <w:rsid w:val="009062CA"/>
    <w:rsid w:val="00907631"/>
    <w:rsid w:val="00907776"/>
    <w:rsid w:val="00907865"/>
    <w:rsid w:val="009100C1"/>
    <w:rsid w:val="00913401"/>
    <w:rsid w:val="00913567"/>
    <w:rsid w:val="009137B6"/>
    <w:rsid w:val="009142CB"/>
    <w:rsid w:val="00915EBA"/>
    <w:rsid w:val="00917093"/>
    <w:rsid w:val="0092030E"/>
    <w:rsid w:val="0092146F"/>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68F"/>
    <w:rsid w:val="00945FD1"/>
    <w:rsid w:val="00946CCC"/>
    <w:rsid w:val="009503E5"/>
    <w:rsid w:val="00950999"/>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0041"/>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95D40"/>
    <w:rsid w:val="00996C2A"/>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4509"/>
    <w:rsid w:val="009C6091"/>
    <w:rsid w:val="009C634F"/>
    <w:rsid w:val="009D0219"/>
    <w:rsid w:val="009D0D55"/>
    <w:rsid w:val="009D2295"/>
    <w:rsid w:val="009D2511"/>
    <w:rsid w:val="009D3E7C"/>
    <w:rsid w:val="009D55CA"/>
    <w:rsid w:val="009D5661"/>
    <w:rsid w:val="009D5D66"/>
    <w:rsid w:val="009D5EF0"/>
    <w:rsid w:val="009D5FE4"/>
    <w:rsid w:val="009D6401"/>
    <w:rsid w:val="009D6E99"/>
    <w:rsid w:val="009E0711"/>
    <w:rsid w:val="009E085F"/>
    <w:rsid w:val="009E1917"/>
    <w:rsid w:val="009E1C55"/>
    <w:rsid w:val="009E1E84"/>
    <w:rsid w:val="009E3594"/>
    <w:rsid w:val="009E4E02"/>
    <w:rsid w:val="009E6B77"/>
    <w:rsid w:val="009E7724"/>
    <w:rsid w:val="009E7D1F"/>
    <w:rsid w:val="009F18F8"/>
    <w:rsid w:val="009F1D82"/>
    <w:rsid w:val="009F32B7"/>
    <w:rsid w:val="009F37AA"/>
    <w:rsid w:val="009F4505"/>
    <w:rsid w:val="009F544C"/>
    <w:rsid w:val="009F5731"/>
    <w:rsid w:val="009F58FA"/>
    <w:rsid w:val="009F6321"/>
    <w:rsid w:val="009F6378"/>
    <w:rsid w:val="009F7669"/>
    <w:rsid w:val="009F7F45"/>
    <w:rsid w:val="009F7FD5"/>
    <w:rsid w:val="00A005D4"/>
    <w:rsid w:val="00A0083C"/>
    <w:rsid w:val="00A00F92"/>
    <w:rsid w:val="00A01A90"/>
    <w:rsid w:val="00A02370"/>
    <w:rsid w:val="00A04685"/>
    <w:rsid w:val="00A04C57"/>
    <w:rsid w:val="00A0530E"/>
    <w:rsid w:val="00A06340"/>
    <w:rsid w:val="00A0684F"/>
    <w:rsid w:val="00A06867"/>
    <w:rsid w:val="00A10148"/>
    <w:rsid w:val="00A113FD"/>
    <w:rsid w:val="00A11DDE"/>
    <w:rsid w:val="00A127A7"/>
    <w:rsid w:val="00A129F4"/>
    <w:rsid w:val="00A136F4"/>
    <w:rsid w:val="00A160D3"/>
    <w:rsid w:val="00A1621B"/>
    <w:rsid w:val="00A16DC9"/>
    <w:rsid w:val="00A16E4F"/>
    <w:rsid w:val="00A2011B"/>
    <w:rsid w:val="00A20225"/>
    <w:rsid w:val="00A24269"/>
    <w:rsid w:val="00A243E4"/>
    <w:rsid w:val="00A252D0"/>
    <w:rsid w:val="00A25392"/>
    <w:rsid w:val="00A25ED4"/>
    <w:rsid w:val="00A263DF"/>
    <w:rsid w:val="00A26C5C"/>
    <w:rsid w:val="00A3026E"/>
    <w:rsid w:val="00A30BDE"/>
    <w:rsid w:val="00A3131C"/>
    <w:rsid w:val="00A31F14"/>
    <w:rsid w:val="00A324DC"/>
    <w:rsid w:val="00A32B5A"/>
    <w:rsid w:val="00A33880"/>
    <w:rsid w:val="00A3399E"/>
    <w:rsid w:val="00A33CCC"/>
    <w:rsid w:val="00A33ECB"/>
    <w:rsid w:val="00A34DB5"/>
    <w:rsid w:val="00A34DE0"/>
    <w:rsid w:val="00A35728"/>
    <w:rsid w:val="00A36EE3"/>
    <w:rsid w:val="00A37435"/>
    <w:rsid w:val="00A4173D"/>
    <w:rsid w:val="00A41A95"/>
    <w:rsid w:val="00A41FC9"/>
    <w:rsid w:val="00A4248B"/>
    <w:rsid w:val="00A4376E"/>
    <w:rsid w:val="00A4572B"/>
    <w:rsid w:val="00A46246"/>
    <w:rsid w:val="00A46349"/>
    <w:rsid w:val="00A46D5E"/>
    <w:rsid w:val="00A50847"/>
    <w:rsid w:val="00A50DA4"/>
    <w:rsid w:val="00A512C7"/>
    <w:rsid w:val="00A52EBB"/>
    <w:rsid w:val="00A54BFF"/>
    <w:rsid w:val="00A54C63"/>
    <w:rsid w:val="00A54FBB"/>
    <w:rsid w:val="00A55BB1"/>
    <w:rsid w:val="00A55D71"/>
    <w:rsid w:val="00A55FD6"/>
    <w:rsid w:val="00A5619C"/>
    <w:rsid w:val="00A564CD"/>
    <w:rsid w:val="00A564CE"/>
    <w:rsid w:val="00A5675F"/>
    <w:rsid w:val="00A5743D"/>
    <w:rsid w:val="00A575D9"/>
    <w:rsid w:val="00A600A1"/>
    <w:rsid w:val="00A60D6F"/>
    <w:rsid w:val="00A61009"/>
    <w:rsid w:val="00A61762"/>
    <w:rsid w:val="00A61938"/>
    <w:rsid w:val="00A61CFD"/>
    <w:rsid w:val="00A62B86"/>
    <w:rsid w:val="00A63C96"/>
    <w:rsid w:val="00A64C83"/>
    <w:rsid w:val="00A65805"/>
    <w:rsid w:val="00A66BEE"/>
    <w:rsid w:val="00A671C9"/>
    <w:rsid w:val="00A67DFD"/>
    <w:rsid w:val="00A70091"/>
    <w:rsid w:val="00A700EC"/>
    <w:rsid w:val="00A70962"/>
    <w:rsid w:val="00A71243"/>
    <w:rsid w:val="00A7134B"/>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329B"/>
    <w:rsid w:val="00A94F4A"/>
    <w:rsid w:val="00A958CA"/>
    <w:rsid w:val="00A95AE4"/>
    <w:rsid w:val="00A966B6"/>
    <w:rsid w:val="00A96B46"/>
    <w:rsid w:val="00AA003B"/>
    <w:rsid w:val="00AA016B"/>
    <w:rsid w:val="00AA15DD"/>
    <w:rsid w:val="00AA1C09"/>
    <w:rsid w:val="00AA1DF6"/>
    <w:rsid w:val="00AA2F67"/>
    <w:rsid w:val="00AA3569"/>
    <w:rsid w:val="00AA3DBD"/>
    <w:rsid w:val="00AA535C"/>
    <w:rsid w:val="00AA5F4C"/>
    <w:rsid w:val="00AA615C"/>
    <w:rsid w:val="00AA6276"/>
    <w:rsid w:val="00AA6711"/>
    <w:rsid w:val="00AA746A"/>
    <w:rsid w:val="00AB2AEC"/>
    <w:rsid w:val="00AB2DC1"/>
    <w:rsid w:val="00AB3102"/>
    <w:rsid w:val="00AB3D9A"/>
    <w:rsid w:val="00AB4824"/>
    <w:rsid w:val="00AB4B1D"/>
    <w:rsid w:val="00AB6B5E"/>
    <w:rsid w:val="00AC047F"/>
    <w:rsid w:val="00AC0DB2"/>
    <w:rsid w:val="00AC36C5"/>
    <w:rsid w:val="00AC3934"/>
    <w:rsid w:val="00AC50C8"/>
    <w:rsid w:val="00AC5581"/>
    <w:rsid w:val="00AC56AD"/>
    <w:rsid w:val="00AC61BE"/>
    <w:rsid w:val="00AC7E8A"/>
    <w:rsid w:val="00AD0C8A"/>
    <w:rsid w:val="00AD0CB4"/>
    <w:rsid w:val="00AD1FF2"/>
    <w:rsid w:val="00AD2A21"/>
    <w:rsid w:val="00AD3B43"/>
    <w:rsid w:val="00AD4FF2"/>
    <w:rsid w:val="00AD506C"/>
    <w:rsid w:val="00AD59A4"/>
    <w:rsid w:val="00AD6761"/>
    <w:rsid w:val="00AD6BE5"/>
    <w:rsid w:val="00AD7459"/>
    <w:rsid w:val="00AD783E"/>
    <w:rsid w:val="00AE0108"/>
    <w:rsid w:val="00AE1393"/>
    <w:rsid w:val="00AE2A0A"/>
    <w:rsid w:val="00AE3BC6"/>
    <w:rsid w:val="00AE4D4F"/>
    <w:rsid w:val="00AE627C"/>
    <w:rsid w:val="00AE62B0"/>
    <w:rsid w:val="00AE68A2"/>
    <w:rsid w:val="00AE7D1E"/>
    <w:rsid w:val="00AF0029"/>
    <w:rsid w:val="00AF0354"/>
    <w:rsid w:val="00AF1236"/>
    <w:rsid w:val="00AF3C29"/>
    <w:rsid w:val="00AF4401"/>
    <w:rsid w:val="00AF4463"/>
    <w:rsid w:val="00AF502B"/>
    <w:rsid w:val="00AF53CB"/>
    <w:rsid w:val="00AF5F2D"/>
    <w:rsid w:val="00AF65C5"/>
    <w:rsid w:val="00B03421"/>
    <w:rsid w:val="00B03CE2"/>
    <w:rsid w:val="00B06544"/>
    <w:rsid w:val="00B105F2"/>
    <w:rsid w:val="00B10991"/>
    <w:rsid w:val="00B12128"/>
    <w:rsid w:val="00B12945"/>
    <w:rsid w:val="00B12C0E"/>
    <w:rsid w:val="00B12C1E"/>
    <w:rsid w:val="00B1467D"/>
    <w:rsid w:val="00B14F8C"/>
    <w:rsid w:val="00B155DF"/>
    <w:rsid w:val="00B156CF"/>
    <w:rsid w:val="00B1570E"/>
    <w:rsid w:val="00B176B9"/>
    <w:rsid w:val="00B17AD5"/>
    <w:rsid w:val="00B17DC8"/>
    <w:rsid w:val="00B17E1E"/>
    <w:rsid w:val="00B207F1"/>
    <w:rsid w:val="00B20A42"/>
    <w:rsid w:val="00B20BDE"/>
    <w:rsid w:val="00B20C41"/>
    <w:rsid w:val="00B2138D"/>
    <w:rsid w:val="00B21768"/>
    <w:rsid w:val="00B2340E"/>
    <w:rsid w:val="00B23F86"/>
    <w:rsid w:val="00B248A0"/>
    <w:rsid w:val="00B24B42"/>
    <w:rsid w:val="00B24DC6"/>
    <w:rsid w:val="00B24E30"/>
    <w:rsid w:val="00B258F3"/>
    <w:rsid w:val="00B25E0D"/>
    <w:rsid w:val="00B2645C"/>
    <w:rsid w:val="00B2659C"/>
    <w:rsid w:val="00B269E2"/>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347"/>
    <w:rsid w:val="00B40A2B"/>
    <w:rsid w:val="00B420CB"/>
    <w:rsid w:val="00B4331D"/>
    <w:rsid w:val="00B4401C"/>
    <w:rsid w:val="00B44802"/>
    <w:rsid w:val="00B44A96"/>
    <w:rsid w:val="00B455D1"/>
    <w:rsid w:val="00B46135"/>
    <w:rsid w:val="00B472AB"/>
    <w:rsid w:val="00B47CE4"/>
    <w:rsid w:val="00B503A8"/>
    <w:rsid w:val="00B5121D"/>
    <w:rsid w:val="00B525C0"/>
    <w:rsid w:val="00B52C5A"/>
    <w:rsid w:val="00B52FAB"/>
    <w:rsid w:val="00B5319A"/>
    <w:rsid w:val="00B539F9"/>
    <w:rsid w:val="00B53E56"/>
    <w:rsid w:val="00B546C3"/>
    <w:rsid w:val="00B54BD9"/>
    <w:rsid w:val="00B5503C"/>
    <w:rsid w:val="00B55640"/>
    <w:rsid w:val="00B55C57"/>
    <w:rsid w:val="00B56F77"/>
    <w:rsid w:val="00B57107"/>
    <w:rsid w:val="00B60D27"/>
    <w:rsid w:val="00B619E4"/>
    <w:rsid w:val="00B61CD3"/>
    <w:rsid w:val="00B61D0B"/>
    <w:rsid w:val="00B6351C"/>
    <w:rsid w:val="00B6439A"/>
    <w:rsid w:val="00B6443B"/>
    <w:rsid w:val="00B6517B"/>
    <w:rsid w:val="00B65E71"/>
    <w:rsid w:val="00B66C26"/>
    <w:rsid w:val="00B67829"/>
    <w:rsid w:val="00B71FB3"/>
    <w:rsid w:val="00B72824"/>
    <w:rsid w:val="00B73492"/>
    <w:rsid w:val="00B7512A"/>
    <w:rsid w:val="00B76548"/>
    <w:rsid w:val="00B76BED"/>
    <w:rsid w:val="00B806E6"/>
    <w:rsid w:val="00B814BF"/>
    <w:rsid w:val="00B826C3"/>
    <w:rsid w:val="00B82DC1"/>
    <w:rsid w:val="00B835D5"/>
    <w:rsid w:val="00B84028"/>
    <w:rsid w:val="00B84307"/>
    <w:rsid w:val="00B8430D"/>
    <w:rsid w:val="00B850F8"/>
    <w:rsid w:val="00B85661"/>
    <w:rsid w:val="00B85C8A"/>
    <w:rsid w:val="00B86FBD"/>
    <w:rsid w:val="00B90C16"/>
    <w:rsid w:val="00B91B86"/>
    <w:rsid w:val="00B927CA"/>
    <w:rsid w:val="00B928AE"/>
    <w:rsid w:val="00B93615"/>
    <w:rsid w:val="00B93CDA"/>
    <w:rsid w:val="00B942E9"/>
    <w:rsid w:val="00B9433A"/>
    <w:rsid w:val="00B948EE"/>
    <w:rsid w:val="00B94BF3"/>
    <w:rsid w:val="00B94F90"/>
    <w:rsid w:val="00B95DC5"/>
    <w:rsid w:val="00B96E28"/>
    <w:rsid w:val="00B97E34"/>
    <w:rsid w:val="00B97FEF"/>
    <w:rsid w:val="00BA07F2"/>
    <w:rsid w:val="00BA0DDD"/>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4E10"/>
    <w:rsid w:val="00BB6907"/>
    <w:rsid w:val="00BB702F"/>
    <w:rsid w:val="00BB7A20"/>
    <w:rsid w:val="00BC15B1"/>
    <w:rsid w:val="00BC3C06"/>
    <w:rsid w:val="00BC4E8B"/>
    <w:rsid w:val="00BC5622"/>
    <w:rsid w:val="00BC6060"/>
    <w:rsid w:val="00BC68EC"/>
    <w:rsid w:val="00BC6A9F"/>
    <w:rsid w:val="00BC7897"/>
    <w:rsid w:val="00BC7B1D"/>
    <w:rsid w:val="00BD06D7"/>
    <w:rsid w:val="00BD0F35"/>
    <w:rsid w:val="00BD1576"/>
    <w:rsid w:val="00BD45A4"/>
    <w:rsid w:val="00BD4A5F"/>
    <w:rsid w:val="00BD570E"/>
    <w:rsid w:val="00BD59AA"/>
    <w:rsid w:val="00BD65E6"/>
    <w:rsid w:val="00BD6AF7"/>
    <w:rsid w:val="00BD73AA"/>
    <w:rsid w:val="00BE02A2"/>
    <w:rsid w:val="00BE163D"/>
    <w:rsid w:val="00BE19EF"/>
    <w:rsid w:val="00BE425B"/>
    <w:rsid w:val="00BE51BB"/>
    <w:rsid w:val="00BE69DD"/>
    <w:rsid w:val="00BE756A"/>
    <w:rsid w:val="00BE7595"/>
    <w:rsid w:val="00BE77D3"/>
    <w:rsid w:val="00BF0138"/>
    <w:rsid w:val="00BF114B"/>
    <w:rsid w:val="00BF128C"/>
    <w:rsid w:val="00BF1620"/>
    <w:rsid w:val="00BF1AC3"/>
    <w:rsid w:val="00BF1B0F"/>
    <w:rsid w:val="00BF373A"/>
    <w:rsid w:val="00BF409D"/>
    <w:rsid w:val="00BF62D2"/>
    <w:rsid w:val="00BF6D9E"/>
    <w:rsid w:val="00BF71BB"/>
    <w:rsid w:val="00BF76F7"/>
    <w:rsid w:val="00BF7C9F"/>
    <w:rsid w:val="00BF7D52"/>
    <w:rsid w:val="00C00012"/>
    <w:rsid w:val="00C000A5"/>
    <w:rsid w:val="00C006B4"/>
    <w:rsid w:val="00C00938"/>
    <w:rsid w:val="00C00E2A"/>
    <w:rsid w:val="00C02140"/>
    <w:rsid w:val="00C025B9"/>
    <w:rsid w:val="00C0336D"/>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3B0E"/>
    <w:rsid w:val="00C26152"/>
    <w:rsid w:val="00C264C7"/>
    <w:rsid w:val="00C2682A"/>
    <w:rsid w:val="00C271C4"/>
    <w:rsid w:val="00C271EE"/>
    <w:rsid w:val="00C274F3"/>
    <w:rsid w:val="00C27767"/>
    <w:rsid w:val="00C30A54"/>
    <w:rsid w:val="00C316F7"/>
    <w:rsid w:val="00C31DF0"/>
    <w:rsid w:val="00C33916"/>
    <w:rsid w:val="00C33BCF"/>
    <w:rsid w:val="00C353A0"/>
    <w:rsid w:val="00C368D7"/>
    <w:rsid w:val="00C36FD1"/>
    <w:rsid w:val="00C371A5"/>
    <w:rsid w:val="00C40011"/>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4E85"/>
    <w:rsid w:val="00C551D2"/>
    <w:rsid w:val="00C56438"/>
    <w:rsid w:val="00C570B3"/>
    <w:rsid w:val="00C57114"/>
    <w:rsid w:val="00C6009F"/>
    <w:rsid w:val="00C60417"/>
    <w:rsid w:val="00C6046F"/>
    <w:rsid w:val="00C638C2"/>
    <w:rsid w:val="00C651D4"/>
    <w:rsid w:val="00C6669E"/>
    <w:rsid w:val="00C66C22"/>
    <w:rsid w:val="00C672B0"/>
    <w:rsid w:val="00C7071F"/>
    <w:rsid w:val="00C7283D"/>
    <w:rsid w:val="00C729C7"/>
    <w:rsid w:val="00C7347F"/>
    <w:rsid w:val="00C777AD"/>
    <w:rsid w:val="00C80C53"/>
    <w:rsid w:val="00C81195"/>
    <w:rsid w:val="00C81798"/>
    <w:rsid w:val="00C819C7"/>
    <w:rsid w:val="00C85387"/>
    <w:rsid w:val="00C85E52"/>
    <w:rsid w:val="00C86471"/>
    <w:rsid w:val="00C8677B"/>
    <w:rsid w:val="00C86F96"/>
    <w:rsid w:val="00C909C6"/>
    <w:rsid w:val="00C923B7"/>
    <w:rsid w:val="00C93DB4"/>
    <w:rsid w:val="00C9465D"/>
    <w:rsid w:val="00C94D4C"/>
    <w:rsid w:val="00C96C1E"/>
    <w:rsid w:val="00C96CA4"/>
    <w:rsid w:val="00CA012C"/>
    <w:rsid w:val="00CA044C"/>
    <w:rsid w:val="00CA0AA6"/>
    <w:rsid w:val="00CA2897"/>
    <w:rsid w:val="00CA44F3"/>
    <w:rsid w:val="00CA477F"/>
    <w:rsid w:val="00CA5533"/>
    <w:rsid w:val="00CA582C"/>
    <w:rsid w:val="00CA6077"/>
    <w:rsid w:val="00CA715B"/>
    <w:rsid w:val="00CA7988"/>
    <w:rsid w:val="00CA7BA2"/>
    <w:rsid w:val="00CB0B78"/>
    <w:rsid w:val="00CB12A5"/>
    <w:rsid w:val="00CB17FA"/>
    <w:rsid w:val="00CB23D8"/>
    <w:rsid w:val="00CB2ED9"/>
    <w:rsid w:val="00CB36A5"/>
    <w:rsid w:val="00CB56B4"/>
    <w:rsid w:val="00CB5BC0"/>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B48"/>
    <w:rsid w:val="00CD2F92"/>
    <w:rsid w:val="00CD3511"/>
    <w:rsid w:val="00CD4EB0"/>
    <w:rsid w:val="00CD512D"/>
    <w:rsid w:val="00CD5831"/>
    <w:rsid w:val="00CD6F6E"/>
    <w:rsid w:val="00CE157F"/>
    <w:rsid w:val="00CE1966"/>
    <w:rsid w:val="00CE1ED4"/>
    <w:rsid w:val="00CE2211"/>
    <w:rsid w:val="00CE2216"/>
    <w:rsid w:val="00CE2F58"/>
    <w:rsid w:val="00CE3014"/>
    <w:rsid w:val="00CE30E5"/>
    <w:rsid w:val="00CE40BA"/>
    <w:rsid w:val="00CE438D"/>
    <w:rsid w:val="00CE6FC6"/>
    <w:rsid w:val="00CE7201"/>
    <w:rsid w:val="00CF2056"/>
    <w:rsid w:val="00CF3852"/>
    <w:rsid w:val="00CF4471"/>
    <w:rsid w:val="00CF51C0"/>
    <w:rsid w:val="00CF5B2A"/>
    <w:rsid w:val="00CF5F57"/>
    <w:rsid w:val="00CF64A7"/>
    <w:rsid w:val="00CF6730"/>
    <w:rsid w:val="00CF70E5"/>
    <w:rsid w:val="00CF78AF"/>
    <w:rsid w:val="00CF7CEC"/>
    <w:rsid w:val="00D00B0F"/>
    <w:rsid w:val="00D01701"/>
    <w:rsid w:val="00D01BF4"/>
    <w:rsid w:val="00D02708"/>
    <w:rsid w:val="00D0272C"/>
    <w:rsid w:val="00D03BC9"/>
    <w:rsid w:val="00D045CE"/>
    <w:rsid w:val="00D05082"/>
    <w:rsid w:val="00D06163"/>
    <w:rsid w:val="00D06937"/>
    <w:rsid w:val="00D07AFD"/>
    <w:rsid w:val="00D11139"/>
    <w:rsid w:val="00D11749"/>
    <w:rsid w:val="00D117B4"/>
    <w:rsid w:val="00D12A7D"/>
    <w:rsid w:val="00D13AB0"/>
    <w:rsid w:val="00D1519E"/>
    <w:rsid w:val="00D152B7"/>
    <w:rsid w:val="00D1549B"/>
    <w:rsid w:val="00D16EDC"/>
    <w:rsid w:val="00D17FDE"/>
    <w:rsid w:val="00D201CB"/>
    <w:rsid w:val="00D22786"/>
    <w:rsid w:val="00D228B4"/>
    <w:rsid w:val="00D25AC4"/>
    <w:rsid w:val="00D305F6"/>
    <w:rsid w:val="00D30B25"/>
    <w:rsid w:val="00D3175A"/>
    <w:rsid w:val="00D31A00"/>
    <w:rsid w:val="00D31BA8"/>
    <w:rsid w:val="00D323E4"/>
    <w:rsid w:val="00D32871"/>
    <w:rsid w:val="00D329F6"/>
    <w:rsid w:val="00D33881"/>
    <w:rsid w:val="00D34282"/>
    <w:rsid w:val="00D343D9"/>
    <w:rsid w:val="00D366B1"/>
    <w:rsid w:val="00D37AE0"/>
    <w:rsid w:val="00D416A8"/>
    <w:rsid w:val="00D4217D"/>
    <w:rsid w:val="00D4257C"/>
    <w:rsid w:val="00D425AC"/>
    <w:rsid w:val="00D42823"/>
    <w:rsid w:val="00D429F3"/>
    <w:rsid w:val="00D42D5E"/>
    <w:rsid w:val="00D43F14"/>
    <w:rsid w:val="00D4437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47C1"/>
    <w:rsid w:val="00D67101"/>
    <w:rsid w:val="00D7054F"/>
    <w:rsid w:val="00D71B45"/>
    <w:rsid w:val="00D71F8A"/>
    <w:rsid w:val="00D74EB8"/>
    <w:rsid w:val="00D75603"/>
    <w:rsid w:val="00D75FEE"/>
    <w:rsid w:val="00D76933"/>
    <w:rsid w:val="00D76D88"/>
    <w:rsid w:val="00D77CC9"/>
    <w:rsid w:val="00D83D4B"/>
    <w:rsid w:val="00D84663"/>
    <w:rsid w:val="00D871C6"/>
    <w:rsid w:val="00D87D2C"/>
    <w:rsid w:val="00D902CC"/>
    <w:rsid w:val="00D91010"/>
    <w:rsid w:val="00D9143D"/>
    <w:rsid w:val="00D920D1"/>
    <w:rsid w:val="00D9439D"/>
    <w:rsid w:val="00D9563D"/>
    <w:rsid w:val="00DA0FA7"/>
    <w:rsid w:val="00DA12B0"/>
    <w:rsid w:val="00DA2BA0"/>
    <w:rsid w:val="00DA2FAD"/>
    <w:rsid w:val="00DA3317"/>
    <w:rsid w:val="00DA39AD"/>
    <w:rsid w:val="00DA4BCF"/>
    <w:rsid w:val="00DA5B13"/>
    <w:rsid w:val="00DA6917"/>
    <w:rsid w:val="00DA6926"/>
    <w:rsid w:val="00DB0965"/>
    <w:rsid w:val="00DB0E47"/>
    <w:rsid w:val="00DB24B2"/>
    <w:rsid w:val="00DB2BDD"/>
    <w:rsid w:val="00DB4121"/>
    <w:rsid w:val="00DB46C3"/>
    <w:rsid w:val="00DB5742"/>
    <w:rsid w:val="00DB5EDF"/>
    <w:rsid w:val="00DB6C46"/>
    <w:rsid w:val="00DB6DB5"/>
    <w:rsid w:val="00DB72B8"/>
    <w:rsid w:val="00DB7AE4"/>
    <w:rsid w:val="00DC16AF"/>
    <w:rsid w:val="00DC251D"/>
    <w:rsid w:val="00DC2A9A"/>
    <w:rsid w:val="00DC2E2E"/>
    <w:rsid w:val="00DC4A52"/>
    <w:rsid w:val="00DC4D68"/>
    <w:rsid w:val="00DC6463"/>
    <w:rsid w:val="00DC7822"/>
    <w:rsid w:val="00DC7AF1"/>
    <w:rsid w:val="00DD1C45"/>
    <w:rsid w:val="00DD2CDA"/>
    <w:rsid w:val="00DD2D92"/>
    <w:rsid w:val="00DD3026"/>
    <w:rsid w:val="00DD33DC"/>
    <w:rsid w:val="00DD3BB0"/>
    <w:rsid w:val="00DD61F5"/>
    <w:rsid w:val="00DD6971"/>
    <w:rsid w:val="00DD7418"/>
    <w:rsid w:val="00DE0419"/>
    <w:rsid w:val="00DE1F98"/>
    <w:rsid w:val="00DE2B88"/>
    <w:rsid w:val="00DE6112"/>
    <w:rsid w:val="00DE64A6"/>
    <w:rsid w:val="00DE66EB"/>
    <w:rsid w:val="00DE7035"/>
    <w:rsid w:val="00DF12E3"/>
    <w:rsid w:val="00DF2A20"/>
    <w:rsid w:val="00DF2ABE"/>
    <w:rsid w:val="00DF346E"/>
    <w:rsid w:val="00DF3F1D"/>
    <w:rsid w:val="00DF595C"/>
    <w:rsid w:val="00DF67B4"/>
    <w:rsid w:val="00DF7EA7"/>
    <w:rsid w:val="00E007E6"/>
    <w:rsid w:val="00E00EDC"/>
    <w:rsid w:val="00E0150D"/>
    <w:rsid w:val="00E04548"/>
    <w:rsid w:val="00E0484E"/>
    <w:rsid w:val="00E063F8"/>
    <w:rsid w:val="00E114D6"/>
    <w:rsid w:val="00E1166E"/>
    <w:rsid w:val="00E11DBD"/>
    <w:rsid w:val="00E13211"/>
    <w:rsid w:val="00E13476"/>
    <w:rsid w:val="00E16FB5"/>
    <w:rsid w:val="00E170E6"/>
    <w:rsid w:val="00E177C0"/>
    <w:rsid w:val="00E179D6"/>
    <w:rsid w:val="00E17F97"/>
    <w:rsid w:val="00E21407"/>
    <w:rsid w:val="00E22668"/>
    <w:rsid w:val="00E227D3"/>
    <w:rsid w:val="00E22BFF"/>
    <w:rsid w:val="00E22CB0"/>
    <w:rsid w:val="00E23798"/>
    <w:rsid w:val="00E2451C"/>
    <w:rsid w:val="00E253B6"/>
    <w:rsid w:val="00E2585D"/>
    <w:rsid w:val="00E25DBD"/>
    <w:rsid w:val="00E25FA2"/>
    <w:rsid w:val="00E2723D"/>
    <w:rsid w:val="00E27C77"/>
    <w:rsid w:val="00E3179E"/>
    <w:rsid w:val="00E32AC9"/>
    <w:rsid w:val="00E33D6B"/>
    <w:rsid w:val="00E354DA"/>
    <w:rsid w:val="00E354F5"/>
    <w:rsid w:val="00E3687E"/>
    <w:rsid w:val="00E40974"/>
    <w:rsid w:val="00E40AAB"/>
    <w:rsid w:val="00E41205"/>
    <w:rsid w:val="00E41F32"/>
    <w:rsid w:val="00E42608"/>
    <w:rsid w:val="00E43387"/>
    <w:rsid w:val="00E43536"/>
    <w:rsid w:val="00E43DA3"/>
    <w:rsid w:val="00E4420B"/>
    <w:rsid w:val="00E44B80"/>
    <w:rsid w:val="00E45938"/>
    <w:rsid w:val="00E47430"/>
    <w:rsid w:val="00E474BD"/>
    <w:rsid w:val="00E478EB"/>
    <w:rsid w:val="00E50FB7"/>
    <w:rsid w:val="00E5199F"/>
    <w:rsid w:val="00E526DF"/>
    <w:rsid w:val="00E538D3"/>
    <w:rsid w:val="00E53C15"/>
    <w:rsid w:val="00E542DD"/>
    <w:rsid w:val="00E54EE6"/>
    <w:rsid w:val="00E55FE0"/>
    <w:rsid w:val="00E56715"/>
    <w:rsid w:val="00E56C2C"/>
    <w:rsid w:val="00E57217"/>
    <w:rsid w:val="00E57D72"/>
    <w:rsid w:val="00E57F8E"/>
    <w:rsid w:val="00E611C8"/>
    <w:rsid w:val="00E614C6"/>
    <w:rsid w:val="00E619AB"/>
    <w:rsid w:val="00E61AFF"/>
    <w:rsid w:val="00E6344A"/>
    <w:rsid w:val="00E64E69"/>
    <w:rsid w:val="00E64FB7"/>
    <w:rsid w:val="00E669A1"/>
    <w:rsid w:val="00E679BA"/>
    <w:rsid w:val="00E67D20"/>
    <w:rsid w:val="00E70243"/>
    <w:rsid w:val="00E70E2E"/>
    <w:rsid w:val="00E72CC6"/>
    <w:rsid w:val="00E73D44"/>
    <w:rsid w:val="00E7494A"/>
    <w:rsid w:val="00E74BE2"/>
    <w:rsid w:val="00E74C66"/>
    <w:rsid w:val="00E757D1"/>
    <w:rsid w:val="00E75933"/>
    <w:rsid w:val="00E77050"/>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2BAC"/>
    <w:rsid w:val="00EA332B"/>
    <w:rsid w:val="00EA3D36"/>
    <w:rsid w:val="00EA40AA"/>
    <w:rsid w:val="00EA57E2"/>
    <w:rsid w:val="00EA6FEC"/>
    <w:rsid w:val="00EA7186"/>
    <w:rsid w:val="00EB018B"/>
    <w:rsid w:val="00EB1003"/>
    <w:rsid w:val="00EB167E"/>
    <w:rsid w:val="00EB24ED"/>
    <w:rsid w:val="00EB2A00"/>
    <w:rsid w:val="00EB309B"/>
    <w:rsid w:val="00EB33C9"/>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6E27"/>
    <w:rsid w:val="00ED7DA7"/>
    <w:rsid w:val="00EE0598"/>
    <w:rsid w:val="00EE1A18"/>
    <w:rsid w:val="00EE311C"/>
    <w:rsid w:val="00EE33D9"/>
    <w:rsid w:val="00EE3B31"/>
    <w:rsid w:val="00EE56FF"/>
    <w:rsid w:val="00EE5886"/>
    <w:rsid w:val="00EE5FBF"/>
    <w:rsid w:val="00EE6472"/>
    <w:rsid w:val="00EE6C46"/>
    <w:rsid w:val="00EE76F2"/>
    <w:rsid w:val="00EF0769"/>
    <w:rsid w:val="00EF0D7C"/>
    <w:rsid w:val="00EF158A"/>
    <w:rsid w:val="00EF2BC9"/>
    <w:rsid w:val="00EF314C"/>
    <w:rsid w:val="00EF383B"/>
    <w:rsid w:val="00EF40E2"/>
    <w:rsid w:val="00EF5A27"/>
    <w:rsid w:val="00EF61C1"/>
    <w:rsid w:val="00EF6E68"/>
    <w:rsid w:val="00EF76DB"/>
    <w:rsid w:val="00F005FD"/>
    <w:rsid w:val="00F016BE"/>
    <w:rsid w:val="00F02C04"/>
    <w:rsid w:val="00F03AF1"/>
    <w:rsid w:val="00F04BCD"/>
    <w:rsid w:val="00F05A8C"/>
    <w:rsid w:val="00F06211"/>
    <w:rsid w:val="00F07297"/>
    <w:rsid w:val="00F107EF"/>
    <w:rsid w:val="00F10A54"/>
    <w:rsid w:val="00F121A8"/>
    <w:rsid w:val="00F123D0"/>
    <w:rsid w:val="00F13200"/>
    <w:rsid w:val="00F13411"/>
    <w:rsid w:val="00F143BA"/>
    <w:rsid w:val="00F14D98"/>
    <w:rsid w:val="00F16247"/>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0E7D"/>
    <w:rsid w:val="00F42DBC"/>
    <w:rsid w:val="00F4308D"/>
    <w:rsid w:val="00F44012"/>
    <w:rsid w:val="00F44947"/>
    <w:rsid w:val="00F458EF"/>
    <w:rsid w:val="00F469F8"/>
    <w:rsid w:val="00F47121"/>
    <w:rsid w:val="00F4775D"/>
    <w:rsid w:val="00F504DD"/>
    <w:rsid w:val="00F50874"/>
    <w:rsid w:val="00F514C4"/>
    <w:rsid w:val="00F516C6"/>
    <w:rsid w:val="00F52221"/>
    <w:rsid w:val="00F52B28"/>
    <w:rsid w:val="00F536BB"/>
    <w:rsid w:val="00F53755"/>
    <w:rsid w:val="00F53E59"/>
    <w:rsid w:val="00F544B3"/>
    <w:rsid w:val="00F5475B"/>
    <w:rsid w:val="00F574D0"/>
    <w:rsid w:val="00F6031F"/>
    <w:rsid w:val="00F61664"/>
    <w:rsid w:val="00F61B99"/>
    <w:rsid w:val="00F623DE"/>
    <w:rsid w:val="00F64C45"/>
    <w:rsid w:val="00F6502B"/>
    <w:rsid w:val="00F6612A"/>
    <w:rsid w:val="00F66724"/>
    <w:rsid w:val="00F67F04"/>
    <w:rsid w:val="00F70207"/>
    <w:rsid w:val="00F702CB"/>
    <w:rsid w:val="00F7126D"/>
    <w:rsid w:val="00F716D4"/>
    <w:rsid w:val="00F71AC2"/>
    <w:rsid w:val="00F7291E"/>
    <w:rsid w:val="00F739D4"/>
    <w:rsid w:val="00F74C86"/>
    <w:rsid w:val="00F77D43"/>
    <w:rsid w:val="00F80953"/>
    <w:rsid w:val="00F80B5C"/>
    <w:rsid w:val="00F81312"/>
    <w:rsid w:val="00F81B90"/>
    <w:rsid w:val="00F81E6F"/>
    <w:rsid w:val="00F82FF3"/>
    <w:rsid w:val="00F83468"/>
    <w:rsid w:val="00F839AE"/>
    <w:rsid w:val="00F8453C"/>
    <w:rsid w:val="00F84D4C"/>
    <w:rsid w:val="00F8657D"/>
    <w:rsid w:val="00F8730F"/>
    <w:rsid w:val="00F87468"/>
    <w:rsid w:val="00F87897"/>
    <w:rsid w:val="00F87DA3"/>
    <w:rsid w:val="00F90004"/>
    <w:rsid w:val="00F90EF4"/>
    <w:rsid w:val="00F9167C"/>
    <w:rsid w:val="00F917BF"/>
    <w:rsid w:val="00F920B4"/>
    <w:rsid w:val="00F9260D"/>
    <w:rsid w:val="00F92727"/>
    <w:rsid w:val="00F93646"/>
    <w:rsid w:val="00F93B1B"/>
    <w:rsid w:val="00F93CCF"/>
    <w:rsid w:val="00F94307"/>
    <w:rsid w:val="00F9580B"/>
    <w:rsid w:val="00F95F15"/>
    <w:rsid w:val="00F975CA"/>
    <w:rsid w:val="00FA08B4"/>
    <w:rsid w:val="00FA0B60"/>
    <w:rsid w:val="00FA2528"/>
    <w:rsid w:val="00FA3FBB"/>
    <w:rsid w:val="00FA4100"/>
    <w:rsid w:val="00FA5524"/>
    <w:rsid w:val="00FA5535"/>
    <w:rsid w:val="00FA5632"/>
    <w:rsid w:val="00FA7206"/>
    <w:rsid w:val="00FA7EFB"/>
    <w:rsid w:val="00FB0816"/>
    <w:rsid w:val="00FB08C2"/>
    <w:rsid w:val="00FB3DD1"/>
    <w:rsid w:val="00FB4314"/>
    <w:rsid w:val="00FB51FD"/>
    <w:rsid w:val="00FB5667"/>
    <w:rsid w:val="00FB7A97"/>
    <w:rsid w:val="00FC1601"/>
    <w:rsid w:val="00FC1B79"/>
    <w:rsid w:val="00FC1B9B"/>
    <w:rsid w:val="00FC318D"/>
    <w:rsid w:val="00FC36CF"/>
    <w:rsid w:val="00FC40BC"/>
    <w:rsid w:val="00FC41FC"/>
    <w:rsid w:val="00FC4F6E"/>
    <w:rsid w:val="00FC506C"/>
    <w:rsid w:val="00FC578C"/>
    <w:rsid w:val="00FC5A37"/>
    <w:rsid w:val="00FC66F0"/>
    <w:rsid w:val="00FC7836"/>
    <w:rsid w:val="00FD07FB"/>
    <w:rsid w:val="00FD13EA"/>
    <w:rsid w:val="00FD22C8"/>
    <w:rsid w:val="00FD5EC4"/>
    <w:rsid w:val="00FD6E56"/>
    <w:rsid w:val="00FD7858"/>
    <w:rsid w:val="00FD7A8D"/>
    <w:rsid w:val="00FE11A0"/>
    <w:rsid w:val="00FE1330"/>
    <w:rsid w:val="00FE1CE5"/>
    <w:rsid w:val="00FE2832"/>
    <w:rsid w:val="00FE2D38"/>
    <w:rsid w:val="00FE314B"/>
    <w:rsid w:val="00FE32EB"/>
    <w:rsid w:val="00FE3929"/>
    <w:rsid w:val="00FE3E32"/>
    <w:rsid w:val="00FE4027"/>
    <w:rsid w:val="00FE5CA4"/>
    <w:rsid w:val="00FE6441"/>
    <w:rsid w:val="00FF097B"/>
    <w:rsid w:val="00FF0B6E"/>
    <w:rsid w:val="00FF0C1C"/>
    <w:rsid w:val="00FF193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tulo1">
    <w:name w:val="heading 1"/>
    <w:basedOn w:val="Normal"/>
    <w:next w:val="Normal"/>
    <w:link w:val="Ttulo1Car"/>
    <w:qFormat/>
    <w:locked/>
    <w:rsid w:val="00BB1973"/>
    <w:pPr>
      <w:keepNext/>
      <w:numPr>
        <w:numId w:val="36"/>
      </w:numPr>
      <w:spacing w:before="240" w:after="60" w:line="360" w:lineRule="auto"/>
      <w:outlineLvl w:val="0"/>
    </w:pPr>
    <w:rPr>
      <w:b/>
      <w:bCs/>
      <w:color w:val="00379F"/>
      <w:kern w:val="32"/>
      <w:sz w:val="28"/>
      <w:szCs w:val="28"/>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2"/>
      </w:numPr>
      <w:spacing w:before="200"/>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qFormat/>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locked/>
    <w:rsid w:val="001725A5"/>
    <w:pPr>
      <w:spacing w:line="200" w:lineRule="exact"/>
    </w:pPr>
    <w:rPr>
      <w:sz w:val="16"/>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uiPriority w:val="99"/>
    <w:locked/>
    <w:rsid w:val="004B1E61"/>
    <w:rPr>
      <w:sz w:val="16"/>
      <w:szCs w:val="16"/>
    </w:rPr>
  </w:style>
  <w:style w:type="paragraph" w:styleId="Textocomentario">
    <w:name w:val="annotation text"/>
    <w:basedOn w:val="Normal"/>
    <w:link w:val="TextocomentarioCar"/>
    <w:uiPriority w:val="99"/>
    <w:locked/>
    <w:rsid w:val="004B1E61"/>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Normal Nivel 1,List Paragraph Main,List first level,List Paragraph_Sections"/>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D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7"/>
      </w:numPr>
      <w:spacing w:after="240"/>
    </w:pPr>
    <w:rPr>
      <w:rFonts w:ascii="Times New Roman" w:hAnsi="Times New Roman"/>
      <w:sz w:val="24"/>
      <w:lang w:eastAsia="en-GB"/>
    </w:rPr>
  </w:style>
  <w:style w:type="character" w:customStyle="1" w:styleId="TextoindependienteCar">
    <w:name w:val="Texto independiente Car"/>
    <w:link w:val="Textoindependiente"/>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rFonts w:eastAsiaTheme="minorEastAsia" w:cs="Arial"/>
      <w:b/>
      <w:bCs/>
      <w:color w:val="1A1A1A" w:themeColor="background1" w:themeShade="1A"/>
      <w:sz w:val="22"/>
      <w:szCs w:val="22"/>
      <w:lang w:eastAsia="en-US"/>
    </w:rPr>
  </w:style>
  <w:style w:type="character" w:customStyle="1" w:styleId="Ttulo8Car">
    <w:name w:val="Título 8 Car"/>
    <w:link w:val="Ttulo8"/>
    <w:rsid w:val="002D6E1A"/>
    <w:rPr>
      <w:rFonts w:eastAsiaTheme="minorEastAsia" w:cs="Arial"/>
      <w:i/>
      <w:iCs/>
      <w:color w:val="1A1A1A" w:themeColor="background1" w:themeShade="1A"/>
      <w:sz w:val="22"/>
      <w:lang w:eastAsia="en-US"/>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rrafodelistaCar">
    <w:name w:val="Párrafo de lista Car"/>
    <w:aliases w:val="Paragraphe EI Car,Paragraphe de liste1 Car,EC Car,Paragraphe de liste Car,Normal Nivel 1 Car,List Paragraph Main Car,List first level Car,List Paragraph_Sections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eastAsiaTheme="minorEastAsia" w:hAnsi="Arial" w:cs="Arial"/>
      <w:b/>
      <w:color w:val="1A1A1A" w:themeColor="background1" w:themeShade="1A"/>
      <w:sz w:val="22"/>
      <w:lang w:eastAsia="en-US"/>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aconnme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aconnme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aconnme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aconvieta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aconvieta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aconvieta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aconvieta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adeilustracion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Fuentedeprrafopredeter"/>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tu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Fuentedeprrafopredeter"/>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Textoennegrita"/>
    <w:uiPriority w:val="1"/>
    <w:qFormat/>
    <w:rsid w:val="00F87468"/>
    <w:rPr>
      <w:b w:val="0"/>
      <w:bCs/>
      <w:caps/>
      <w:smallCaps w:val="0"/>
      <w:color w:val="F79646" w:themeColor="accent6"/>
      <w:sz w:val="22"/>
    </w:rPr>
  </w:style>
  <w:style w:type="paragraph" w:styleId="Subttulo">
    <w:name w:val="Subtitle"/>
    <w:basedOn w:val="Normal"/>
    <w:next w:val="Normal"/>
    <w:link w:val="SubttuloCar"/>
    <w:uiPriority w:val="11"/>
    <w:qFormat/>
    <w:locked/>
    <w:rsid w:val="00E70E2E"/>
    <w:pPr>
      <w:numPr>
        <w:ilvl w:val="1"/>
      </w:numPr>
    </w:pPr>
    <w:rPr>
      <w:rFonts w:eastAsiaTheme="majorEastAsia"/>
      <w:b/>
      <w:bCs/>
      <w:sz w:val="28"/>
    </w:rPr>
  </w:style>
  <w:style w:type="character" w:customStyle="1" w:styleId="SubttuloCar">
    <w:name w:val="Subtítulo Car"/>
    <w:basedOn w:val="Fuentedeprrafopredeter"/>
    <w:link w:val="Subttulo"/>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cinsinresolver">
    <w:name w:val="Unresolved Mention"/>
    <w:basedOn w:val="Fuentedeprrafopredeter"/>
    <w:uiPriority w:val="99"/>
    <w:semiHidden/>
    <w:unhideWhenUsed/>
    <w:rsid w:val="0034374F"/>
    <w:rPr>
      <w:color w:val="605E5C"/>
      <w:shd w:val="clear" w:color="auto" w:fill="E1DFDD"/>
    </w:rPr>
  </w:style>
  <w:style w:type="character" w:customStyle="1" w:styleId="HeaderFootChar">
    <w:name w:val="HeaderFoot Char"/>
    <w:basedOn w:val="Fuentedeprrafopredeter"/>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Fuentedeprrafopredeter"/>
    <w:link w:val="Sectionreplyform"/>
    <w:rsid w:val="00BB1973"/>
    <w:rPr>
      <w:rFonts w:ascii="Arial" w:eastAsiaTheme="minorEastAsia" w:hAnsi="Arial" w:cs="Arial"/>
      <w:b/>
      <w:color w:val="000000" w:themeColor="text1"/>
      <w:sz w:val="24"/>
      <w:szCs w:val="24"/>
      <w:u w:val="single"/>
      <w:lang w:val="en-US" w:eastAsia="en-US"/>
    </w:rPr>
  </w:style>
  <w:style w:type="character" w:styleId="CdigoHTML">
    <w:name w:val="HTML Code"/>
    <w:basedOn w:val="Fuentedeprrafopredeter"/>
    <w:uiPriority w:val="99"/>
    <w:semiHidden/>
    <w:unhideWhenUsed/>
    <w:locked/>
    <w:rsid w:val="0097004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3195359">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72456863">
      <w:bodyDiv w:val="1"/>
      <w:marLeft w:val="0"/>
      <w:marRight w:val="0"/>
      <w:marTop w:val="0"/>
      <w:marBottom w:val="0"/>
      <w:divBdr>
        <w:top w:val="none" w:sz="0" w:space="0" w:color="auto"/>
        <w:left w:val="none" w:sz="0" w:space="0" w:color="auto"/>
        <w:bottom w:val="none" w:sz="0" w:space="0" w:color="auto"/>
        <w:right w:val="none" w:sz="0" w:space="0" w:color="auto"/>
      </w:divBdr>
    </w:div>
    <w:div w:id="13750795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43038512">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esma.europa.e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54</Value>
      <Value>329</Value>
    </TaxCatchAll>
    <_dlc_DocId xmlns="d0fb0f98-34f9-4d57-9559-eb8efd17aa5e">ESMA12-2121844265-3960</_dlc_DocId>
    <_dlc_DocIdUrl xmlns="d0fb0f98-34f9-4d57-9559-eb8efd17aa5e">
      <Url>https://securitiesandmarketsauth.sharepoint.com/sites/sherpa-daru/_layouts/15/DocIdRedir.aspx?ID=ESMA12-2121844265-3960</Url>
      <Description>ESMA12-2121844265-3960</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Reference data</TermName>
          <TermId xmlns="http://schemas.microsoft.com/office/infopath/2007/PartnerControls">36bb832f-b991-4ef7-8bec-e7277df3041f</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dfed02cb80f4453940112edc610ae0b xmlns="d0fb0f98-34f9-4d57-9559-eb8efd17aa5e">
      <Terms xmlns="http://schemas.microsoft.com/office/infopath/2007/PartnerControls"/>
    </adfed02cb80f4453940112edc610ae0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6" ma:contentTypeDescription="" ma:contentTypeScope="" ma:versionID="1a33745356bbb1a0bf33dad033736ac3">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c67944f40fbc93ab4cc582d12006568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692CBE38-6864-4AA2-ACB2-53F00492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6504</Words>
  <Characters>35776</Characters>
  <Application>Microsoft Office Word</Application>
  <DocSecurity>0</DocSecurity>
  <Lines>298</Lines>
  <Paragraphs>84</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42196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Santamaria Ortega, Jose Manuel</cp:lastModifiedBy>
  <cp:revision>17</cp:revision>
  <cp:lastPrinted>2015-02-18T11:01:00Z</cp:lastPrinted>
  <dcterms:created xsi:type="dcterms:W3CDTF">2025-01-17T09:42:00Z</dcterms:created>
  <dcterms:modified xsi:type="dcterms:W3CDTF">2025-01-17T09:59:00Z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ClassificationContentMarkingFooterShapeIds">
    <vt:lpwstr>1d74ddb3,f668d77,2e891d3b,7f225eec,591a6f5a,74ffec75</vt:lpwstr>
  </property>
  <property fmtid="{D5CDD505-2E9C-101B-9397-08002B2CF9AE}" pid="20" name="ClassificationContentMarkingFooterFontProps">
    <vt:lpwstr>#000000,10,Calibri</vt:lpwstr>
  </property>
  <property fmtid="{D5CDD505-2E9C-101B-9397-08002B2CF9AE}" pid="21" name="ClassificationContentMarkingFooterText">
    <vt:lpwstr>Sensitivity: C2 Internal</vt:lpwstr>
  </property>
  <property fmtid="{D5CDD505-2E9C-101B-9397-08002B2CF9AE}" pid="22" name="MSIP_Label_4da52270-6ed3-4abe-ba7c-b9255dadcdf9_Enabled">
    <vt:lpwstr>true</vt:lpwstr>
  </property>
  <property fmtid="{D5CDD505-2E9C-101B-9397-08002B2CF9AE}" pid="23" name="MSIP_Label_4da52270-6ed3-4abe-ba7c-b9255dadcdf9_SetDate">
    <vt:lpwstr>2024-11-08T10:33:51Z</vt:lpwstr>
  </property>
  <property fmtid="{D5CDD505-2E9C-101B-9397-08002B2CF9AE}" pid="24" name="MSIP_Label_4da52270-6ed3-4abe-ba7c-b9255dadcdf9_Method">
    <vt:lpwstr>Standard</vt:lpwstr>
  </property>
  <property fmtid="{D5CDD505-2E9C-101B-9397-08002B2CF9AE}" pid="25" name="MSIP_Label_4da52270-6ed3-4abe-ba7c-b9255dadcdf9_Name">
    <vt:lpwstr>4da52270-6ed3-4abe-ba7c-b9255dadcdf9</vt:lpwstr>
  </property>
  <property fmtid="{D5CDD505-2E9C-101B-9397-08002B2CF9AE}" pid="26" name="MSIP_Label_4da52270-6ed3-4abe-ba7c-b9255dadcdf9_SiteId">
    <vt:lpwstr>46e04f2b-093e-4ad0-a99f-0331aa506e12</vt:lpwstr>
  </property>
  <property fmtid="{D5CDD505-2E9C-101B-9397-08002B2CF9AE}" pid="27" name="MSIP_Label_4da52270-6ed3-4abe-ba7c-b9255dadcdf9_ActionId">
    <vt:lpwstr>78cfed7a-412b-4738-b8b5-9cf061d57c2a</vt:lpwstr>
  </property>
  <property fmtid="{D5CDD505-2E9C-101B-9397-08002B2CF9AE}" pid="28" name="MSIP_Label_4da52270-6ed3-4abe-ba7c-b9255dadcdf9_ContentBits">
    <vt:lpwstr>2</vt:lpwstr>
  </property>
</Properties>
</file>