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06CF669B" w14:textId="093BB144" w:rsidR="00FD7A8D" w:rsidRPr="00F716D4" w:rsidRDefault="0032560C" w:rsidP="0032560C">
      <w:pPr>
        <w:pStyle w:val="Untertitel"/>
      </w:pPr>
      <w:r>
        <w:t>Review of RTS 22 on transaction data reporting under Art. 26 and RTS 24 on order book data to be maintained under Art. 25 of MiFIR</w:t>
      </w:r>
      <w:r w:rsidR="00F87468" w:rsidRPr="00F716D4">
        <w:rPr>
          <w:noProof/>
        </w:rPr>
        <mc:AlternateContent>
          <mc:Choice Requires="wps">
            <w:drawing>
              <wp:anchor distT="0" distB="0" distL="114300" distR="114300" simplePos="0" relativeHeight="251659264"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66898" id="Snip Same-side Corner of Rectangle 1" o:spid="_x0000_s1026" style="position:absolute;margin-left:1.35pt;margin-top:42.6pt;width:596.1pt;height:76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p>
    <w:p w14:paraId="50E0C77E" w14:textId="77777777" w:rsidR="00620D7C" w:rsidRPr="00616B9B" w:rsidRDefault="00620D7C" w:rsidP="00F716D4">
      <w:pPr>
        <w:pStyle w:val="05HeadlinenoIndex"/>
        <w:sectPr w:rsidR="00620D7C" w:rsidRPr="00616B9B" w:rsidSect="00C54034">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6"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Listenabsatz"/>
        <w:numPr>
          <w:ilvl w:val="0"/>
          <w:numId w:val="35"/>
        </w:numPr>
        <w:contextualSpacing w:val="0"/>
      </w:pPr>
      <w:r w:rsidRPr="005B6B12">
        <w:t>respond to the question stated;</w:t>
      </w:r>
    </w:p>
    <w:p w14:paraId="73161343" w14:textId="77777777" w:rsidR="00E70E2E" w:rsidRPr="005B6B12" w:rsidRDefault="00E70E2E" w:rsidP="00E43387">
      <w:pPr>
        <w:pStyle w:val="Listenabsatz"/>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Listenabsatz"/>
        <w:numPr>
          <w:ilvl w:val="0"/>
          <w:numId w:val="35"/>
        </w:numPr>
        <w:contextualSpacing w:val="0"/>
      </w:pPr>
      <w:r w:rsidRPr="005B6B12">
        <w:t>contain a clear rationale; and</w:t>
      </w:r>
    </w:p>
    <w:p w14:paraId="30D73002" w14:textId="77777777" w:rsidR="00E70E2E" w:rsidRPr="005B6B12" w:rsidRDefault="00E70E2E" w:rsidP="00E43387">
      <w:pPr>
        <w:pStyle w:val="Listenabsatz"/>
        <w:numPr>
          <w:ilvl w:val="0"/>
          <w:numId w:val="35"/>
        </w:numPr>
        <w:contextualSpacing w:val="0"/>
      </w:pPr>
      <w:r w:rsidRPr="005B6B12">
        <w:t>describe any alternatives ESMA should consider.</w:t>
      </w:r>
    </w:p>
    <w:p w14:paraId="4A599464" w14:textId="765761D7" w:rsidR="00E70E2E" w:rsidRDefault="00E70E2E" w:rsidP="00E70E2E">
      <w:pPr>
        <w:rPr>
          <w:b/>
        </w:rPr>
      </w:pPr>
      <w:r w:rsidRPr="005B6B12">
        <w:t xml:space="preserve">ESMA will consider all comments </w:t>
      </w:r>
      <w:r w:rsidRPr="009E1C55">
        <w:t xml:space="preserve">received by </w:t>
      </w:r>
      <w:r w:rsidR="00CC7B00">
        <w:rPr>
          <w:b/>
        </w:rPr>
        <w:t>17</w:t>
      </w:r>
      <w:r w:rsidR="009E1C55" w:rsidRPr="009E1C55">
        <w:rPr>
          <w:b/>
        </w:rPr>
        <w:t xml:space="preserve"> </w:t>
      </w:r>
      <w:r w:rsidR="002E2DC6">
        <w:rPr>
          <w:b/>
        </w:rPr>
        <w:t>January</w:t>
      </w:r>
      <w:r w:rsidR="009E1C55" w:rsidRPr="009E1C55">
        <w:rPr>
          <w:b/>
        </w:rPr>
        <w:t xml:space="preserve"> </w:t>
      </w:r>
      <w:r w:rsidR="005A775C" w:rsidRPr="009E1C55">
        <w:rPr>
          <w:b/>
        </w:rPr>
        <w:t>202</w:t>
      </w:r>
      <w:r w:rsidR="002E2DC6">
        <w:rPr>
          <w:b/>
        </w:rPr>
        <w:t>5</w:t>
      </w:r>
      <w:r w:rsidRPr="009E1C55">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enabsatz"/>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4A057155" w:rsidR="009D6E99" w:rsidRPr="00863BFD" w:rsidRDefault="009D6E99" w:rsidP="00E43387">
      <w:pPr>
        <w:pStyle w:val="Listenabsatz"/>
        <w:numPr>
          <w:ilvl w:val="0"/>
          <w:numId w:val="35"/>
        </w:numPr>
        <w:contextualSpacing w:val="0"/>
      </w:pPr>
      <w:r w:rsidRPr="00863BFD">
        <w:t>Please do not remove tags of the type &lt;ESMA_QUESTION</w:t>
      </w:r>
      <w:r w:rsidR="00C05202">
        <w:t>_</w:t>
      </w:r>
      <w:r w:rsidR="00DF3781">
        <w:t>RTS2224</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Listenabsatz"/>
        <w:numPr>
          <w:ilvl w:val="0"/>
          <w:numId w:val="35"/>
        </w:numPr>
        <w:contextualSpacing w:val="0"/>
      </w:pPr>
      <w:r w:rsidRPr="00863BFD">
        <w:t>If you do not wish to respond to a given question, please do not delete it but simply leave the text “TYPE YOUR TEXT HERE” between the tags.</w:t>
      </w:r>
    </w:p>
    <w:p w14:paraId="399C1605" w14:textId="2F3734DD" w:rsidR="009D6E99" w:rsidRDefault="009D6E99" w:rsidP="00E43387">
      <w:pPr>
        <w:pStyle w:val="Listenabsatz"/>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DF3781">
        <w:t>RTS2224</w:t>
      </w:r>
      <w:r w:rsidRPr="00863BFD">
        <w:t xml:space="preserve">_nameofrespondent. </w:t>
      </w:r>
    </w:p>
    <w:p w14:paraId="115A7ABF" w14:textId="4E279397" w:rsidR="009D6E99" w:rsidRDefault="009D6E99" w:rsidP="009D6E99">
      <w:pPr>
        <w:pStyle w:val="Listenabsatz"/>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DF3781">
        <w:t>RTS2224</w:t>
      </w:r>
      <w:r>
        <w:t>_</w:t>
      </w:r>
      <w:r w:rsidRPr="00863BFD">
        <w:t>ABCD.</w:t>
      </w:r>
    </w:p>
    <w:p w14:paraId="175B3887" w14:textId="22A43A3A" w:rsidR="009D6E99" w:rsidRDefault="009D6E99" w:rsidP="00E43387">
      <w:pPr>
        <w:pStyle w:val="Listenabsatz"/>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21"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2"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3"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7" w:name="_Toc335141334"/>
    </w:p>
    <w:p w14:paraId="6CA781B8" w14:textId="77777777" w:rsidR="00332304" w:rsidRDefault="00332304" w:rsidP="00F716D4">
      <w:pPr>
        <w:rPr>
          <w:lang w:eastAsia="en-GB"/>
        </w:rPr>
      </w:pPr>
      <w:bookmarkStart w:id="8" w:name="_Toc335141335"/>
      <w:bookmarkEnd w:id="7"/>
    </w:p>
    <w:bookmarkEnd w:id="8"/>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6"/>
    <w:p w14:paraId="3095C284" w14:textId="77777777" w:rsidR="00C54034" w:rsidRDefault="00C54034" w:rsidP="00F716D4">
      <w:pPr>
        <w:sectPr w:rsidR="00C54034" w:rsidSect="00A8728B">
          <w:headerReference w:type="even" r:id="rId24"/>
          <w:headerReference w:type="first" r:id="rId25"/>
          <w:footerReference w:type="first" r:id="rId26"/>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berschrift1"/>
      </w:pPr>
      <w:bookmarkStart w:id="9" w:name="_Hlk124776172"/>
      <w:r w:rsidRPr="00BB1973">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tzhaltertext"/>
            </w:rPr>
            <w:id w:val="651570699"/>
            <w:text/>
          </w:sdtPr>
          <w:sdtEndPr>
            <w:rPr>
              <w:rStyle w:val="Platzhaltertext"/>
            </w:rPr>
          </w:sdtEndPr>
          <w:sdtContent>
            <w:tc>
              <w:tcPr>
                <w:tcW w:w="5595" w:type="dxa"/>
                <w:shd w:val="clear" w:color="auto" w:fill="auto"/>
                <w:vAlign w:val="center"/>
              </w:tcPr>
              <w:p w14:paraId="633DB1B6" w14:textId="5A162850" w:rsidR="00C2682A" w:rsidRPr="00104E00" w:rsidRDefault="00680B64" w:rsidP="00104E00">
                <w:pPr>
                  <w:jc w:val="left"/>
                  <w:rPr>
                    <w:rStyle w:val="Platzhaltertext"/>
                  </w:rPr>
                </w:pPr>
                <w:r>
                  <w:rPr>
                    <w:rStyle w:val="Platzhaltertext"/>
                  </w:rPr>
                  <w:t>Bundesverband der Wertpapierfirmen (bwf)</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5C6896CB" w:rsidR="00C2682A" w:rsidRPr="00104E00" w:rsidRDefault="00CC0C1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680B64">
                  <w:t>Investment Services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EndPr/>
          <w:sdtContent>
            <w:tc>
              <w:tcPr>
                <w:tcW w:w="5595" w:type="dxa"/>
                <w:shd w:val="clear" w:color="auto" w:fill="auto"/>
                <w:vAlign w:val="center"/>
              </w:tcPr>
              <w:p w14:paraId="4BD68813" w14:textId="064B6025" w:rsidR="00C2682A" w:rsidRPr="00104E00" w:rsidRDefault="00680B64"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204E7C89" w14:textId="454A6E7E" w:rsidR="00C2682A" w:rsidRPr="00104E00" w:rsidRDefault="00680B64" w:rsidP="00104E00">
                <w:pPr>
                  <w:jc w:val="left"/>
                </w:pPr>
                <w:r>
                  <w:t>Germany</w:t>
                </w:r>
              </w:p>
            </w:tc>
          </w:sdtContent>
        </w:sdt>
      </w:tr>
      <w:permEnd w:id="1727412903"/>
    </w:tbl>
    <w:p w14:paraId="398E9C9E" w14:textId="10C9CC3D" w:rsidR="00C2682A" w:rsidRDefault="00C2682A" w:rsidP="00F716D4"/>
    <w:p w14:paraId="7F986E69" w14:textId="77777777" w:rsidR="00FA4100" w:rsidRDefault="00BB1973" w:rsidP="00FA4100">
      <w:pPr>
        <w:pStyle w:val="berschrift1"/>
      </w:pPr>
      <w:r>
        <w:t>Questions</w:t>
      </w:r>
      <w:bookmarkStart w:id="10" w:name="_Hlk124780170"/>
    </w:p>
    <w:bookmarkEnd w:id="9"/>
    <w:bookmarkEnd w:id="10"/>
    <w:p w14:paraId="1EC367CD" w14:textId="16908F92" w:rsidR="00E619AB" w:rsidRPr="00B25E0D" w:rsidRDefault="00E619AB" w:rsidP="0029493B">
      <w:pPr>
        <w:pStyle w:val="aNEW-Level4"/>
      </w:pPr>
    </w:p>
    <w:p w14:paraId="77898857" w14:textId="77777777" w:rsidR="0029493B" w:rsidRDefault="0029493B" w:rsidP="006B5DF1">
      <w:pPr>
        <w:pStyle w:val="Questionstyle"/>
      </w:pPr>
      <w:r>
        <w:t>Are any other adjustments needed to enable comprehensive and accurate reporting of transactions which will enter into scope of the revised Article 26(2)?</w:t>
      </w:r>
    </w:p>
    <w:p w14:paraId="1F1D5D7D" w14:textId="77777777" w:rsidR="006B5DF1" w:rsidRDefault="006B5DF1" w:rsidP="006B5DF1"/>
    <w:p w14:paraId="3C453C7F" w14:textId="20F271C9" w:rsidR="006B5DF1" w:rsidRDefault="006B5DF1" w:rsidP="006B5DF1">
      <w:pPr>
        <w:spacing w:after="0"/>
      </w:pPr>
      <w:r>
        <w:t>&lt;ESMA_QUESTION_</w:t>
      </w:r>
      <w:r w:rsidR="00DF3781">
        <w:t>RTS2224</w:t>
      </w:r>
      <w:r>
        <w:t>_01&gt;</w:t>
      </w:r>
    </w:p>
    <w:p w14:paraId="348D8746" w14:textId="77777777" w:rsidR="006C6DE0" w:rsidRDefault="006C6DE0" w:rsidP="00680B64"/>
    <w:p w14:paraId="348B6245" w14:textId="77777777" w:rsidR="006C6DE0" w:rsidRPr="00AD4497" w:rsidRDefault="006C6DE0" w:rsidP="006C6DE0">
      <w:r w:rsidRPr="00AD4497">
        <w:t xml:space="preserve">General Comment </w:t>
      </w:r>
    </w:p>
    <w:p w14:paraId="7B83C5AB" w14:textId="77777777" w:rsidR="00BA795C" w:rsidRPr="00AD4497" w:rsidRDefault="00BA795C" w:rsidP="00BA795C">
      <w:r w:rsidRPr="00AD4497">
        <w:t xml:space="preserve">bwf is representing </w:t>
      </w:r>
      <w:r>
        <w:t>predominantly</w:t>
      </w:r>
      <w:r w:rsidRPr="00AD4497">
        <w:t xml:space="preserve"> medium-</w:t>
      </w:r>
      <w:r>
        <w:t>and smaller</w:t>
      </w:r>
      <w:r w:rsidRPr="00AD4497">
        <w:t xml:space="preserve"> investment firms in Germany. We appreciate the opportunity to comment on the proposed changes and the alignment efforts between RTS 22 and RTS 24. We understand the aim of these proposals is to streamline reporting obligations and improve data quality. However, we stress the importance of ensuring that any changes are accompanied by a thorough cost-benefit analysis (CBA) to evaluate their impact on market participants, particularly </w:t>
      </w:r>
      <w:r>
        <w:t>SME</w:t>
      </w:r>
      <w:r w:rsidRPr="00AD4497">
        <w:t xml:space="preserve"> investment firms. </w:t>
      </w:r>
      <w:r>
        <w:t>Against this background, w</w:t>
      </w:r>
      <w:r w:rsidRPr="00AD4497">
        <w:t xml:space="preserve">e have identified </w:t>
      </w:r>
      <w:r>
        <w:t>the following</w:t>
      </w:r>
      <w:r w:rsidRPr="00AD4497">
        <w:t xml:space="preserve"> </w:t>
      </w:r>
      <w:r>
        <w:t xml:space="preserve">main </w:t>
      </w:r>
      <w:r w:rsidRPr="00AD4497">
        <w:t>concerns:</w:t>
      </w:r>
    </w:p>
    <w:p w14:paraId="294CA60D" w14:textId="77777777" w:rsidR="006C6DE0" w:rsidRPr="00AD4497" w:rsidRDefault="006C6DE0" w:rsidP="006C6DE0">
      <w:pPr>
        <w:numPr>
          <w:ilvl w:val="0"/>
          <w:numId w:val="37"/>
        </w:numPr>
        <w:spacing w:after="160" w:line="259" w:lineRule="auto"/>
        <w:jc w:val="left"/>
      </w:pPr>
      <w:r w:rsidRPr="00AD4497">
        <w:rPr>
          <w:b/>
          <w:bCs/>
        </w:rPr>
        <w:t>Lack of clarity:</w:t>
      </w:r>
      <w:r w:rsidRPr="00AD4497">
        <w:t xml:space="preserve"> Key concepts like "Effective Date" and "Executing Firm" require further clarification.</w:t>
      </w:r>
    </w:p>
    <w:p w14:paraId="7C8B0EF2" w14:textId="77777777" w:rsidR="006C6DE0" w:rsidRPr="00AD4497" w:rsidRDefault="006C6DE0" w:rsidP="006C6DE0">
      <w:pPr>
        <w:numPr>
          <w:ilvl w:val="0"/>
          <w:numId w:val="37"/>
        </w:numPr>
        <w:spacing w:after="160" w:line="259" w:lineRule="auto"/>
        <w:jc w:val="left"/>
      </w:pPr>
      <w:r w:rsidRPr="00AD4497">
        <w:rPr>
          <w:b/>
          <w:bCs/>
        </w:rPr>
        <w:t>Inconsistency in application periods:</w:t>
      </w:r>
      <w:r w:rsidRPr="00AD4497">
        <w:t xml:space="preserve"> The 12-month and 18-month application periods for RTS 22 lack justification.</w:t>
      </w:r>
    </w:p>
    <w:p w14:paraId="7DC94C07" w14:textId="77777777" w:rsidR="006C6DE0" w:rsidRPr="00AD4497" w:rsidRDefault="006C6DE0" w:rsidP="006C6DE0">
      <w:pPr>
        <w:numPr>
          <w:ilvl w:val="0"/>
          <w:numId w:val="37"/>
        </w:numPr>
        <w:spacing w:after="160" w:line="259" w:lineRule="auto"/>
        <w:jc w:val="left"/>
      </w:pPr>
      <w:r w:rsidRPr="00AD4497">
        <w:rPr>
          <w:b/>
          <w:bCs/>
        </w:rPr>
        <w:t>Scope of covered products:</w:t>
      </w:r>
      <w:r w:rsidRPr="00AD4497">
        <w:t xml:space="preserve"> Uncertainties remain regarding the scope of covered products.</w:t>
      </w:r>
    </w:p>
    <w:p w14:paraId="2E769AF6" w14:textId="77777777" w:rsidR="006C6DE0" w:rsidRPr="00AD4497" w:rsidRDefault="006C6DE0" w:rsidP="006C6DE0">
      <w:pPr>
        <w:numPr>
          <w:ilvl w:val="0"/>
          <w:numId w:val="37"/>
        </w:numPr>
        <w:spacing w:after="160" w:line="259" w:lineRule="auto"/>
        <w:jc w:val="left"/>
      </w:pPr>
      <w:r w:rsidRPr="00AD4497">
        <w:rPr>
          <w:b/>
          <w:bCs/>
        </w:rPr>
        <w:t>Impact of new identifiers:</w:t>
      </w:r>
      <w:r w:rsidRPr="00AD4497">
        <w:t xml:space="preserve"> The introduction of new identifiers, such as TIC and Chain-ID, may increase complexity and negatively impact competitiveness.</w:t>
      </w:r>
    </w:p>
    <w:p w14:paraId="172390EF" w14:textId="77777777" w:rsidR="006C6DE0" w:rsidRPr="00AD4497" w:rsidRDefault="006C6DE0" w:rsidP="006C6DE0">
      <w:pPr>
        <w:numPr>
          <w:ilvl w:val="0"/>
          <w:numId w:val="37"/>
        </w:numPr>
        <w:spacing w:after="160" w:line="259" w:lineRule="auto"/>
        <w:jc w:val="left"/>
      </w:pPr>
      <w:r w:rsidRPr="00AD4497">
        <w:rPr>
          <w:b/>
          <w:bCs/>
        </w:rPr>
        <w:t>Lack of cost-benefit analysis:</w:t>
      </w:r>
      <w:r w:rsidRPr="00AD4497">
        <w:t xml:space="preserve"> The proposed alignment with EMIR and SFTR lacks a comprehensive cost-benefit analysis.</w:t>
      </w:r>
    </w:p>
    <w:p w14:paraId="70985383" w14:textId="77777777" w:rsidR="00BA795C" w:rsidRPr="00AD4497" w:rsidRDefault="00BA795C" w:rsidP="00BA795C">
      <w:pPr>
        <w:numPr>
          <w:ilvl w:val="0"/>
          <w:numId w:val="37"/>
        </w:numPr>
        <w:spacing w:after="160" w:line="259" w:lineRule="auto"/>
        <w:jc w:val="left"/>
      </w:pPr>
      <w:r w:rsidRPr="00AD4497">
        <w:rPr>
          <w:b/>
          <w:bCs/>
        </w:rPr>
        <w:t>Concerns regarding JSON format:</w:t>
      </w:r>
      <w:r w:rsidRPr="00AD4497">
        <w:t xml:space="preserve"> The proposed JSON format </w:t>
      </w:r>
      <w:r>
        <w:t>would result in</w:t>
      </w:r>
      <w:r w:rsidRPr="00AD4497">
        <w:t xml:space="preserve"> significant implementation challenges and may not be cost-effective.</w:t>
      </w:r>
    </w:p>
    <w:p w14:paraId="1EC8B7A3" w14:textId="77777777" w:rsidR="00BA795C" w:rsidRPr="00AD4497" w:rsidRDefault="00BA795C" w:rsidP="00BA795C">
      <w:pPr>
        <w:numPr>
          <w:ilvl w:val="0"/>
          <w:numId w:val="37"/>
        </w:numPr>
        <w:spacing w:after="160" w:line="259" w:lineRule="auto"/>
        <w:jc w:val="left"/>
      </w:pPr>
      <w:r w:rsidRPr="00AD4497">
        <w:rPr>
          <w:b/>
          <w:bCs/>
        </w:rPr>
        <w:t>Lack of clarity on new subfields:</w:t>
      </w:r>
      <w:r w:rsidRPr="00AD4497">
        <w:t xml:space="preserve"> The rationale behind 17 new subfields in the "Instrument Details" section </w:t>
      </w:r>
      <w:r>
        <w:t>remains</w:t>
      </w:r>
      <w:r w:rsidRPr="00AD4497">
        <w:t xml:space="preserve"> unclear.</w:t>
      </w:r>
    </w:p>
    <w:p w14:paraId="49664E06" w14:textId="1B8A1F97" w:rsidR="00BA795C" w:rsidRPr="00AD4497" w:rsidRDefault="00BA795C" w:rsidP="00BA795C">
      <w:r w:rsidRPr="00AD4497">
        <w:t xml:space="preserve">We emphasize that any new requirements should be evaluated for their necessity and efficiency. A comprehensive CBA is essential to determine whether the proposed changes </w:t>
      </w:r>
      <w:r>
        <w:t xml:space="preserve">would </w:t>
      </w:r>
      <w:r w:rsidRPr="00AD4497">
        <w:t>provide a net benefit to the market, especially considering the operational costs involved. Therefore, bwf urges ESMA to address these concerns and prioritize proportionality and cost-effectiveness in the revision of RTS 22 and RTS 24.</w:t>
      </w:r>
    </w:p>
    <w:p w14:paraId="3315326A" w14:textId="77777777" w:rsidR="006C6DE0" w:rsidRPr="00AD4497" w:rsidRDefault="006C6DE0" w:rsidP="006C6DE0"/>
    <w:p w14:paraId="4F3BD975" w14:textId="77777777" w:rsidR="006C6DE0" w:rsidRPr="00AD4497" w:rsidRDefault="006C6DE0" w:rsidP="006C6DE0">
      <w:r w:rsidRPr="00AD4497">
        <w:t>On the scope related to Q1:</w:t>
      </w:r>
    </w:p>
    <w:p w14:paraId="46124C3F" w14:textId="77777777" w:rsidR="006C6DE0" w:rsidRPr="00AD4497" w:rsidRDefault="006C6DE0" w:rsidP="006C6DE0">
      <w:r w:rsidRPr="00AD4497">
        <w:t>The proposed amendments to Article 26(2) of MiFIR aim to reduce the scope of reporting, particularly for OTC derivatives. This is welcome as it would alleviate the reporting burden for firms. However, the removal of the TOTV criterion under Article 8(a)(2) raises concerns regarding the potential inclusion of certain centrally cleared products within the scope of reporting.</w:t>
      </w:r>
    </w:p>
    <w:p w14:paraId="4703F88F" w14:textId="602DE763" w:rsidR="006C6DE0" w:rsidRPr="00AD4497" w:rsidRDefault="006C6DE0" w:rsidP="006C6DE0">
      <w:r w:rsidRPr="00AD4497">
        <w:t xml:space="preserve">For example, centrally cleared IRS transactions that are not traded on venues (non-TOTV) could still fall under the scope of Article 8(a)(2) due to their clearing obligation. This could create reporting obligations for DPEs under FIRDS and lead to inconsistencies </w:t>
      </w:r>
      <w:r w:rsidR="00281E2D">
        <w:t xml:space="preserve">regarding how </w:t>
      </w:r>
      <w:r w:rsidRPr="00AD4497">
        <w:t>firms interpret and comply with the reporting requirements.</w:t>
      </w:r>
    </w:p>
    <w:p w14:paraId="7E636076" w14:textId="77777777" w:rsidR="006C6DE0" w:rsidRPr="00AD4497" w:rsidRDefault="006C6DE0" w:rsidP="006C6DE0">
      <w:r w:rsidRPr="00AD4497">
        <w:t xml:space="preserve">Further, we have concerns about the expanded scope of transaction reporting under Article 26 of MiFIR, particularly regarding non-TOTV (not Traded </w:t>
      </w:r>
      <w:proofErr w:type="gramStart"/>
      <w:r w:rsidRPr="00AD4497">
        <w:t>On</w:t>
      </w:r>
      <w:proofErr w:type="gramEnd"/>
      <w:r w:rsidRPr="00AD4497">
        <w:t xml:space="preserve"> a Trading Venue) </w:t>
      </w:r>
      <w:proofErr w:type="spellStart"/>
      <w:r w:rsidRPr="00AD4497">
        <w:t>underlyings</w:t>
      </w:r>
      <w:proofErr w:type="spellEnd"/>
      <w:r w:rsidRPr="00AD4497">
        <w:t xml:space="preserve"> (non-uTOTV): The proposal includes reporting obligations for derivatives with non-TOTV </w:t>
      </w:r>
      <w:proofErr w:type="spellStart"/>
      <w:r w:rsidRPr="00AD4497">
        <w:t>underlyings</w:t>
      </w:r>
      <w:proofErr w:type="spellEnd"/>
      <w:r w:rsidRPr="00AD4497">
        <w:t xml:space="preserve"> (non-uTOTV) such as commodities, foreign exchange rates, and certain indices. These </w:t>
      </w:r>
      <w:proofErr w:type="spellStart"/>
      <w:r w:rsidRPr="00AD4497">
        <w:t>underlyings</w:t>
      </w:r>
      <w:proofErr w:type="spellEnd"/>
      <w:r w:rsidRPr="00AD4497">
        <w:t xml:space="preserve"> can be difficult to identify, determine, categorize and to obtain the accurate reference data, especially for smaller firms with limited resources. This gives potential for inconsistent reporting across firms due to differing interpretations</w:t>
      </w:r>
    </w:p>
    <w:p w14:paraId="457878E4" w14:textId="0938242B" w:rsidR="006C6DE0" w:rsidRDefault="006C6DE0" w:rsidP="006C6DE0">
      <w:r w:rsidRPr="00AD4497">
        <w:t xml:space="preserve">While we support enhanced market transparency, we urge ESMA to provide clear guidance and </w:t>
      </w:r>
      <w:proofErr w:type="spellStart"/>
      <w:r w:rsidR="007F2DAD">
        <w:t>desireably</w:t>
      </w:r>
      <w:proofErr w:type="spellEnd"/>
      <w:r w:rsidR="007F2DAD" w:rsidRPr="00AD4497">
        <w:t xml:space="preserve"> </w:t>
      </w:r>
      <w:r w:rsidRPr="00AD4497">
        <w:t xml:space="preserve">simplified reporting requirements for derivatives with non-TOTV </w:t>
      </w:r>
      <w:proofErr w:type="spellStart"/>
      <w:r w:rsidRPr="00AD4497">
        <w:t>underlyings</w:t>
      </w:r>
      <w:proofErr w:type="spellEnd"/>
      <w:r w:rsidRPr="00AD4497">
        <w:t xml:space="preserve"> to ensure proportionate implementation, particularly for smaller firms.</w:t>
      </w:r>
    </w:p>
    <w:p w14:paraId="2B34E86C" w14:textId="77777777" w:rsidR="00680B64" w:rsidRPr="00AD4497" w:rsidRDefault="00680B64" w:rsidP="00680B64"/>
    <w:p w14:paraId="62CCD8E6" w14:textId="01AFE525" w:rsidR="006B5DF1" w:rsidRDefault="006B5DF1" w:rsidP="006B5DF1">
      <w:pPr>
        <w:spacing w:after="0"/>
      </w:pPr>
      <w:r>
        <w:t>&lt;ESMA_QUESTION_</w:t>
      </w:r>
      <w:r w:rsidR="00DF3781">
        <w:t>RTS2224</w:t>
      </w:r>
      <w:r>
        <w:t>_01&gt;</w:t>
      </w:r>
    </w:p>
    <w:p w14:paraId="215F51B6" w14:textId="77777777" w:rsidR="006B5DF1" w:rsidRDefault="006B5DF1" w:rsidP="006B5DF1"/>
    <w:p w14:paraId="6E58CC4E" w14:textId="77777777" w:rsidR="006B5DF1" w:rsidRPr="006B5DF1" w:rsidRDefault="006B5DF1" w:rsidP="006B5DF1"/>
    <w:p w14:paraId="7240600C" w14:textId="77777777" w:rsidR="0029493B" w:rsidRDefault="0029493B" w:rsidP="006B5DF1">
      <w:pPr>
        <w:pStyle w:val="Questionstyle"/>
      </w:pPr>
      <w:r>
        <w:t>Does the existing divergence in the implementation of the MRMTL concept under Art. 4 and Art. 26 of MiFIR results in any practical challenges for the market participants? If so, please explain the nature of these challenges and provide examples.</w:t>
      </w:r>
    </w:p>
    <w:p w14:paraId="7FADE892" w14:textId="77777777" w:rsidR="006B5DF1" w:rsidRDefault="006B5DF1" w:rsidP="006B5DF1"/>
    <w:p w14:paraId="7CB7DC30" w14:textId="32162631" w:rsidR="006B5DF1" w:rsidRDefault="006B5DF1" w:rsidP="006B5DF1">
      <w:pPr>
        <w:spacing w:after="0"/>
      </w:pPr>
      <w:r>
        <w:t>&lt;ESMA_QUESTION_</w:t>
      </w:r>
      <w:r w:rsidR="00DF3781">
        <w:t>RTS2224</w:t>
      </w:r>
      <w:r>
        <w:t>_</w:t>
      </w:r>
      <w:r w:rsidR="003E7313">
        <w:t>02</w:t>
      </w:r>
      <w:r>
        <w:t>&gt;</w:t>
      </w:r>
    </w:p>
    <w:p w14:paraId="40576CBD" w14:textId="77777777" w:rsidR="00D11E28" w:rsidRPr="00AD4497" w:rsidRDefault="00D11E28" w:rsidP="00D11E28"/>
    <w:p w14:paraId="7DE46BCF" w14:textId="77777777" w:rsidR="00095F10" w:rsidRPr="00AD4497" w:rsidRDefault="00095F10" w:rsidP="00095F10">
      <w:r w:rsidRPr="00AD4497">
        <w:t xml:space="preserve">The existing divergence in the implementation of the Most Relevant Market in Terms of Liquidity (MRMTL) concept under Articles 4 and 26 of MiFIR currently does not present significant practical challenges for market participants. </w:t>
      </w:r>
      <w:bookmarkStart w:id="11" w:name="_Hlk187914663"/>
      <w:r w:rsidRPr="00AD4497">
        <w:t xml:space="preserve">A concern of changing the concept is the potential impact on regulatory jurisdiction. </w:t>
      </w:r>
      <w:bookmarkEnd w:id="11"/>
      <w:r>
        <w:t>In this context we are sceptical about potential consequences of t</w:t>
      </w:r>
      <w:r w:rsidRPr="00AD4497">
        <w:t>he transfer of a security to another NCA</w:t>
      </w:r>
      <w:r>
        <w:t>.</w:t>
      </w:r>
      <w:r w:rsidRPr="00AD4497">
        <w:t xml:space="preserve"> </w:t>
      </w:r>
      <w:r>
        <w:t>T</w:t>
      </w:r>
      <w:r w:rsidRPr="00AD4497">
        <w:t xml:space="preserve">he original NCA </w:t>
      </w:r>
      <w:r>
        <w:t xml:space="preserve">may </w:t>
      </w:r>
      <w:r w:rsidRPr="00AD4497">
        <w:t>losing its authority to investigate market abuse or insider trading cases related to that security. This could lead to confusion and potential gaps in regulatory oversight, particularly if an NCA no longer has jurisdiction over key securities within its market.</w:t>
      </w:r>
    </w:p>
    <w:p w14:paraId="370E5E6B" w14:textId="77777777" w:rsidR="00D11E28" w:rsidRPr="00AD4497" w:rsidRDefault="00D11E28" w:rsidP="00D11E28">
      <w:r w:rsidRPr="00AD4497">
        <w:t>It is important for ESMA to:</w:t>
      </w:r>
    </w:p>
    <w:p w14:paraId="3D48F455" w14:textId="77777777" w:rsidR="00D11E28" w:rsidRPr="00AD4497" w:rsidRDefault="00D11E28" w:rsidP="00D11E28">
      <w:r w:rsidRPr="00AD4497">
        <w:t>1. Clearly communicate any potential indirect effects of these divergences on reporting firms.</w:t>
      </w:r>
    </w:p>
    <w:p w14:paraId="32D222F7" w14:textId="77777777" w:rsidR="00D11E28" w:rsidRPr="00AD4497" w:rsidRDefault="00D11E28" w:rsidP="00D11E28">
      <w:r w:rsidRPr="00AD4497">
        <w:t>2. Provide detailed guidance to ensure consistent application of MRMTL across jurisdictions.</w:t>
      </w:r>
    </w:p>
    <w:p w14:paraId="42943F83" w14:textId="77777777" w:rsidR="00D11E28" w:rsidRPr="00AD4497" w:rsidRDefault="00D11E28" w:rsidP="00D11E28">
      <w:r w:rsidRPr="00AD4497">
        <w:t>3. Consider a harmonized approach to mitigate inconsistencies and enhance clarity.</w:t>
      </w:r>
    </w:p>
    <w:p w14:paraId="4C556000" w14:textId="77777777" w:rsidR="00D11E28" w:rsidRPr="00AD4497" w:rsidRDefault="00D11E28" w:rsidP="00D11E28"/>
    <w:p w14:paraId="3F6C042F" w14:textId="74F16DC0" w:rsidR="006B5DF1" w:rsidRDefault="006B5DF1" w:rsidP="006B5DF1">
      <w:pPr>
        <w:spacing w:after="0"/>
      </w:pPr>
      <w:r>
        <w:t>&lt;ESMA_QUESTION_</w:t>
      </w:r>
      <w:r w:rsidR="00DF3781">
        <w:t>RTS2224</w:t>
      </w:r>
      <w:r>
        <w:t>_</w:t>
      </w:r>
      <w:r w:rsidR="003E7313">
        <w:t>02</w:t>
      </w:r>
      <w:r>
        <w:t>&gt;</w:t>
      </w:r>
    </w:p>
    <w:p w14:paraId="5C99C845" w14:textId="77777777" w:rsidR="006B5DF1" w:rsidRDefault="006B5DF1" w:rsidP="006B5DF1"/>
    <w:p w14:paraId="5D13008F" w14:textId="77777777" w:rsidR="006B5DF1" w:rsidRPr="006B5DF1" w:rsidRDefault="006B5DF1" w:rsidP="006B5DF1"/>
    <w:p w14:paraId="2AB1A2AC" w14:textId="77777777" w:rsidR="0029493B" w:rsidRDefault="0029493B" w:rsidP="006B5DF1">
      <w:pPr>
        <w:pStyle w:val="Questionstyle"/>
      </w:pPr>
      <w:r>
        <w:t>To what extent the rules applied for the determination of the RCA and RCA_MIC are relevant for your operations? Do you agree with the potential alignment of the RCA rules with the RCA_MIC rules for equities? Please provide details in your answer.</w:t>
      </w:r>
    </w:p>
    <w:p w14:paraId="29B4AF4E" w14:textId="77777777" w:rsidR="006B5DF1" w:rsidRDefault="006B5DF1" w:rsidP="006B5DF1"/>
    <w:p w14:paraId="3DFB978C" w14:textId="0F727F14" w:rsidR="006B5DF1" w:rsidRDefault="006B5DF1" w:rsidP="006B5DF1">
      <w:pPr>
        <w:spacing w:after="0"/>
      </w:pPr>
      <w:r>
        <w:t>&lt;ESMA_QUESTION_</w:t>
      </w:r>
      <w:r w:rsidR="00DF3781">
        <w:t>RTS2224</w:t>
      </w:r>
      <w:r>
        <w:t>_</w:t>
      </w:r>
      <w:r w:rsidR="003E7313">
        <w:t>03</w:t>
      </w:r>
      <w:r>
        <w:t>&gt;</w:t>
      </w:r>
    </w:p>
    <w:p w14:paraId="4F4652A3" w14:textId="77777777" w:rsidR="00D11E28" w:rsidRPr="00AD4497" w:rsidRDefault="00D11E28" w:rsidP="00D11E28"/>
    <w:p w14:paraId="57DD0584" w14:textId="77777777" w:rsidR="00D11E28" w:rsidRPr="00AD4497" w:rsidRDefault="00D11E28" w:rsidP="00D11E28">
      <w:r w:rsidRPr="00AD4497">
        <w:t>The rules for determining the Relevant Competent Authority (RCA) and RCA Market Identifier Code (RCA_MIC) are not perceived as highly relevant to our members’ operations at this time. While these rules are essential for regulatory clarity, their direct impact on day-to-day activities appears limited. The potential alignment of the RCA rules with the RCA_MIC rules for equities could enhance consistency across reporting frameworks. However, we recommend that ESMA:</w:t>
      </w:r>
    </w:p>
    <w:p w14:paraId="55296BAC" w14:textId="77777777" w:rsidR="00D11E28" w:rsidRPr="00AD4497" w:rsidRDefault="00D11E28" w:rsidP="00D11E28">
      <w:pPr>
        <w:numPr>
          <w:ilvl w:val="0"/>
          <w:numId w:val="38"/>
        </w:numPr>
        <w:spacing w:after="160" w:line="259" w:lineRule="auto"/>
        <w:jc w:val="left"/>
      </w:pPr>
      <w:r w:rsidRPr="00AD4497">
        <w:t>Clearly communicates any implications of this alignment for reporting firms.</w:t>
      </w:r>
    </w:p>
    <w:p w14:paraId="311493B5" w14:textId="77777777" w:rsidR="00D11E28" w:rsidRPr="00AD4497" w:rsidRDefault="00D11E28" w:rsidP="00D11E28">
      <w:pPr>
        <w:numPr>
          <w:ilvl w:val="0"/>
          <w:numId w:val="38"/>
        </w:numPr>
        <w:spacing w:after="160" w:line="259" w:lineRule="auto"/>
        <w:jc w:val="left"/>
      </w:pPr>
      <w:r w:rsidRPr="00AD4497">
        <w:t>Provides detailed guidance on how these rules will be applied in practice.</w:t>
      </w:r>
    </w:p>
    <w:p w14:paraId="7D7341A5" w14:textId="77777777" w:rsidR="00D11E28" w:rsidRPr="00AD4497" w:rsidRDefault="00D11E28" w:rsidP="00D11E28">
      <w:pPr>
        <w:numPr>
          <w:ilvl w:val="0"/>
          <w:numId w:val="38"/>
        </w:numPr>
        <w:spacing w:after="160" w:line="259" w:lineRule="auto"/>
        <w:jc w:val="left"/>
      </w:pPr>
      <w:r w:rsidRPr="00AD4497">
        <w:t>Ensures that any changes do not introduce unnecessary complexity or burden on smaller firms.</w:t>
      </w:r>
    </w:p>
    <w:p w14:paraId="3A48A855" w14:textId="77777777" w:rsidR="00401853" w:rsidRPr="00AD4497" w:rsidRDefault="00401853" w:rsidP="00401853">
      <w:r w:rsidRPr="00AD4497">
        <w:t xml:space="preserve">Overall, while we recognize the importance of these regulatory frameworks, we believe that their relevance to </w:t>
      </w:r>
      <w:r>
        <w:t xml:space="preserve">investment </w:t>
      </w:r>
      <w:proofErr w:type="gramStart"/>
      <w:r>
        <w:t>firms</w:t>
      </w:r>
      <w:proofErr w:type="gramEnd"/>
      <w:r w:rsidRPr="00AD4497">
        <w:t xml:space="preserve"> operations is </w:t>
      </w:r>
      <w:r>
        <w:t>rather limited</w:t>
      </w:r>
      <w:r w:rsidRPr="00AD4497">
        <w:t>, provided that ESMA maintains transparency and clarity in its communications and guidance.</w:t>
      </w:r>
    </w:p>
    <w:p w14:paraId="258AC773" w14:textId="77777777" w:rsidR="00D11E28" w:rsidRPr="00AD4497" w:rsidRDefault="00D11E28" w:rsidP="00D11E28"/>
    <w:p w14:paraId="0F52A7AB" w14:textId="30758EBA" w:rsidR="006B5DF1" w:rsidRDefault="006B5DF1" w:rsidP="006B5DF1">
      <w:pPr>
        <w:spacing w:after="0"/>
      </w:pPr>
      <w:r>
        <w:t>&lt;ESMA_QUESTION_</w:t>
      </w:r>
      <w:r w:rsidR="00DF3781">
        <w:t>RTS2224</w:t>
      </w:r>
      <w:r>
        <w:t>_</w:t>
      </w:r>
      <w:r w:rsidR="003E7313">
        <w:t>03</w:t>
      </w:r>
      <w:r>
        <w:t>&gt;</w:t>
      </w:r>
    </w:p>
    <w:p w14:paraId="4928DFF2" w14:textId="77777777" w:rsidR="006B5DF1" w:rsidRDefault="006B5DF1" w:rsidP="006B5DF1"/>
    <w:p w14:paraId="46E3A872" w14:textId="77777777" w:rsidR="006B5DF1" w:rsidRPr="006B5DF1" w:rsidRDefault="006B5DF1" w:rsidP="006B5DF1"/>
    <w:p w14:paraId="7BBA7321" w14:textId="77777777" w:rsidR="0029493B" w:rsidRDefault="0029493B" w:rsidP="006B5DF1">
      <w:pPr>
        <w:pStyle w:val="Questionstyle"/>
      </w:pPr>
      <w:r>
        <w:t xml:space="preserve">Do you agree with the proposed RCA determination rule for emission allowances and CIUs other than ETFs? Please provide details in your answer. </w:t>
      </w:r>
    </w:p>
    <w:p w14:paraId="7BBB58D3" w14:textId="77777777" w:rsidR="006B5DF1" w:rsidRDefault="006B5DF1" w:rsidP="006B5DF1"/>
    <w:p w14:paraId="47B452E7" w14:textId="4C1305BB" w:rsidR="006B5DF1" w:rsidRDefault="006B5DF1" w:rsidP="006B5DF1">
      <w:pPr>
        <w:spacing w:after="0"/>
      </w:pPr>
      <w:r>
        <w:t>&lt;ESMA_QUESTION_</w:t>
      </w:r>
      <w:r w:rsidR="00DF3781">
        <w:t>RTS2224</w:t>
      </w:r>
      <w:r>
        <w:t>_</w:t>
      </w:r>
      <w:r w:rsidR="003E7313">
        <w:t>04</w:t>
      </w:r>
      <w:r>
        <w:t>&gt;</w:t>
      </w:r>
    </w:p>
    <w:p w14:paraId="2A713BC7" w14:textId="77777777" w:rsidR="00D11E28" w:rsidRPr="00AD4497" w:rsidRDefault="00D11E28" w:rsidP="00D11E28"/>
    <w:p w14:paraId="550F0999" w14:textId="77777777" w:rsidR="00D11E28" w:rsidRPr="00AD4497" w:rsidRDefault="00D11E28" w:rsidP="00D11E28">
      <w:r w:rsidRPr="00AD4497">
        <w:t>We do not have an opinion on the proposed RCA determination rule for emission allowances and CIUs other than ETFs at this time.</w:t>
      </w:r>
    </w:p>
    <w:p w14:paraId="3CF01749" w14:textId="77777777" w:rsidR="00D11E28" w:rsidRPr="00AD4497" w:rsidRDefault="00D11E28" w:rsidP="00D11E28"/>
    <w:p w14:paraId="2283DD66" w14:textId="0B24E8F3" w:rsidR="006B5DF1" w:rsidRDefault="006B5DF1" w:rsidP="006B5DF1">
      <w:pPr>
        <w:spacing w:after="0"/>
      </w:pPr>
      <w:r>
        <w:t>&lt;ESMA_QUESTION_</w:t>
      </w:r>
      <w:r w:rsidR="00DF3781">
        <w:t>RTS2224</w:t>
      </w:r>
      <w:r>
        <w:t>_</w:t>
      </w:r>
      <w:r w:rsidR="003E7313">
        <w:t>04</w:t>
      </w:r>
      <w:r>
        <w:t>&gt;</w:t>
      </w:r>
    </w:p>
    <w:p w14:paraId="34F3233E" w14:textId="77777777" w:rsidR="006B5DF1" w:rsidRDefault="006B5DF1" w:rsidP="006B5DF1"/>
    <w:p w14:paraId="6D9CE08C" w14:textId="77777777" w:rsidR="006B5DF1" w:rsidRPr="006B5DF1" w:rsidRDefault="006B5DF1" w:rsidP="006B5DF1"/>
    <w:p w14:paraId="3ADFA03D" w14:textId="77777777" w:rsidR="0029493B" w:rsidRDefault="0029493B" w:rsidP="006B5DF1">
      <w:pPr>
        <w:pStyle w:val="Questionstyle"/>
      </w:pPr>
      <w:r>
        <w:t>Do you agree with the proposed RCA determination rule for equities for which no sufficient data is available to calculate the turnover? Please provide details in your answer.</w:t>
      </w:r>
    </w:p>
    <w:p w14:paraId="01ED954E" w14:textId="77777777" w:rsidR="006B5DF1" w:rsidRDefault="006B5DF1" w:rsidP="006B5DF1"/>
    <w:p w14:paraId="48F7A2C7" w14:textId="5E43A6C4" w:rsidR="006B5DF1" w:rsidRDefault="006B5DF1" w:rsidP="006B5DF1">
      <w:pPr>
        <w:spacing w:after="0"/>
      </w:pPr>
      <w:r>
        <w:t>&lt;ESMA_QUESTION_</w:t>
      </w:r>
      <w:r w:rsidR="00DF3781">
        <w:t>RTS2224</w:t>
      </w:r>
      <w:r>
        <w:t>_</w:t>
      </w:r>
      <w:r w:rsidR="003E7313">
        <w:t>05</w:t>
      </w:r>
      <w:r>
        <w:t>&gt;</w:t>
      </w:r>
    </w:p>
    <w:p w14:paraId="27BEAF0B" w14:textId="77777777" w:rsidR="00D11E28" w:rsidRPr="00AD4497" w:rsidRDefault="00D11E28" w:rsidP="00D11E28"/>
    <w:p w14:paraId="594E04BF" w14:textId="77777777" w:rsidR="00D11E28" w:rsidRPr="00AD4497" w:rsidRDefault="00D11E28" w:rsidP="00D11E28">
      <w:r w:rsidRPr="00AD4497">
        <w:t xml:space="preserve">We do not have an opinion on the proposed RCA determination rule for equities lacking sufficient data to calculate turnover. However, it is important that definitions used across different databases, such as FIRDS and FITRS, and liquidity concepts, such as MRMTL are consistently applied to avoid confusion and ensure clarity in reporting and compliance. </w:t>
      </w:r>
    </w:p>
    <w:p w14:paraId="211905BB" w14:textId="77777777" w:rsidR="00D11E28" w:rsidRPr="00AD4497" w:rsidRDefault="00D11E28" w:rsidP="00D11E28"/>
    <w:p w14:paraId="48B86851" w14:textId="0E696CF2" w:rsidR="006B5DF1" w:rsidRDefault="006B5DF1" w:rsidP="006B5DF1">
      <w:pPr>
        <w:spacing w:after="0"/>
      </w:pPr>
      <w:r>
        <w:t>&lt;ESMA_QUESTION_</w:t>
      </w:r>
      <w:r w:rsidR="00DF3781">
        <w:t>RTS2224</w:t>
      </w:r>
      <w:r>
        <w:t>_</w:t>
      </w:r>
      <w:r w:rsidR="003E7313">
        <w:t>05</w:t>
      </w:r>
      <w:r>
        <w:t>&gt;</w:t>
      </w:r>
    </w:p>
    <w:p w14:paraId="29A935B1" w14:textId="77777777" w:rsidR="006B5DF1" w:rsidRDefault="006B5DF1" w:rsidP="006B5DF1"/>
    <w:p w14:paraId="7BEC8725" w14:textId="77777777" w:rsidR="006B5DF1" w:rsidRPr="006B5DF1" w:rsidRDefault="006B5DF1" w:rsidP="006B5DF1"/>
    <w:p w14:paraId="301329B0" w14:textId="77777777" w:rsidR="0029493B" w:rsidRDefault="0029493B" w:rsidP="006B5DF1">
      <w:pPr>
        <w:pStyle w:val="Questionstyle"/>
      </w:pPr>
      <w:r>
        <w:t>Do you agree with the proposed RCA determination rules for the derivative contracts falling under Article 8</w:t>
      </w:r>
      <w:proofErr w:type="gramStart"/>
      <w:r>
        <w:t>a(</w:t>
      </w:r>
      <w:proofErr w:type="gramEnd"/>
      <w:r>
        <w:t>2) of MiFIR? Please provide details in your answer.</w:t>
      </w:r>
    </w:p>
    <w:p w14:paraId="577A82F6" w14:textId="77777777" w:rsidR="006B5DF1" w:rsidRDefault="006B5DF1" w:rsidP="006B5DF1"/>
    <w:p w14:paraId="2AFE7DFE" w14:textId="79BB18E0" w:rsidR="006B5DF1" w:rsidRDefault="006B5DF1" w:rsidP="006B5DF1">
      <w:pPr>
        <w:spacing w:after="0"/>
      </w:pPr>
      <w:r>
        <w:t>&lt;ESMA_QUESTION_</w:t>
      </w:r>
      <w:r w:rsidR="00DF3781">
        <w:t>RTS2224</w:t>
      </w:r>
      <w:r>
        <w:t>_</w:t>
      </w:r>
      <w:r w:rsidR="003E7313">
        <w:t>0</w:t>
      </w:r>
      <w:r>
        <w:t>6&gt;</w:t>
      </w:r>
    </w:p>
    <w:p w14:paraId="691765CB" w14:textId="77777777" w:rsidR="00D11E28" w:rsidRPr="00AD4497" w:rsidRDefault="00D11E28" w:rsidP="00D11E28"/>
    <w:p w14:paraId="5B386CBA" w14:textId="77777777" w:rsidR="00401853" w:rsidRPr="00AD4497" w:rsidRDefault="00401853" w:rsidP="00401853">
      <w:r w:rsidRPr="00AD4497">
        <w:t>We support the proposed RCA determination rules for derivative contracts falling under Article 8</w:t>
      </w:r>
      <w:proofErr w:type="gramStart"/>
      <w:r w:rsidRPr="00AD4497">
        <w:t>a(</w:t>
      </w:r>
      <w:proofErr w:type="gramEnd"/>
      <w:r w:rsidRPr="00AD4497">
        <w:t xml:space="preserve">2) of MiFIR, as they </w:t>
      </w:r>
      <w:r>
        <w:t>are in line</w:t>
      </w:r>
      <w:r w:rsidRPr="00AD4497">
        <w:t xml:space="preserve"> with the objectives of enhancing market transparency and ensuring accurate reporting.</w:t>
      </w:r>
    </w:p>
    <w:p w14:paraId="0AAC82CC" w14:textId="77777777" w:rsidR="00D11E28" w:rsidRPr="00AD4497" w:rsidRDefault="00D11E28" w:rsidP="00D11E28"/>
    <w:p w14:paraId="708B068B" w14:textId="0267F68D" w:rsidR="006B5DF1" w:rsidRDefault="006B5DF1" w:rsidP="006B5DF1">
      <w:pPr>
        <w:spacing w:after="0"/>
      </w:pPr>
      <w:r>
        <w:t>&lt;ESMA_QUESTION_</w:t>
      </w:r>
      <w:r w:rsidR="00DF3781">
        <w:t>RTS2224</w:t>
      </w:r>
      <w:r>
        <w:t>_</w:t>
      </w:r>
      <w:r w:rsidR="003E7313">
        <w:t>0</w:t>
      </w:r>
      <w:r>
        <w:t>6&gt;</w:t>
      </w:r>
    </w:p>
    <w:p w14:paraId="7FD3C941" w14:textId="77777777" w:rsidR="006B5DF1" w:rsidRDefault="006B5DF1" w:rsidP="006B5DF1"/>
    <w:p w14:paraId="016A0644" w14:textId="77777777" w:rsidR="006B5DF1" w:rsidRPr="006B5DF1" w:rsidRDefault="006B5DF1" w:rsidP="006B5DF1"/>
    <w:p w14:paraId="6A33237F" w14:textId="77777777" w:rsidR="0029493B" w:rsidRDefault="0029493B" w:rsidP="006B5DF1">
      <w:pPr>
        <w:pStyle w:val="Questionstyle"/>
      </w:pPr>
      <w:r>
        <w:t>Do you agree with the proposed amendments to RCA determination rules for index derivatives and depositary receipts?</w:t>
      </w:r>
    </w:p>
    <w:p w14:paraId="35FD33F8" w14:textId="77777777" w:rsidR="006B5DF1" w:rsidRDefault="006B5DF1" w:rsidP="006B5DF1"/>
    <w:p w14:paraId="74B36119" w14:textId="27AC8B49" w:rsidR="006B5DF1" w:rsidRDefault="006B5DF1" w:rsidP="006B5DF1">
      <w:pPr>
        <w:spacing w:after="0"/>
      </w:pPr>
      <w:r>
        <w:t>&lt;ESMA_QUESTION_</w:t>
      </w:r>
      <w:r w:rsidR="00DF3781">
        <w:t>RTS2224</w:t>
      </w:r>
      <w:r>
        <w:t>_</w:t>
      </w:r>
      <w:r w:rsidR="003E7313">
        <w:t>07</w:t>
      </w:r>
      <w:r>
        <w:t>&gt;</w:t>
      </w:r>
    </w:p>
    <w:p w14:paraId="58D1DD77" w14:textId="77777777" w:rsidR="00D11E28" w:rsidRPr="00AD4497" w:rsidRDefault="00D11E28" w:rsidP="00D11E28"/>
    <w:p w14:paraId="062A1419" w14:textId="77777777" w:rsidR="00D11E28" w:rsidRPr="00AD4497" w:rsidRDefault="00D11E28" w:rsidP="00D11E28">
      <w:r w:rsidRPr="00AD4497">
        <w:t>We do not have an opinion on the proposed RCA amendments to RCA determination rules for index derivatives and depositary receipts.</w:t>
      </w:r>
    </w:p>
    <w:p w14:paraId="1751ABD9" w14:textId="77777777" w:rsidR="00D11E28" w:rsidRPr="00AD4497" w:rsidRDefault="00D11E28" w:rsidP="00D11E28"/>
    <w:p w14:paraId="5BA096DE" w14:textId="34F64C95" w:rsidR="006B5DF1" w:rsidRDefault="006B5DF1" w:rsidP="006B5DF1">
      <w:pPr>
        <w:spacing w:after="0"/>
      </w:pPr>
      <w:r>
        <w:t>&lt;ESMA_QUESTION_</w:t>
      </w:r>
      <w:r w:rsidR="00DF3781">
        <w:t>RTS2224</w:t>
      </w:r>
      <w:r>
        <w:t>_</w:t>
      </w:r>
      <w:r w:rsidR="003E7313">
        <w:t>07</w:t>
      </w:r>
      <w:r>
        <w:t>&gt;</w:t>
      </w:r>
    </w:p>
    <w:p w14:paraId="481C662D" w14:textId="77777777" w:rsidR="006B5DF1" w:rsidRDefault="006B5DF1" w:rsidP="006B5DF1"/>
    <w:p w14:paraId="0B9297A3" w14:textId="77777777" w:rsidR="006B5DF1" w:rsidRPr="006B5DF1" w:rsidRDefault="006B5DF1" w:rsidP="006B5DF1"/>
    <w:p w14:paraId="46E5A1D1" w14:textId="77777777" w:rsidR="0029493B" w:rsidRDefault="0029493B" w:rsidP="006B5DF1">
      <w:pPr>
        <w:pStyle w:val="Questionstyle"/>
      </w:pPr>
      <w:r>
        <w:t>Do you have any further comment or suggestion in relation to the inclusion of a new field to capture the effective date in transaction reports?</w:t>
      </w:r>
    </w:p>
    <w:p w14:paraId="71F7B27B" w14:textId="77777777" w:rsidR="006B5DF1" w:rsidRDefault="006B5DF1" w:rsidP="006B5DF1"/>
    <w:p w14:paraId="3367C427" w14:textId="4ECEC4A5" w:rsidR="006B5DF1" w:rsidRDefault="006B5DF1" w:rsidP="006B5DF1">
      <w:pPr>
        <w:spacing w:after="0"/>
      </w:pPr>
      <w:r>
        <w:t>&lt;ESMA_QUESTION_</w:t>
      </w:r>
      <w:r w:rsidR="00DF3781">
        <w:t>RTS2224</w:t>
      </w:r>
      <w:r>
        <w:t>_</w:t>
      </w:r>
      <w:r w:rsidR="003E7313">
        <w:t>08</w:t>
      </w:r>
      <w:r>
        <w:t>&gt;</w:t>
      </w:r>
    </w:p>
    <w:p w14:paraId="709BEF3E" w14:textId="77777777" w:rsidR="00D11E28" w:rsidRPr="00AD4497" w:rsidRDefault="00D11E28" w:rsidP="00D11E28"/>
    <w:p w14:paraId="761492A3" w14:textId="77777777" w:rsidR="00401853" w:rsidRPr="00AD4497" w:rsidRDefault="00401853" w:rsidP="00401853">
      <w:r w:rsidRPr="00AD4497">
        <w:t xml:space="preserve">We </w:t>
      </w:r>
      <w:r>
        <w:t xml:space="preserve">generally </w:t>
      </w:r>
      <w:r w:rsidRPr="00AD4497">
        <w:t xml:space="preserve">agree with the intention to refine specific fields in the reporting framework. For instance, fields related to client categorization and transaction specifics should be designed to enhance clarity and </w:t>
      </w:r>
      <w:r>
        <w:t>usefulness</w:t>
      </w:r>
      <w:r w:rsidRPr="00AD4497">
        <w:t>. However, we urge caution in introducing new fields without clear evidence of their added value. Each proposed field should be justified with a detailed explanation of how it improves reporting accuracy or regulatory oversight.</w:t>
      </w:r>
    </w:p>
    <w:p w14:paraId="0E4A7BC4" w14:textId="77777777" w:rsidR="00401853" w:rsidRPr="00AD4497" w:rsidRDefault="00401853" w:rsidP="00401853">
      <w:r w:rsidRPr="00AD4497">
        <w:t xml:space="preserve">bwf acknowledges the aim of the consultation paper to improve the quality and accuracy of transaction data by introducing a new field for the "effective date". However, we believe the proposed approach in the Consultation Paper (CP) introduces unnecessary complexity and potential burdens for the industry, particularly for smaller firms. Further, we believe the "effective date" field in MiFIR reporting is primarily relevant for OTC derivatives where the effective date in certain </w:t>
      </w:r>
      <w:proofErr w:type="spellStart"/>
      <w:r>
        <w:t>constalations</w:t>
      </w:r>
      <w:proofErr w:type="spellEnd"/>
      <w:r w:rsidRPr="00AD4497">
        <w:t xml:space="preserve"> </w:t>
      </w:r>
      <w:r>
        <w:t xml:space="preserve">may </w:t>
      </w:r>
      <w:r w:rsidRPr="00AD4497">
        <w:t xml:space="preserve">differ from the trade date, </w:t>
      </w:r>
      <w:r>
        <w:t>e.g. in the case of</w:t>
      </w:r>
      <w:r w:rsidRPr="00AD4497">
        <w:t xml:space="preserve"> forward starting derivatives. For other instruments, particularly equities, we do not perceive a significant value in including this field in RTS 22, as it does not appear to contribute substantially to market abuse monitoring. The "trade date" field already provides the essential information for these instruments. </w:t>
      </w:r>
    </w:p>
    <w:p w14:paraId="5A7ACE1E" w14:textId="77777777" w:rsidR="00401853" w:rsidRPr="00AD4497" w:rsidRDefault="00401853" w:rsidP="00401853">
      <w:r w:rsidRPr="00AD4497">
        <w:t>If this field is retained, we believe ESMA should provide a clear and unambiguous definition of "effective date"</w:t>
      </w:r>
      <w:r>
        <w:t>,</w:t>
      </w:r>
      <w:r w:rsidRPr="00AD4497">
        <w:t xml:space="preserve"> ideally aligning </w:t>
      </w:r>
      <w:r>
        <w:t xml:space="preserve">it </w:t>
      </w:r>
      <w:r w:rsidRPr="00AD4497">
        <w:t>with industry standards such as ISDA definitions. In the absence of a clear definition, and if the field is maintained, we recommend using the "trade date" as the default value when the "effective date" is not applicable to avoid inconsistencies in reporting.</w:t>
      </w:r>
    </w:p>
    <w:p w14:paraId="34422C6A" w14:textId="77777777" w:rsidR="00401853" w:rsidRPr="00AD4497" w:rsidRDefault="00401853" w:rsidP="00401853">
      <w:pPr>
        <w:tabs>
          <w:tab w:val="num" w:pos="720"/>
        </w:tabs>
      </w:pPr>
      <w:r w:rsidRPr="00AD4497">
        <w:rPr>
          <w:bCs/>
        </w:rPr>
        <w:t xml:space="preserve">Our key concerns </w:t>
      </w:r>
      <w:r>
        <w:rPr>
          <w:bCs/>
        </w:rPr>
        <w:t xml:space="preserve">regarding the concept of </w:t>
      </w:r>
      <w:r w:rsidRPr="00AD4497">
        <w:t xml:space="preserve">"effective date" </w:t>
      </w:r>
      <w:r w:rsidRPr="00AD4497">
        <w:rPr>
          <w:bCs/>
        </w:rPr>
        <w:t>are the lack of clarity and consistency:</w:t>
      </w:r>
      <w:r w:rsidRPr="00AD4497">
        <w:t xml:space="preserve"> The CP presents conflicting definitions for "effective date" across different instrument types. For example, it proposes settlement date for debt instruments but a future date for derivatives, creating confusion and the potential for inconsistencies.</w:t>
      </w:r>
    </w:p>
    <w:p w14:paraId="69AEBE57" w14:textId="77777777" w:rsidR="00401853" w:rsidRPr="00AD4497" w:rsidRDefault="00401853" w:rsidP="00401853">
      <w:r w:rsidRPr="00AD4497">
        <w:t>Therefore, the first question to ask is what does "effective date" mean and how should it be interpreted?</w:t>
      </w:r>
    </w:p>
    <w:p w14:paraId="6FC8F5A8" w14:textId="77777777" w:rsidR="00401853" w:rsidRPr="00AD4497" w:rsidRDefault="00401853" w:rsidP="00401853">
      <w:r w:rsidRPr="00AD4497">
        <w:t>Paragraph 54 of the CP indicates that “If the effective date is not specified as part of the terms of the contract on financial instruments, the parties shall report in this field the date of execution of the transaction.” This leads to the conclusion that the focus lies on the economic relevance of the transaction.</w:t>
      </w:r>
    </w:p>
    <w:p w14:paraId="0B851702" w14:textId="77777777" w:rsidR="00401853" w:rsidRPr="00AD4497" w:rsidRDefault="00401853" w:rsidP="00401853">
      <w:r w:rsidRPr="00AD4497">
        <w:t xml:space="preserve">Similarly, paragraph 53 of the CP specifies that for derivatives, “the date when the obligation under the contract becomes effective, which may be in the future (forward starting date),” is to be used. </w:t>
      </w:r>
    </w:p>
    <w:p w14:paraId="0BD06DA3" w14:textId="77777777" w:rsidR="00401853" w:rsidRPr="00AD4497" w:rsidRDefault="00401853" w:rsidP="00401853">
      <w:r w:rsidRPr="00AD4497">
        <w:t>However, the same paragraph 53 of the CP contradicts this principle by stating that "For debt instruments, the effective date should be the date when the transaction will be settled."</w:t>
      </w:r>
    </w:p>
    <w:p w14:paraId="560ACBBF" w14:textId="77777777" w:rsidR="00401853" w:rsidRPr="00AD4497" w:rsidRDefault="00401853" w:rsidP="00401853">
      <w:r w:rsidRPr="00AD4497">
        <w:t>The settlement date, typically T+2 for cash/spot instruments, raises questions about why equities and bonds should have different effective dates. We strongly recommend using the same principle for all instruments, preferably the economic principle, i.e., the day of the executed transaction for spot instruments and the execution/expiry date for forward/future instruments and options.</w:t>
      </w:r>
    </w:p>
    <w:p w14:paraId="77374DCD" w14:textId="77777777" w:rsidR="00401853" w:rsidRPr="00AD4497" w:rsidRDefault="00401853" w:rsidP="00401853">
      <w:r w:rsidRPr="00AD4497">
        <w:t>Adopting a consistent definition of "effective date" across all spot instruments, such as shares and bonds, enhances regulatory clarity and reduces the risk of inconsistencies. Shares and bonds share fundamental similarities as spot instruments, in that they are traded with the intent to transfer ownership or rights at a specific price agreed upon during the trade execution.</w:t>
      </w:r>
    </w:p>
    <w:p w14:paraId="1FB0B580" w14:textId="77777777" w:rsidR="00401853" w:rsidRPr="00AD4497" w:rsidRDefault="00401853" w:rsidP="00401853">
      <w:r w:rsidRPr="00AD4497">
        <w:t>Treating similar instruments differently creates unnecessary complexity and potential for inconsistencies in reporting and regulatory oversight. Harmonizing the definition for shares and bonds ensures coherence in the application of MiFIR reporting requirements, fostering operational efficiency and regulatory clarity.</w:t>
      </w:r>
    </w:p>
    <w:p w14:paraId="592FA513" w14:textId="77777777" w:rsidR="00401853" w:rsidRPr="00AD4497" w:rsidRDefault="00401853" w:rsidP="00401853">
      <w:r w:rsidRPr="00AD4497">
        <w:t xml:space="preserve">Further the definition shall be </w:t>
      </w:r>
      <w:r w:rsidRPr="00AD4497">
        <w:rPr>
          <w:bCs/>
        </w:rPr>
        <w:t xml:space="preserve">on the “principle of economic relevance”. </w:t>
      </w:r>
      <w:r w:rsidRPr="00AD4497">
        <w:t>The trade date (date of the execution of the transaction) marks the point at which the parties enter into a legally binding agreement. This is the pivotal moment where the economic risks and rewards of the transaction are assumed by the parties involved (price fluctuations after execution no longer affect the agreed terms). At that point the essential terms of the transaction (e.g., price, quantity, and counterparty details) are agreed upon. Thereof, using the trade/execution date as the effective date aligns with the fundamental economic reality of the transaction, where price discovery and market integrity are most impacted. This makes the trade date the key reference point for regulators to monitor trading activity.</w:t>
      </w:r>
    </w:p>
    <w:p w14:paraId="13DC9EE0" w14:textId="77777777" w:rsidR="00401853" w:rsidRPr="00AD4497" w:rsidRDefault="00401853" w:rsidP="00401853">
      <w:r w:rsidRPr="00AD4497">
        <w:t xml:space="preserve">While settlement is crucial for finalizing the transaction, though critical for the final transfer of ownership, is administrative in nature and often influenced by operational factors (e.g., market holidays, T+2 cycles) that do not alter the economic reality established at execution. Therefore, it may not always accurately reflect the economic significance of the trade, especially for spot instruments with short settlement cycles. Delays in settlement can occur due to various factors, potentially distorting the timing of the transaction for reporting purposes. It is a lagging indicator of market activity and does not provide immediate insight into trading </w:t>
      </w:r>
      <w:proofErr w:type="spellStart"/>
      <w:r w:rsidRPr="00AD4497">
        <w:t>behavior</w:t>
      </w:r>
      <w:proofErr w:type="spellEnd"/>
      <w:r w:rsidRPr="00AD4497">
        <w:t>.</w:t>
      </w:r>
    </w:p>
    <w:p w14:paraId="11C7AA1B" w14:textId="77777777" w:rsidR="00401853" w:rsidRPr="00AD4497" w:rsidRDefault="00401853" w:rsidP="00401853">
      <w:r w:rsidRPr="00AD4497">
        <w:t>Further</w:t>
      </w:r>
      <w:r>
        <w:t>more</w:t>
      </w:r>
      <w:r w:rsidRPr="00AD4497">
        <w:t xml:space="preserve">, </w:t>
      </w:r>
      <w:proofErr w:type="spellStart"/>
      <w:r w:rsidRPr="00AD4497">
        <w:t>MiFIR’s</w:t>
      </w:r>
      <w:proofErr w:type="spellEnd"/>
      <w:r w:rsidRPr="00AD4497">
        <w:t xml:space="preserve"> primary objective is to enhance market transparency and detect potential abuses. The trade/execution day, as the economically relevant moment, provides the clearest insight into market dynamics and </w:t>
      </w:r>
      <w:proofErr w:type="spellStart"/>
      <w:r w:rsidRPr="00AD4497">
        <w:t>behavior</w:t>
      </w:r>
      <w:proofErr w:type="spellEnd"/>
      <w:r w:rsidRPr="00AD4497">
        <w:t xml:space="preserve">. By focusing on the trade/execution day, regulators can better track price formation and market movements, addressing risks before settlement occurs. </w:t>
      </w:r>
    </w:p>
    <w:p w14:paraId="33D58029" w14:textId="77777777" w:rsidR="00401853" w:rsidRPr="00AD4497" w:rsidRDefault="00401853" w:rsidP="00401853">
      <w:r w:rsidRPr="00AD4497">
        <w:rPr>
          <w:bCs/>
        </w:rPr>
        <w:t xml:space="preserve">Practical Considerations: </w:t>
      </w:r>
      <w:r w:rsidRPr="00AD4497">
        <w:t xml:space="preserve">Reporting based on the trade/execution day aligns with </w:t>
      </w:r>
      <w:proofErr w:type="spellStart"/>
      <w:r w:rsidRPr="00AD4497">
        <w:t>MiFIR’s</w:t>
      </w:r>
      <w:proofErr w:type="spellEnd"/>
      <w:r w:rsidRPr="00AD4497">
        <w:t xml:space="preserve"> reporting requirement, ensuring that regulators receive timely and relevant data to monitor market activity. Execution dates are typically readily available and easily identifiable in trading systems. This makes them a practical and efficient choice for reporting purposes, minimizing the need for complex calculations or data reconciliation.</w:t>
      </w:r>
    </w:p>
    <w:p w14:paraId="20A28122" w14:textId="77777777" w:rsidR="00401853" w:rsidRPr="00AD4497" w:rsidRDefault="00401853" w:rsidP="00401853">
      <w:r w:rsidRPr="00AD4497">
        <w:t>Market participants already capture execution data in real-time for trade confirmation and post-trade compliance. Using this data minimizes the risk of errors or delays in reporting, compared to reconciling data after settlement. Many international regulatory frameworks (e.g., under the SEC in the United States) emphasize execution day reporting, facilitating consistency in cross-border trade reporting.</w:t>
      </w:r>
    </w:p>
    <w:p w14:paraId="1540BFD5" w14:textId="77777777" w:rsidR="00401853" w:rsidRPr="00AD4497" w:rsidRDefault="00401853" w:rsidP="00401853">
      <w:r w:rsidRPr="00AD4497">
        <w:t>Options, swaps, forward and future contracts: Extending the argument further, the trade/</w:t>
      </w:r>
      <w:r w:rsidRPr="00AD4497">
        <w:rPr>
          <w:bCs/>
        </w:rPr>
        <w:t xml:space="preserve">execution day of the transaction </w:t>
      </w:r>
      <w:r w:rsidRPr="00AD4497">
        <w:t xml:space="preserve">should also be considered the effective date for options and all other derivatives, regardless of whether they are physically or cash-settled. For transactions of the option contracts, the execution day marks the moment when the buyer and seller agree on the premium, strike price, and other contractual terms. This point in time is economically decisive as it establishes the mutual obligations and market exposure of the parties, irrespective of when or how the contract is ultimately settled. The execution of an option contract marks another transaction that mimics a trade in a spot instrument and therefore has a different effective day, the day of the execution of the option. </w:t>
      </w:r>
    </w:p>
    <w:p w14:paraId="700C16FB" w14:textId="77777777" w:rsidR="00401853" w:rsidRPr="00AD4497" w:rsidRDefault="00401853" w:rsidP="00401853">
      <w:r>
        <w:t>For s</w:t>
      </w:r>
      <w:r w:rsidRPr="00AD4497">
        <w:t>waps</w:t>
      </w:r>
      <w:r>
        <w:t>,</w:t>
      </w:r>
      <w:r w:rsidRPr="00AD4497">
        <w:t xml:space="preserve"> if at all need</w:t>
      </w:r>
      <w:r>
        <w:t>ed</w:t>
      </w:r>
      <w:r w:rsidRPr="00AD4497">
        <w:t xml:space="preserve"> to be reported under MiFiR, the effective date shall also be the date of transaction (agreement) as this marks the economically relevant point. </w:t>
      </w:r>
    </w:p>
    <w:p w14:paraId="1ADA9BC3" w14:textId="77777777" w:rsidR="00401853" w:rsidRPr="00AD4497" w:rsidRDefault="00401853" w:rsidP="00401853">
      <w:r w:rsidRPr="00AD4497">
        <w:t>For OTC forward instruments the maturity or expiry date of the contract could be argued to mark the date when the agreement becomes effective. Typically, this would also mark the day of settlement but sometimes there might be additional settlement days depending on the instrument type. Using the actual settlement day might then create a non-homogeneous landscape of effective dates across typo of underlying instruments.</w:t>
      </w:r>
    </w:p>
    <w:p w14:paraId="4F9655FD" w14:textId="77777777" w:rsidR="00401853" w:rsidRPr="00AD4497" w:rsidRDefault="00401853" w:rsidP="00401853">
      <w:r w:rsidRPr="00AD4497">
        <w:t xml:space="preserve">For exchange traded mark-to-market futures the entry into the contract marks the economically relevant date. </w:t>
      </w:r>
    </w:p>
    <w:p w14:paraId="556DB60E" w14:textId="77777777" w:rsidR="00401853" w:rsidRPr="00AD4497" w:rsidRDefault="00401853" w:rsidP="00401853">
      <w:r w:rsidRPr="00AD4497">
        <w:rPr>
          <w:bCs/>
        </w:rPr>
        <w:t xml:space="preserve">Conclusion: </w:t>
      </w:r>
      <w:r w:rsidRPr="00AD4497">
        <w:t xml:space="preserve">Defining the effective date as the trade day (execution </w:t>
      </w:r>
      <w:r w:rsidRPr="00AD4497">
        <w:rPr>
          <w:bCs/>
        </w:rPr>
        <w:t>day</w:t>
      </w:r>
      <w:r w:rsidRPr="00AD4497">
        <w:t xml:space="preserve"> of a transaction) for both shares and bonds reflects the economic reality of </w:t>
      </w:r>
      <w:r>
        <w:t xml:space="preserve">the </w:t>
      </w:r>
      <w:r w:rsidRPr="00AD4497">
        <w:t xml:space="preserve">transactions, aligns with regulatory objectives, and simplifies compliance for market participants. </w:t>
      </w:r>
      <w:r>
        <w:t>Such a</w:t>
      </w:r>
      <w:r w:rsidRPr="00AD4497">
        <w:t xml:space="preserve"> harmonized approach ensures that regulators and participants focus on the moment that truly matters in the lifecycle of a trade—when the terms are set, and the market impact </w:t>
      </w:r>
      <w:r>
        <w:t>occurs</w:t>
      </w:r>
      <w:r w:rsidRPr="00AD4497">
        <w:t>.</w:t>
      </w:r>
    </w:p>
    <w:p w14:paraId="6CEE2D8C" w14:textId="77777777" w:rsidR="00401853" w:rsidRPr="00AD4497" w:rsidRDefault="00401853" w:rsidP="00401853">
      <w:r w:rsidRPr="00AD4497">
        <w:t>By defining the effective date for shares and other spot instruments as the execution date, regulators can establish a clear, consistent, and economically relevant framework for transaction reporting under MiFIR. This approach enhances regulatory efficiency, reduces complexity for market participants, and promotes a more harmonized regulatory environment across jurisdictions.</w:t>
      </w:r>
    </w:p>
    <w:p w14:paraId="0856345F" w14:textId="77777777" w:rsidR="00401853" w:rsidRPr="00AD4497" w:rsidRDefault="00401853" w:rsidP="00401853">
      <w:r>
        <w:t>Accordingly</w:t>
      </w:r>
      <w:r w:rsidRPr="00AD4497">
        <w:t xml:space="preserve">, the </w:t>
      </w:r>
      <w:r w:rsidRPr="00AD4497">
        <w:rPr>
          <w:bCs/>
        </w:rPr>
        <w:t xml:space="preserve">trade day of the transaction </w:t>
      </w:r>
      <w:r w:rsidRPr="00AD4497">
        <w:t xml:space="preserve">should also be considered the effective date for options and all other derivatives, regardless of whether they are physically or cash-settled. For OTC forward instruments (non-mark-to-market instruments) the expiry date could be used as effective date. </w:t>
      </w:r>
    </w:p>
    <w:p w14:paraId="01D6AFDB" w14:textId="77777777" w:rsidR="00D11E28" w:rsidRPr="00AD4497" w:rsidRDefault="00D11E28" w:rsidP="00D11E28"/>
    <w:p w14:paraId="67DBB5A7" w14:textId="4FE5875C" w:rsidR="006B5DF1" w:rsidRDefault="006B5DF1" w:rsidP="006B5DF1">
      <w:pPr>
        <w:spacing w:after="0"/>
      </w:pPr>
      <w:r>
        <w:t>&lt;ESMA_QUESTION_</w:t>
      </w:r>
      <w:r w:rsidR="00DF3781">
        <w:t>RTS2224</w:t>
      </w:r>
      <w:r>
        <w:t>_</w:t>
      </w:r>
      <w:r w:rsidR="003E7313">
        <w:t>08</w:t>
      </w:r>
      <w:r>
        <w:t>&gt;</w:t>
      </w:r>
    </w:p>
    <w:p w14:paraId="453A8C03" w14:textId="77777777" w:rsidR="006B5DF1" w:rsidRDefault="006B5DF1" w:rsidP="006B5DF1"/>
    <w:p w14:paraId="6F7EB131" w14:textId="77777777" w:rsidR="006B5DF1" w:rsidRPr="006B5DF1" w:rsidRDefault="006B5DF1" w:rsidP="006B5DF1"/>
    <w:p w14:paraId="727DB13B" w14:textId="77777777" w:rsidR="0029493B" w:rsidRDefault="0029493B" w:rsidP="006B5DF1">
      <w:pPr>
        <w:pStyle w:val="Questionstyle"/>
      </w:pPr>
      <w:r>
        <w:t>Do you agree that the concept of effective date applies also to transactions in shares? If yes, should the intended settlement date be considered as the effective date? Please provide details in your answer.</w:t>
      </w:r>
    </w:p>
    <w:p w14:paraId="17BB33B8" w14:textId="77777777" w:rsidR="006B5DF1" w:rsidRDefault="006B5DF1" w:rsidP="006B5DF1"/>
    <w:p w14:paraId="25FE0CD5" w14:textId="5316F825" w:rsidR="006B5DF1" w:rsidRDefault="006B5DF1" w:rsidP="006B5DF1">
      <w:pPr>
        <w:spacing w:after="0"/>
      </w:pPr>
      <w:r>
        <w:t>&lt;ESMA_QUESTION_</w:t>
      </w:r>
      <w:r w:rsidR="00DF3781">
        <w:t>RTS2224</w:t>
      </w:r>
      <w:r>
        <w:t>_</w:t>
      </w:r>
      <w:r w:rsidR="003E7313">
        <w:t>09</w:t>
      </w:r>
      <w:r>
        <w:t>&gt;</w:t>
      </w:r>
    </w:p>
    <w:p w14:paraId="54088139" w14:textId="77777777" w:rsidR="00D11E28" w:rsidRPr="00AD4497" w:rsidRDefault="00D11E28" w:rsidP="00D11E28"/>
    <w:p w14:paraId="65524BBC" w14:textId="77777777" w:rsidR="00D11E28" w:rsidRPr="00AD4497" w:rsidRDefault="00D11E28" w:rsidP="00D11E28">
      <w:r w:rsidRPr="00AD4497">
        <w:t xml:space="preserve">Please see our answer and considerations to Q8. </w:t>
      </w:r>
    </w:p>
    <w:p w14:paraId="213057F2" w14:textId="77777777" w:rsidR="00D11E28" w:rsidRPr="00AD4497" w:rsidRDefault="00D11E28" w:rsidP="00D11E28"/>
    <w:p w14:paraId="7294A4EF" w14:textId="68CAA376" w:rsidR="006B5DF1" w:rsidRDefault="006B5DF1" w:rsidP="006B5DF1">
      <w:pPr>
        <w:spacing w:after="0"/>
      </w:pPr>
      <w:r>
        <w:t>&lt;ESMA_QUESTION_</w:t>
      </w:r>
      <w:r w:rsidR="00DF3781">
        <w:t>RTS2224</w:t>
      </w:r>
      <w:r>
        <w:t>_</w:t>
      </w:r>
      <w:r w:rsidR="003E7313">
        <w:t>09</w:t>
      </w:r>
      <w:r>
        <w:t>&gt;</w:t>
      </w:r>
    </w:p>
    <w:p w14:paraId="56A0F5E2" w14:textId="77777777" w:rsidR="006B5DF1" w:rsidRDefault="006B5DF1" w:rsidP="006B5DF1"/>
    <w:p w14:paraId="0F8EDBF9" w14:textId="77777777" w:rsidR="006B5DF1" w:rsidRPr="006B5DF1" w:rsidRDefault="006B5DF1" w:rsidP="006B5DF1"/>
    <w:p w14:paraId="5B050A43" w14:textId="77777777" w:rsidR="0029493B" w:rsidRDefault="0029493B" w:rsidP="006B5DF1">
      <w:pPr>
        <w:pStyle w:val="Questionstyle"/>
      </w:pPr>
      <w:r>
        <w:t>Do you agree with the inclusion of this new field according to the analysed scenario? Please specify if you see additional cases to take into consideration in the definition of this new field.</w:t>
      </w:r>
    </w:p>
    <w:p w14:paraId="005B41D3" w14:textId="77777777" w:rsidR="006B5DF1" w:rsidRDefault="006B5DF1" w:rsidP="006B5DF1"/>
    <w:p w14:paraId="4D938823" w14:textId="7D72C251" w:rsidR="006B5DF1" w:rsidRDefault="006B5DF1" w:rsidP="006B5DF1">
      <w:pPr>
        <w:spacing w:after="0"/>
      </w:pPr>
      <w:r>
        <w:t>&lt;ESMA_QUESTION_</w:t>
      </w:r>
      <w:r w:rsidR="00DF3781">
        <w:t>RTS2224</w:t>
      </w:r>
      <w:r>
        <w:t>_</w:t>
      </w:r>
      <w:r w:rsidR="003E7313">
        <w:t>10</w:t>
      </w:r>
      <w:r>
        <w:t>&gt;</w:t>
      </w:r>
    </w:p>
    <w:p w14:paraId="3AE8132F" w14:textId="77777777" w:rsidR="00D11E28" w:rsidRPr="00AD4497" w:rsidRDefault="00D11E28" w:rsidP="00D11E28"/>
    <w:p w14:paraId="2FFA7253" w14:textId="77777777" w:rsidR="007E79FA" w:rsidRPr="00AD4497" w:rsidRDefault="007E79FA" w:rsidP="007E79FA">
      <w:r w:rsidRPr="00AD4497">
        <w:t xml:space="preserve">We agree that introducing a new field may be relevant in specific scenarios where a Trading Venue (TV) reports a transaction via an Approved Reporting Mechanism (ARM) because its </w:t>
      </w:r>
      <w:r>
        <w:t xml:space="preserve">trading </w:t>
      </w:r>
      <w:r w:rsidRPr="00AD4497">
        <w:t>member is not a MiFID entity. In these cases, the "Executing firm" would be the non-MiFID firm, and the "Submitting firm" would be the ARM. Currently, the TV itself is not explicitly identified in the reporting process, and this new field could address that gap.</w:t>
      </w:r>
    </w:p>
    <w:p w14:paraId="3600B531" w14:textId="77777777" w:rsidR="007E79FA" w:rsidRPr="00AD4497" w:rsidRDefault="007E79FA" w:rsidP="007E79FA">
      <w:r w:rsidRPr="00AD4497">
        <w:t>However, for all other scenarios where the executing firm is responsible for reporting, there is no apparent need for this additional field.</w:t>
      </w:r>
    </w:p>
    <w:p w14:paraId="5433E6E0" w14:textId="77777777" w:rsidR="007E79FA" w:rsidRPr="00AD4497" w:rsidRDefault="007E79FA" w:rsidP="007E79FA">
      <w:r w:rsidRPr="00AD4497">
        <w:t>We recommend that the new field be clearly defined to apply exclusively to the aforementioned situation to avoid unnecessary complexity and minimize the impact on data storage costs for most firms.</w:t>
      </w:r>
    </w:p>
    <w:p w14:paraId="662D038D" w14:textId="77777777" w:rsidR="007E79FA" w:rsidRPr="00AD4497" w:rsidRDefault="007E79FA" w:rsidP="007E79FA">
      <w:r w:rsidRPr="00AD4497">
        <w:t xml:space="preserve">Furthermore, if the field is </w:t>
      </w:r>
      <w:r>
        <w:t>deemed</w:t>
      </w:r>
      <w:r w:rsidRPr="00AD4497">
        <w:t xml:space="preserve"> necessary, we suggest associating it directly with the TV and leaving the field blank for other entities.</w:t>
      </w:r>
    </w:p>
    <w:p w14:paraId="67EE32CE" w14:textId="77777777" w:rsidR="007E79FA" w:rsidRPr="00AD4497" w:rsidRDefault="007E79FA" w:rsidP="007E79FA">
      <w:r w:rsidRPr="00AD4497">
        <w:t xml:space="preserve">As examples were asked for during the public hearing: </w:t>
      </w:r>
    </w:p>
    <w:p w14:paraId="381FE8F8" w14:textId="77777777" w:rsidR="007E79FA" w:rsidRPr="00AD4497" w:rsidRDefault="007E79FA" w:rsidP="007E79FA">
      <w:r w:rsidRPr="00AD4497">
        <w:t>Consider a scenario where a trading participant on the Frankfurt Stock Exchange is not an investment firm. The exchange reports the transactions on behalf of this participant. If the stock exchange delegates the reporting obligation under Article 26 to a third party, this would be a case where the ‘Entity subject to the reporting obligation’ field would be relevant, identifying the exchange in this specific scenario."</w:t>
      </w:r>
    </w:p>
    <w:p w14:paraId="3DAEACB6" w14:textId="77777777" w:rsidR="00D11E28" w:rsidRPr="00AD4497" w:rsidRDefault="00D11E28" w:rsidP="00D11E28"/>
    <w:p w14:paraId="6BD62104" w14:textId="24823E99" w:rsidR="006B5DF1" w:rsidRDefault="006B5DF1" w:rsidP="006B5DF1">
      <w:pPr>
        <w:spacing w:after="0"/>
      </w:pPr>
      <w:r>
        <w:t>&lt;ESMA_QUESTION_</w:t>
      </w:r>
      <w:r w:rsidR="00DF3781">
        <w:t>RTS2224</w:t>
      </w:r>
      <w:r>
        <w:t>_</w:t>
      </w:r>
      <w:r w:rsidR="003E7313">
        <w:t>10</w:t>
      </w:r>
      <w:r>
        <w:t>&gt;</w:t>
      </w:r>
    </w:p>
    <w:p w14:paraId="3154352F" w14:textId="77777777" w:rsidR="006B5DF1" w:rsidRDefault="006B5DF1" w:rsidP="006B5DF1"/>
    <w:p w14:paraId="54DCA68F" w14:textId="77777777" w:rsidR="006B5DF1" w:rsidRPr="006B5DF1" w:rsidRDefault="006B5DF1" w:rsidP="006B5DF1"/>
    <w:p w14:paraId="6B67807B" w14:textId="77777777" w:rsidR="0029493B" w:rsidRDefault="0029493B" w:rsidP="006B5DF1">
      <w:pPr>
        <w:pStyle w:val="Questionstyle"/>
      </w:pPr>
      <w:r>
        <w:t>Do you agree with the assessment that the TVTIC reporting requirement applies to all type of on venue executed transactions (e.g., negotiated trades)?</w:t>
      </w:r>
    </w:p>
    <w:p w14:paraId="72D20B90" w14:textId="77777777" w:rsidR="006B5DF1" w:rsidRDefault="006B5DF1" w:rsidP="006B5DF1"/>
    <w:p w14:paraId="349184A3" w14:textId="5A785C5D" w:rsidR="006B5DF1" w:rsidRDefault="006B5DF1" w:rsidP="006B5DF1">
      <w:pPr>
        <w:spacing w:after="0"/>
      </w:pPr>
      <w:r>
        <w:t>&lt;ESMA_QUESTION_</w:t>
      </w:r>
      <w:r w:rsidR="00DF3781">
        <w:t>RTS2224</w:t>
      </w:r>
      <w:r>
        <w:t>_</w:t>
      </w:r>
      <w:r w:rsidR="003E7313">
        <w:t>11</w:t>
      </w:r>
      <w:r>
        <w:t>&gt;</w:t>
      </w:r>
    </w:p>
    <w:p w14:paraId="7AAA822C" w14:textId="77777777" w:rsidR="005563F3" w:rsidRPr="00AD4497" w:rsidRDefault="005563F3" w:rsidP="005563F3"/>
    <w:p w14:paraId="7A50CA77" w14:textId="77777777" w:rsidR="005563F3" w:rsidRPr="00AD4497" w:rsidRDefault="005563F3" w:rsidP="005563F3">
      <w:r w:rsidRPr="00AD4497">
        <w:t>bwf generally agrees that the TVTIC reporting requirement should apply to all types of on-venue executed transactions, including negotiated trades.</w:t>
      </w:r>
    </w:p>
    <w:p w14:paraId="08743A6F" w14:textId="27F5B249" w:rsidR="005563F3" w:rsidRPr="00AD4497" w:rsidRDefault="005563F3" w:rsidP="005563F3">
      <w:r w:rsidRPr="00AD4497">
        <w:t>When such trades are brought to the exchange, they should be reported with the appropriate MIC code and, where applicable, the TVTIC. For negotiated trades executed off-book but still within the exchange's trading system, the exchange's MIC code should be used, and if a TVTIC is available, it should also be included.</w:t>
      </w:r>
    </w:p>
    <w:p w14:paraId="6DF269E5" w14:textId="77777777" w:rsidR="005563F3" w:rsidRPr="00AD4497" w:rsidRDefault="005563F3" w:rsidP="005563F3">
      <w:r w:rsidRPr="00AD4497">
        <w:t>While this approach aligns with current practices for most market participants, we acknowledge potential operational challenges. Ensuring consistent and reliable provision of the TVTIC from all trading venues may require further clarification and guidance.</w:t>
      </w:r>
    </w:p>
    <w:p w14:paraId="07D57187" w14:textId="77777777" w:rsidR="005563F3" w:rsidRPr="00AD4497" w:rsidRDefault="005563F3" w:rsidP="005563F3">
      <w:pPr>
        <w:tabs>
          <w:tab w:val="num" w:pos="720"/>
        </w:tabs>
      </w:pPr>
      <w:r w:rsidRPr="00AD4497">
        <w:t xml:space="preserve">Therefore, we recommend: </w:t>
      </w:r>
      <w:r w:rsidRPr="00AD4497">
        <w:rPr>
          <w:bCs/>
        </w:rPr>
        <w:t xml:space="preserve">Clear rules stipulating that all trading venues must supply the TVTIC for on-venue transactions and guidance from ESMA on best practices for TVTIC data collection and dissemination by trading venues. </w:t>
      </w:r>
      <w:r w:rsidRPr="00AD4497">
        <w:t>This will enhance transparency and simplify reporting for all market participants.</w:t>
      </w:r>
    </w:p>
    <w:p w14:paraId="2270FAEC" w14:textId="77777777" w:rsidR="005563F3" w:rsidRPr="00AD4497" w:rsidRDefault="005563F3" w:rsidP="005563F3"/>
    <w:p w14:paraId="2E9C537F" w14:textId="764D2ADB" w:rsidR="006B5DF1" w:rsidRDefault="006B5DF1" w:rsidP="006B5DF1">
      <w:pPr>
        <w:spacing w:after="0"/>
      </w:pPr>
      <w:r>
        <w:t>&lt;ESMA_QUESTION_</w:t>
      </w:r>
      <w:r w:rsidR="00DF3781">
        <w:t>RTS2224</w:t>
      </w:r>
      <w:r>
        <w:t>_</w:t>
      </w:r>
      <w:r w:rsidR="003E7313">
        <w:t>11</w:t>
      </w:r>
      <w:r>
        <w:t>&gt;</w:t>
      </w:r>
    </w:p>
    <w:p w14:paraId="06E5BE60" w14:textId="77777777" w:rsidR="006B5DF1" w:rsidRDefault="006B5DF1" w:rsidP="006B5DF1"/>
    <w:p w14:paraId="443C2A97" w14:textId="77777777" w:rsidR="006B5DF1" w:rsidRPr="006B5DF1" w:rsidRDefault="006B5DF1" w:rsidP="006B5DF1"/>
    <w:p w14:paraId="7CB8EE35" w14:textId="77777777" w:rsidR="0029493B" w:rsidRDefault="0029493B" w:rsidP="006B5DF1">
      <w:pPr>
        <w:pStyle w:val="Questionstyle"/>
      </w:pPr>
      <w:r>
        <w:t>Do you have views on how to improve the consistency of the reporting of TVTICs? Please provide your view on the proposal of making mandatory the reporting of such information in validation rules when the MIC code is provided.</w:t>
      </w:r>
    </w:p>
    <w:p w14:paraId="0EB95219" w14:textId="77777777" w:rsidR="006B5DF1" w:rsidRDefault="006B5DF1" w:rsidP="006B5DF1"/>
    <w:p w14:paraId="0F765C17" w14:textId="74D7FAC4" w:rsidR="006B5DF1" w:rsidRDefault="006B5DF1" w:rsidP="006B5DF1">
      <w:pPr>
        <w:spacing w:after="0"/>
      </w:pPr>
      <w:r>
        <w:t>&lt;ESMA_QUESTION_</w:t>
      </w:r>
      <w:r w:rsidR="00DF3781">
        <w:t>RTS2224</w:t>
      </w:r>
      <w:r>
        <w:t>_</w:t>
      </w:r>
      <w:r w:rsidR="003E7313">
        <w:t>12</w:t>
      </w:r>
      <w:r>
        <w:t>&gt;</w:t>
      </w:r>
    </w:p>
    <w:p w14:paraId="22066BA4" w14:textId="77777777" w:rsidR="005563F3" w:rsidRPr="00AD4497" w:rsidRDefault="005563F3" w:rsidP="005563F3"/>
    <w:p w14:paraId="6B5C3DE1" w14:textId="77777777" w:rsidR="005563F3" w:rsidRPr="00AD4497" w:rsidRDefault="005563F3" w:rsidP="005563F3">
      <w:r w:rsidRPr="00AD4497">
        <w:t xml:space="preserve">bwf believes that improving the consistency of TVTIC (Trading Venue Transaction Identification Code) reporting is crucial for enhancing transparency and regulatory oversight in financial markets. </w:t>
      </w:r>
    </w:p>
    <w:p w14:paraId="4CBECFA2" w14:textId="77777777" w:rsidR="005563F3" w:rsidRPr="00AD4497" w:rsidRDefault="005563F3" w:rsidP="005563F3">
      <w:r w:rsidRPr="00AD4497">
        <w:t>Concerning the use of Market Identifier Codes (MICs) in TVTICs, there are indeed inconsistencies that can lead to problems: Trading venues use MICs differently. Some use individual segment MICs for each of their markets, while others use a single operating MIC for all their segments. This inconsistency can create confusion and potential misidentification of the specific market where a transaction occurred.</w:t>
      </w:r>
    </w:p>
    <w:p w14:paraId="4F304D19" w14:textId="77777777" w:rsidR="005563F3" w:rsidRPr="00AD4497" w:rsidRDefault="005563F3" w:rsidP="005563F3">
      <w:r w:rsidRPr="00AD4497">
        <w:t>To address these issues, it would be beneficial to establish clear guidelines on MIC usage within TVTICs. This could involve requiring the use of segment MICs where available, or implementing a standardized format that includes both the operating MIC and a segment identifier.</w:t>
      </w:r>
    </w:p>
    <w:p w14:paraId="0B0A8A5B" w14:textId="77777777" w:rsidR="005563F3" w:rsidRPr="00AD4497" w:rsidRDefault="005563F3" w:rsidP="005563F3">
      <w:r w:rsidRPr="00AD4497">
        <w:t xml:space="preserve">Making the reporting of TVTICs mandatory in validation rules when the MIC (Market Identifier Code) is provided is a positive step towards achieving this goal. This requirement would ensure that all relevant transaction data is captured uniformly, facilitating easier reconciliation and analysis by regulators and market participants alike. </w:t>
      </w:r>
    </w:p>
    <w:p w14:paraId="2E6A8978" w14:textId="77777777" w:rsidR="005563F3" w:rsidRPr="00AD4497" w:rsidRDefault="005563F3" w:rsidP="005563F3">
      <w:r w:rsidRPr="00AD4497">
        <w:t>While reporting firms have a role in ensuring data completeness, close collaboration between regulators and trading venues is essential to guarantee consistent and timely TVTIC provision.</w:t>
      </w:r>
    </w:p>
    <w:p w14:paraId="48289437" w14:textId="77777777" w:rsidR="005563F3" w:rsidRPr="00AD4497" w:rsidRDefault="005563F3" w:rsidP="005563F3">
      <w:r w:rsidRPr="00AD4497">
        <w:t>Therefore, we support the proposal to make the reporting of TVTICs mandatory when the MIC code is provided. However, ensuring that trading venues, rather than reporting firms, are primarily responsible for transmitting TVTICs is crucial. The current practice where firms sometimes construct TVTICs introduces significant inconsistency.</w:t>
      </w:r>
    </w:p>
    <w:p w14:paraId="57CAD0BB" w14:textId="77777777" w:rsidR="005563F3" w:rsidRPr="00AD4497" w:rsidRDefault="005563F3" w:rsidP="005563F3">
      <w:r w:rsidRPr="00AD4497">
        <w:t>Before implementing a mandatory reporting requirement, ESMA should address the following:</w:t>
      </w:r>
    </w:p>
    <w:p w14:paraId="1AB66C1B" w14:textId="6E70DD23" w:rsidR="005563F3" w:rsidRPr="00AD4497" w:rsidRDefault="005563F3" w:rsidP="005563F3">
      <w:pPr>
        <w:numPr>
          <w:ilvl w:val="0"/>
          <w:numId w:val="39"/>
        </w:numPr>
        <w:spacing w:after="160" w:line="259" w:lineRule="auto"/>
        <w:jc w:val="left"/>
      </w:pPr>
      <w:r w:rsidRPr="00AD4497">
        <w:t>Trading venues must be obliged to provide TVTICs in a standardized format and through reliable mechanisms.</w:t>
      </w:r>
    </w:p>
    <w:p w14:paraId="635DF6F0" w14:textId="77777777" w:rsidR="005563F3" w:rsidRPr="00AD4497" w:rsidRDefault="005563F3" w:rsidP="005563F3">
      <w:pPr>
        <w:numPr>
          <w:ilvl w:val="0"/>
          <w:numId w:val="39"/>
        </w:numPr>
        <w:spacing w:after="160" w:line="259" w:lineRule="auto"/>
        <w:jc w:val="left"/>
      </w:pPr>
      <w:r w:rsidRPr="00AD4497">
        <w:t>Consistent and timely provision of TVTICs, particularly from OTFs, must be ensured, as current challenges in obtaining TVTICs from OTFs, especially for voice or chat-based trades, could lead to reporting gaps.</w:t>
      </w:r>
    </w:p>
    <w:p w14:paraId="26D738B2" w14:textId="77777777" w:rsidR="005563F3" w:rsidRPr="00AD4497" w:rsidRDefault="005563F3" w:rsidP="005563F3">
      <w:r w:rsidRPr="00AD4497">
        <w:t>To improve reporting consistency, ESMA should require trading venues, including OTFs, to transmit TVTICs in real-time alongside transactional data, rather than in separate post-trade confirmation documents. This will enhance the efficiency and completeness of reporting.</w:t>
      </w:r>
    </w:p>
    <w:p w14:paraId="29A6C089" w14:textId="77777777" w:rsidR="005563F3" w:rsidRPr="00AD4497" w:rsidRDefault="005563F3" w:rsidP="005563F3"/>
    <w:p w14:paraId="7ECA10E7" w14:textId="767905E0" w:rsidR="006B5DF1" w:rsidRDefault="006B5DF1" w:rsidP="006B5DF1">
      <w:pPr>
        <w:spacing w:after="0"/>
      </w:pPr>
      <w:r>
        <w:t>&lt;ESMA_QUESTION_</w:t>
      </w:r>
      <w:r w:rsidR="00DF3781">
        <w:t>RTS2224</w:t>
      </w:r>
      <w:r>
        <w:t>_</w:t>
      </w:r>
      <w:r w:rsidR="003E7313">
        <w:t>12</w:t>
      </w:r>
      <w:r>
        <w:t>&gt;</w:t>
      </w:r>
    </w:p>
    <w:p w14:paraId="72912EE8" w14:textId="77777777" w:rsidR="006B5DF1" w:rsidRDefault="006B5DF1" w:rsidP="006B5DF1"/>
    <w:p w14:paraId="0853AF7C" w14:textId="77777777" w:rsidR="006B5DF1" w:rsidRPr="006B5DF1" w:rsidRDefault="006B5DF1" w:rsidP="006B5DF1"/>
    <w:p w14:paraId="5D976D73" w14:textId="77777777" w:rsidR="0029493B" w:rsidRDefault="0029493B" w:rsidP="006B5DF1">
      <w:pPr>
        <w:pStyle w:val="Questionstyle"/>
      </w:pPr>
      <w:r>
        <w:t xml:space="preserve">Do you have views on how to improve the consistency of the TVTIC </w:t>
      </w:r>
      <w:proofErr w:type="gramStart"/>
      <w:r>
        <w:t>( non</w:t>
      </w:r>
      <w:proofErr w:type="gramEnd"/>
      <w:r>
        <w:t>-EEA TV TIC) generation process for transactions executed in non- EAA venue? Please provide your view on the proposed syntax methodology based on the already reported fields or suggest alternatives.</w:t>
      </w:r>
    </w:p>
    <w:p w14:paraId="7F967882" w14:textId="77777777" w:rsidR="006B5DF1" w:rsidRDefault="006B5DF1" w:rsidP="006B5DF1"/>
    <w:p w14:paraId="267D208E" w14:textId="7924E94E" w:rsidR="006B5DF1" w:rsidRDefault="006B5DF1" w:rsidP="006B5DF1">
      <w:pPr>
        <w:spacing w:after="0"/>
      </w:pPr>
      <w:r>
        <w:t>&lt;ESMA_QUESTION_</w:t>
      </w:r>
      <w:r w:rsidR="00DF3781">
        <w:t>RTS2224</w:t>
      </w:r>
      <w:r>
        <w:t>_</w:t>
      </w:r>
      <w:r w:rsidR="003E7313">
        <w:t>13</w:t>
      </w:r>
      <w:r>
        <w:t>&gt;</w:t>
      </w:r>
    </w:p>
    <w:p w14:paraId="538B738C" w14:textId="77777777" w:rsidR="005563F3" w:rsidRPr="00AD4497" w:rsidRDefault="005563F3" w:rsidP="005563F3"/>
    <w:p w14:paraId="27DC927C" w14:textId="77777777" w:rsidR="005563F3" w:rsidRPr="00AD4497" w:rsidRDefault="005563F3" w:rsidP="005563F3">
      <w:r w:rsidRPr="00AD4497">
        <w:t>Please see our answer to Q14</w:t>
      </w:r>
    </w:p>
    <w:p w14:paraId="53EC639B" w14:textId="77777777" w:rsidR="005563F3" w:rsidRPr="00AD4497" w:rsidRDefault="005563F3" w:rsidP="005563F3"/>
    <w:p w14:paraId="7D6A453F" w14:textId="522B019A" w:rsidR="006B5DF1" w:rsidRDefault="006B5DF1" w:rsidP="006B5DF1">
      <w:pPr>
        <w:spacing w:after="0"/>
      </w:pPr>
      <w:r>
        <w:t>&lt;ESMA_QUESTION_</w:t>
      </w:r>
      <w:r w:rsidR="00DF3781">
        <w:t>RTS2224</w:t>
      </w:r>
      <w:r>
        <w:t>_</w:t>
      </w:r>
      <w:r w:rsidR="003E7313">
        <w:t>13</w:t>
      </w:r>
      <w:r>
        <w:t>&gt;</w:t>
      </w:r>
    </w:p>
    <w:p w14:paraId="14191270" w14:textId="77777777" w:rsidR="006B5DF1" w:rsidRDefault="006B5DF1" w:rsidP="006B5DF1"/>
    <w:p w14:paraId="0E18E033" w14:textId="77777777" w:rsidR="006B5DF1" w:rsidRPr="006B5DF1" w:rsidRDefault="006B5DF1" w:rsidP="006B5DF1"/>
    <w:p w14:paraId="154EBAE8" w14:textId="77777777" w:rsidR="0029493B" w:rsidRDefault="0029493B" w:rsidP="006B5DF1">
      <w:pPr>
        <w:pStyle w:val="Questionstyle"/>
      </w:pPr>
      <w:r>
        <w:t>Do you agree with the proposal of identifying the non-EEA TV as the primary entity responsible for the creation of the non-EEA TV TIC code and for disseminating it?</w:t>
      </w:r>
    </w:p>
    <w:p w14:paraId="05D32B41" w14:textId="77777777" w:rsidR="006B5DF1" w:rsidRDefault="006B5DF1" w:rsidP="006B5DF1"/>
    <w:p w14:paraId="5172AC4C" w14:textId="4E42FA10" w:rsidR="006B5DF1" w:rsidRDefault="006B5DF1" w:rsidP="006B5DF1">
      <w:pPr>
        <w:spacing w:after="0"/>
      </w:pPr>
      <w:r>
        <w:t>&lt;ESMA_QUESTION_</w:t>
      </w:r>
      <w:r w:rsidR="00DF3781">
        <w:t>RTS2224</w:t>
      </w:r>
      <w:r>
        <w:t>_</w:t>
      </w:r>
      <w:r w:rsidR="003E7313">
        <w:t>14</w:t>
      </w:r>
      <w:r>
        <w:t>&gt;</w:t>
      </w:r>
    </w:p>
    <w:p w14:paraId="40684935" w14:textId="77777777" w:rsidR="005563F3" w:rsidRPr="00AD4497" w:rsidRDefault="005563F3" w:rsidP="005563F3"/>
    <w:p w14:paraId="7BCD4A3F" w14:textId="4324A494" w:rsidR="005563F3" w:rsidRPr="00AD4497" w:rsidRDefault="005563F3" w:rsidP="005563F3">
      <w:r w:rsidRPr="00AD4497">
        <w:t xml:space="preserve">TVTIC stands for “Trading Venue Transaction Identification Code”. Thereof the TV shall be responsible to derive the TVTIC. Thus, we cannot support the approach by a syntax which is </w:t>
      </w:r>
      <w:r w:rsidR="00FC617C" w:rsidRPr="00AD4497">
        <w:t>speci</w:t>
      </w:r>
      <w:r w:rsidR="00FC617C">
        <w:t>fic</w:t>
      </w:r>
      <w:r w:rsidR="00FC617C" w:rsidRPr="00AD4497">
        <w:t xml:space="preserve"> </w:t>
      </w:r>
      <w:r w:rsidRPr="00AD4497">
        <w:t>and not uniform across all venues (including non-EEA TVs), except the TVTIC could reach the level of an ISO-Standard. This method is unlikely to produce consistent or reliable TVTICs. Additionally, requiring EU firms to generate a non-EEA TVTIC poses significant challenges, as these venues may either be unwilling or not obligated to provide the necessary details, placing an unnecessary reporting burden on EU firms.</w:t>
      </w:r>
    </w:p>
    <w:p w14:paraId="0DA6447B" w14:textId="77777777" w:rsidR="005563F3" w:rsidRPr="00AD4497" w:rsidRDefault="005563F3" w:rsidP="005563F3">
      <w:r w:rsidRPr="00AD4497">
        <w:t>bwf opposes the proposal to make firms responsible for generating the non-EEA Trading Venue Transaction Identification Code (TVTIC). The obligation to create the non-EEA TVTIC should rest solely with the non-EEA trading venues, as they are the entities conducting and reporting the transactions. It is unreasonable to shift this responsibility to firms trading on these venues, especially since non-EEA platforms do not fall under MiFID II regulations.</w:t>
      </w:r>
    </w:p>
    <w:p w14:paraId="3E9DE43F" w14:textId="77777777" w:rsidR="005563F3" w:rsidRPr="00AD4497" w:rsidRDefault="005563F3" w:rsidP="005563F3">
      <w:r w:rsidRPr="00AD4497">
        <w:t>Before extending the TVTIC requirement to non-EEA venues, ESMA should first ensure that the current TVTIC framework within the EU is stable and harmonized. Persistent issues with the TVTIC, ongoing since its introduction in 2018, must be resolved before considering its application to non-EEA platforms. Therefore, we urge ESMA to reconsider this proposal and focus on ensuring that EU trading venues meet their obligations before expanding the requirement to include non-EEA venues.</w:t>
      </w:r>
    </w:p>
    <w:p w14:paraId="4A4A1C41" w14:textId="77777777" w:rsidR="005563F3" w:rsidRPr="00AD4497" w:rsidRDefault="005563F3" w:rsidP="005563F3"/>
    <w:p w14:paraId="7A83D384" w14:textId="1ED5DDF8" w:rsidR="006B5DF1" w:rsidRDefault="006B5DF1" w:rsidP="006B5DF1">
      <w:pPr>
        <w:spacing w:after="0"/>
      </w:pPr>
      <w:r>
        <w:t>&lt;ESMA_QUESTION_</w:t>
      </w:r>
      <w:r w:rsidR="00DF3781">
        <w:t>RTS2224</w:t>
      </w:r>
      <w:r>
        <w:t>_</w:t>
      </w:r>
      <w:r w:rsidR="003E7313">
        <w:t>14</w:t>
      </w:r>
      <w:r>
        <w:t>&gt;</w:t>
      </w:r>
    </w:p>
    <w:p w14:paraId="55A012FE" w14:textId="77777777" w:rsidR="006B5DF1" w:rsidRDefault="006B5DF1" w:rsidP="006B5DF1"/>
    <w:p w14:paraId="620205AB" w14:textId="77777777" w:rsidR="006B5DF1" w:rsidRPr="006B5DF1" w:rsidRDefault="006B5DF1" w:rsidP="006B5DF1"/>
    <w:p w14:paraId="08651FDD" w14:textId="77777777" w:rsidR="0029493B" w:rsidRDefault="0029493B" w:rsidP="006B5DF1">
      <w:pPr>
        <w:pStyle w:val="Questionstyle"/>
      </w:pPr>
      <w:r>
        <w:t>Do you have any further comment or suggestion in relation to the definition of a new transaction identification code (TIC) for off venue transactions? Please provide your view for the proposed syntax methodology for creating the TIC based on the already reported fields, or suggest alternatives.</w:t>
      </w:r>
    </w:p>
    <w:p w14:paraId="3BFC4064" w14:textId="77777777" w:rsidR="006B5DF1" w:rsidRDefault="006B5DF1" w:rsidP="006B5DF1"/>
    <w:p w14:paraId="761CC5DB" w14:textId="651DC74A" w:rsidR="006B5DF1" w:rsidRDefault="006B5DF1" w:rsidP="006B5DF1">
      <w:pPr>
        <w:spacing w:after="0"/>
      </w:pPr>
      <w:r>
        <w:t>&lt;ESMA_QUESTION_</w:t>
      </w:r>
      <w:r w:rsidR="00DF3781">
        <w:t>RTS2224</w:t>
      </w:r>
      <w:r>
        <w:t>_</w:t>
      </w:r>
      <w:r w:rsidR="003E7313">
        <w:t>15</w:t>
      </w:r>
      <w:r>
        <w:t>&gt;</w:t>
      </w:r>
    </w:p>
    <w:p w14:paraId="0DD1CFEE" w14:textId="77777777" w:rsidR="005563F3" w:rsidRPr="00AD4497" w:rsidRDefault="005563F3" w:rsidP="005563F3"/>
    <w:p w14:paraId="45228E2A" w14:textId="77777777" w:rsidR="005563F3" w:rsidRPr="00AD4497" w:rsidRDefault="005563F3" w:rsidP="005563F3">
      <w:r w:rsidRPr="00AD4497">
        <w:t>bwf is firmly opposed to the introduction of a new transaction identification code (TIC) for off-venue transactions. The requirement to create and disseminate a TIC, especially for manual negotiations, voice trades, or chat-based transactions, presents significant operational challenges. This proposal would make firms dependent on counterparties to generate a crucial code for accurate transaction reporting, which raises serious concerns about process efficiency and operational feasibility. Given the complexity and diversity of off-venue transactions, we believe this approach is impractical and could introduce more risks than benefits.</w:t>
      </w:r>
    </w:p>
    <w:p w14:paraId="59B4BDA5" w14:textId="77777777" w:rsidR="005563F3" w:rsidRPr="00AD4497" w:rsidRDefault="005563F3" w:rsidP="005563F3">
      <w:r w:rsidRPr="00AD4497">
        <w:t xml:space="preserve">If ESMA chooses to move forward with this proposal, we recommend a more practical alternative, such as incorporating the LEIs of both the transaction initiator and the counterparty. This would enable firms to generate the necessary reports independently, without relying on the counterparty to provide the TIC. Additionally, ESMA’s proposal includes a ‘TIME’ field within the TIC syntax. Variations in time values reported by each party could lead to discrepancies in the TIC if firms generate it independently. Therefore, we suggest specifying the time as </w:t>
      </w:r>
      <w:proofErr w:type="spellStart"/>
      <w:r w:rsidRPr="00AD4497">
        <w:t>hh:mm</w:t>
      </w:r>
      <w:proofErr w:type="spellEnd"/>
      <w:r w:rsidRPr="00AD4497">
        <w:t xml:space="preserve"> or, alternatively, removing the field altogether to prevent inconsistencies.</w:t>
      </w:r>
    </w:p>
    <w:p w14:paraId="05DC3B5C" w14:textId="77777777" w:rsidR="005563F3" w:rsidRPr="00AD4497" w:rsidRDefault="005563F3" w:rsidP="005563F3">
      <w:r w:rsidRPr="00AD4497">
        <w:t>Our experience with UTI dissemination under EMIR and SFTR demonstrates the challenges associated with reliance on external entities for critical reporting elements. The difficulties in UTI matching and timely communication underscore the risks of depending on counterparties, often leading to under-reporting or data mismatches. We anticipate similar issues with the proposed TIC and urge ESMA to reconsider. Instead, we recommend focusing on enhancing the consistency and efficiency of current transaction reporting processes.</w:t>
      </w:r>
    </w:p>
    <w:p w14:paraId="6CDDF8C8" w14:textId="77777777" w:rsidR="005563F3" w:rsidRPr="00AD4497" w:rsidRDefault="005563F3" w:rsidP="005563F3">
      <w:r w:rsidRPr="00AD4497">
        <w:t xml:space="preserve">Further if a TIC is needed for OTC, there is a strong argument against separating TVTIC (Trading Venue Transaction Identification Code) and TIC (Transaction Identification Code) for OTC trades. Instead, OTC trades can be incorporated with a specific OTC code as a Trading Venue (TV). This approach offers several benefits, such as a </w:t>
      </w:r>
      <w:r w:rsidRPr="00AD4497">
        <w:rPr>
          <w:bCs/>
        </w:rPr>
        <w:t>unified identification system</w:t>
      </w:r>
      <w:r w:rsidRPr="00AD4497">
        <w:t xml:space="preserve"> (A single identification system for both on-venue and OTC trades simplifies the reporting structure. Assigning a specific "OTC" code as a pseudo-trading venue for off-exchange transactions streamlines the process.), i</w:t>
      </w:r>
      <w:r w:rsidRPr="00AD4497">
        <w:rPr>
          <w:bCs/>
        </w:rPr>
        <w:t>mproved data consistency</w:t>
      </w:r>
      <w:r w:rsidRPr="00AD4497">
        <w:t xml:space="preserve"> and e</w:t>
      </w:r>
      <w:r w:rsidRPr="00AD4497">
        <w:rPr>
          <w:bCs/>
        </w:rPr>
        <w:t>asier reconciliation</w:t>
      </w:r>
      <w:r w:rsidRPr="00AD4497">
        <w:t>: A single identifier system simplifies trade reconciliation across different reporting entities and systems, potentially reducing the complexity of data analysis and oversight for regulators. Further this could then be done in a</w:t>
      </w:r>
      <w:r w:rsidRPr="00AD4497">
        <w:rPr>
          <w:bCs/>
        </w:rPr>
        <w:t>lignment with international standards</w:t>
      </w:r>
      <w:r w:rsidRPr="00AD4497">
        <w:t xml:space="preserve"> and reduced implementation costs. </w:t>
      </w:r>
    </w:p>
    <w:p w14:paraId="76079477" w14:textId="77777777" w:rsidR="00FC617C" w:rsidRPr="00AD4497" w:rsidRDefault="00FC617C" w:rsidP="00FC617C">
      <w:r w:rsidRPr="00AD4497">
        <w:t xml:space="preserve">By treating OTC trades as transactions on a </w:t>
      </w:r>
      <w:r>
        <w:t>conceptional</w:t>
      </w:r>
      <w:r w:rsidRPr="00AD4497">
        <w:t xml:space="preserve"> "OTC venue" with its own code, </w:t>
      </w:r>
      <w:r>
        <w:t>one could</w:t>
      </w:r>
      <w:r w:rsidRPr="00AD4497">
        <w:t xml:space="preserve"> maintain the benefits of the TVTIC system while extending it</w:t>
      </w:r>
      <w:r>
        <w:t>s scope</w:t>
      </w:r>
      <w:r w:rsidRPr="00AD4497">
        <w:t xml:space="preserve"> to all </w:t>
      </w:r>
      <w:r>
        <w:t xml:space="preserve">possible </w:t>
      </w:r>
      <w:r w:rsidRPr="00AD4497">
        <w:t xml:space="preserve">types of trades. </w:t>
      </w:r>
    </w:p>
    <w:p w14:paraId="3D24B7CE" w14:textId="77777777" w:rsidR="005563F3" w:rsidRPr="00AD4497" w:rsidRDefault="005563F3" w:rsidP="005563F3"/>
    <w:p w14:paraId="3A64410A" w14:textId="5B76267B" w:rsidR="006B5DF1" w:rsidRDefault="006B5DF1" w:rsidP="006B5DF1">
      <w:pPr>
        <w:spacing w:after="0"/>
      </w:pPr>
      <w:r>
        <w:t>&lt;ESMA_QUESTION_</w:t>
      </w:r>
      <w:r w:rsidR="00DF3781">
        <w:t>RTS2224</w:t>
      </w:r>
      <w:r>
        <w:t>_</w:t>
      </w:r>
      <w:r w:rsidR="003E7313">
        <w:t>15</w:t>
      </w:r>
      <w:r>
        <w:t>&gt;</w:t>
      </w:r>
    </w:p>
    <w:p w14:paraId="6EA3EFD9" w14:textId="77777777" w:rsidR="006B5DF1" w:rsidRPr="006B5DF1" w:rsidRDefault="006B5DF1" w:rsidP="006B5DF1"/>
    <w:p w14:paraId="2A842300" w14:textId="77777777" w:rsidR="0029493B" w:rsidRDefault="0029493B" w:rsidP="006B5DF1">
      <w:pPr>
        <w:pStyle w:val="Questionstyle"/>
      </w:pPr>
      <w:r>
        <w:t>Do you agree with the proposal of identifying the “market facing” firm acting as the seller as the primary entity responsible for the creation of the TIC code of off–venue transactions and for disseminating it to the other “market facing” firm acting as the buyer?</w:t>
      </w:r>
    </w:p>
    <w:p w14:paraId="71BBF906" w14:textId="77777777" w:rsidR="006B5DF1" w:rsidRDefault="006B5DF1" w:rsidP="006B5DF1"/>
    <w:p w14:paraId="3E4937E7" w14:textId="7D47ECA0" w:rsidR="006B5DF1" w:rsidRDefault="006B5DF1" w:rsidP="006B5DF1">
      <w:pPr>
        <w:spacing w:after="0"/>
      </w:pPr>
      <w:r>
        <w:t>&lt;ESMA_QUESTION_</w:t>
      </w:r>
      <w:r w:rsidR="00DF3781">
        <w:t>RTS2224</w:t>
      </w:r>
      <w:r>
        <w:t>_</w:t>
      </w:r>
      <w:r w:rsidR="003E7313">
        <w:t>16</w:t>
      </w:r>
      <w:r>
        <w:t>&gt;</w:t>
      </w:r>
    </w:p>
    <w:p w14:paraId="54E06B73" w14:textId="77777777" w:rsidR="005563F3" w:rsidRPr="00AD4497" w:rsidRDefault="005563F3" w:rsidP="005563F3"/>
    <w:p w14:paraId="4086F105" w14:textId="77777777" w:rsidR="005563F3" w:rsidRPr="00AD4497" w:rsidRDefault="005563F3" w:rsidP="005563F3">
      <w:r w:rsidRPr="00AD4497">
        <w:t>If ESMA moves forward with the new TIC for OTC or as an TVTIC for OTC contracts, and if one counterparty is necessary to act as the venue that generates the TIC, then it should be the "deal proposer" which is taking the lead in structuring the trade terms and does the settlement calculations.</w:t>
      </w:r>
    </w:p>
    <w:p w14:paraId="13D92948" w14:textId="77777777" w:rsidR="005563F3" w:rsidRPr="00AD4497" w:rsidRDefault="005563F3" w:rsidP="005563F3"/>
    <w:p w14:paraId="061AC34A" w14:textId="7E8F4F50" w:rsidR="006B5DF1" w:rsidRDefault="006B5DF1" w:rsidP="006B5DF1">
      <w:pPr>
        <w:spacing w:after="0"/>
      </w:pPr>
      <w:r>
        <w:t>&lt;ESMA_QUESTION_</w:t>
      </w:r>
      <w:r w:rsidR="00DF3781">
        <w:t>RTS2224</w:t>
      </w:r>
      <w:r>
        <w:t>_</w:t>
      </w:r>
      <w:r w:rsidR="003E7313">
        <w:t>16</w:t>
      </w:r>
      <w:r>
        <w:t>&gt;</w:t>
      </w:r>
    </w:p>
    <w:p w14:paraId="5847AC71" w14:textId="77777777" w:rsidR="006B5DF1" w:rsidRPr="006B5DF1" w:rsidRDefault="006B5DF1" w:rsidP="006B5DF1"/>
    <w:p w14:paraId="2A3F75F1" w14:textId="77777777" w:rsidR="0029493B" w:rsidRDefault="0029493B" w:rsidP="006B5DF1">
      <w:pPr>
        <w:pStyle w:val="Questionstyle"/>
      </w:pPr>
      <w:r>
        <w:t>Do you have any further comment or suggestion in relation to the inclusion of a new field (INTC identifier) to capture in detail the aggregate orders? Please provide views on the proposed methodology for defining a common syntax or suggest valuable alternatives.</w:t>
      </w:r>
    </w:p>
    <w:p w14:paraId="64D0F61C" w14:textId="77777777" w:rsidR="006B5DF1" w:rsidRDefault="006B5DF1" w:rsidP="006B5DF1"/>
    <w:p w14:paraId="19286DDF" w14:textId="43C7E6F0" w:rsidR="006B5DF1" w:rsidRDefault="006B5DF1" w:rsidP="006B5DF1">
      <w:pPr>
        <w:spacing w:after="0"/>
      </w:pPr>
      <w:r>
        <w:t>&lt;ESMA_QUESTION_</w:t>
      </w:r>
      <w:r w:rsidR="00DF3781">
        <w:t>RTS2224</w:t>
      </w:r>
      <w:r>
        <w:t>_</w:t>
      </w:r>
      <w:r w:rsidR="003E7313">
        <w:t>17</w:t>
      </w:r>
      <w:r>
        <w:t>&gt;</w:t>
      </w:r>
    </w:p>
    <w:p w14:paraId="402D105D" w14:textId="77777777" w:rsidR="005563F3" w:rsidRPr="00AD4497" w:rsidRDefault="005563F3" w:rsidP="005563F3"/>
    <w:p w14:paraId="1BD999B4" w14:textId="77777777" w:rsidR="005563F3" w:rsidRPr="00AD4497" w:rsidRDefault="005563F3" w:rsidP="005563F3">
      <w:r w:rsidRPr="00AD4497">
        <w:t>We generally support the inclusion of an aggregation identifier, such as an INTC identifier, to accurately capture aggregated orders. However, the successful implementation of this identifier is intricately linked to the concept of a chain identifier, as outlined in paragraphs 74-84, Q19-Q20 of this CP.</w:t>
      </w:r>
    </w:p>
    <w:p w14:paraId="05EA40AC" w14:textId="77777777" w:rsidR="005563F3" w:rsidRPr="00AD4497" w:rsidRDefault="005563F3" w:rsidP="005563F3">
      <w:r w:rsidRPr="00AD4497">
        <w:t>The chain identifier plays a role in aligning orders within their respective execution chains, ensuring that the correct execution price is attributed to each individual order. This accurate price attribution is essential for maintaining the integrity of transaction reporting.</w:t>
      </w:r>
    </w:p>
    <w:p w14:paraId="06BFB565" w14:textId="7954EFE7" w:rsidR="005563F3" w:rsidRPr="00AD4497" w:rsidRDefault="005563F3" w:rsidP="005563F3">
      <w:r w:rsidRPr="00AD4497">
        <w:t xml:space="preserve">Furthermore, it is imperative to address the privacy concerns associated with both the aggregation and chain identifiers. Implementing robust data minimization techniques and exploring </w:t>
      </w:r>
      <w:r w:rsidR="00E10711">
        <w:t>a</w:t>
      </w:r>
      <w:r w:rsidRPr="00AD4497">
        <w:t>nonymisation methods can effectively mitigate these risks.</w:t>
      </w:r>
    </w:p>
    <w:p w14:paraId="039E8BEF" w14:textId="77777777" w:rsidR="005563F3" w:rsidRPr="00AD4497" w:rsidRDefault="005563F3" w:rsidP="005563F3">
      <w:r w:rsidRPr="00AD4497">
        <w:t>Finally, establishing a standardized and flexible syntax for both identifiers will enhance consistency and interoperability across reporting systems.</w:t>
      </w:r>
    </w:p>
    <w:p w14:paraId="746AF1B0" w14:textId="77777777" w:rsidR="005563F3" w:rsidRPr="00AD4497" w:rsidRDefault="005563F3" w:rsidP="005563F3">
      <w:r w:rsidRPr="00AD4497">
        <w:t>For further explanation please refer to our answers in Q19 and Q20.</w:t>
      </w:r>
    </w:p>
    <w:p w14:paraId="45C6F109" w14:textId="77777777" w:rsidR="005563F3" w:rsidRPr="00AD4497" w:rsidRDefault="005563F3" w:rsidP="005563F3"/>
    <w:p w14:paraId="434B1CE3" w14:textId="21F5FCB1" w:rsidR="006B5DF1" w:rsidRDefault="006B5DF1" w:rsidP="006B5DF1">
      <w:pPr>
        <w:spacing w:after="0"/>
      </w:pPr>
      <w:r>
        <w:t>&lt;ESMA_QUESTION_</w:t>
      </w:r>
      <w:r w:rsidR="00DF3781">
        <w:t>RTS2224</w:t>
      </w:r>
      <w:r>
        <w:t>_</w:t>
      </w:r>
      <w:r w:rsidR="003E7313">
        <w:t>17</w:t>
      </w:r>
      <w:r>
        <w:t>&gt;</w:t>
      </w:r>
    </w:p>
    <w:p w14:paraId="70765E18" w14:textId="77777777" w:rsidR="006B5DF1" w:rsidRPr="006B5DF1" w:rsidRDefault="006B5DF1" w:rsidP="006B5DF1"/>
    <w:p w14:paraId="5F9C6834" w14:textId="77777777" w:rsidR="0029493B" w:rsidRDefault="0029493B" w:rsidP="006B5DF1">
      <w:pPr>
        <w:pStyle w:val="Questionstyle"/>
      </w:pPr>
      <w:r>
        <w:t>Do you agree that the executing investment firm should be responsible for generating consistently the INTC identifier?</w:t>
      </w:r>
    </w:p>
    <w:p w14:paraId="05102E08" w14:textId="77777777" w:rsidR="006B5DF1" w:rsidRDefault="006B5DF1" w:rsidP="006B5DF1"/>
    <w:p w14:paraId="236C5087" w14:textId="155F85D6" w:rsidR="006B5DF1" w:rsidRDefault="006B5DF1" w:rsidP="006B5DF1">
      <w:pPr>
        <w:spacing w:after="0"/>
      </w:pPr>
      <w:r>
        <w:t>&lt;ESMA_QUESTION_</w:t>
      </w:r>
      <w:r w:rsidR="00DF3781">
        <w:t>RTS2224</w:t>
      </w:r>
      <w:r>
        <w:t>_</w:t>
      </w:r>
      <w:r w:rsidR="003E7313">
        <w:t>18</w:t>
      </w:r>
      <w:r>
        <w:t>&gt;</w:t>
      </w:r>
    </w:p>
    <w:p w14:paraId="474B2FFB" w14:textId="77777777" w:rsidR="005563F3" w:rsidRPr="00AD4497" w:rsidRDefault="005563F3" w:rsidP="005563F3"/>
    <w:p w14:paraId="2A7C8B86" w14:textId="77777777" w:rsidR="005563F3" w:rsidRPr="00AD4497" w:rsidRDefault="005563F3" w:rsidP="005563F3">
      <w:r w:rsidRPr="00AD4497">
        <w:t>Assigning responsibility for generating the INTC identifier presents challenges. Given that transaction reporting typically commences at the trading venue, retroactively assigning identifiers to pre-existing orders within an aggregate can be complex. This approach may also disrupt existing data flows and introduce operational complexities for both trading venues and investment firms. The optimal solution will depend on a thorough assessment of operational feasibility, data flow considerations, and the potential impact on existing systems.</w:t>
      </w:r>
    </w:p>
    <w:p w14:paraId="07015745" w14:textId="77777777" w:rsidR="005563F3" w:rsidRPr="00AD4497" w:rsidRDefault="005563F3" w:rsidP="005563F3">
      <w:r w:rsidRPr="00AD4497">
        <w:rPr>
          <w:bCs/>
        </w:rPr>
        <w:t>Considering the close relationship between the INTC identifier and the chain identifier (as discussed in Q19 and Q20), a coordinated approach is crucial to ensure accurate order alignment and price attribution.</w:t>
      </w:r>
    </w:p>
    <w:p w14:paraId="597D9F66" w14:textId="77777777" w:rsidR="005563F3" w:rsidRPr="00AD4497" w:rsidRDefault="005563F3" w:rsidP="005563F3"/>
    <w:p w14:paraId="51F035B1" w14:textId="2A341815" w:rsidR="006B5DF1" w:rsidRDefault="006B5DF1" w:rsidP="006B5DF1">
      <w:pPr>
        <w:spacing w:after="0"/>
      </w:pPr>
      <w:r>
        <w:t>&lt;ESMA_QUESTION_</w:t>
      </w:r>
      <w:r w:rsidR="00DF3781">
        <w:t>RTS2224</w:t>
      </w:r>
      <w:r>
        <w:t>_</w:t>
      </w:r>
      <w:r w:rsidR="003E7313">
        <w:t>18</w:t>
      </w:r>
      <w:r>
        <w:t>&gt;</w:t>
      </w:r>
    </w:p>
    <w:p w14:paraId="3D88C6AE" w14:textId="77777777" w:rsidR="006B5DF1" w:rsidRPr="006B5DF1" w:rsidRDefault="006B5DF1" w:rsidP="006B5DF1"/>
    <w:p w14:paraId="0E5681F0" w14:textId="77777777" w:rsidR="0029493B" w:rsidRDefault="0029493B" w:rsidP="006B5DF1">
      <w:pPr>
        <w:pStyle w:val="Questionstyle"/>
      </w:pPr>
      <w:r>
        <w:t>Do you agree with the proposal of how to report such additional field to identify and link chains in transaction reports? Please provide views on the key information to be considered for defining a common methodology for the syntax. Otherwise, please suggest alternatives for defining it and improve the linking process among chains.</w:t>
      </w:r>
    </w:p>
    <w:p w14:paraId="01EFD49C" w14:textId="77777777" w:rsidR="006B5DF1" w:rsidRDefault="006B5DF1" w:rsidP="006B5DF1"/>
    <w:p w14:paraId="5C3EF62A" w14:textId="4F2B167E" w:rsidR="006B5DF1" w:rsidRDefault="006B5DF1" w:rsidP="006B5DF1">
      <w:pPr>
        <w:spacing w:after="0"/>
      </w:pPr>
      <w:r>
        <w:t>&lt;ESMA_QUESTION_</w:t>
      </w:r>
      <w:r w:rsidR="00DF3781">
        <w:t>RTS2224</w:t>
      </w:r>
      <w:r>
        <w:t>_</w:t>
      </w:r>
      <w:r w:rsidR="003E7313">
        <w:t>19</w:t>
      </w:r>
      <w:r>
        <w:t>&gt;</w:t>
      </w:r>
    </w:p>
    <w:p w14:paraId="5A39AA4D" w14:textId="77777777" w:rsidR="00F933C6" w:rsidRPr="00AD4497" w:rsidRDefault="00F933C6" w:rsidP="00F933C6"/>
    <w:p w14:paraId="714729C8" w14:textId="0A21F395" w:rsidR="00F933C6" w:rsidRPr="00AD4497" w:rsidRDefault="00F933C6" w:rsidP="00F933C6">
      <w:r w:rsidRPr="00AD4497">
        <w:t xml:space="preserve">We acknowledge the idea of creating a chain identifier (and INTC identifier) to better aggregate and allocate executed trades and prevent double-counting. The proposal to add new fields to identify and link chains in transaction reports has severe </w:t>
      </w:r>
      <w:r w:rsidR="00334EEF">
        <w:t>de</w:t>
      </w:r>
      <w:r w:rsidRPr="00AD4497">
        <w:t>merits:</w:t>
      </w:r>
    </w:p>
    <w:p w14:paraId="521AC761" w14:textId="77777777" w:rsidR="00F933C6" w:rsidRPr="00AD4497" w:rsidRDefault="00F933C6" w:rsidP="00F933C6">
      <w:r w:rsidRPr="00AD4497">
        <w:t>1. Implementation complexity and operational burden: Firms (and the whole industry) would need to modify their systems, protocols and order routing systems (e.g. FIX, XONTRO, Bloomberg) to generate and track these identifiers throughout the transaction lifecycle.</w:t>
      </w:r>
    </w:p>
    <w:p w14:paraId="685FB977" w14:textId="77777777" w:rsidR="00F933C6" w:rsidRPr="00AD4497" w:rsidRDefault="00F933C6" w:rsidP="00F933C6">
      <w:r w:rsidRPr="00AD4497">
        <w:t>2. Privacy concerns: The chain identifier might reveal sensitive information about trading strategies if not carefully designed.</w:t>
      </w:r>
    </w:p>
    <w:p w14:paraId="3B5AF348" w14:textId="77777777" w:rsidR="00F933C6" w:rsidRPr="00AD4497" w:rsidRDefault="00F933C6" w:rsidP="00F933C6">
      <w:r w:rsidRPr="00AD4497">
        <w:t>There are two main approaches to creating these identifiers:</w:t>
      </w:r>
    </w:p>
    <w:p w14:paraId="2B33DDF6" w14:textId="77777777" w:rsidR="00F933C6" w:rsidRPr="00AD4497" w:rsidRDefault="00F933C6" w:rsidP="00F933C6">
      <w:pPr>
        <w:numPr>
          <w:ilvl w:val="0"/>
          <w:numId w:val="40"/>
        </w:numPr>
        <w:spacing w:after="160" w:line="259" w:lineRule="auto"/>
        <w:jc w:val="left"/>
      </w:pPr>
      <w:r w:rsidRPr="00AD4497">
        <w:t xml:space="preserve">During Order Transmission: In this scenario, the investment firm aggregating orders (INTC identifier) or initiating (the first receiving a routed order or the first sending a routed order) a chain of transactions (chain identifier) would be responsible for firstly creating the identifier. The subsequent investment firms would then need to add layers to this identifier. This approach allows for immediate linkage of related orders and easier tracking of the order lifecycle but becomes very complex by adding up several layers depending on how often was routed (forwarded). </w:t>
      </w:r>
    </w:p>
    <w:p w14:paraId="7FD6E0CF" w14:textId="77777777" w:rsidR="00F933C6" w:rsidRPr="00AD4497" w:rsidRDefault="00F933C6" w:rsidP="00F933C6">
      <w:pPr>
        <w:numPr>
          <w:ilvl w:val="0"/>
          <w:numId w:val="40"/>
        </w:numPr>
        <w:spacing w:after="160" w:line="259" w:lineRule="auto"/>
        <w:jc w:val="left"/>
      </w:pPr>
      <w:r w:rsidRPr="00AD4497">
        <w:t>After Execution on Trading Venue: Alternatively, the chain identifier could be generated post-trade by the executing investment firm (or the trading venue). This method is particularly useful for complex scenarios, such as when a large order is split and executed across multiple venues. After execution, a chain identifier (and the INTC identifier) could be assigned to link all three executions by the executing investment firm (and to allocate executions to orders).</w:t>
      </w:r>
    </w:p>
    <w:p w14:paraId="717B591C" w14:textId="77777777" w:rsidR="00F933C6" w:rsidRPr="00AD4497" w:rsidRDefault="00F933C6" w:rsidP="00F933C6">
      <w:r w:rsidRPr="00AD4497">
        <w:t>Each approach has its advantages and drawbacks: Creating identifier during order transmission offers immediate linkage of related orders and easier tracking of the order lifecycle. However, it risks revealing positions or strategies, potentially impacting the order process beyond reporting obligations. It also introduces operational complexity in real-time identifier generation. On the other hand, creating identifiers after execution protects sensitive trading information and separates the trading process from reporting requirements. It needs more comprehensive post-trade analysis. However, this method may lead to difficulties in accurately linking related transactions and might require complex reconciliation processes.</w:t>
      </w:r>
    </w:p>
    <w:p w14:paraId="24168760" w14:textId="77777777" w:rsidR="00F933C6" w:rsidRPr="00AD4497" w:rsidRDefault="00F933C6" w:rsidP="00F933C6">
      <w:r w:rsidRPr="00AD4497">
        <w:t>The "Revealing Position" Argument: A significant concern with creating identifiers during order transmission is the potential exposure of a firm's trading strategy or inventory. For instance, if an investment firm regularly aggregates client orders for Tech Stock XYZ, and the cumulated chain/INTC identifier includes information about order size (cumulations from a frequency of orders) or information about the entities in the order chain, competitors might be able to deduce the clients’ or investments firm's position or the respective client base of investment firms. This could put the investment firm and their respective clients or trading partners at a competitive disadvantage and potentially lead to front-running or other unfair trading practices in the market.</w:t>
      </w:r>
    </w:p>
    <w:p w14:paraId="0F543FA0" w14:textId="07EE9BDF" w:rsidR="00F933C6" w:rsidRPr="00AD4497" w:rsidRDefault="00F933C6" w:rsidP="00F933C6">
      <w:r w:rsidRPr="00AD4497">
        <w:t xml:space="preserve">To address these challenges, several additional factors should be considered: Standardisation is crucial. Implementing industry-wide standards for identifier creation and allocation methods would ensure consistency and reduce confusion across different market participants, but flexibility is also important. Allowing adaptable approaches </w:t>
      </w:r>
      <w:r w:rsidR="00F62622">
        <w:t xml:space="preserve">regarding </w:t>
      </w:r>
      <w:r w:rsidRPr="00AD4497">
        <w:t>identifier generation based on specific trading scenarios could help address the diverse needs of different market participants and trading strategies. Privacy measures are essential. Developing anonymisation techniques for identifiers could help protect sensitive information while still meeting regulatory requirements for transaction reporting. By carefully weighing these options and considerations, regulators and market participants can work towards a solution that balances the need for comprehensive transaction reporting with the protection of market efficiency and participant interests.</w:t>
      </w:r>
    </w:p>
    <w:p w14:paraId="2E19971F" w14:textId="77777777" w:rsidR="00F933C6" w:rsidRPr="00AD4497" w:rsidRDefault="00F933C6" w:rsidP="00F933C6">
      <w:r w:rsidRPr="00AD4497">
        <w:t>A common methodology for chain identifier creation should balance several key factors. It should implement a hierarchical structure that embeds chain component information while preserving privacy, allow flexibility for various trading scenarios, and adhere to industry-wide standards for consistency. Incorporating precise timestamps would help accurately sequence events within a chain. As an alternative, a tiered identifier system could be implemented, consisting of an execution identifier created by the trading venue, a chain identifier generated by the order-sending investment firm, and an allocation reference created by the executing investment firm. This tiered approach would provide a clear audit trail from execution to the original order while safeguarding the privacy of order originators.</w:t>
      </w:r>
    </w:p>
    <w:p w14:paraId="26C74A5E" w14:textId="77777777" w:rsidR="00F933C6" w:rsidRPr="00AD4497" w:rsidRDefault="00F933C6" w:rsidP="00F933C6"/>
    <w:p w14:paraId="3AD2704A" w14:textId="0C601AA5" w:rsidR="006B5DF1" w:rsidRDefault="006B5DF1" w:rsidP="006B5DF1">
      <w:pPr>
        <w:spacing w:after="0"/>
      </w:pPr>
      <w:r>
        <w:t>&lt;ESMA_QUESTION_</w:t>
      </w:r>
      <w:r w:rsidR="00DF3781">
        <w:t>RTS2224</w:t>
      </w:r>
      <w:r>
        <w:t>_</w:t>
      </w:r>
      <w:r w:rsidR="003E7313">
        <w:t>19</w:t>
      </w:r>
      <w:r>
        <w:t>&gt;</w:t>
      </w:r>
    </w:p>
    <w:p w14:paraId="11145135" w14:textId="77777777" w:rsidR="006B5DF1" w:rsidRPr="006B5DF1" w:rsidRDefault="006B5DF1" w:rsidP="006B5DF1"/>
    <w:p w14:paraId="27C38F02" w14:textId="77777777" w:rsidR="0029493B" w:rsidRDefault="0029493B" w:rsidP="006B5DF1">
      <w:pPr>
        <w:pStyle w:val="Questionstyle"/>
      </w:pPr>
      <w:r>
        <w:t>Do you agree with the proposal of identifying the entity executing transaction as the primary entity responsible for the creation of such code and for disseminating it?</w:t>
      </w:r>
    </w:p>
    <w:p w14:paraId="7F993E5C" w14:textId="77777777" w:rsidR="006B5DF1" w:rsidRDefault="006B5DF1" w:rsidP="006B5DF1"/>
    <w:p w14:paraId="2DE9D9DE" w14:textId="14FD2F65" w:rsidR="006B5DF1" w:rsidRDefault="006B5DF1" w:rsidP="006B5DF1">
      <w:pPr>
        <w:spacing w:after="0"/>
      </w:pPr>
      <w:r>
        <w:t>&lt;ESMA_QUESTION_</w:t>
      </w:r>
      <w:r w:rsidR="00DF3781">
        <w:t>RTS2224</w:t>
      </w:r>
      <w:r>
        <w:t>_</w:t>
      </w:r>
      <w:r w:rsidR="003E7313">
        <w:t>20</w:t>
      </w:r>
      <w:r>
        <w:t>&gt;</w:t>
      </w:r>
    </w:p>
    <w:p w14:paraId="51EAE3AD" w14:textId="77777777" w:rsidR="00F933C6" w:rsidRPr="00AD4497" w:rsidRDefault="00F933C6" w:rsidP="00F933C6"/>
    <w:p w14:paraId="32C0638A" w14:textId="77777777" w:rsidR="00F62622" w:rsidRPr="00AD4497" w:rsidRDefault="00F62622" w:rsidP="00F62622">
      <w:r w:rsidRPr="00AD4497">
        <w:t xml:space="preserve">Again, </w:t>
      </w:r>
      <w:r>
        <w:t>the time</w:t>
      </w:r>
      <w:r w:rsidRPr="00AD4497">
        <w:t xml:space="preserve"> when the chain identifier </w:t>
      </w:r>
      <w:r>
        <w:t xml:space="preserve">will be added to </w:t>
      </w:r>
      <w:r w:rsidRPr="00AD4497">
        <w:t>the transaction reporting</w:t>
      </w:r>
      <w:r>
        <w:t xml:space="preserve"> remains crucial</w:t>
      </w:r>
      <w:r w:rsidRPr="00AD4497">
        <w:t>. The later, the TV or the entity executing the transaction create</w:t>
      </w:r>
      <w:r>
        <w:t>s</w:t>
      </w:r>
      <w:r w:rsidRPr="00AD4497">
        <w:t xml:space="preserve"> and disseminate</w:t>
      </w:r>
      <w:r>
        <w:t>s</w:t>
      </w:r>
      <w:r w:rsidRPr="00AD4497">
        <w:t xml:space="preserve"> the chain identifier </w:t>
      </w:r>
      <w:r>
        <w:t>the more</w:t>
      </w:r>
      <w:r w:rsidRPr="00AD4497">
        <w:t xml:space="preserve"> advantages</w:t>
      </w:r>
      <w:r>
        <w:t xml:space="preserve"> could be anticipated</w:t>
      </w:r>
      <w:r w:rsidRPr="00AD4497">
        <w:t xml:space="preserve">, </w:t>
      </w:r>
      <w:r>
        <w:t>e.g.</w:t>
      </w:r>
      <w:r w:rsidRPr="00AD4497">
        <w:t xml:space="preserve"> execution-centric accuracy, reduced information leakage risk (By creating the identifier at the point of execution rather than during order transmission), enhanced privacy protection (executing entities have less visibility into the entire order chain)</w:t>
      </w:r>
      <w:r>
        <w:t xml:space="preserve"> and</w:t>
      </w:r>
      <w:r w:rsidRPr="00AD4497">
        <w:t xml:space="preserve"> operational efficiency.</w:t>
      </w:r>
    </w:p>
    <w:p w14:paraId="19B7631A" w14:textId="77777777" w:rsidR="00F62622" w:rsidRPr="00AD4497" w:rsidRDefault="00F62622" w:rsidP="00F62622">
      <w:r w:rsidRPr="00AD4497">
        <w:t>While challenges such as limited visibility of the entire transaction chain exist, these are outweighed by the benefits of enhanced privacy and reduced risk of information leakage. The executing entity's role at the critical point of trade completion makes it the most suitable candidate for this responsibility, provided appropriate standards and guidelines are implemented.</w:t>
      </w:r>
    </w:p>
    <w:p w14:paraId="2B61983D" w14:textId="77777777" w:rsidR="00F62622" w:rsidRPr="00AD4497" w:rsidRDefault="00F62622" w:rsidP="00F62622">
      <w:r w:rsidRPr="00AD4497">
        <w:t>There are privacy concerns, creating identifiers during order transmission could potentially expose sensitive trading information earlier in the process, risking front-running or other market abuses. The chain identifier might inadvertently reveal trading strategies or patterns if not carefully designed. Finally, there's a risk of compromising client confidentiality, especially for large or institutional investors.</w:t>
      </w:r>
    </w:p>
    <w:p w14:paraId="5A1A340D" w14:textId="77777777" w:rsidR="00F62622" w:rsidRPr="00AD4497" w:rsidRDefault="00F62622" w:rsidP="00F62622">
      <w:r w:rsidRPr="00AD4497">
        <w:t>To address these concerns, potential solutions could include: 1. Delayed identifier assignment: Generate the identifier closer to execution to minimize the window of potential information leakage. 2. Anonymisation techniques: Develop methods to create identifiers that provide necessary linkage without revealing sensitive details. 3. Tiered access: Implement a system where full identifier information is only accessible to regulators, while market participants see a limited version. These protective measures, while potentially effective, would indeed make the process more complex. The trade-off between transparency for regulatory purposes and protecting market integrity needs careful consideration.</w:t>
      </w:r>
    </w:p>
    <w:p w14:paraId="3A4BB309" w14:textId="77777777" w:rsidR="00F62622" w:rsidRPr="00AD4497" w:rsidRDefault="00F62622" w:rsidP="00F62622">
      <w:r>
        <w:t>Finally</w:t>
      </w:r>
      <w:r w:rsidRPr="00AD4497">
        <w:t xml:space="preserve">, we express our serious concern over the absence of a cost-benefit analysis in the ESMA consultation, as the proposed requirements are likely to result in highly significant </w:t>
      </w:r>
      <w:r>
        <w:t xml:space="preserve">additional </w:t>
      </w:r>
      <w:r w:rsidRPr="00AD4497">
        <w:t>costs and operational challenges without delivering clear benefits. We therefore recommend a more pragmatic approach, focused on improving and standardizing the existing TVTIC system rather than introducing new codes. Specifically, we suggest that trading venues be required and held responsible for providing a TVTIC directly to their members or to publish and centralize the TVTIC standards on an official platform, thereby enhancing transparency and consistency.</w:t>
      </w:r>
    </w:p>
    <w:p w14:paraId="052031B8" w14:textId="77777777" w:rsidR="00F62622" w:rsidRPr="00AD4497" w:rsidRDefault="00F62622" w:rsidP="00F62622"/>
    <w:p w14:paraId="693695D5" w14:textId="0C5CF4B6" w:rsidR="006B5DF1" w:rsidRDefault="006B5DF1" w:rsidP="006B5DF1">
      <w:pPr>
        <w:spacing w:after="0"/>
      </w:pPr>
      <w:r>
        <w:t>&lt;ESMA_QUESTION_</w:t>
      </w:r>
      <w:r w:rsidR="00DF3781">
        <w:t>RTS2224</w:t>
      </w:r>
      <w:r>
        <w:t>_</w:t>
      </w:r>
      <w:r w:rsidR="003E7313">
        <w:t>20</w:t>
      </w:r>
      <w:r>
        <w:t>&gt;</w:t>
      </w:r>
    </w:p>
    <w:p w14:paraId="00D929F2" w14:textId="77777777" w:rsidR="006B5DF1" w:rsidRPr="006B5DF1" w:rsidRDefault="006B5DF1" w:rsidP="006B5DF1"/>
    <w:p w14:paraId="145209C2" w14:textId="77777777" w:rsidR="0029493B" w:rsidRDefault="0029493B" w:rsidP="006B5DF1">
      <w:pPr>
        <w:pStyle w:val="Questionstyle"/>
      </w:pPr>
      <w:r>
        <w:t>Do you agree with the proposed reference to Art. 3(3) of Benchmark Regulation to define the relevant categories of indices?</w:t>
      </w:r>
    </w:p>
    <w:p w14:paraId="4BCB5EF3" w14:textId="77777777" w:rsidR="006B5DF1" w:rsidRDefault="006B5DF1" w:rsidP="006B5DF1"/>
    <w:p w14:paraId="30A46B82" w14:textId="4A794DF9" w:rsidR="006B5DF1" w:rsidRDefault="006B5DF1" w:rsidP="006B5DF1">
      <w:pPr>
        <w:spacing w:after="0"/>
      </w:pPr>
      <w:r>
        <w:t>&lt;ESMA_QUESTION_</w:t>
      </w:r>
      <w:r w:rsidR="00DF3781">
        <w:t>RTS2224</w:t>
      </w:r>
      <w:r>
        <w:t>_</w:t>
      </w:r>
      <w:r w:rsidR="003E7313">
        <w:t>21</w:t>
      </w:r>
      <w:r>
        <w:t>&gt;</w:t>
      </w:r>
    </w:p>
    <w:p w14:paraId="4FF01C45" w14:textId="77777777" w:rsidR="00F933C6" w:rsidRPr="00AD4497" w:rsidRDefault="00F933C6" w:rsidP="00F933C6"/>
    <w:p w14:paraId="442EF184" w14:textId="77777777" w:rsidR="002673C8" w:rsidRPr="00AD4497" w:rsidRDefault="002673C8" w:rsidP="002673C8">
      <w:r>
        <w:t>In principle</w:t>
      </w:r>
      <w:r w:rsidRPr="00AD4497">
        <w:t>, we</w:t>
      </w:r>
      <w:r>
        <w:t xml:space="preserve"> support the alignment of</w:t>
      </w:r>
      <w:r w:rsidRPr="00AD4497">
        <w:t xml:space="preserve"> the index categories in MiFIR with the definition in Article 3(3) of the Benchmarks Regulation. But we need a bit more clarification to fully understand what this could mean, especially when it comes to how it fits with other standards like those set out in the ANNA DSB and existing reporting obligations. If the definitions aren't in sync, it could lead to differences in the data reported to regulators, making it more complicated to manage both reports and the underlying instruments.</w:t>
      </w:r>
    </w:p>
    <w:p w14:paraId="4FDCD11D" w14:textId="77777777" w:rsidR="00F933C6" w:rsidRPr="00AD4497" w:rsidRDefault="00F933C6" w:rsidP="00F933C6"/>
    <w:p w14:paraId="2A4CCFD1" w14:textId="6B334ECB" w:rsidR="006B5DF1" w:rsidRDefault="006B5DF1" w:rsidP="006B5DF1">
      <w:pPr>
        <w:spacing w:after="0"/>
      </w:pPr>
      <w:r>
        <w:t>&lt;ESMA_QUESTION_</w:t>
      </w:r>
      <w:r w:rsidR="00DF3781">
        <w:t>RTS2224</w:t>
      </w:r>
      <w:r>
        <w:t>_</w:t>
      </w:r>
      <w:r w:rsidR="003E7313">
        <w:t>21</w:t>
      </w:r>
      <w:r>
        <w:t>&gt;</w:t>
      </w:r>
    </w:p>
    <w:p w14:paraId="188322A6" w14:textId="77777777" w:rsidR="006B5DF1" w:rsidRPr="006B5DF1" w:rsidRDefault="006B5DF1" w:rsidP="006B5DF1"/>
    <w:p w14:paraId="2A4D1CA3" w14:textId="77777777" w:rsidR="0029493B" w:rsidRDefault="0029493B" w:rsidP="006B5DF1">
      <w:pPr>
        <w:pStyle w:val="Questionstyle"/>
      </w:pPr>
      <w:r>
        <w:t xml:space="preserve">Do you see a need to specify the ‘date by which the transaction data are to be reported’ different from the date of application of the relevant RTS 22 or have other comments with regards to the proposed timeline? If so, please specify. </w:t>
      </w:r>
    </w:p>
    <w:p w14:paraId="65F48068" w14:textId="77777777" w:rsidR="006B5DF1" w:rsidRDefault="006B5DF1" w:rsidP="006B5DF1"/>
    <w:p w14:paraId="74E75B8F" w14:textId="26D1BA64" w:rsidR="006B5DF1" w:rsidRDefault="006B5DF1" w:rsidP="006B5DF1">
      <w:pPr>
        <w:spacing w:after="0"/>
      </w:pPr>
      <w:r>
        <w:t>&lt;ESMA_QUESTION_</w:t>
      </w:r>
      <w:r w:rsidR="00DF3781">
        <w:t>RTS2224</w:t>
      </w:r>
      <w:r>
        <w:t>_</w:t>
      </w:r>
      <w:r w:rsidR="003E7313">
        <w:t>22</w:t>
      </w:r>
      <w:r>
        <w:t>&gt;</w:t>
      </w:r>
    </w:p>
    <w:p w14:paraId="0E6D4B6A" w14:textId="77777777" w:rsidR="00F933C6" w:rsidRPr="00AD4497" w:rsidRDefault="00F933C6" w:rsidP="00F933C6"/>
    <w:p w14:paraId="11F2CA7F" w14:textId="77777777" w:rsidR="00F933C6" w:rsidRPr="00AD4497" w:rsidRDefault="00F933C6" w:rsidP="00F933C6">
      <w:r w:rsidRPr="00AD4497">
        <w:t>The consultation paper mentions a 12-month transitional period in paragraph 86: "[…] The application date should also ensure sufficient time for implementation, which – based on the experience with the launch of other reporting frameworks – should ideally be 12 months from when the technical documentation is available."</w:t>
      </w:r>
    </w:p>
    <w:p w14:paraId="2A4F2B53" w14:textId="77777777" w:rsidR="00F933C6" w:rsidRPr="00AD4497" w:rsidRDefault="00F933C6" w:rsidP="00F933C6">
      <w:r w:rsidRPr="00AD4497">
        <w:t>However, the annex of the draft RTS 22 (revised Article 17) specifies an 18-month period following entry into force: " […] It shall apply from [PO: Please insert date 18 months after the date of entry into force]."</w:t>
      </w:r>
    </w:p>
    <w:p w14:paraId="3A3DEA0B" w14:textId="77777777" w:rsidR="00F933C6" w:rsidRPr="00AD4497" w:rsidRDefault="00F933C6" w:rsidP="00F933C6">
      <w:r w:rsidRPr="00AD4497">
        <w:rPr>
          <w:bCs/>
        </w:rPr>
        <w:t>Could ESMA please provide clarification on this discrepancy in the proposed application dates for the revised RTS 22?</w:t>
      </w:r>
    </w:p>
    <w:p w14:paraId="74486822" w14:textId="77777777" w:rsidR="00F933C6" w:rsidRPr="00AD4497" w:rsidRDefault="00F933C6" w:rsidP="00F933C6"/>
    <w:p w14:paraId="103F6D06" w14:textId="2C4772ED" w:rsidR="006B5DF1" w:rsidRDefault="006B5DF1" w:rsidP="006B5DF1">
      <w:pPr>
        <w:spacing w:after="0"/>
      </w:pPr>
      <w:r>
        <w:t>&lt;ESMA_QUESTION_</w:t>
      </w:r>
      <w:r w:rsidR="00DF3781">
        <w:t>RTS2224</w:t>
      </w:r>
      <w:r>
        <w:t>_</w:t>
      </w:r>
      <w:r w:rsidR="003E7313">
        <w:t>22</w:t>
      </w:r>
      <w:r>
        <w:t>&gt;</w:t>
      </w:r>
    </w:p>
    <w:p w14:paraId="3EB5DE0D" w14:textId="77777777" w:rsidR="006B5DF1" w:rsidRPr="006B5DF1" w:rsidRDefault="006B5DF1" w:rsidP="006B5DF1"/>
    <w:p w14:paraId="6B5065CA" w14:textId="77777777" w:rsidR="0029493B" w:rsidRDefault="0029493B" w:rsidP="006B5DF1">
      <w:pPr>
        <w:pStyle w:val="Questionstyle"/>
      </w:pPr>
      <w:r>
        <w:t>Are there any other international developments or standards agreed at Union or international level that should be considered for the purpose of the development of the RTS on transaction reporting?</w:t>
      </w:r>
    </w:p>
    <w:p w14:paraId="1407BB62" w14:textId="77777777" w:rsidR="006B5DF1" w:rsidRDefault="006B5DF1" w:rsidP="006B5DF1"/>
    <w:p w14:paraId="5F5F10CC" w14:textId="36F3607A" w:rsidR="006B5DF1" w:rsidRDefault="006B5DF1" w:rsidP="006B5DF1">
      <w:pPr>
        <w:spacing w:after="0"/>
      </w:pPr>
      <w:r>
        <w:t>&lt;ESMA_QUESTION_</w:t>
      </w:r>
      <w:r w:rsidR="00DF3781">
        <w:t>RTS2224</w:t>
      </w:r>
      <w:r>
        <w:t>_</w:t>
      </w:r>
      <w:r w:rsidR="003E7313">
        <w:t>23</w:t>
      </w:r>
      <w:r>
        <w:t>&gt;</w:t>
      </w:r>
    </w:p>
    <w:p w14:paraId="2BBA121F" w14:textId="77777777" w:rsidR="00F933C6" w:rsidRPr="00AD4497" w:rsidRDefault="00F933C6" w:rsidP="00F933C6"/>
    <w:p w14:paraId="1C560C1A" w14:textId="77777777" w:rsidR="00F933C6" w:rsidRPr="00AD4497" w:rsidRDefault="00F933C6" w:rsidP="00F933C6">
      <w:r w:rsidRPr="00AD4497">
        <w:t>bwf acknowledges the importance of considering international developments and Union-level agreements when developing the RTS on transaction reporting. However, we emphasize the need for a careful and considered approach to harmonization and alignment across regulations such as EMIR, SFTR, MiFIR, and others.</w:t>
      </w:r>
    </w:p>
    <w:p w14:paraId="2C1AF6F2" w14:textId="77777777" w:rsidR="00F933C6" w:rsidRPr="00AD4497" w:rsidRDefault="00F933C6" w:rsidP="00F933C6">
      <w:r w:rsidRPr="00AD4497">
        <w:t>While aligning reporting requirements may offer potential efficiencies, it is crucial to demonstrate clear and tangible benefits in terms of transparency and data quality. The objective should not solely be to harmonize data fields, but to enhance the overall usefulness and coherence of the information collected for each regulation's specific objectives.</w:t>
      </w:r>
    </w:p>
    <w:p w14:paraId="21806FEB" w14:textId="77777777" w:rsidR="00F933C6" w:rsidRPr="00AD4497" w:rsidRDefault="00F933C6" w:rsidP="00F933C6">
      <w:r w:rsidRPr="00AD4497">
        <w:t>Furthermore, simplifying obligations and eliminating redundancies should remain a key priority.</w:t>
      </w:r>
    </w:p>
    <w:p w14:paraId="57524138" w14:textId="77777777" w:rsidR="00F933C6" w:rsidRPr="00AD4497" w:rsidRDefault="00F933C6" w:rsidP="00F933C6">
      <w:r w:rsidRPr="00AD4497">
        <w:t>The current consultation paper does not adequately demonstrate a clear cost-benefit analysis for the proposed alignment measures. We urge ESMA to provide a more detailed rationale for these proposals to ensure that any potential costs for market participants are fully justified and proportionate to the expected benefits.</w:t>
      </w:r>
    </w:p>
    <w:p w14:paraId="099CD9B0" w14:textId="77777777" w:rsidR="00F933C6" w:rsidRPr="00AD4497" w:rsidRDefault="00F933C6" w:rsidP="00F933C6"/>
    <w:p w14:paraId="70F87526" w14:textId="07AC8D56" w:rsidR="006B5DF1" w:rsidRDefault="006B5DF1" w:rsidP="006B5DF1">
      <w:pPr>
        <w:spacing w:after="0"/>
      </w:pPr>
      <w:r>
        <w:t>&lt;ESMA_QUESTION_</w:t>
      </w:r>
      <w:r w:rsidR="00DF3781">
        <w:t>RTS2224</w:t>
      </w:r>
      <w:r>
        <w:t>_</w:t>
      </w:r>
      <w:r w:rsidR="003E7313">
        <w:t>23</w:t>
      </w:r>
      <w:r>
        <w:t>&gt;</w:t>
      </w:r>
    </w:p>
    <w:p w14:paraId="79797390" w14:textId="77777777" w:rsidR="006B5DF1" w:rsidRPr="006B5DF1" w:rsidRDefault="006B5DF1" w:rsidP="006B5DF1"/>
    <w:p w14:paraId="065DE8A7" w14:textId="77777777" w:rsidR="0029493B" w:rsidRDefault="0029493B" w:rsidP="006B5DF1">
      <w:pPr>
        <w:pStyle w:val="Questionstyle"/>
      </w:pPr>
      <w:r>
        <w:t>Do you agree with the proposed alignment of fields with EMIR/SFTR requirements as presented in the table above? Are there any other fields that should be aligned?</w:t>
      </w:r>
    </w:p>
    <w:p w14:paraId="749E7B4E" w14:textId="77777777" w:rsidR="006B5DF1" w:rsidRDefault="006B5DF1" w:rsidP="006B5DF1"/>
    <w:p w14:paraId="4AD15D62" w14:textId="5F092378" w:rsidR="006B5DF1" w:rsidRDefault="006B5DF1" w:rsidP="006B5DF1">
      <w:pPr>
        <w:spacing w:after="0"/>
      </w:pPr>
      <w:r>
        <w:t>&lt;ESMA_QUESTION_</w:t>
      </w:r>
      <w:r w:rsidR="00DF3781">
        <w:t>RTS2224</w:t>
      </w:r>
      <w:r>
        <w:t>_</w:t>
      </w:r>
      <w:r w:rsidR="003E7313">
        <w:t>24</w:t>
      </w:r>
      <w:r>
        <w:t>&gt;</w:t>
      </w:r>
    </w:p>
    <w:p w14:paraId="7E0DA071" w14:textId="77777777" w:rsidR="00F933C6" w:rsidRPr="00AD4497" w:rsidRDefault="00F933C6" w:rsidP="00F933C6"/>
    <w:p w14:paraId="6BD10D9A" w14:textId="77777777" w:rsidR="00F933C6" w:rsidRPr="00AD4497" w:rsidRDefault="00F933C6" w:rsidP="00F933C6">
      <w:r w:rsidRPr="00AD4497">
        <w:t>Please refer to our answer to Q23.</w:t>
      </w:r>
    </w:p>
    <w:p w14:paraId="4E03C534" w14:textId="77777777" w:rsidR="00F933C6" w:rsidRPr="00AD4497" w:rsidRDefault="00F933C6" w:rsidP="00F933C6"/>
    <w:p w14:paraId="3D62CC04" w14:textId="04E3B0A1" w:rsidR="006B5DF1" w:rsidRDefault="006B5DF1" w:rsidP="006B5DF1">
      <w:pPr>
        <w:spacing w:after="0"/>
      </w:pPr>
      <w:r>
        <w:t>&lt;ESMA_QUESTION_</w:t>
      </w:r>
      <w:r w:rsidR="00DF3781">
        <w:t>RTS2224</w:t>
      </w:r>
      <w:r>
        <w:t>_</w:t>
      </w:r>
      <w:r w:rsidR="003E7313">
        <w:t>24</w:t>
      </w:r>
      <w:r>
        <w:t>&gt;</w:t>
      </w:r>
    </w:p>
    <w:p w14:paraId="717D19A3" w14:textId="77777777" w:rsidR="006B5DF1" w:rsidRPr="006B5DF1" w:rsidRDefault="006B5DF1" w:rsidP="006B5DF1"/>
    <w:p w14:paraId="5BB3024B" w14:textId="77777777" w:rsidR="0029493B" w:rsidRDefault="0029493B" w:rsidP="006B5DF1">
      <w:pPr>
        <w:pStyle w:val="Questionstyle"/>
      </w:pPr>
      <w:r>
        <w:t>Do you agree with the proposed approach for the alignment of reporting of the information related to direction of the transaction?</w:t>
      </w:r>
    </w:p>
    <w:p w14:paraId="78999886" w14:textId="77777777" w:rsidR="006B5DF1" w:rsidRDefault="006B5DF1" w:rsidP="006B5DF1"/>
    <w:p w14:paraId="56BCC5CD" w14:textId="2F96A106" w:rsidR="006B5DF1" w:rsidRDefault="006B5DF1" w:rsidP="006B5DF1">
      <w:pPr>
        <w:spacing w:after="0"/>
      </w:pPr>
      <w:r>
        <w:t>&lt;ESMA_QUESTION_</w:t>
      </w:r>
      <w:r w:rsidR="00DF3781">
        <w:t>RTS2224</w:t>
      </w:r>
      <w:r>
        <w:t>_</w:t>
      </w:r>
      <w:r w:rsidR="003E7313">
        <w:t>25</w:t>
      </w:r>
      <w:r>
        <w:t>&gt;</w:t>
      </w:r>
    </w:p>
    <w:p w14:paraId="30F743C0" w14:textId="77777777" w:rsidR="00F933C6" w:rsidRPr="00AD4497" w:rsidRDefault="00F933C6" w:rsidP="00F933C6"/>
    <w:p w14:paraId="7821499C" w14:textId="77777777" w:rsidR="002673C8" w:rsidRPr="00AD4497" w:rsidRDefault="002673C8" w:rsidP="002673C8">
      <w:r w:rsidRPr="00AD4497">
        <w:t xml:space="preserve">Please see the answer to Q23. Further the table in Paragraph 98 is very unclear </w:t>
      </w:r>
      <w:r>
        <w:t>regarding the intended application of the</w:t>
      </w:r>
      <w:r w:rsidRPr="00AD4497">
        <w:t xml:space="preserve"> “proposed approach”</w:t>
      </w:r>
      <w:r>
        <w:t>;</w:t>
      </w:r>
      <w:r w:rsidRPr="00AD4497">
        <w:t xml:space="preserve"> shall be </w:t>
      </w:r>
      <w:proofErr w:type="spellStart"/>
      <w:r w:rsidRPr="00AD4497">
        <w:t>applicable</w:t>
      </w:r>
      <w:r>
        <w:t>t</w:t>
      </w:r>
      <w:r w:rsidRPr="00AD4497">
        <w:t>o</w:t>
      </w:r>
      <w:proofErr w:type="spellEnd"/>
      <w:r w:rsidRPr="00AD4497">
        <w:t xml:space="preserve"> MiFiR, to EMIR, to both or iterating? </w:t>
      </w:r>
    </w:p>
    <w:p w14:paraId="3011D936" w14:textId="77777777" w:rsidR="002673C8" w:rsidRPr="00AD4497" w:rsidRDefault="002673C8" w:rsidP="002673C8">
      <w:r w:rsidRPr="00AD4497">
        <w:t xml:space="preserve">The penultimate row of the table in paragraph 98 postulates that the buyer of a contract shall be “short” rather </w:t>
      </w:r>
      <w:proofErr w:type="spellStart"/>
      <w:r w:rsidRPr="00AD4497">
        <w:t>then</w:t>
      </w:r>
      <w:proofErr w:type="spellEnd"/>
      <w:r w:rsidRPr="00AD4497">
        <w:t xml:space="preserve"> “long” in the contract. That contradicts the </w:t>
      </w:r>
      <w:r>
        <w:t xml:space="preserve">common </w:t>
      </w:r>
      <w:r w:rsidRPr="00AD4497">
        <w:t xml:space="preserve">understanding of long and short positioning in a bet. Please explain why </w:t>
      </w:r>
      <w:r>
        <w:t>it</w:t>
      </w:r>
      <w:r w:rsidRPr="00AD4497">
        <w:t xml:space="preserve"> would be the </w:t>
      </w:r>
      <w:proofErr w:type="spellStart"/>
      <w:r w:rsidRPr="00AD4497">
        <w:t>casethat</w:t>
      </w:r>
      <w:proofErr w:type="spellEnd"/>
      <w:r w:rsidRPr="00AD4497">
        <w:t xml:space="preserve"> the buyer of an instrument is short on the underlying. This would need the assumption that the underlying itself is a short instrument, such as a PUT option or a CDS contract or that the payout of the “difference” in a CFD is defined this way around. </w:t>
      </w:r>
    </w:p>
    <w:p w14:paraId="0EB890C0" w14:textId="77777777" w:rsidR="00F933C6" w:rsidRPr="00AD4497" w:rsidRDefault="00F933C6" w:rsidP="00F933C6"/>
    <w:p w14:paraId="64A80114" w14:textId="28019945" w:rsidR="006B5DF1" w:rsidRDefault="006B5DF1" w:rsidP="006B5DF1">
      <w:pPr>
        <w:spacing w:after="0"/>
      </w:pPr>
      <w:r>
        <w:t>&lt;ESMA_QUESTION_</w:t>
      </w:r>
      <w:r w:rsidR="00DF3781">
        <w:t>RTS2224</w:t>
      </w:r>
      <w:r>
        <w:t>_</w:t>
      </w:r>
      <w:r w:rsidR="003E7313">
        <w:t>25</w:t>
      </w:r>
      <w:r>
        <w:t>&gt;</w:t>
      </w:r>
    </w:p>
    <w:p w14:paraId="5DBECE97" w14:textId="77777777" w:rsidR="006B5DF1" w:rsidRPr="006B5DF1" w:rsidRDefault="006B5DF1" w:rsidP="006B5DF1"/>
    <w:p w14:paraId="7D6BD6DA" w14:textId="77777777" w:rsidR="0029493B" w:rsidRDefault="0029493B" w:rsidP="006B5DF1">
      <w:pPr>
        <w:pStyle w:val="Questionstyle"/>
      </w:pPr>
      <w:r>
        <w:t>Do you agree with the proposed approach for the alignment of reporting of the information related to price?</w:t>
      </w:r>
    </w:p>
    <w:p w14:paraId="438213C8" w14:textId="77777777" w:rsidR="006B5DF1" w:rsidRDefault="006B5DF1" w:rsidP="006B5DF1"/>
    <w:p w14:paraId="3FB5BC36" w14:textId="1F62C471" w:rsidR="006B5DF1" w:rsidRDefault="006B5DF1" w:rsidP="006B5DF1">
      <w:pPr>
        <w:spacing w:after="0"/>
      </w:pPr>
      <w:r>
        <w:t>&lt;ESMA_QUESTION_</w:t>
      </w:r>
      <w:r w:rsidR="00DF3781">
        <w:t>RTS2224</w:t>
      </w:r>
      <w:r>
        <w:t>_</w:t>
      </w:r>
      <w:r w:rsidR="003E7313">
        <w:t>2</w:t>
      </w:r>
      <w:r>
        <w:t>6&gt;</w:t>
      </w:r>
    </w:p>
    <w:p w14:paraId="1A33FE42" w14:textId="77777777" w:rsidR="00F933C6" w:rsidRPr="00AD4497" w:rsidRDefault="00F933C6" w:rsidP="00F933C6"/>
    <w:p w14:paraId="57ADD86E" w14:textId="77777777" w:rsidR="00F933C6" w:rsidRPr="00AD4497" w:rsidRDefault="00F933C6" w:rsidP="00F933C6">
      <w:r w:rsidRPr="00AD4497">
        <w:t xml:space="preserve">Please see our answer to Q23 </w:t>
      </w:r>
    </w:p>
    <w:p w14:paraId="4354E57A" w14:textId="77777777" w:rsidR="00F933C6" w:rsidRPr="00AD4497" w:rsidRDefault="00F933C6" w:rsidP="00F933C6"/>
    <w:p w14:paraId="033BC056" w14:textId="28F3EAE7" w:rsidR="006B5DF1" w:rsidRDefault="006B5DF1" w:rsidP="006B5DF1">
      <w:pPr>
        <w:spacing w:after="0"/>
      </w:pPr>
      <w:r>
        <w:t>&lt;ESMA_QUESTION_</w:t>
      </w:r>
      <w:r w:rsidR="00DF3781">
        <w:t>RTS2224</w:t>
      </w:r>
      <w:r>
        <w:t>_</w:t>
      </w:r>
      <w:r w:rsidR="003E7313">
        <w:t>2</w:t>
      </w:r>
      <w:r>
        <w:t>6&gt;</w:t>
      </w:r>
    </w:p>
    <w:p w14:paraId="0BCB45C2" w14:textId="77777777" w:rsidR="006B5DF1" w:rsidRPr="006B5DF1" w:rsidRDefault="006B5DF1" w:rsidP="006B5DF1"/>
    <w:p w14:paraId="2D1E60B5" w14:textId="77777777" w:rsidR="0029493B" w:rsidRDefault="0029493B" w:rsidP="006B5DF1">
      <w:pPr>
        <w:pStyle w:val="Questionstyle"/>
      </w:pPr>
      <w:r>
        <w:t>Do you agree with the proposed alignment of the concept of complex trades with EMIR?</w:t>
      </w:r>
    </w:p>
    <w:p w14:paraId="1C8941A4" w14:textId="77777777" w:rsidR="006B5DF1" w:rsidRDefault="006B5DF1" w:rsidP="006B5DF1"/>
    <w:p w14:paraId="27437ADA" w14:textId="55D2F61E" w:rsidR="006B5DF1" w:rsidRDefault="006B5DF1" w:rsidP="006B5DF1">
      <w:pPr>
        <w:spacing w:after="0"/>
      </w:pPr>
      <w:r>
        <w:t>&lt;ESMA_QUESTION_</w:t>
      </w:r>
      <w:r w:rsidR="00DF3781">
        <w:t>RTS2224</w:t>
      </w:r>
      <w:r>
        <w:t>_</w:t>
      </w:r>
      <w:r w:rsidR="003E7313">
        <w:t>27</w:t>
      </w:r>
      <w:r>
        <w:t>&gt;</w:t>
      </w:r>
    </w:p>
    <w:p w14:paraId="6F39DC9D" w14:textId="77777777" w:rsidR="00F933C6" w:rsidRPr="00AD4497" w:rsidRDefault="00F933C6" w:rsidP="00F933C6"/>
    <w:p w14:paraId="19D16CA5" w14:textId="77777777" w:rsidR="00F933C6" w:rsidRPr="00AD4497" w:rsidRDefault="00F933C6" w:rsidP="00F933C6">
      <w:r w:rsidRPr="00AD4497">
        <w:t xml:space="preserve">Please see our answer to Q23 and Q28. </w:t>
      </w:r>
    </w:p>
    <w:p w14:paraId="1241C84A" w14:textId="77777777" w:rsidR="00F933C6" w:rsidRPr="00AD4497" w:rsidRDefault="00F933C6" w:rsidP="00F933C6"/>
    <w:p w14:paraId="622F61D1" w14:textId="3011FEF9" w:rsidR="006B5DF1" w:rsidRDefault="006B5DF1" w:rsidP="006B5DF1">
      <w:pPr>
        <w:spacing w:after="0"/>
      </w:pPr>
      <w:r>
        <w:t>&lt;ESMA_QUESTION_</w:t>
      </w:r>
      <w:r w:rsidR="00DF3781">
        <w:t>RTS2224</w:t>
      </w:r>
      <w:r>
        <w:t>_</w:t>
      </w:r>
      <w:r w:rsidR="003E7313">
        <w:t>27</w:t>
      </w:r>
      <w:r>
        <w:t>&gt;</w:t>
      </w:r>
    </w:p>
    <w:p w14:paraId="3FB0530C" w14:textId="77777777" w:rsidR="006B5DF1" w:rsidRPr="006B5DF1" w:rsidRDefault="006B5DF1" w:rsidP="006B5DF1"/>
    <w:p w14:paraId="0170CECF" w14:textId="77777777" w:rsidR="0029493B" w:rsidRDefault="0029493B" w:rsidP="006B5DF1">
      <w:pPr>
        <w:pStyle w:val="Questionstyle"/>
      </w:pPr>
      <w:r>
        <w:t>Do you agree with adding the field ‘Package transaction price’ to align the reporting under MiFIR with EMIR Refit and CDE Technical Guidance?</w:t>
      </w:r>
    </w:p>
    <w:p w14:paraId="24E90255" w14:textId="77777777" w:rsidR="005D3762" w:rsidRDefault="005D3762" w:rsidP="005D3762"/>
    <w:p w14:paraId="7C4630B3" w14:textId="72939A90" w:rsidR="005D3762" w:rsidRDefault="005D3762" w:rsidP="005D3762">
      <w:pPr>
        <w:spacing w:after="0"/>
      </w:pPr>
      <w:r>
        <w:t>&lt;ESMA_QUESTION_</w:t>
      </w:r>
      <w:r w:rsidR="00DF3781">
        <w:t>RTS2224</w:t>
      </w:r>
      <w:r>
        <w:t>_</w:t>
      </w:r>
      <w:r w:rsidR="003E7313">
        <w:t>28</w:t>
      </w:r>
      <w:r>
        <w:t>&gt;</w:t>
      </w:r>
    </w:p>
    <w:p w14:paraId="64BCFD87" w14:textId="77777777" w:rsidR="00F933C6" w:rsidRPr="00AD4497" w:rsidRDefault="00F933C6" w:rsidP="00F933C6"/>
    <w:p w14:paraId="41571C87" w14:textId="77777777" w:rsidR="00F933C6" w:rsidRPr="00AD4497" w:rsidRDefault="00F933C6" w:rsidP="00F933C6">
      <w:r w:rsidRPr="00AD4497">
        <w:t>bwf does not agree with adding the field ‘Package transaction price’ to align MiFIR reporting with EMIR Refit and CDE Technical Guidance, as no cost-benefit analysis has been conducted to justify this addition. Introducing such a field may impose significant operational burdens without clear, demonstrable benefits.</w:t>
      </w:r>
    </w:p>
    <w:p w14:paraId="45EE43E1" w14:textId="77777777" w:rsidR="00F933C6" w:rsidRPr="00AD4497" w:rsidRDefault="00F933C6" w:rsidP="00F933C6">
      <w:r w:rsidRPr="00AD4497">
        <w:t xml:space="preserve">Given that paragraph 103 mandates that any instrument must be reported separately, adding a package price field is impractical without a corresponding package identifier. In transaction reporting, the presence of an ISIN is crucial for identifying financial instruments. If an ISIN exists, there is no need for a package identifier, as the ISIN adequately identifies the transaction. Conversely, if an ISIN does not exist or only applies to the underlying, the individual instruments must be reported. For packages referring to multiple </w:t>
      </w:r>
      <w:proofErr w:type="spellStart"/>
      <w:r w:rsidRPr="00AD4497">
        <w:t>underlyings</w:t>
      </w:r>
      <w:proofErr w:type="spellEnd"/>
      <w:r w:rsidRPr="00AD4497">
        <w:t>, each underlying should be reported as a separate trade executed simultaneously, ensuring clarity and compliance with reporting requirements.</w:t>
      </w:r>
    </w:p>
    <w:p w14:paraId="60AEEA99" w14:textId="77777777" w:rsidR="00F933C6" w:rsidRPr="00AD4497" w:rsidRDefault="00F933C6" w:rsidP="00F933C6"/>
    <w:p w14:paraId="159EE94A" w14:textId="68E8B99E" w:rsidR="005D3762" w:rsidRDefault="005D3762" w:rsidP="005D3762">
      <w:pPr>
        <w:spacing w:after="0"/>
      </w:pPr>
      <w:r>
        <w:t>&lt;ESMA_QUESTION_</w:t>
      </w:r>
      <w:r w:rsidR="00DF3781">
        <w:t>RTS2224</w:t>
      </w:r>
      <w:r>
        <w:t>_</w:t>
      </w:r>
      <w:r w:rsidR="003E7313">
        <w:t>28</w:t>
      </w:r>
      <w:r>
        <w:t>&gt;</w:t>
      </w:r>
    </w:p>
    <w:p w14:paraId="3F13354B" w14:textId="77777777" w:rsidR="005D3762" w:rsidRPr="005D3762" w:rsidRDefault="005D3762" w:rsidP="005D3762"/>
    <w:p w14:paraId="5FBA8083" w14:textId="77777777" w:rsidR="0029493B" w:rsidRDefault="0029493B" w:rsidP="006B5DF1">
      <w:pPr>
        <w:pStyle w:val="Questionstyle"/>
      </w:pPr>
      <w:r>
        <w:t xml:space="preserve">Do you agree with the proposed additional fields to allow for the reporting of the ISO 24165 Digital Token Identifier for DLT financial instruments and </w:t>
      </w:r>
      <w:proofErr w:type="spellStart"/>
      <w:r>
        <w:t>underlyings</w:t>
      </w:r>
      <w:proofErr w:type="spellEnd"/>
      <w:r>
        <w:t>?</w:t>
      </w:r>
    </w:p>
    <w:p w14:paraId="77B27608" w14:textId="77777777" w:rsidR="005D3762" w:rsidRDefault="005D3762" w:rsidP="005D3762"/>
    <w:p w14:paraId="17F5809C" w14:textId="1D5977CE" w:rsidR="005D3762" w:rsidRDefault="005D3762" w:rsidP="005D3762">
      <w:pPr>
        <w:spacing w:after="0"/>
      </w:pPr>
      <w:r>
        <w:t>&lt;ESMA_QUESTION_</w:t>
      </w:r>
      <w:r w:rsidR="00DF3781">
        <w:t>RTS2224</w:t>
      </w:r>
      <w:r>
        <w:t>_</w:t>
      </w:r>
      <w:r w:rsidR="003E7313">
        <w:t>29</w:t>
      </w:r>
      <w:r>
        <w:t>&gt;</w:t>
      </w:r>
    </w:p>
    <w:p w14:paraId="46EC4BDC" w14:textId="77777777" w:rsidR="00F933C6" w:rsidRPr="00AD4497" w:rsidRDefault="00F933C6" w:rsidP="00F933C6"/>
    <w:p w14:paraId="722710AF" w14:textId="77777777" w:rsidR="00F933C6" w:rsidRPr="00AD4497" w:rsidRDefault="00F933C6" w:rsidP="00F933C6">
      <w:r w:rsidRPr="00AD4497">
        <w:t xml:space="preserve">bwf acknowledges the idea of adding fields for the reporting of the ISO 24165 Digital Token Identifier (DTI) for DLT financial instruments and their </w:t>
      </w:r>
      <w:proofErr w:type="spellStart"/>
      <w:r w:rsidRPr="00AD4497">
        <w:t>underlyings</w:t>
      </w:r>
      <w:proofErr w:type="spellEnd"/>
      <w:r w:rsidRPr="00AD4497">
        <w:t>. Standardisation through the use of DTIs has the potential to improve the identification and tracking of DLT financial instruments, as recognized by regulatory bodies such as the FCA. The FCA has shown support for the adoption of ISO 24165 DTI, citing its role in enhancing transparency and efficiency in financial markets.</w:t>
      </w:r>
    </w:p>
    <w:p w14:paraId="5FB7FAA4" w14:textId="77777777" w:rsidR="00F933C6" w:rsidRPr="00AD4497" w:rsidRDefault="00F933C6" w:rsidP="00F933C6">
      <w:r w:rsidRPr="00AD4497">
        <w:t>However, we believe further analysis is necessary to assess the full impact of this addition. While the concept is promising, the absence of a comprehensive cost-benefit analysis raises concerns about the potential operational challenges and costs it may impose on market participants. It is crucial to ensure that the implementation of these new fields brings clear value in terms of transparency and efficiency in reporting, without creating unnecessary burdens for firms, particularly those with limited resources. Therefore, a thorough evaluation should be conducted to justify the adoption of these additional fields.</w:t>
      </w:r>
    </w:p>
    <w:p w14:paraId="3017432A" w14:textId="77777777" w:rsidR="00F933C6" w:rsidRPr="00AD4497" w:rsidRDefault="00F933C6" w:rsidP="00F933C6"/>
    <w:p w14:paraId="64D40008" w14:textId="532262B1" w:rsidR="005D3762" w:rsidRDefault="005D3762" w:rsidP="005D3762">
      <w:pPr>
        <w:spacing w:after="0"/>
      </w:pPr>
      <w:r>
        <w:t>&lt;ESMA_QUESTION_</w:t>
      </w:r>
      <w:r w:rsidR="00DF3781">
        <w:t>RTS2224</w:t>
      </w:r>
      <w:r>
        <w:t>_</w:t>
      </w:r>
      <w:r w:rsidR="003E7313">
        <w:t>29</w:t>
      </w:r>
      <w:r>
        <w:t>&gt;</w:t>
      </w:r>
    </w:p>
    <w:p w14:paraId="4EA6CC56" w14:textId="77777777" w:rsidR="005D3762" w:rsidRPr="005D3762" w:rsidRDefault="005D3762" w:rsidP="005D3762"/>
    <w:p w14:paraId="10E10CF7" w14:textId="77777777" w:rsidR="0029493B" w:rsidRDefault="0029493B" w:rsidP="006B5DF1">
      <w:pPr>
        <w:pStyle w:val="Questionstyle"/>
      </w:pPr>
      <w:r>
        <w:t>Do you agree with the proposed amendments to Art.4 to extend the transmission of order agreement also to cases of acting on own account? Please detail your answer.</w:t>
      </w:r>
    </w:p>
    <w:p w14:paraId="71693441" w14:textId="77777777" w:rsidR="005D3762" w:rsidRDefault="005D3762" w:rsidP="005D3762"/>
    <w:p w14:paraId="7EA26ACB" w14:textId="15D0F613" w:rsidR="005D3762" w:rsidRDefault="005D3762" w:rsidP="005D3762">
      <w:pPr>
        <w:spacing w:after="0"/>
      </w:pPr>
      <w:r>
        <w:t>&lt;ESMA_QUESTION_</w:t>
      </w:r>
      <w:r w:rsidR="00DF3781">
        <w:t>RTS2224</w:t>
      </w:r>
      <w:r>
        <w:t>_3</w:t>
      </w:r>
      <w:r w:rsidR="003E7313">
        <w:t>0</w:t>
      </w:r>
      <w:r>
        <w:t>&gt;</w:t>
      </w:r>
    </w:p>
    <w:p w14:paraId="539C41D5" w14:textId="77777777" w:rsidR="00F933C6" w:rsidRPr="00AD4497" w:rsidRDefault="00F933C6" w:rsidP="00F933C6"/>
    <w:p w14:paraId="2C966C69" w14:textId="77777777" w:rsidR="00F933C6" w:rsidRPr="00AD4497" w:rsidRDefault="00F933C6" w:rsidP="00F933C6">
      <w:r w:rsidRPr="00AD4497">
        <w:rPr>
          <w:bCs/>
        </w:rPr>
        <w:t>bwf supports the proposed amendments to Article 4 of RTS 22.</w:t>
      </w:r>
      <w:r w:rsidRPr="00AD4497">
        <w:t xml:space="preserve"> Extending the transmission of order agreements to entities acting on their own account could potentially streamline reporting obligations, particularly for smaller firms. By delegating reporting responsibilities to their execution brokers under a bilateral agreement, these firms may experience a reduction in their reporting burden.</w:t>
      </w:r>
    </w:p>
    <w:p w14:paraId="2EDB891C" w14:textId="77777777" w:rsidR="002673C8" w:rsidRPr="00AD4497" w:rsidRDefault="002673C8" w:rsidP="002673C8">
      <w:r w:rsidRPr="00AD4497">
        <w:t xml:space="preserve">The effectiveness of this exemption </w:t>
      </w:r>
      <w:r>
        <w:t>depends</w:t>
      </w:r>
      <w:r w:rsidRPr="00AD4497">
        <w:t xml:space="preserve"> on the clear definition and adherence to mutual agreements between the executing broker and the entity. These agreements must ensure the accurate and complete provision of data for reporting purposes.</w:t>
      </w:r>
    </w:p>
    <w:p w14:paraId="539B43F9" w14:textId="77777777" w:rsidR="00F933C6" w:rsidRPr="00AD4497" w:rsidRDefault="00F933C6" w:rsidP="00F933C6"/>
    <w:p w14:paraId="55DD0967" w14:textId="2F85F96B" w:rsidR="005D3762" w:rsidRDefault="005D3762" w:rsidP="005D3762">
      <w:pPr>
        <w:spacing w:after="0"/>
      </w:pPr>
      <w:r>
        <w:t>&lt;ESMA_QUESTION_</w:t>
      </w:r>
      <w:r w:rsidR="00DF3781">
        <w:t>RTS2224</w:t>
      </w:r>
      <w:r>
        <w:t>_3</w:t>
      </w:r>
      <w:r w:rsidR="003E7313">
        <w:t>0</w:t>
      </w:r>
      <w:r>
        <w:t>&gt;</w:t>
      </w:r>
    </w:p>
    <w:p w14:paraId="51810E74" w14:textId="77777777" w:rsidR="005D3762" w:rsidRPr="005D3762" w:rsidRDefault="005D3762" w:rsidP="005D3762"/>
    <w:p w14:paraId="24BB29D6" w14:textId="77777777" w:rsidR="0029493B" w:rsidRDefault="0029493B" w:rsidP="006B5DF1">
      <w:pPr>
        <w:pStyle w:val="Questionstyle"/>
      </w:pPr>
      <w:r>
        <w:t>Do you agree with the proposed amendments to Art.7 to include specific cases of portfolio and fund managers? Please detail your answer.</w:t>
      </w:r>
    </w:p>
    <w:p w14:paraId="6C481169" w14:textId="77777777" w:rsidR="005D3762" w:rsidRDefault="005D3762" w:rsidP="005D3762"/>
    <w:p w14:paraId="361FBD3A" w14:textId="3EB90CF8" w:rsidR="005D3762" w:rsidRDefault="005D3762" w:rsidP="005D3762">
      <w:pPr>
        <w:spacing w:after="0"/>
      </w:pPr>
      <w:r>
        <w:t>&lt;ESMA_QUESTION_</w:t>
      </w:r>
      <w:r w:rsidR="00DF3781">
        <w:t>RTS2224</w:t>
      </w:r>
      <w:r>
        <w:t>_3</w:t>
      </w:r>
      <w:r w:rsidR="003E7313">
        <w:t>1</w:t>
      </w:r>
      <w:r>
        <w:t>&gt;</w:t>
      </w:r>
    </w:p>
    <w:p w14:paraId="0094A213" w14:textId="77777777" w:rsidR="00F933C6" w:rsidRPr="00AD4497" w:rsidRDefault="00F933C6" w:rsidP="00F933C6"/>
    <w:p w14:paraId="611A6541" w14:textId="77777777" w:rsidR="00F933C6" w:rsidRPr="00AD4497" w:rsidRDefault="00F933C6" w:rsidP="00F933C6">
      <w:r w:rsidRPr="00AD4497">
        <w:t>We understand that the current transaction reporting guidelines (example 69) already require reporting the investment management entity (e.g. asset manager) acting under a discretionary mandate as the buyer/seller, not the client.</w:t>
      </w:r>
    </w:p>
    <w:p w14:paraId="4CAB4ADA" w14:textId="77777777" w:rsidR="00F933C6" w:rsidRPr="00AD4497" w:rsidRDefault="00F933C6" w:rsidP="00F933C6">
      <w:r w:rsidRPr="00AD4497">
        <w:t>If the proposed amendments to Article 7 (2) aim to merely clarify this existing interpretation, we support their inclusion. Explicitly stating these cases within the RTS itself will enhance clarity and consistency in reporting practices, minimizing potential for misinterpretation and ensuring all market participants adhere to the same standards.</w:t>
      </w:r>
    </w:p>
    <w:p w14:paraId="62636323" w14:textId="77777777" w:rsidR="00F933C6" w:rsidRPr="00AD4497" w:rsidRDefault="00F933C6" w:rsidP="00F933C6"/>
    <w:p w14:paraId="11DFB524" w14:textId="3AD73B48" w:rsidR="005D3762" w:rsidRDefault="005D3762" w:rsidP="005D3762">
      <w:pPr>
        <w:spacing w:after="0"/>
      </w:pPr>
      <w:r>
        <w:t>&lt;ESMA_QUESTION_</w:t>
      </w:r>
      <w:r w:rsidR="00DF3781">
        <w:t>RTS2224</w:t>
      </w:r>
      <w:r>
        <w:t>_3</w:t>
      </w:r>
      <w:r w:rsidR="003E7313">
        <w:t>1</w:t>
      </w:r>
      <w:r>
        <w:t>&gt;</w:t>
      </w:r>
    </w:p>
    <w:p w14:paraId="1C114112" w14:textId="77777777" w:rsidR="005D3762" w:rsidRPr="005D3762" w:rsidRDefault="005D3762" w:rsidP="005D3762"/>
    <w:p w14:paraId="3B40C2DF" w14:textId="77777777" w:rsidR="0029493B" w:rsidRDefault="0029493B" w:rsidP="006B5DF1">
      <w:pPr>
        <w:pStyle w:val="Questionstyle"/>
      </w:pPr>
      <w:r>
        <w:t>Do you have any comments on the proposed approach to updating the ‘Instrument details’ section in the Annex to the RTS 22? Please flag any additional aspects that may need to be considered.</w:t>
      </w:r>
    </w:p>
    <w:p w14:paraId="3499E663" w14:textId="77777777" w:rsidR="005D3762" w:rsidRDefault="005D3762" w:rsidP="005D3762"/>
    <w:p w14:paraId="2AEE4CA4" w14:textId="10AA934A" w:rsidR="005D3762" w:rsidRDefault="005D3762" w:rsidP="005D3762">
      <w:pPr>
        <w:spacing w:after="0"/>
      </w:pPr>
      <w:r>
        <w:t>&lt;ESMA_QUESTION_</w:t>
      </w:r>
      <w:r w:rsidR="00DF3781">
        <w:t>RTS2224</w:t>
      </w:r>
      <w:r>
        <w:t>_3</w:t>
      </w:r>
      <w:r w:rsidR="003E7313">
        <w:t>2</w:t>
      </w:r>
      <w:r>
        <w:t>&gt;</w:t>
      </w:r>
    </w:p>
    <w:p w14:paraId="6D203361" w14:textId="77777777" w:rsidR="00F933C6" w:rsidRPr="00AD4497" w:rsidRDefault="00F933C6" w:rsidP="00F933C6"/>
    <w:p w14:paraId="650D53BD" w14:textId="77777777" w:rsidR="002673C8" w:rsidRPr="00AD4497" w:rsidRDefault="002673C8" w:rsidP="002673C8">
      <w:r w:rsidRPr="00AD4497">
        <w:t xml:space="preserve">The proposed updates to the ‘Instrument Details’ section in the Annex to RTS 22 introduce several additional subfields across multiple fields. </w:t>
      </w:r>
      <w:r>
        <w:t>However, t</w:t>
      </w:r>
      <w:r w:rsidRPr="00AD4497">
        <w:t>hese additions are not addressed in the consultation and require further clarification. The rationale behind these new subfields is unclear. For instance, regarding the MiFID identifier, since the CFI code is already provided, we question the necessity of adding new subfields related to this identifier. Moreover, the consultation does not explain or pose any questions about these additional subfields. This again appears to impose an unjustified additional burden on reporting entities without clear benefits.</w:t>
      </w:r>
    </w:p>
    <w:p w14:paraId="07478022" w14:textId="77777777" w:rsidR="00F933C6" w:rsidRPr="00AD4497" w:rsidRDefault="00F933C6" w:rsidP="00F933C6"/>
    <w:p w14:paraId="583C778A" w14:textId="2E62CEBF" w:rsidR="005D3762" w:rsidRDefault="005D3762" w:rsidP="005D3762">
      <w:pPr>
        <w:spacing w:after="0"/>
      </w:pPr>
      <w:r>
        <w:t>&lt;ESMA_QUESTION_</w:t>
      </w:r>
      <w:r w:rsidR="00DF3781">
        <w:t>RTS2224</w:t>
      </w:r>
      <w:r>
        <w:t>_3</w:t>
      </w:r>
      <w:r w:rsidR="003E7313">
        <w:t>2</w:t>
      </w:r>
      <w:r>
        <w:t>&gt;</w:t>
      </w:r>
    </w:p>
    <w:p w14:paraId="164AD456" w14:textId="77777777" w:rsidR="005D3762" w:rsidRPr="005D3762" w:rsidRDefault="005D3762" w:rsidP="005D3762"/>
    <w:p w14:paraId="3E80AD78" w14:textId="77777777" w:rsidR="0029493B" w:rsidRDefault="0029493B" w:rsidP="006B5DF1">
      <w:pPr>
        <w:pStyle w:val="Questionstyle"/>
      </w:pPr>
      <w:r>
        <w:t>Do you support inclusion of the new fields listed above? Please provide details in your answer.</w:t>
      </w:r>
    </w:p>
    <w:p w14:paraId="52A9DDF2" w14:textId="77777777" w:rsidR="005D3762" w:rsidRDefault="005D3762" w:rsidP="005D3762"/>
    <w:p w14:paraId="0B7D1A54" w14:textId="306A39E2" w:rsidR="005D3762" w:rsidRDefault="005D3762" w:rsidP="005D3762">
      <w:pPr>
        <w:spacing w:after="0"/>
      </w:pPr>
      <w:r>
        <w:t>&lt;ESMA_QUESTION_</w:t>
      </w:r>
      <w:r w:rsidR="00DF3781">
        <w:t>RTS2224</w:t>
      </w:r>
      <w:r>
        <w:t>_3</w:t>
      </w:r>
      <w:r w:rsidR="003E7313">
        <w:t>3</w:t>
      </w:r>
      <w:r>
        <w:t>&gt;</w:t>
      </w:r>
    </w:p>
    <w:p w14:paraId="0B6EEA61" w14:textId="77777777" w:rsidR="00F933C6" w:rsidRPr="00AD4497" w:rsidRDefault="00F933C6" w:rsidP="00F933C6"/>
    <w:p w14:paraId="39223C51" w14:textId="67C80BF5" w:rsidR="00F933C6" w:rsidRPr="00AD4497" w:rsidRDefault="00F933C6" w:rsidP="00F933C6">
      <w:r w:rsidRPr="00AD4497">
        <w:t xml:space="preserve">bwf acknowledges the idea of including the new field 'Client category' listed in the consultation. However, we note </w:t>
      </w:r>
      <w:r w:rsidR="00F15892">
        <w:t xml:space="preserve">once again </w:t>
      </w:r>
      <w:r w:rsidRPr="00AD4497">
        <w:t>that a comprehensive cost-benefit analysis has not yet been conducted to assess the potential advantages of these additions. Such an analysis is crucial to understand the true value these the 'Client category' field could bring to transaction reporting.</w:t>
      </w:r>
    </w:p>
    <w:p w14:paraId="7170C84A" w14:textId="77777777" w:rsidR="00F933C6" w:rsidRPr="00AD4497" w:rsidRDefault="00F933C6" w:rsidP="00F933C6">
      <w:r w:rsidRPr="00AD4497">
        <w:t>In particular, the field related to order routing requires careful consideration. It must be clearly defined whether the routing entity or the initial client is to be reported. This distinction is critical to avoid confusion and ensure accurate reporting. Furthermore, there are potential privacy concerns associated with identifying clients and their brokers. Care must be taken to protect sensitive information and prevent any unintended exposure of client identities</w:t>
      </w:r>
      <w:r>
        <w:t xml:space="preserve"> or their respective positions</w:t>
      </w:r>
      <w:r w:rsidRPr="00AD4497">
        <w:t>. Therefore, while we see the merit in enhancing the reporting framework, we emphasize the need for clarity and thorough analysis before implementing these new fields.</w:t>
      </w:r>
    </w:p>
    <w:p w14:paraId="0EC0A90F" w14:textId="77777777" w:rsidR="00F933C6" w:rsidRPr="00AD4497" w:rsidRDefault="00F933C6" w:rsidP="00F933C6"/>
    <w:p w14:paraId="7A1722CA" w14:textId="5D82113E" w:rsidR="005D3762" w:rsidRDefault="005D3762" w:rsidP="005D3762">
      <w:pPr>
        <w:spacing w:after="0"/>
      </w:pPr>
      <w:r>
        <w:t>&lt;ESMA_QUESTION_</w:t>
      </w:r>
      <w:r w:rsidR="00DF3781">
        <w:t>RTS2224</w:t>
      </w:r>
      <w:r>
        <w:t>_3</w:t>
      </w:r>
      <w:r w:rsidR="003E7313">
        <w:t>3</w:t>
      </w:r>
      <w:r>
        <w:t>&gt;</w:t>
      </w:r>
    </w:p>
    <w:p w14:paraId="78F66A5C" w14:textId="77777777" w:rsidR="005D3762" w:rsidRPr="005D3762" w:rsidRDefault="005D3762" w:rsidP="005D3762"/>
    <w:p w14:paraId="698BA0DE" w14:textId="77777777" w:rsidR="0029493B" w:rsidRDefault="0029493B" w:rsidP="006B5DF1">
      <w:pPr>
        <w:pStyle w:val="Questionstyle"/>
      </w:pPr>
      <w:r>
        <w:t>Do you agree with the amendments listed above for the existing fields? Please provide details in your answer.</w:t>
      </w:r>
    </w:p>
    <w:p w14:paraId="67E8B423" w14:textId="77777777" w:rsidR="005D3762" w:rsidRDefault="005D3762" w:rsidP="005D3762"/>
    <w:p w14:paraId="74AAA439" w14:textId="5F7188B1" w:rsidR="005D3762" w:rsidRDefault="005D3762" w:rsidP="005D3762">
      <w:pPr>
        <w:spacing w:after="0"/>
      </w:pPr>
      <w:r>
        <w:t>&lt;ESMA_QUESTION_</w:t>
      </w:r>
      <w:r w:rsidR="00DF3781">
        <w:t>RTS2224</w:t>
      </w:r>
      <w:r>
        <w:t>_3</w:t>
      </w:r>
      <w:r w:rsidR="003E7313">
        <w:t>4</w:t>
      </w:r>
      <w:r>
        <w:t>&gt;</w:t>
      </w:r>
    </w:p>
    <w:p w14:paraId="3A7F9A66" w14:textId="77777777" w:rsidR="00F933C6" w:rsidRPr="00AD4497" w:rsidRDefault="00F933C6" w:rsidP="00F933C6"/>
    <w:p w14:paraId="4C5314AB" w14:textId="77777777" w:rsidR="00F933C6" w:rsidRPr="00AD4497" w:rsidRDefault="00F933C6" w:rsidP="00F933C6">
      <w:r w:rsidRPr="00AD4497">
        <w:t>bwf acknowledges the proposed amendments to existing fields but stresses the importance of a thorough evaluation to avoid unnecessary complexity or burdens. Without a detailed cost-benefit analysis, it is difficult to assess their full impact. Clear communication and support for implementation are crucial to ensure these changes genuinely enhance the reporting process without imposing disproportionate costs on reporting entities.</w:t>
      </w:r>
    </w:p>
    <w:p w14:paraId="2A4CC741" w14:textId="77777777" w:rsidR="00F933C6" w:rsidRPr="00AD4497" w:rsidRDefault="00F933C6" w:rsidP="00F933C6"/>
    <w:p w14:paraId="145FE6FA" w14:textId="0DBDF5A1" w:rsidR="005D3762" w:rsidRDefault="005D3762" w:rsidP="005D3762">
      <w:pPr>
        <w:spacing w:after="0"/>
      </w:pPr>
      <w:r>
        <w:t>&lt;ESMA_QUESTION_</w:t>
      </w:r>
      <w:r w:rsidR="00DF3781">
        <w:t>RTS2224</w:t>
      </w:r>
      <w:r>
        <w:t>_3</w:t>
      </w:r>
      <w:r w:rsidR="003E7313">
        <w:t>4</w:t>
      </w:r>
      <w:r>
        <w:t>&gt;</w:t>
      </w:r>
    </w:p>
    <w:p w14:paraId="535BF187" w14:textId="77777777" w:rsidR="005D3762" w:rsidRPr="005D3762" w:rsidRDefault="005D3762" w:rsidP="005D3762"/>
    <w:p w14:paraId="2CA76168" w14:textId="77777777" w:rsidR="0029493B" w:rsidRDefault="0029493B" w:rsidP="006B5DF1">
      <w:pPr>
        <w:pStyle w:val="Questionstyle"/>
      </w:pPr>
      <w:r>
        <w:t>Do you support suppressing the reporting of the field listed above? Please provide details in your answer.</w:t>
      </w:r>
    </w:p>
    <w:p w14:paraId="20D851B7" w14:textId="77777777" w:rsidR="005D3762" w:rsidRDefault="005D3762" w:rsidP="005D3762"/>
    <w:p w14:paraId="0D5E4BB6" w14:textId="40EDE4C9" w:rsidR="005D3762" w:rsidRDefault="005D3762" w:rsidP="005D3762">
      <w:pPr>
        <w:spacing w:after="0"/>
      </w:pPr>
      <w:r>
        <w:t>&lt;ESMA_QUESTION_</w:t>
      </w:r>
      <w:r w:rsidR="00DF3781">
        <w:t>RTS2224</w:t>
      </w:r>
      <w:r>
        <w:t>_3</w:t>
      </w:r>
      <w:r w:rsidR="00BE02A2">
        <w:t>5</w:t>
      </w:r>
      <w:r>
        <w:t>&gt;</w:t>
      </w:r>
    </w:p>
    <w:p w14:paraId="664B9E11" w14:textId="77777777" w:rsidR="00F933C6" w:rsidRPr="00AD4497" w:rsidRDefault="00F933C6" w:rsidP="00F933C6"/>
    <w:p w14:paraId="2C824B10" w14:textId="77777777" w:rsidR="00897810" w:rsidRPr="00AD4497" w:rsidRDefault="00897810" w:rsidP="00897810">
      <w:r w:rsidRPr="00AD4497">
        <w:t xml:space="preserve">Yes, bwf supports suppressing the reporting of the field. However, it should not be </w:t>
      </w:r>
      <w:r>
        <w:t>optional</w:t>
      </w:r>
      <w:r w:rsidRPr="00AD4497">
        <w:t xml:space="preserve"> for the reporting entity if it chooses to </w:t>
      </w:r>
      <w:r>
        <w:t xml:space="preserve">further </w:t>
      </w:r>
      <w:r w:rsidRPr="00AD4497">
        <w:t xml:space="preserve">report </w:t>
      </w:r>
      <w:r>
        <w:t>this field</w:t>
      </w:r>
      <w:r w:rsidRPr="00AD4497">
        <w:t>.</w:t>
      </w:r>
      <w:r>
        <w:t xml:space="preserve"> This would reduce implementation costs of the reporting firms.</w:t>
      </w:r>
    </w:p>
    <w:p w14:paraId="42274C19" w14:textId="77777777" w:rsidR="00F933C6" w:rsidRPr="00AD4497" w:rsidRDefault="00F933C6" w:rsidP="00F933C6"/>
    <w:p w14:paraId="7B59F61E" w14:textId="0F7FCA96" w:rsidR="005D3762" w:rsidRDefault="005D3762" w:rsidP="005D3762">
      <w:pPr>
        <w:spacing w:after="0"/>
      </w:pPr>
      <w:r>
        <w:t>&lt;ESMA_QUESTION_</w:t>
      </w:r>
      <w:r w:rsidR="00DF3781">
        <w:t>RTS2224</w:t>
      </w:r>
      <w:r>
        <w:t>_3</w:t>
      </w:r>
      <w:r w:rsidR="00BE02A2">
        <w:t>5</w:t>
      </w:r>
      <w:r>
        <w:t>&gt;</w:t>
      </w:r>
    </w:p>
    <w:p w14:paraId="5BE64EF3" w14:textId="77777777" w:rsidR="005D3762" w:rsidRPr="005D3762" w:rsidRDefault="005D3762" w:rsidP="005D3762"/>
    <w:p w14:paraId="2C5096D1" w14:textId="77777777" w:rsidR="0029493B" w:rsidRDefault="0029493B" w:rsidP="006B5DF1">
      <w:pPr>
        <w:pStyle w:val="Questionstyle"/>
      </w:pPr>
      <w:r>
        <w:t>Do you agree with the proposal of including in the list of exempted transactions under Art.2(5) the disposal or selling of financial instruments ordered by a court procedure or decided by insolvency administrator in the context of a liquidation / bankruptcy / insolvency procedure?</w:t>
      </w:r>
    </w:p>
    <w:p w14:paraId="2FAE489C" w14:textId="77777777" w:rsidR="005D3762" w:rsidRDefault="005D3762" w:rsidP="005D3762"/>
    <w:p w14:paraId="3758271E" w14:textId="67758D68" w:rsidR="005D3762" w:rsidRDefault="005D3762" w:rsidP="005D3762">
      <w:pPr>
        <w:spacing w:after="0"/>
      </w:pPr>
      <w:r>
        <w:t>&lt;ESMA_QUESTION_</w:t>
      </w:r>
      <w:r w:rsidR="00DF3781">
        <w:t>RTS2224</w:t>
      </w:r>
      <w:r>
        <w:t>_36&gt;</w:t>
      </w:r>
    </w:p>
    <w:p w14:paraId="44D11FEE" w14:textId="77777777" w:rsidR="00F933C6" w:rsidRPr="00AD4497" w:rsidRDefault="00F933C6" w:rsidP="00F933C6"/>
    <w:p w14:paraId="25C2D277" w14:textId="77777777" w:rsidR="00F933C6" w:rsidRPr="00036CC1" w:rsidRDefault="00F933C6" w:rsidP="00F933C6">
      <w:pPr>
        <w:rPr>
          <w:lang w:val="en-US"/>
        </w:rPr>
      </w:pPr>
      <w:r w:rsidRPr="00036CC1">
        <w:rPr>
          <w:lang w:val="en-US"/>
        </w:rPr>
        <w:t>bwf agrees with the proposal to include the disposal or selling of financial instruments ordered by a court or decided by an insolvency administrator in the context of liquidation, bankruptcy, or insolvency procedures in the list of exempted transactions under Art. 2(5). This exemption acknowledges the distinctive nature of such transactions, which are conducted under legal obligations and do not represent typical market activities.</w:t>
      </w:r>
    </w:p>
    <w:p w14:paraId="3E10F360" w14:textId="77777777" w:rsidR="00F933C6" w:rsidRPr="00036CC1" w:rsidRDefault="00F933C6" w:rsidP="00F933C6">
      <w:pPr>
        <w:rPr>
          <w:lang w:val="en-US"/>
        </w:rPr>
      </w:pPr>
      <w:r w:rsidRPr="00036CC1">
        <w:rPr>
          <w:lang w:val="en-US"/>
        </w:rPr>
        <w:t>Including these transactions in the exemption list would alleviate unnecessary reporting burdens for entities involved in insolvency proceedings, enabling them to concentrate on fulfilling their legal and fiduciary duties. It also ensures that the reporting framework reflects practical realities, providing a clearer representation of standard market activities rather than court-ordered or administratively mandated disposals.</w:t>
      </w:r>
    </w:p>
    <w:p w14:paraId="25CF65C7" w14:textId="77777777" w:rsidR="006307CC" w:rsidRPr="00036CC1" w:rsidRDefault="006307CC" w:rsidP="006307CC">
      <w:pPr>
        <w:rPr>
          <w:lang w:val="en-US"/>
        </w:rPr>
      </w:pPr>
      <w:r w:rsidRPr="00036CC1">
        <w:rPr>
          <w:lang w:val="en-US"/>
        </w:rPr>
        <w:t xml:space="preserve">Nevertheless, it should not be </w:t>
      </w:r>
      <w:r>
        <w:rPr>
          <w:lang w:val="en-US"/>
        </w:rPr>
        <w:t>objected</w:t>
      </w:r>
      <w:r w:rsidRPr="00036CC1">
        <w:rPr>
          <w:lang w:val="en-US"/>
        </w:rPr>
        <w:t xml:space="preserve"> if a reporting entity opts to report these transactions independently of the exemption. Allowing this flexibility could help minimize implementation costs for reporting firms, as it provides an option to maintain consistency in reporting practices if desired. Therefore, exemptions should not be mandatory, ensuring that firms can choose to report such transactions based on their operational preferences.</w:t>
      </w:r>
    </w:p>
    <w:p w14:paraId="0A90F652" w14:textId="77777777" w:rsidR="00F933C6" w:rsidRPr="00036CC1" w:rsidRDefault="00F933C6" w:rsidP="00F933C6">
      <w:pPr>
        <w:rPr>
          <w:lang w:val="en-US"/>
        </w:rPr>
      </w:pPr>
    </w:p>
    <w:p w14:paraId="2473C7C0" w14:textId="65E2EBB0" w:rsidR="005D3762" w:rsidRDefault="005D3762" w:rsidP="005D3762">
      <w:pPr>
        <w:spacing w:after="0"/>
      </w:pPr>
      <w:r>
        <w:t>&lt;ESMA_QUESTION_</w:t>
      </w:r>
      <w:r w:rsidR="00DF3781">
        <w:t>RTS2224</w:t>
      </w:r>
      <w:r>
        <w:t>_36&gt;</w:t>
      </w:r>
    </w:p>
    <w:p w14:paraId="29C77A11" w14:textId="77777777" w:rsidR="005D3762" w:rsidRPr="005D3762" w:rsidRDefault="005D3762" w:rsidP="005D3762"/>
    <w:p w14:paraId="2AB6A712" w14:textId="77777777" w:rsidR="0029493B" w:rsidRDefault="0029493B" w:rsidP="006B5DF1">
      <w:pPr>
        <w:pStyle w:val="Questionstyle"/>
      </w:pPr>
      <w:r>
        <w:t>Do you consider that the exemption in Art.2 (5) should take into consideration also other similar instances as described? Please elaborate your answer.</w:t>
      </w:r>
    </w:p>
    <w:p w14:paraId="2F96F467" w14:textId="77777777" w:rsidR="005D3762" w:rsidRDefault="005D3762" w:rsidP="005D3762"/>
    <w:p w14:paraId="59A330DC" w14:textId="28500788" w:rsidR="005D3762" w:rsidRDefault="005D3762" w:rsidP="005D3762">
      <w:pPr>
        <w:spacing w:after="0"/>
      </w:pPr>
      <w:r>
        <w:t>&lt;ESMA_QUESTION_</w:t>
      </w:r>
      <w:r w:rsidR="00DF3781">
        <w:t>RTS2224</w:t>
      </w:r>
      <w:r>
        <w:t>_3</w:t>
      </w:r>
      <w:r w:rsidR="00BE02A2">
        <w:t>7</w:t>
      </w:r>
      <w:r>
        <w:t>&gt;</w:t>
      </w:r>
    </w:p>
    <w:p w14:paraId="244E5100" w14:textId="77777777" w:rsidR="00F933C6" w:rsidRDefault="00F933C6" w:rsidP="00F933C6"/>
    <w:p w14:paraId="6B862438" w14:textId="77777777" w:rsidR="00F933C6" w:rsidRPr="00FE76BC" w:rsidRDefault="00F933C6" w:rsidP="00F933C6">
      <w:pPr>
        <w:rPr>
          <w:lang w:val="en-US"/>
        </w:rPr>
      </w:pPr>
      <w:r w:rsidRPr="00FE76BC">
        <w:rPr>
          <w:lang w:val="en-US"/>
        </w:rPr>
        <w:t>bwf does not currently have additional instances in mind that should be included under the exemption in Art. 2(5). However, we believe that the matter should be reviewed on a case-by-case basis as new situations arise. It is essential to maintain flexibility in the regulatory framework to address emerging needs or unique scenarios that may warrant exemption.</w:t>
      </w:r>
    </w:p>
    <w:p w14:paraId="14287387" w14:textId="77777777" w:rsidR="00F933C6" w:rsidRPr="00FE76BC" w:rsidRDefault="00F933C6" w:rsidP="00F933C6">
      <w:pPr>
        <w:rPr>
          <w:lang w:val="en-US"/>
        </w:rPr>
      </w:pPr>
      <w:r w:rsidRPr="00FE76BC">
        <w:rPr>
          <w:lang w:val="en-US"/>
        </w:rPr>
        <w:t xml:space="preserve">We also emphasize that any such exemption should remain optional, allowing reporting entities the discretion to report transactions if they find it necessary for transparency or operational reasons. </w:t>
      </w:r>
    </w:p>
    <w:p w14:paraId="6EE4CD32" w14:textId="77777777" w:rsidR="00F933C6" w:rsidRPr="00FE76BC" w:rsidRDefault="00F933C6" w:rsidP="00F933C6">
      <w:pPr>
        <w:rPr>
          <w:lang w:val="en-US"/>
        </w:rPr>
      </w:pPr>
    </w:p>
    <w:p w14:paraId="762307F4" w14:textId="5A022F86" w:rsidR="005D3762" w:rsidRDefault="005D3762" w:rsidP="005D3762">
      <w:pPr>
        <w:spacing w:after="0"/>
      </w:pPr>
      <w:r>
        <w:t>&lt;ESMA_QUESTION_</w:t>
      </w:r>
      <w:r w:rsidR="00DF3781">
        <w:t>RTS2224</w:t>
      </w:r>
      <w:r>
        <w:t>_3</w:t>
      </w:r>
      <w:r w:rsidR="00BE02A2">
        <w:t>7</w:t>
      </w:r>
      <w:r>
        <w:t>&gt;</w:t>
      </w:r>
    </w:p>
    <w:p w14:paraId="0155E03E" w14:textId="77777777" w:rsidR="005D3762" w:rsidRPr="005D3762" w:rsidRDefault="005D3762" w:rsidP="005D3762"/>
    <w:p w14:paraId="3C341A88" w14:textId="77777777" w:rsidR="0029493B" w:rsidRDefault="0029493B" w:rsidP="006B5DF1">
      <w:pPr>
        <w:pStyle w:val="Questionstyle"/>
      </w:pPr>
      <w:r>
        <w:t>Do you agree with the assessment and the proposal of expanding the perimeter of the exempted transactions to auctions in emission allowances?</w:t>
      </w:r>
    </w:p>
    <w:p w14:paraId="0B7955EA" w14:textId="77777777" w:rsidR="005D3762" w:rsidRDefault="005D3762" w:rsidP="005D3762"/>
    <w:p w14:paraId="2B799AB3" w14:textId="3392D474" w:rsidR="005D3762" w:rsidRDefault="005D3762" w:rsidP="005D3762">
      <w:pPr>
        <w:spacing w:after="0"/>
      </w:pPr>
      <w:r>
        <w:t>&lt;ESMA_QUESTION_</w:t>
      </w:r>
      <w:r w:rsidR="00DF3781">
        <w:t>RTS2224</w:t>
      </w:r>
      <w:r>
        <w:t>_3</w:t>
      </w:r>
      <w:r w:rsidR="00BE02A2">
        <w:t>8</w:t>
      </w:r>
      <w:r>
        <w:t>&gt;</w:t>
      </w:r>
    </w:p>
    <w:p w14:paraId="67E034E7" w14:textId="77777777" w:rsidR="00F933C6" w:rsidRPr="00AD4497" w:rsidRDefault="00F933C6" w:rsidP="00F933C6"/>
    <w:p w14:paraId="1F5A7310" w14:textId="77777777" w:rsidR="00F933C6" w:rsidRPr="003D046C" w:rsidRDefault="00F933C6" w:rsidP="00F933C6">
      <w:pPr>
        <w:rPr>
          <w:lang w:val="en-US"/>
        </w:rPr>
      </w:pPr>
      <w:r w:rsidRPr="003D046C">
        <w:rPr>
          <w:lang w:val="en-US"/>
        </w:rPr>
        <w:t>bwf agrees with the proposal to expand the perimeter of exempted transactions to include auctions in emission allowances. This exemption reflects the specific nature of such auctions, which are typically conducted under regulated frameworks and serve distinct purposes related to environmental policy and market stability.</w:t>
      </w:r>
    </w:p>
    <w:p w14:paraId="6BFCEAED" w14:textId="77777777" w:rsidR="00F933C6" w:rsidRPr="003D046C" w:rsidRDefault="00F933C6" w:rsidP="00F933C6">
      <w:pPr>
        <w:rPr>
          <w:lang w:val="en-US"/>
        </w:rPr>
      </w:pPr>
      <w:r w:rsidRPr="003D046C">
        <w:rPr>
          <w:lang w:val="en-US"/>
        </w:rPr>
        <w:t>Exempting these transactions would reduce unnecessary reporting obligations for entities participating in these auctions, allowing them to focus on compliance with environmental regulations and the efficient operation of the auction process. It also ensures that transaction reporting remains relevant to standard market activities, enhancing the overall clarity and usefulness of the data collected by regulators.</w:t>
      </w:r>
    </w:p>
    <w:p w14:paraId="60CD7630" w14:textId="77777777" w:rsidR="00F933C6" w:rsidRPr="003D046C" w:rsidRDefault="00F933C6" w:rsidP="00F933C6">
      <w:pPr>
        <w:rPr>
          <w:lang w:val="en-US"/>
        </w:rPr>
      </w:pPr>
      <w:r w:rsidRPr="003D046C">
        <w:rPr>
          <w:lang w:val="en-US"/>
        </w:rPr>
        <w:t>However, this exemption should not be mandatory. Reporting entities should have the option to report these transactions independently if they believe it benefits their transparency or operational requirements. Providing this flexibility will help accommodate diverse reporting needs and ensure that the exemption does not hinder entities that may wish to maintain consistent reporting practices.</w:t>
      </w:r>
    </w:p>
    <w:p w14:paraId="453C0573" w14:textId="77777777" w:rsidR="00F933C6" w:rsidRPr="003D046C" w:rsidRDefault="00F933C6" w:rsidP="00F933C6">
      <w:pPr>
        <w:rPr>
          <w:lang w:val="en-US"/>
        </w:rPr>
      </w:pPr>
    </w:p>
    <w:p w14:paraId="2A544772" w14:textId="0226D896" w:rsidR="005D3762" w:rsidRDefault="005D3762" w:rsidP="005D3762">
      <w:pPr>
        <w:spacing w:after="0"/>
      </w:pPr>
      <w:r>
        <w:t>&lt;ESMA_QUESTION_</w:t>
      </w:r>
      <w:r w:rsidR="00DF3781">
        <w:t>RTS2224</w:t>
      </w:r>
      <w:r>
        <w:t>_3</w:t>
      </w:r>
      <w:r w:rsidR="00BE02A2">
        <w:t>8</w:t>
      </w:r>
      <w:r>
        <w:t>&gt;</w:t>
      </w:r>
    </w:p>
    <w:p w14:paraId="1531653A" w14:textId="77777777" w:rsidR="005D3762" w:rsidRPr="005D3762" w:rsidRDefault="005D3762" w:rsidP="005D3762"/>
    <w:p w14:paraId="35EAA7B4" w14:textId="77777777" w:rsidR="0029493B" w:rsidRDefault="0029493B" w:rsidP="006B5DF1">
      <w:pPr>
        <w:pStyle w:val="Questionstyle"/>
      </w:pPr>
      <w:r>
        <w:t>Do you agree with the proposal of narrowing the perimeter of the exempted novations to transactions having clearing purposes?</w:t>
      </w:r>
    </w:p>
    <w:p w14:paraId="5DB3E714" w14:textId="77777777" w:rsidR="005D3762" w:rsidRDefault="005D3762" w:rsidP="005D3762"/>
    <w:p w14:paraId="7C8A2197" w14:textId="332C48F6" w:rsidR="005D3762" w:rsidRDefault="005D3762" w:rsidP="005D3762">
      <w:pPr>
        <w:spacing w:after="0"/>
      </w:pPr>
      <w:r>
        <w:t>&lt;ESMA_QUESTION_</w:t>
      </w:r>
      <w:r w:rsidR="00DF3781">
        <w:t>RTS2224</w:t>
      </w:r>
      <w:r>
        <w:t>_3</w:t>
      </w:r>
      <w:r w:rsidR="00BE02A2">
        <w:t>9</w:t>
      </w:r>
      <w:r>
        <w:t>&gt;</w:t>
      </w:r>
    </w:p>
    <w:p w14:paraId="6B39872F" w14:textId="77777777" w:rsidR="00F933C6" w:rsidRPr="00AD4497" w:rsidRDefault="00F933C6" w:rsidP="00F933C6"/>
    <w:p w14:paraId="1903FA55" w14:textId="77777777" w:rsidR="00F933C6" w:rsidRPr="00E92158" w:rsidRDefault="00F933C6" w:rsidP="00F933C6">
      <w:pPr>
        <w:rPr>
          <w:lang w:val="en-US"/>
        </w:rPr>
      </w:pPr>
      <w:r w:rsidRPr="00E92158">
        <w:rPr>
          <w:lang w:val="en-US"/>
        </w:rPr>
        <w:t>bwf acknowledges the rationale behind the proposal to narrow the scope of novations exempted from reporting to those specifically related to clearing arrangements. Novations involving a CCP in the clearing of CDS are already covered under EMIR reporting and typically do not change the exposure to the underlying credit, making their exclusion from MiFIR reporting a practical measure to avoid redundancy.</w:t>
      </w:r>
    </w:p>
    <w:p w14:paraId="48A743DA" w14:textId="77777777" w:rsidR="00F933C6" w:rsidRPr="00E92158" w:rsidRDefault="00F933C6" w:rsidP="00F933C6">
      <w:pPr>
        <w:rPr>
          <w:lang w:val="en-US"/>
        </w:rPr>
      </w:pPr>
      <w:r w:rsidRPr="00E92158">
        <w:rPr>
          <w:lang w:val="en-US"/>
        </w:rPr>
        <w:t>However, novations that do not involve a CCP, such as those occurring in bilateral agreements or compression cycles, can still have implications for market exposure and may warrant reporting to ensure comprehensive oversight. These novations, while not stemming from new trading activity, can reflect adjustments in market positions that could be relevant for market abuse detection.</w:t>
      </w:r>
    </w:p>
    <w:p w14:paraId="53E2EC25" w14:textId="77777777" w:rsidR="00F933C6" w:rsidRPr="00E92158" w:rsidRDefault="00F933C6" w:rsidP="00F933C6">
      <w:pPr>
        <w:rPr>
          <w:lang w:val="en-US"/>
        </w:rPr>
      </w:pPr>
      <w:r w:rsidRPr="00E92158">
        <w:rPr>
          <w:lang w:val="en-US"/>
        </w:rPr>
        <w:t>Balancing the need for thorough market surveillance with the potential reporting burden is crucial. Compression cycles are typically tools that reduce overall exposure, including at a systemic level. Burdensome reporting that could hinder such actions would not favor the competitiveness of EU markets.</w:t>
      </w:r>
    </w:p>
    <w:p w14:paraId="438A1B23" w14:textId="77777777" w:rsidR="00F933C6" w:rsidRPr="00E92158" w:rsidRDefault="00F933C6" w:rsidP="00F933C6">
      <w:pPr>
        <w:rPr>
          <w:lang w:val="en-US"/>
        </w:rPr>
      </w:pPr>
      <w:r w:rsidRPr="00E92158">
        <w:rPr>
          <w:lang w:val="en-US"/>
        </w:rPr>
        <w:t>Only novations that are relevant for market abuse detection should not be exempted. Limiting reporting to these instances ensures the framework remains focused on regulatory objectives without imposing unnecessary burdens on market participants.</w:t>
      </w:r>
    </w:p>
    <w:p w14:paraId="243FE36F" w14:textId="77777777" w:rsidR="00F933C6" w:rsidRPr="00E92158" w:rsidRDefault="00F933C6" w:rsidP="00F933C6">
      <w:pPr>
        <w:rPr>
          <w:lang w:val="en-US"/>
        </w:rPr>
      </w:pPr>
    </w:p>
    <w:p w14:paraId="20982FB7" w14:textId="74436589" w:rsidR="005D3762" w:rsidRDefault="005D3762" w:rsidP="005D3762">
      <w:pPr>
        <w:spacing w:after="0"/>
      </w:pPr>
      <w:r>
        <w:t>&lt;ESMA_QUESTION_</w:t>
      </w:r>
      <w:r w:rsidR="00DF3781">
        <w:t>RTS2224</w:t>
      </w:r>
      <w:r>
        <w:t>_3</w:t>
      </w:r>
      <w:r w:rsidR="00BE02A2">
        <w:t>9</w:t>
      </w:r>
      <w:r>
        <w:t>&gt;</w:t>
      </w:r>
    </w:p>
    <w:p w14:paraId="080A8384" w14:textId="77777777" w:rsidR="005D3762" w:rsidRPr="005D3762" w:rsidRDefault="005D3762" w:rsidP="005D3762"/>
    <w:p w14:paraId="06306522" w14:textId="77777777" w:rsidR="0029493B" w:rsidRDefault="0029493B" w:rsidP="006B5DF1">
      <w:pPr>
        <w:pStyle w:val="Questionstyle"/>
      </w:pPr>
      <w:r>
        <w:t>Please provide your views on the format for reporting and any challenges you foresee with the use of JSON format compared to XML. Please provide estimates of the costs, timelines of implementation and benefits (short and long term) related to potential transition to JSON.</w:t>
      </w:r>
    </w:p>
    <w:p w14:paraId="0C3DCFC2" w14:textId="77777777" w:rsidR="005D3762" w:rsidRDefault="005D3762" w:rsidP="005D3762"/>
    <w:p w14:paraId="678B8DEC" w14:textId="53F9F03E" w:rsidR="005D3762" w:rsidRDefault="005D3762" w:rsidP="005D3762">
      <w:pPr>
        <w:spacing w:after="0"/>
      </w:pPr>
      <w:r>
        <w:t>&lt;ESMA_QUESTION_</w:t>
      </w:r>
      <w:r w:rsidR="00DF3781">
        <w:t>RTS2224</w:t>
      </w:r>
      <w:r>
        <w:t>_</w:t>
      </w:r>
      <w:r w:rsidR="00BE02A2">
        <w:t>40</w:t>
      </w:r>
      <w:r>
        <w:t>&gt;</w:t>
      </w:r>
    </w:p>
    <w:p w14:paraId="0962A2B7" w14:textId="77777777" w:rsidR="00F933C6" w:rsidRPr="00AD4497" w:rsidRDefault="00F933C6" w:rsidP="00F933C6"/>
    <w:p w14:paraId="419A5138" w14:textId="77777777" w:rsidR="006307CC" w:rsidRPr="00AD4497" w:rsidRDefault="006307CC" w:rsidP="006307CC">
      <w:r w:rsidRPr="00AD4497">
        <w:t>Regarding the format for reporting and the potential transition to JSON, we strongly advocate for maintaining XML as the preferred format for transaction reporting under MiFIR. XML already meets the requirements of the ISO 20022 standard, which is extensively used in financial reporting. Switching to JSON would require reevaluating and potentially altering existing standard compliance, adding unnecessary complexity and risking inconsistencies. Financial institutions have made substantial investments in XML-based systems and processes, and a transition to JSON would entail extensive redevelopment, testing, and staff training, leading to significant costs and operational disruptions.</w:t>
      </w:r>
    </w:p>
    <w:p w14:paraId="582A9E5E" w14:textId="77777777" w:rsidR="006307CC" w:rsidRPr="00AD4497" w:rsidRDefault="006307CC" w:rsidP="006307CC">
      <w:r w:rsidRPr="00AD4497">
        <w:t>Recently, the EMIR Refit transitioned from CSV to XML format, and moving to JSON now would create inconsistency across regulations, forcing firms to handle multiple reporting formats simultaneously. This shift would increase complexity and the likelihood of errors. Many firms have internal systems designed around XML, and changing to JSON would necessitate extensive mapping and translation processes, complicating data handling and raising the potential for errors. Moreover, a move to JSON would require updates to all related regulations, creating a ripple effect of changes and possible temporary inconsistencies in the reporting ecosystem.</w:t>
      </w:r>
    </w:p>
    <w:p w14:paraId="760A71DC" w14:textId="77777777" w:rsidR="006307CC" w:rsidRPr="00AD4497" w:rsidRDefault="006307CC" w:rsidP="006307CC">
      <w:r w:rsidRPr="00AD4497">
        <w:t xml:space="preserve">The switch to JSON would </w:t>
      </w:r>
      <w:r>
        <w:t xml:space="preserve">also </w:t>
      </w:r>
      <w:r w:rsidRPr="00AD4497">
        <w:t>impose a significant technical burden on firms, especially given the recent efforts to implement XML-based reporting. This additional change would lead to further costs and resource demands. XML offers robust schema validation capabilities crucial for ensuring data consistency and accuracy in regulatory reporting. While JSON schema validation exists, it is less mature and not as widely adopted in the financial industry. Additionally, XML’s better interoperability with legacy systems reduces the risk of data loss or misinterpretation during reporting. Regulators and supervisory authorities have developed expertise and systems around XML-based reporting, and a switch to JSON would require significant retraining and system updates on their part.</w:t>
      </w:r>
    </w:p>
    <w:p w14:paraId="09BEEC7A" w14:textId="77777777" w:rsidR="006307CC" w:rsidRPr="00AD4497" w:rsidRDefault="006307CC" w:rsidP="006307CC">
      <w:r w:rsidRPr="00AD4497">
        <w:t>While JSON might offer some advantages in data parsing and compactness, these benefits are marginal compared to the stability and reliability XML has provided over the years. The transition to JSON would likely involve substantial development costs, rigorous testing to ensure data integrity and compliance, significant staff training, and a lengthy implementation timeline, potentially taking 18-36 months. Maintaining XML ensures continuity of operations, avoids additional implementation costs, and upholds the current level of reporting accuracy, while also offering long-term stability in regulatory reporting and easier compliance with future changes.</w:t>
      </w:r>
    </w:p>
    <w:p w14:paraId="7C82B8FE" w14:textId="77777777" w:rsidR="006307CC" w:rsidRPr="00AD4497" w:rsidRDefault="006307CC" w:rsidP="006307CC">
      <w:r w:rsidRPr="00AD4497">
        <w:t xml:space="preserve">In conclusion, despite </w:t>
      </w:r>
      <w:r>
        <w:t>certain</w:t>
      </w:r>
      <w:r w:rsidRPr="00AD4497">
        <w:t xml:space="preserve"> technical advantages JSON may offer, the substantial costs, risks, and disruptions associated with such a significant change outweigh any potential benefits. Enhancing and optimizing the existing XML-based reporting framework would better serve the financial industry.</w:t>
      </w:r>
    </w:p>
    <w:p w14:paraId="17EBD9EE" w14:textId="77777777" w:rsidR="00F933C6" w:rsidRPr="00AD4497" w:rsidRDefault="00F933C6" w:rsidP="00F933C6"/>
    <w:p w14:paraId="2DD70268" w14:textId="42F94DCA" w:rsidR="005D3762" w:rsidRDefault="005D3762" w:rsidP="005D3762">
      <w:pPr>
        <w:spacing w:after="0"/>
      </w:pPr>
      <w:r>
        <w:t>&lt;ESMA_QUESTION_</w:t>
      </w:r>
      <w:r w:rsidR="00DF3781">
        <w:t>RTS2224</w:t>
      </w:r>
      <w:r>
        <w:t>_</w:t>
      </w:r>
      <w:r w:rsidR="00BE02A2">
        <w:t>40</w:t>
      </w:r>
      <w:r>
        <w:t>&gt;</w:t>
      </w:r>
    </w:p>
    <w:p w14:paraId="5D9A276E" w14:textId="77777777" w:rsidR="005D3762" w:rsidRPr="005D3762" w:rsidRDefault="005D3762" w:rsidP="005D3762"/>
    <w:p w14:paraId="09A47A6F" w14:textId="77777777" w:rsidR="0029493B" w:rsidRDefault="0029493B" w:rsidP="006B5DF1">
      <w:pPr>
        <w:pStyle w:val="Questionstyle"/>
      </w:pPr>
      <w:r>
        <w:t>Should the use of transaction data to perform the calculations be feasible, what would be the costs and the benefits of using this data and discontinuing the specific reporting flows (FITRS and / or DVCAP), including in relation to the change and run costs of reporting systems, data quality assurance and other relevant aspects?</w:t>
      </w:r>
    </w:p>
    <w:p w14:paraId="7F945A44" w14:textId="77777777" w:rsidR="005D3762" w:rsidRDefault="005D3762" w:rsidP="005D3762"/>
    <w:p w14:paraId="20E38B84" w14:textId="78D5DE85" w:rsidR="005D3762" w:rsidRDefault="005D3762" w:rsidP="005D3762">
      <w:pPr>
        <w:spacing w:after="0"/>
      </w:pPr>
      <w:r>
        <w:t>&lt;ESMA_QUESTION_</w:t>
      </w:r>
      <w:r w:rsidR="00DF3781">
        <w:t>RTS2224</w:t>
      </w:r>
      <w:r>
        <w:t>_</w:t>
      </w:r>
      <w:r w:rsidR="00BE02A2">
        <w:t>41</w:t>
      </w:r>
      <w:r>
        <w:t>&gt;</w:t>
      </w:r>
    </w:p>
    <w:p w14:paraId="588DBC71" w14:textId="77777777" w:rsidR="00F933C6" w:rsidRPr="00AD4497" w:rsidRDefault="00F933C6" w:rsidP="00F933C6"/>
    <w:p w14:paraId="50831B42" w14:textId="77777777" w:rsidR="00F933C6" w:rsidRPr="00AD4497" w:rsidRDefault="00F933C6" w:rsidP="00F933C6">
      <w:r w:rsidRPr="00AD4497">
        <w:t>bwf acknowledges the potential benefits of discontinuing FIRDS (Financial Instruments Reference Data System) and DVCAP (Double Volume Cap Mechanism). Streamlining these systems could reduce complexity and bring about efficiencies in regulatory processes. However, it is essential to approach this change with caution, particularly regarding the use of transaction reporting data for purposes beyond its original intent.</w:t>
      </w:r>
    </w:p>
    <w:p w14:paraId="76CCDACF" w14:textId="77777777" w:rsidR="00753E02" w:rsidRPr="00AD4497" w:rsidRDefault="00753E02" w:rsidP="00753E02">
      <w:r>
        <w:t>However, e</w:t>
      </w:r>
      <w:r w:rsidRPr="00AD4497">
        <w:t xml:space="preserve">xpanding the use of transaction reporting data to replace FIRDS and DVCAP would require careful consideration of the legal framework governing </w:t>
      </w:r>
      <w:r>
        <w:t>such</w:t>
      </w:r>
      <w:r w:rsidRPr="00AD4497">
        <w:t xml:space="preserve"> data. Transaction reporting under MiFIR is primarily designed for market surveillance and abuse detection. Repurposing this data for new uses may necessitate a legal expansion of its purpose, raising concerns about data privacy and regulatory compliance.</w:t>
      </w:r>
    </w:p>
    <w:p w14:paraId="7AA97098" w14:textId="77777777" w:rsidR="00F933C6" w:rsidRPr="00AD4497" w:rsidRDefault="00F933C6" w:rsidP="00F933C6">
      <w:r w:rsidRPr="00AD4497">
        <w:t>Additionally, the transition to a new system could impose a significant burden on market participants. Changes in reporting processes, system updates, and potential re-training of staff would require substantial resources. While the discontinuation of FIRDS and DVCAP might offer relief in one area, it could introduce complexities in another, offsetting the intended benefits.</w:t>
      </w:r>
    </w:p>
    <w:p w14:paraId="5151654A" w14:textId="77777777" w:rsidR="00F933C6" w:rsidRPr="00AD4497" w:rsidRDefault="00F933C6" w:rsidP="00F933C6">
      <w:r w:rsidRPr="00AD4497">
        <w:t>Therefore, while bwf sees the merit in the proposal, we emphasize the need for a thorough assessment of the legal implications and the operational impact on reporting entities. A balanced approach that ensures compliance and minimizes disruptions is crucial for the successful implementation of any such changes.</w:t>
      </w:r>
    </w:p>
    <w:p w14:paraId="3AA79B47" w14:textId="77777777" w:rsidR="00F933C6" w:rsidRPr="00AD4497" w:rsidRDefault="00F933C6" w:rsidP="00F933C6"/>
    <w:p w14:paraId="4DB81C87" w14:textId="3F4B0EED" w:rsidR="005D3762" w:rsidRDefault="005D3762" w:rsidP="005D3762">
      <w:pPr>
        <w:spacing w:after="0"/>
      </w:pPr>
      <w:r>
        <w:t>&lt;ESMA_QUESTION_</w:t>
      </w:r>
      <w:r w:rsidR="00DF3781">
        <w:t>RTS2224</w:t>
      </w:r>
      <w:r>
        <w:t>_</w:t>
      </w:r>
      <w:r w:rsidR="00BE02A2">
        <w:t>41</w:t>
      </w:r>
      <w:r>
        <w:t>&gt;</w:t>
      </w:r>
    </w:p>
    <w:p w14:paraId="3A9A7C2F" w14:textId="77777777" w:rsidR="005D3762" w:rsidRPr="005D3762" w:rsidRDefault="005D3762" w:rsidP="005D3762"/>
    <w:p w14:paraId="05F9A6D4" w14:textId="77777777" w:rsidR="0029493B" w:rsidRDefault="0029493B" w:rsidP="006B5DF1">
      <w:pPr>
        <w:pStyle w:val="Questionstyle"/>
      </w:pPr>
      <w:r>
        <w:t>Do you have any comments on the methodological approach outlined above?</w:t>
      </w:r>
    </w:p>
    <w:p w14:paraId="2585786D" w14:textId="77777777" w:rsidR="005D3762" w:rsidRDefault="005D3762" w:rsidP="005D3762"/>
    <w:p w14:paraId="6DC6FE8D" w14:textId="37F1230F" w:rsidR="005D3762" w:rsidRDefault="005D3762" w:rsidP="005D3762">
      <w:pPr>
        <w:spacing w:after="0"/>
      </w:pPr>
      <w:r>
        <w:t>&lt;ESMA_QUESTION_</w:t>
      </w:r>
      <w:r w:rsidR="00DF3781">
        <w:t>RTS2224</w:t>
      </w:r>
      <w:r>
        <w:t>_</w:t>
      </w:r>
      <w:r w:rsidR="00BE02A2">
        <w:t>42</w:t>
      </w:r>
      <w:r>
        <w:t>&gt;</w:t>
      </w:r>
    </w:p>
    <w:p w14:paraId="38C6FC23" w14:textId="77777777" w:rsidR="00F933C6" w:rsidRPr="00AD4497" w:rsidRDefault="00F933C6" w:rsidP="00F933C6"/>
    <w:p w14:paraId="44C3939F" w14:textId="77777777" w:rsidR="00F933C6" w:rsidRPr="00AD4497" w:rsidRDefault="00F933C6" w:rsidP="00F933C6">
      <w:r w:rsidRPr="00AD4497">
        <w:t xml:space="preserve">Please see our answer to Q41. </w:t>
      </w:r>
    </w:p>
    <w:p w14:paraId="1E030A7D" w14:textId="77777777" w:rsidR="00F933C6" w:rsidRPr="00AD4497" w:rsidRDefault="00F933C6" w:rsidP="00F933C6"/>
    <w:p w14:paraId="20B17A70" w14:textId="39BE035D" w:rsidR="005D3762" w:rsidRDefault="005D3762" w:rsidP="005D3762">
      <w:pPr>
        <w:spacing w:after="0"/>
      </w:pPr>
      <w:r>
        <w:t>&lt;ESMA_QUESTION_</w:t>
      </w:r>
      <w:r w:rsidR="00DF3781">
        <w:t>RTS2224</w:t>
      </w:r>
      <w:r>
        <w:t>_</w:t>
      </w:r>
      <w:r w:rsidR="00BE02A2">
        <w:t>42</w:t>
      </w:r>
      <w:r>
        <w:t>&gt;</w:t>
      </w:r>
    </w:p>
    <w:p w14:paraId="4BDC417F" w14:textId="77777777" w:rsidR="005D3762" w:rsidRPr="005D3762" w:rsidRDefault="005D3762" w:rsidP="005D3762"/>
    <w:p w14:paraId="5581D6D3" w14:textId="77777777" w:rsidR="0029493B" w:rsidRDefault="0029493B" w:rsidP="006B5DF1">
      <w:pPr>
        <w:pStyle w:val="Questionstyle"/>
      </w:pPr>
      <w:r>
        <w:t>Do you have other comments on this potential change, e.g. on specific issues, challenges or alternatives that could be considered by ESMA in its assessment?</w:t>
      </w:r>
    </w:p>
    <w:p w14:paraId="7E77E1CB" w14:textId="77777777" w:rsidR="005D3762" w:rsidRDefault="005D3762" w:rsidP="005D3762"/>
    <w:p w14:paraId="2D6DF330" w14:textId="467F69EE" w:rsidR="005D3762" w:rsidRDefault="005D3762" w:rsidP="005D3762">
      <w:pPr>
        <w:spacing w:after="0"/>
      </w:pPr>
      <w:r>
        <w:t>&lt;ESMA_QUESTION_</w:t>
      </w:r>
      <w:r w:rsidR="00DF3781">
        <w:t>RTS2224</w:t>
      </w:r>
      <w:r>
        <w:t>_</w:t>
      </w:r>
      <w:r w:rsidR="00BE02A2">
        <w:t>43</w:t>
      </w:r>
      <w:r>
        <w:t>&gt;</w:t>
      </w:r>
    </w:p>
    <w:p w14:paraId="7F041C9E" w14:textId="77777777" w:rsidR="00F933C6" w:rsidRPr="00AD4497" w:rsidRDefault="00F933C6" w:rsidP="00F933C6"/>
    <w:p w14:paraId="5BCAD135" w14:textId="77777777" w:rsidR="00F933C6" w:rsidRPr="00AD4497" w:rsidRDefault="00F933C6" w:rsidP="00F933C6">
      <w:r w:rsidRPr="00AD4497">
        <w:t xml:space="preserve">Please see our answer to Q41. </w:t>
      </w:r>
    </w:p>
    <w:p w14:paraId="0EC8C92E" w14:textId="77777777" w:rsidR="00F933C6" w:rsidRPr="00AD4497" w:rsidRDefault="00F933C6" w:rsidP="00F933C6"/>
    <w:p w14:paraId="0ECACA55" w14:textId="70F89F7A" w:rsidR="005D3762" w:rsidRDefault="005D3762" w:rsidP="005D3762">
      <w:pPr>
        <w:spacing w:after="0"/>
      </w:pPr>
      <w:r>
        <w:t>&lt;ESMA_QUESTION_</w:t>
      </w:r>
      <w:r w:rsidR="00DF3781">
        <w:t>RTS2224</w:t>
      </w:r>
      <w:r>
        <w:t>_</w:t>
      </w:r>
      <w:r w:rsidR="00BE02A2">
        <w:t>43</w:t>
      </w:r>
      <w:r>
        <w:t>&gt;</w:t>
      </w:r>
    </w:p>
    <w:p w14:paraId="19353718" w14:textId="77777777" w:rsidR="005D3762" w:rsidRPr="005D3762" w:rsidRDefault="005D3762" w:rsidP="005D3762"/>
    <w:p w14:paraId="711B4540" w14:textId="77777777" w:rsidR="0029493B" w:rsidRDefault="0029493B" w:rsidP="006B5DF1">
      <w:pPr>
        <w:pStyle w:val="Questionstyle"/>
      </w:pPr>
      <w:r>
        <w:t xml:space="preserve">Do you agree with the proposal of adopting JSON as standard and format of order book data keeping and transmission? Please justify your answer. </w:t>
      </w:r>
    </w:p>
    <w:p w14:paraId="6CB354E2" w14:textId="77777777" w:rsidR="005D3762" w:rsidRDefault="005D3762" w:rsidP="005D3762"/>
    <w:p w14:paraId="45F621AE" w14:textId="7BE58413" w:rsidR="005D3762" w:rsidRDefault="005D3762" w:rsidP="005D3762">
      <w:pPr>
        <w:spacing w:after="0"/>
      </w:pPr>
      <w:r>
        <w:t>&lt;ESMA_QUESTION_</w:t>
      </w:r>
      <w:r w:rsidR="00DF3781">
        <w:t>RTS2224</w:t>
      </w:r>
      <w:r>
        <w:t>_</w:t>
      </w:r>
      <w:r w:rsidR="00BE02A2">
        <w:t>44</w:t>
      </w:r>
      <w:r>
        <w:t>&gt;</w:t>
      </w:r>
    </w:p>
    <w:p w14:paraId="05F1F996" w14:textId="77777777" w:rsidR="00F933C6" w:rsidRPr="00AD4497" w:rsidRDefault="00F933C6" w:rsidP="00F933C6"/>
    <w:p w14:paraId="243DCA42" w14:textId="77777777" w:rsidR="00753E02" w:rsidRPr="00AD4497" w:rsidRDefault="00753E02" w:rsidP="00753E02">
      <w:r w:rsidRPr="00AD4497">
        <w:t xml:space="preserve">bwf does not agree with the proposal to adopt JSON as the standard format for order book data keeping and transmission. While JSON </w:t>
      </w:r>
      <w:r>
        <w:t xml:space="preserve">might </w:t>
      </w:r>
      <w:r w:rsidRPr="00AD4497">
        <w:t xml:space="preserve">offer </w:t>
      </w:r>
      <w:r>
        <w:t xml:space="preserve">certain </w:t>
      </w:r>
      <w:r w:rsidRPr="00AD4497">
        <w:t xml:space="preserve">benefits such as more efficient data parsing and a lighter data structure compared to XML, the transition to JSON presents significant challenges that need to be carefully considered. As noted in our responses to RTS 22, many financial institutions have </w:t>
      </w:r>
      <w:r>
        <w:t xml:space="preserve">already </w:t>
      </w:r>
      <w:r w:rsidRPr="00AD4497">
        <w:t>heavily invested in XML-based systems, designed to meet regulatory standards and ensure data consistency.</w:t>
      </w:r>
    </w:p>
    <w:p w14:paraId="4958B4A8" w14:textId="77777777" w:rsidR="00F933C6" w:rsidRPr="00AD4497" w:rsidRDefault="00F933C6" w:rsidP="00F933C6">
      <w:r w:rsidRPr="00AD4497">
        <w:t>Moving to JSON would require significant redevelopment of these systems, extensive testing, and validation to ensure data integrity. Additionally, the transition could introduce operational disruptions, necessitating retraining of staff and adaptation of processes to the new format. These concerns echo those expressed in our earlier feedback on the potential changes to reporting formats.</w:t>
      </w:r>
    </w:p>
    <w:p w14:paraId="6B177D9A" w14:textId="77777777" w:rsidR="00F933C6" w:rsidRPr="00AD4497" w:rsidRDefault="00F933C6" w:rsidP="00F933C6"/>
    <w:p w14:paraId="04793554" w14:textId="00AB6B62" w:rsidR="005D3762" w:rsidRDefault="005D3762" w:rsidP="005D3762">
      <w:pPr>
        <w:spacing w:after="0"/>
      </w:pPr>
      <w:r>
        <w:t>&lt;ESMA_QUESTION_</w:t>
      </w:r>
      <w:r w:rsidR="00DF3781">
        <w:t>RTS2224</w:t>
      </w:r>
      <w:r>
        <w:t>_</w:t>
      </w:r>
      <w:r w:rsidR="00BE02A2">
        <w:t>44</w:t>
      </w:r>
      <w:r>
        <w:t>&gt;</w:t>
      </w:r>
    </w:p>
    <w:p w14:paraId="58C4A904" w14:textId="77777777" w:rsidR="005D3762" w:rsidRPr="005D3762" w:rsidRDefault="005D3762" w:rsidP="005D3762"/>
    <w:p w14:paraId="3E3C97F8" w14:textId="77777777" w:rsidR="0029493B" w:rsidRDefault="0029493B" w:rsidP="006B5DF1">
      <w:pPr>
        <w:pStyle w:val="Questionstyle"/>
      </w:pPr>
      <w:r>
        <w:t>Please provide your views on the format of reporting and any challenges you foresee with the use of JSON format compared to XML. Please provide estimates of the costs, timelines and benefits (short and long term) related to the potential implementation of JSON syntax.</w:t>
      </w:r>
    </w:p>
    <w:p w14:paraId="65B30DB7" w14:textId="77777777" w:rsidR="005D3762" w:rsidRDefault="005D3762" w:rsidP="005D3762"/>
    <w:p w14:paraId="1372D452" w14:textId="6E536A8C" w:rsidR="005D3762" w:rsidRDefault="005D3762" w:rsidP="005D3762">
      <w:pPr>
        <w:spacing w:after="0"/>
      </w:pPr>
      <w:r>
        <w:t>&lt;ESMA_QUESTION_</w:t>
      </w:r>
      <w:r w:rsidR="00DF3781">
        <w:t>RTS2224</w:t>
      </w:r>
      <w:r>
        <w:t>_</w:t>
      </w:r>
      <w:r w:rsidR="00BE02A2">
        <w:t>45</w:t>
      </w:r>
      <w:r>
        <w:t>&gt;</w:t>
      </w:r>
    </w:p>
    <w:p w14:paraId="34BB7AC2" w14:textId="77777777" w:rsidR="00F933C6" w:rsidRPr="00AD4497" w:rsidRDefault="00F933C6" w:rsidP="00F933C6"/>
    <w:p w14:paraId="4E91A304" w14:textId="77777777" w:rsidR="003017D1" w:rsidRPr="00AD4497" w:rsidRDefault="003017D1" w:rsidP="003017D1">
      <w:r w:rsidRPr="00AD4497">
        <w:t xml:space="preserve">The shift to JSON format presents several challenges compared to the current XML standard. A primary concern is the substantial investment already made in XML-based infrastructure aligned with ISO 20022 standards. Transitioning to JSON would require a comprehensive overhaul of existing systems, leading to high costs in development, testing, and staff training. </w:t>
      </w:r>
      <w:r>
        <w:t>Under conservative estimates such a</w:t>
      </w:r>
      <w:r w:rsidRPr="00AD4497">
        <w:t xml:space="preserve"> transition could </w:t>
      </w:r>
      <w:r>
        <w:t xml:space="preserve">easily </w:t>
      </w:r>
      <w:r w:rsidRPr="00AD4497">
        <w:t>take 18-36 months, given the complexity of the change and the need for industry-wide coordination.</w:t>
      </w:r>
    </w:p>
    <w:p w14:paraId="07B4C5B5" w14:textId="77777777" w:rsidR="00F933C6" w:rsidRPr="00AD4497" w:rsidRDefault="00F933C6" w:rsidP="00F933C6">
      <w:r w:rsidRPr="00AD4497">
        <w:t>While JSON might offer more efficient data handling and reduced data size, these benefits are marginal compared to the stability and robustness of XML. bwf recommends enhancing the existing XML-based framework rather than adopting JSON for order book data, consistent with our earlier feedback on RTS 22.</w:t>
      </w:r>
    </w:p>
    <w:p w14:paraId="3D115C70" w14:textId="77777777" w:rsidR="00F933C6" w:rsidRPr="00AD4497" w:rsidRDefault="00F933C6" w:rsidP="00F933C6"/>
    <w:p w14:paraId="5F3D4CB2" w14:textId="4C35E2E3" w:rsidR="005D3762" w:rsidRDefault="005D3762" w:rsidP="005D3762">
      <w:pPr>
        <w:spacing w:after="0"/>
      </w:pPr>
      <w:r>
        <w:t>&lt;ESMA_QUESTION_</w:t>
      </w:r>
      <w:r w:rsidR="00DF3781">
        <w:t>RTS2224</w:t>
      </w:r>
      <w:r>
        <w:t>_</w:t>
      </w:r>
      <w:r w:rsidR="00BE02A2">
        <w:t>45</w:t>
      </w:r>
      <w:r>
        <w:t>&gt;</w:t>
      </w:r>
    </w:p>
    <w:p w14:paraId="342F51B7" w14:textId="77777777" w:rsidR="005D3762" w:rsidRPr="005D3762" w:rsidRDefault="005D3762" w:rsidP="005D3762"/>
    <w:p w14:paraId="359ED857" w14:textId="77777777" w:rsidR="0029493B" w:rsidRDefault="0029493B" w:rsidP="006B5DF1">
      <w:pPr>
        <w:pStyle w:val="Questionstyle"/>
      </w:pPr>
      <w:r>
        <w:t>Do you have any comments on the proposed approach to updating the field list in the Annex to align with the proposed RTS 22 fields? Please flag any additional aspects that may need to be considered.</w:t>
      </w:r>
    </w:p>
    <w:p w14:paraId="2BAF82BC" w14:textId="77777777" w:rsidR="005D3762" w:rsidRDefault="005D3762" w:rsidP="005D3762"/>
    <w:p w14:paraId="2E8256DC" w14:textId="2CD3F328" w:rsidR="005D3762" w:rsidRDefault="005D3762" w:rsidP="005D3762">
      <w:pPr>
        <w:spacing w:after="0"/>
      </w:pPr>
      <w:r>
        <w:t>&lt;ESMA_QUESTION_</w:t>
      </w:r>
      <w:r w:rsidR="00DF3781">
        <w:t>RTS2224</w:t>
      </w:r>
      <w:r>
        <w:t>_</w:t>
      </w:r>
      <w:r w:rsidR="00BE02A2">
        <w:t>46</w:t>
      </w:r>
      <w:r>
        <w:t>&gt;</w:t>
      </w:r>
    </w:p>
    <w:p w14:paraId="0970CFBE" w14:textId="77777777" w:rsidR="00F933C6" w:rsidRPr="00AD4497" w:rsidRDefault="00F933C6" w:rsidP="00F933C6"/>
    <w:p w14:paraId="57F3080B" w14:textId="77777777" w:rsidR="00A73D11" w:rsidRPr="00AD4497" w:rsidRDefault="00A73D11" w:rsidP="00A73D11">
      <w:r w:rsidRPr="00AD4497">
        <w:t xml:space="preserve">bwf acknowledges the intent to align the field list in the Annex of RTS 24 with the proposed fields in RTS 22. This </w:t>
      </w:r>
      <w:r>
        <w:t>harmonization</w:t>
      </w:r>
      <w:r w:rsidRPr="00AD4497">
        <w:t xml:space="preserve"> could enhance consistency across reporting frameworks, potentially simplifying the compliance process for market participants who report under both RTS 22 and RTS 24.</w:t>
      </w:r>
    </w:p>
    <w:p w14:paraId="21886CEF" w14:textId="77777777" w:rsidR="00A73D11" w:rsidRPr="00AD4497" w:rsidRDefault="00A73D11" w:rsidP="00A73D11">
      <w:r w:rsidRPr="00AD4497">
        <w:t>However, we recommend a cautious approach to ensure that the alignment does not inadvertently introduce complexities or burdens. It is essential to assess whether the fields proposed for RTS 22 are fully applicable to the specific context of order book data under RTS 24. Some fields that are relevant for transaction reporting may not be directly applicable or beneficial for order book data, and their inclusion could lead to unnecessary reporting obligations.</w:t>
      </w:r>
    </w:p>
    <w:p w14:paraId="09C7C5A0" w14:textId="77777777" w:rsidR="00A73D11" w:rsidRPr="00AD4497" w:rsidRDefault="00A73D11" w:rsidP="00A73D11">
      <w:r w:rsidRPr="00AD4497">
        <w:t xml:space="preserve">Additionally, we </w:t>
      </w:r>
      <w:r>
        <w:t xml:space="preserve">once again </w:t>
      </w:r>
      <w:r w:rsidRPr="00AD4497">
        <w:t>emphasize the importance of conducting a comprehensive cost-benefit analysis to understand the impact of these changes on reporting entities. Any updates should be accompanied by clear guidance and sufficient transition periods to allow firms to adapt their systems and processes accordingly.</w:t>
      </w:r>
    </w:p>
    <w:p w14:paraId="4FF53276" w14:textId="77777777" w:rsidR="00A73D11" w:rsidRPr="00AD4497" w:rsidRDefault="00A73D11" w:rsidP="00A73D11">
      <w:r w:rsidRPr="00AD4497">
        <w:t>In summary, while we support efforts to streamline and harmonize reporting requirements, it is crucial to ensure that the proposed updates to the field list are relevant, practical, and do not impose undue burdens on market participants.</w:t>
      </w:r>
    </w:p>
    <w:p w14:paraId="2CD4509E" w14:textId="77777777" w:rsidR="00F933C6" w:rsidRPr="00AD4497" w:rsidRDefault="00F933C6" w:rsidP="00F933C6"/>
    <w:p w14:paraId="2EE5064F" w14:textId="32C69FDF" w:rsidR="005D3762" w:rsidRDefault="005D3762" w:rsidP="005D3762">
      <w:pPr>
        <w:spacing w:after="0"/>
      </w:pPr>
      <w:r>
        <w:t>&lt;ESMA_QUESTION_</w:t>
      </w:r>
      <w:r w:rsidR="00DF3781">
        <w:t>RTS2224</w:t>
      </w:r>
      <w:r>
        <w:t>_</w:t>
      </w:r>
      <w:r w:rsidR="00BE02A2">
        <w:t>4</w:t>
      </w:r>
      <w:r>
        <w:t>6&gt;</w:t>
      </w:r>
    </w:p>
    <w:p w14:paraId="6D3CD50A" w14:textId="77777777" w:rsidR="005D3762" w:rsidRPr="005D3762" w:rsidRDefault="005D3762" w:rsidP="005D3762"/>
    <w:p w14:paraId="29DE53E1" w14:textId="77777777" w:rsidR="0029493B" w:rsidRDefault="0029493B" w:rsidP="006B5DF1">
      <w:pPr>
        <w:pStyle w:val="Questionstyle"/>
      </w:pPr>
      <w:r>
        <w:t>Do you support inclusion of the new fields listed above?</w:t>
      </w:r>
    </w:p>
    <w:p w14:paraId="0129A3EC" w14:textId="77777777" w:rsidR="005D3762" w:rsidRDefault="005D3762" w:rsidP="005D3762"/>
    <w:p w14:paraId="67485EF9" w14:textId="7A13F741" w:rsidR="005D3762" w:rsidRDefault="005D3762" w:rsidP="005D3762">
      <w:pPr>
        <w:spacing w:after="0"/>
      </w:pPr>
      <w:r>
        <w:t>&lt;ESMA_QUESTION_</w:t>
      </w:r>
      <w:r w:rsidR="00DF3781">
        <w:t>RTS2224</w:t>
      </w:r>
      <w:r>
        <w:t>_</w:t>
      </w:r>
      <w:r w:rsidR="00BE02A2">
        <w:t>47</w:t>
      </w:r>
      <w:r>
        <w:t>&gt;</w:t>
      </w:r>
    </w:p>
    <w:p w14:paraId="5B1D7BB4" w14:textId="77777777" w:rsidR="00F933C6" w:rsidRPr="00AD4497" w:rsidRDefault="00F933C6" w:rsidP="00F933C6"/>
    <w:p w14:paraId="151F981D" w14:textId="77777777" w:rsidR="00F933C6" w:rsidRPr="00BA2FA4" w:rsidRDefault="00F933C6" w:rsidP="00F933C6">
      <w:pPr>
        <w:rPr>
          <w:lang w:val="en-US"/>
        </w:rPr>
      </w:pPr>
      <w:r w:rsidRPr="00BA2FA4">
        <w:rPr>
          <w:lang w:val="en-US"/>
        </w:rPr>
        <w:t>bwf supports the inclusion of new fields in RTS 24 only if they prove to be necessary for enhancing the quality and utility of order book data reporting. It is crucial that these new fields address clearly identified reporting gaps and are not introduced merely for alignment with RTS 22. Each proposed field should be rigorously evaluated and justified with a clear explanation of its purpose and the tangible benefits it brings to the reporting framework. Unnecessary additions could impose undue burdens without delivering meaningful improvements.</w:t>
      </w:r>
    </w:p>
    <w:p w14:paraId="781B3D57" w14:textId="77777777" w:rsidR="00F933C6" w:rsidRPr="00BA2FA4" w:rsidRDefault="00F933C6" w:rsidP="00F933C6">
      <w:pPr>
        <w:rPr>
          <w:lang w:val="en-US"/>
        </w:rPr>
      </w:pPr>
    </w:p>
    <w:p w14:paraId="1B9C0209" w14:textId="31346AE1" w:rsidR="005D3762" w:rsidRDefault="005D3762" w:rsidP="005D3762">
      <w:pPr>
        <w:spacing w:after="0"/>
      </w:pPr>
      <w:r>
        <w:t>&lt;ESMA_QUESTION_</w:t>
      </w:r>
      <w:r w:rsidR="00DF3781">
        <w:t>RTS2224</w:t>
      </w:r>
      <w:r>
        <w:t>_</w:t>
      </w:r>
      <w:r w:rsidR="00BE02A2">
        <w:t>47</w:t>
      </w:r>
      <w:r>
        <w:t>&gt;</w:t>
      </w:r>
    </w:p>
    <w:p w14:paraId="63A5BF71" w14:textId="77777777" w:rsidR="005D3762" w:rsidRPr="005D3762" w:rsidRDefault="005D3762" w:rsidP="005D3762"/>
    <w:p w14:paraId="5144A326" w14:textId="77777777" w:rsidR="0029493B" w:rsidRDefault="0029493B" w:rsidP="006B5DF1">
      <w:pPr>
        <w:pStyle w:val="Questionstyle"/>
      </w:pPr>
      <w:r>
        <w:t>Do you agree with the amendments listed above for the existing fields?</w:t>
      </w:r>
    </w:p>
    <w:p w14:paraId="3D11FBEA" w14:textId="77777777" w:rsidR="005D3762" w:rsidRDefault="005D3762" w:rsidP="005D3762"/>
    <w:p w14:paraId="52B19782" w14:textId="4E89EB9C" w:rsidR="005D3762" w:rsidRDefault="005D3762" w:rsidP="005D3762">
      <w:pPr>
        <w:spacing w:after="0"/>
      </w:pPr>
      <w:r>
        <w:t>&lt;ESMA_QUESTION_</w:t>
      </w:r>
      <w:r w:rsidR="00DF3781">
        <w:t>RTS2224</w:t>
      </w:r>
      <w:r>
        <w:t>_</w:t>
      </w:r>
      <w:r w:rsidR="00BE02A2">
        <w:t>48</w:t>
      </w:r>
      <w:r>
        <w:t>&gt;</w:t>
      </w:r>
    </w:p>
    <w:p w14:paraId="30F1389D" w14:textId="77777777" w:rsidR="00F933C6" w:rsidRPr="00AD4497" w:rsidRDefault="00F933C6" w:rsidP="00F933C6"/>
    <w:p w14:paraId="3115ADDC" w14:textId="77777777" w:rsidR="00F933C6" w:rsidRPr="00AD4497" w:rsidRDefault="00F933C6" w:rsidP="00F933C6">
      <w:r w:rsidRPr="00AD4497">
        <w:t xml:space="preserve">bwf agrees with the amendments to the existing fields in RTS 24, as long as they are designed to enhance the clarity and accuracy of reported data. However, we stress the importance of clear guidance on the implementation of these changes to prevent confusion and ensure consistency across reporting entities. </w:t>
      </w:r>
    </w:p>
    <w:p w14:paraId="27BBAE0F" w14:textId="77777777" w:rsidR="00F933C6" w:rsidRPr="00AD4497" w:rsidRDefault="00F933C6" w:rsidP="00F933C6"/>
    <w:p w14:paraId="78142E4A" w14:textId="2B51B562" w:rsidR="005D3762" w:rsidRDefault="005D3762" w:rsidP="005D3762">
      <w:pPr>
        <w:spacing w:after="0"/>
      </w:pPr>
      <w:r>
        <w:t>&lt;ESMA_QUESTION_</w:t>
      </w:r>
      <w:r w:rsidR="00DF3781">
        <w:t>RTS2224</w:t>
      </w:r>
      <w:r>
        <w:t>_</w:t>
      </w:r>
      <w:r w:rsidR="00BE02A2">
        <w:t>48</w:t>
      </w:r>
      <w:r>
        <w:t>&gt;</w:t>
      </w:r>
    </w:p>
    <w:p w14:paraId="15657B07" w14:textId="77777777" w:rsidR="005D3762" w:rsidRPr="005D3762" w:rsidRDefault="005D3762" w:rsidP="005D3762"/>
    <w:p w14:paraId="1D4BA5B7" w14:textId="76BCDD23" w:rsidR="00E619AB" w:rsidRDefault="0029493B" w:rsidP="006B5DF1">
      <w:pPr>
        <w:pStyle w:val="Questionstyle"/>
      </w:pPr>
      <w:r>
        <w:t>Do you have further suggestions to improve or streamline the other fields in RTS 24?</w:t>
      </w:r>
    </w:p>
    <w:p w14:paraId="2F6C0691" w14:textId="77777777" w:rsidR="005D3762" w:rsidRDefault="005D3762" w:rsidP="005D3762"/>
    <w:p w14:paraId="1DB879C6" w14:textId="673D50C3" w:rsidR="005D3762" w:rsidRDefault="005D3762" w:rsidP="005D3762">
      <w:pPr>
        <w:spacing w:after="0"/>
      </w:pPr>
      <w:r>
        <w:t>&lt;ESMA_QUESTION_</w:t>
      </w:r>
      <w:r w:rsidR="00DF3781">
        <w:t>RTS2224</w:t>
      </w:r>
      <w:r>
        <w:t>_</w:t>
      </w:r>
      <w:r w:rsidR="00BE02A2">
        <w:t>49</w:t>
      </w:r>
      <w:r>
        <w:t>&gt;</w:t>
      </w:r>
    </w:p>
    <w:p w14:paraId="7AE65C94" w14:textId="77777777" w:rsidR="00F933C6" w:rsidRPr="00AD4497" w:rsidRDefault="00F933C6" w:rsidP="00F933C6"/>
    <w:p w14:paraId="12A0EC1E" w14:textId="77777777" w:rsidR="00C76BF5" w:rsidRPr="00AD4497" w:rsidRDefault="00C76BF5" w:rsidP="00C76BF5">
      <w:r w:rsidRPr="00AD4497">
        <w:t xml:space="preserve">bwf suggests that any efforts to improve or streamline other fields in RTS 24 should focus on reducing redundancy and ensuring that all required data serves a clear regulatory purpose. Simplifying the reporting framework can help reduce the administrative burden on firms and improve the overall efficiency of the reporting process. We encourage a collaborative approach, involving industry stakeholders, to identify specific areas where reporting can be made more straightforward without compromising the quality or completeness of the data provided. </w:t>
      </w:r>
      <w:r>
        <w:t>Also in this context</w:t>
      </w:r>
      <w:r w:rsidRPr="00AD4497">
        <w:t>, conducting a cost-benefit analysis can help ensure that any proposed changes deliver genuine value without imposing disproportionate costs.</w:t>
      </w:r>
    </w:p>
    <w:p w14:paraId="62DC4326" w14:textId="77777777" w:rsidR="00F933C6" w:rsidRPr="00AD4497" w:rsidRDefault="00F933C6" w:rsidP="00F933C6"/>
    <w:p w14:paraId="1128D292" w14:textId="3CA82F5D" w:rsidR="005D3762" w:rsidRDefault="005D3762" w:rsidP="005D3762">
      <w:pPr>
        <w:spacing w:after="0"/>
      </w:pPr>
      <w:r>
        <w:t>&lt;ESMA_QUESTION_</w:t>
      </w:r>
      <w:r w:rsidR="00DF3781">
        <w:t>RTS2224</w:t>
      </w:r>
      <w:r>
        <w:t>_</w:t>
      </w:r>
      <w:r w:rsidR="00BE02A2">
        <w:t>49</w:t>
      </w:r>
      <w:r>
        <w:t>&gt;</w:t>
      </w:r>
    </w:p>
    <w:p w14:paraId="0FBBCA0F" w14:textId="77777777" w:rsidR="005D3762" w:rsidRPr="005D3762" w:rsidRDefault="005D3762" w:rsidP="005D3762"/>
    <w:sectPr w:rsidR="005D3762" w:rsidRPr="005D3762"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E5FC4" w14:textId="77777777" w:rsidR="001C3D4C" w:rsidRDefault="001C3D4C" w:rsidP="00F716D4">
      <w:r>
        <w:separator/>
      </w:r>
    </w:p>
    <w:p w14:paraId="4D2CA676" w14:textId="77777777" w:rsidR="001C3D4C" w:rsidRDefault="001C3D4C" w:rsidP="00F716D4"/>
  </w:endnote>
  <w:endnote w:type="continuationSeparator" w:id="0">
    <w:p w14:paraId="68C62FFF" w14:textId="77777777" w:rsidR="001C3D4C" w:rsidRDefault="001C3D4C" w:rsidP="00F716D4">
      <w:r>
        <w:continuationSeparator/>
      </w:r>
    </w:p>
    <w:p w14:paraId="162C456C" w14:textId="77777777" w:rsidR="001C3D4C" w:rsidRDefault="001C3D4C" w:rsidP="00F716D4"/>
  </w:endnote>
  <w:endnote w:type="continuationNotice" w:id="1">
    <w:p w14:paraId="514CDA22" w14:textId="77777777" w:rsidR="001C3D4C" w:rsidRDefault="001C3D4C"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panose1 w:val="020B04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CBD0" w14:textId="77777777" w:rsidR="005A4533" w:rsidRDefault="005A453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BF42" w14:textId="0AE44582" w:rsidR="00C54034" w:rsidRPr="00104E00" w:rsidRDefault="00104E00" w:rsidP="00104E00">
    <w:pPr>
      <w:pStyle w:val="Fuzeile"/>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F2110" w14:textId="77777777" w:rsidR="005A4533" w:rsidRDefault="005A4533">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uzeile"/>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3F283" w14:textId="77777777" w:rsidR="001C3D4C" w:rsidRDefault="001C3D4C" w:rsidP="00F716D4">
      <w:r>
        <w:separator/>
      </w:r>
    </w:p>
    <w:p w14:paraId="50EB7E61" w14:textId="77777777" w:rsidR="001C3D4C" w:rsidRDefault="001C3D4C" w:rsidP="00F716D4"/>
  </w:footnote>
  <w:footnote w:type="continuationSeparator" w:id="0">
    <w:p w14:paraId="6D3323D4" w14:textId="77777777" w:rsidR="001C3D4C" w:rsidRDefault="001C3D4C" w:rsidP="00F716D4">
      <w:r>
        <w:continuationSeparator/>
      </w:r>
    </w:p>
    <w:p w14:paraId="5DF27A6B" w14:textId="77777777" w:rsidR="001C3D4C" w:rsidRDefault="001C3D4C" w:rsidP="00F716D4"/>
  </w:footnote>
  <w:footnote w:type="continuationNotice" w:id="1">
    <w:p w14:paraId="0E1E5F57" w14:textId="77777777" w:rsidR="001C3D4C" w:rsidRDefault="001C3D4C"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3789" w14:textId="77777777" w:rsidR="005A4533" w:rsidRDefault="005A453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6643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861086108" name="Picture 1861086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FF7C" w14:textId="77777777" w:rsidR="00C54034" w:rsidRPr="00E43387" w:rsidRDefault="00C54034" w:rsidP="00F716D4">
    <w:pPr>
      <w:pStyle w:val="HeaderFoot"/>
    </w:pPr>
    <w:bookmarkStart w:id="4" w:name="_Hlk124775980"/>
    <w:bookmarkStart w:id="5" w:name="_Hlk124775948"/>
  </w:p>
  <w:p w14:paraId="011E436B" w14:textId="7D5B65BA" w:rsidR="00F87468" w:rsidRPr="00E43387" w:rsidRDefault="002E2DC6" w:rsidP="00F716D4">
    <w:pPr>
      <w:pStyle w:val="HeaderFoot"/>
    </w:pPr>
    <w:r>
      <w:t>07</w:t>
    </w:r>
    <w:r w:rsidR="00E43387" w:rsidRPr="00E43387">
      <w:t xml:space="preserve"> </w:t>
    </w:r>
    <w:bookmarkEnd w:id="4"/>
    <w:r>
      <w:t xml:space="preserve">October </w:t>
    </w:r>
    <w:r w:rsidR="00E43387" w:rsidRPr="00E43387">
      <w:t>2024</w:t>
    </w:r>
  </w:p>
  <w:bookmarkEnd w:id="5"/>
  <w:p w14:paraId="4661A9E6" w14:textId="494EADD4" w:rsidR="00F107EF" w:rsidRPr="00F716D4" w:rsidRDefault="00613629" w:rsidP="00C54034">
    <w:pPr>
      <w:pStyle w:val="HeaderFoot"/>
    </w:pPr>
    <w:r>
      <w:fldChar w:fldCharType="begin"/>
    </w:r>
    <w:r>
      <w:instrText>HYPERLINK "https://securitiesandmarketsauth.sharepoint.com/sites/sherpa-daru/_layouts/15/DocIdRedir.aspx?ID=ESMA12-2121844265-3960" \o "ESMA12-2121844265-3960" \t "_blank"</w:instrText>
    </w:r>
    <w:r>
      <w:fldChar w:fldCharType="separate"/>
    </w:r>
    <w:r w:rsidRPr="00613629">
      <w:t>ESMA12-2121844265-3960</w:t>
    </w:r>
    <w:r>
      <w:fldChar w:fldCharType="end"/>
    </w:r>
    <w:r w:rsidR="00F87468" w:rsidRPr="00F716D4">
      <w:rPr>
        <w:rStyle w:val="ESMAConfidentialRestricted"/>
        <w:noProof/>
        <w:sz w:val="16"/>
        <w:highlight w:val="yellow"/>
      </w:rPr>
      <w:drawing>
        <wp:anchor distT="0" distB="0" distL="114300" distR="114300" simplePos="0" relativeHeight="251662336"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1196623499" name="Picture 1196623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64384"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731611961" name="Picture 731611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99C7C92"/>
    <w:multiLevelType w:val="multilevel"/>
    <w:tmpl w:val="7E3A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BDE6C86"/>
    <w:multiLevelType w:val="multilevel"/>
    <w:tmpl w:val="55702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3D756135"/>
    <w:multiLevelType w:val="multilevel"/>
    <w:tmpl w:val="189ED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76CB231B"/>
    <w:multiLevelType w:val="multilevel"/>
    <w:tmpl w:val="0B02C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0" w15:restartNumberingAfterBreak="0">
    <w:nsid w:val="7FEF56C0"/>
    <w:multiLevelType w:val="hybridMultilevel"/>
    <w:tmpl w:val="3CD65192"/>
    <w:lvl w:ilvl="0" w:tplc="E674947E">
      <w:start w:val="1"/>
      <w:numFmt w:val="decimal"/>
      <w:pStyle w:val="berschrift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6"/>
  </w:num>
  <w:num w:numId="2" w16cid:durableId="1769932826">
    <w:abstractNumId w:val="20"/>
  </w:num>
  <w:num w:numId="3" w16cid:durableId="550074866">
    <w:abstractNumId w:val="10"/>
  </w:num>
  <w:num w:numId="4" w16cid:durableId="1881627233">
    <w:abstractNumId w:val="25"/>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2"/>
  </w:num>
  <w:num w:numId="9" w16cid:durableId="1008846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8"/>
  </w:num>
  <w:num w:numId="12" w16cid:durableId="1500659627">
    <w:abstractNumId w:val="31"/>
  </w:num>
  <w:num w:numId="13" w16cid:durableId="1879658227">
    <w:abstractNumId w:val="24"/>
  </w:num>
  <w:num w:numId="14" w16cid:durableId="1495758855">
    <w:abstractNumId w:val="9"/>
  </w:num>
  <w:num w:numId="15" w16cid:durableId="1186556611">
    <w:abstractNumId w:val="1"/>
  </w:num>
  <w:num w:numId="16" w16cid:durableId="679087124">
    <w:abstractNumId w:val="13"/>
  </w:num>
  <w:num w:numId="17" w16cid:durableId="1695498691">
    <w:abstractNumId w:val="14"/>
  </w:num>
  <w:num w:numId="18" w16cid:durableId="1042363640">
    <w:abstractNumId w:val="17"/>
  </w:num>
  <w:num w:numId="19" w16cid:durableId="820345968">
    <w:abstractNumId w:val="27"/>
  </w:num>
  <w:num w:numId="20" w16cid:durableId="1805388212">
    <w:abstractNumId w:val="36"/>
  </w:num>
  <w:num w:numId="21" w16cid:durableId="538709007">
    <w:abstractNumId w:val="26"/>
  </w:num>
  <w:num w:numId="22" w16cid:durableId="104540172">
    <w:abstractNumId w:val="8"/>
  </w:num>
  <w:num w:numId="23" w16cid:durableId="1824349076">
    <w:abstractNumId w:val="30"/>
  </w:num>
  <w:num w:numId="24" w16cid:durableId="672032853">
    <w:abstractNumId w:val="29"/>
  </w:num>
  <w:num w:numId="25" w16cid:durableId="48917541">
    <w:abstractNumId w:val="21"/>
  </w:num>
  <w:num w:numId="26" w16cid:durableId="978925443">
    <w:abstractNumId w:val="33"/>
  </w:num>
  <w:num w:numId="27" w16cid:durableId="1036613928">
    <w:abstractNumId w:val="39"/>
  </w:num>
  <w:num w:numId="28" w16cid:durableId="872039349">
    <w:abstractNumId w:val="5"/>
  </w:num>
  <w:num w:numId="29" w16cid:durableId="924530660">
    <w:abstractNumId w:val="2"/>
  </w:num>
  <w:num w:numId="30" w16cid:durableId="419180233">
    <w:abstractNumId w:val="23"/>
  </w:num>
  <w:num w:numId="31" w16cid:durableId="276761337">
    <w:abstractNumId w:val="22"/>
  </w:num>
  <w:num w:numId="32" w16cid:durableId="1166238383">
    <w:abstractNumId w:val="35"/>
  </w:num>
  <w:num w:numId="33" w16cid:durableId="2076850202">
    <w:abstractNumId w:val="34"/>
  </w:num>
  <w:num w:numId="34" w16cid:durableId="469176496">
    <w:abstractNumId w:val="11"/>
  </w:num>
  <w:num w:numId="35" w16cid:durableId="674843309">
    <w:abstractNumId w:val="19"/>
  </w:num>
  <w:num w:numId="36" w16cid:durableId="1954971501">
    <w:abstractNumId w:val="40"/>
  </w:num>
  <w:num w:numId="37" w16cid:durableId="1611359211">
    <w:abstractNumId w:val="15"/>
  </w:num>
  <w:num w:numId="38" w16cid:durableId="992104138">
    <w:abstractNumId w:val="37"/>
  </w:num>
  <w:num w:numId="39" w16cid:durableId="1318655433">
    <w:abstractNumId w:val="7"/>
  </w:num>
  <w:num w:numId="40" w16cid:durableId="980118290">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5F10"/>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43E3"/>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1DC6"/>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3D4C"/>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312E"/>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673C8"/>
    <w:rsid w:val="00270E54"/>
    <w:rsid w:val="00273633"/>
    <w:rsid w:val="00273681"/>
    <w:rsid w:val="00275176"/>
    <w:rsid w:val="002754B5"/>
    <w:rsid w:val="002764C5"/>
    <w:rsid w:val="00276A5A"/>
    <w:rsid w:val="002772AE"/>
    <w:rsid w:val="00280613"/>
    <w:rsid w:val="002819C4"/>
    <w:rsid w:val="00281E2D"/>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7D1"/>
    <w:rsid w:val="00301C2B"/>
    <w:rsid w:val="00304A71"/>
    <w:rsid w:val="003066C8"/>
    <w:rsid w:val="0030739D"/>
    <w:rsid w:val="00307AFB"/>
    <w:rsid w:val="0031092A"/>
    <w:rsid w:val="00311184"/>
    <w:rsid w:val="00311E05"/>
    <w:rsid w:val="00312675"/>
    <w:rsid w:val="00313F3D"/>
    <w:rsid w:val="00314013"/>
    <w:rsid w:val="00314945"/>
    <w:rsid w:val="00315389"/>
    <w:rsid w:val="00315746"/>
    <w:rsid w:val="00315E96"/>
    <w:rsid w:val="00317FC8"/>
    <w:rsid w:val="003223D7"/>
    <w:rsid w:val="003226DE"/>
    <w:rsid w:val="00323D9F"/>
    <w:rsid w:val="00324FDB"/>
    <w:rsid w:val="0032560C"/>
    <w:rsid w:val="00325F48"/>
    <w:rsid w:val="0033194F"/>
    <w:rsid w:val="00332304"/>
    <w:rsid w:val="00332406"/>
    <w:rsid w:val="00332D8D"/>
    <w:rsid w:val="00334EEF"/>
    <w:rsid w:val="00336B56"/>
    <w:rsid w:val="00341B25"/>
    <w:rsid w:val="00341EC0"/>
    <w:rsid w:val="0034240C"/>
    <w:rsid w:val="0034374F"/>
    <w:rsid w:val="00344496"/>
    <w:rsid w:val="00345968"/>
    <w:rsid w:val="00347667"/>
    <w:rsid w:val="003507E2"/>
    <w:rsid w:val="003522B2"/>
    <w:rsid w:val="003534B8"/>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1853"/>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63F3"/>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7CC"/>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0B64"/>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C6DE0"/>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3E02"/>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E79FA"/>
    <w:rsid w:val="007F0DDA"/>
    <w:rsid w:val="007F1939"/>
    <w:rsid w:val="007F2DAD"/>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102"/>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2ED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97810"/>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A9E"/>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2C0B"/>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3D11"/>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69DB"/>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A795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4317"/>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C7"/>
    <w:rsid w:val="00C76BF5"/>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0C10"/>
    <w:rsid w:val="00CC1783"/>
    <w:rsid w:val="00CC3B46"/>
    <w:rsid w:val="00CC3D8B"/>
    <w:rsid w:val="00CC4E27"/>
    <w:rsid w:val="00CC570C"/>
    <w:rsid w:val="00CC59BB"/>
    <w:rsid w:val="00CC62B6"/>
    <w:rsid w:val="00CC76AA"/>
    <w:rsid w:val="00CC7B00"/>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1E28"/>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4A"/>
    <w:rsid w:val="00DD2CDA"/>
    <w:rsid w:val="00DD2D92"/>
    <w:rsid w:val="00DD3026"/>
    <w:rsid w:val="00DD33DC"/>
    <w:rsid w:val="00DD3BB0"/>
    <w:rsid w:val="00DD61F5"/>
    <w:rsid w:val="00DD7418"/>
    <w:rsid w:val="00DE64A6"/>
    <w:rsid w:val="00DE66EB"/>
    <w:rsid w:val="00DE7035"/>
    <w:rsid w:val="00DF12E3"/>
    <w:rsid w:val="00DF2A20"/>
    <w:rsid w:val="00DF3781"/>
    <w:rsid w:val="00DF3F1D"/>
    <w:rsid w:val="00DF595C"/>
    <w:rsid w:val="00DF7EA7"/>
    <w:rsid w:val="00E04548"/>
    <w:rsid w:val="00E0484E"/>
    <w:rsid w:val="00E063F8"/>
    <w:rsid w:val="00E10711"/>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15892"/>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2622"/>
    <w:rsid w:val="00F64C45"/>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3C6"/>
    <w:rsid w:val="00F93646"/>
    <w:rsid w:val="00F93CCF"/>
    <w:rsid w:val="00F94307"/>
    <w:rsid w:val="00F9580B"/>
    <w:rsid w:val="00F95F15"/>
    <w:rsid w:val="00F975CA"/>
    <w:rsid w:val="00FA0B60"/>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617C"/>
    <w:rsid w:val="00FC7836"/>
    <w:rsid w:val="00FD13EA"/>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rd">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berschrift1">
    <w:name w:val="heading 1"/>
    <w:basedOn w:val="Standard"/>
    <w:next w:val="Standard"/>
    <w:link w:val="berschrift1Zchn"/>
    <w:qFormat/>
    <w:locked/>
    <w:rsid w:val="00BB1973"/>
    <w:pPr>
      <w:keepNext/>
      <w:numPr>
        <w:numId w:val="36"/>
      </w:numPr>
      <w:spacing w:before="240" w:after="60" w:line="360" w:lineRule="auto"/>
      <w:outlineLvl w:val="0"/>
    </w:pPr>
    <w:rPr>
      <w:b/>
      <w:bCs/>
      <w:color w:val="00379F"/>
      <w:kern w:val="32"/>
      <w:sz w:val="28"/>
      <w:szCs w:val="28"/>
    </w:rPr>
  </w:style>
  <w:style w:type="paragraph" w:styleId="berschrift2">
    <w:name w:val="heading 2"/>
    <w:basedOn w:val="Standard"/>
    <w:next w:val="Standard"/>
    <w:link w:val="berschrift2Zchn"/>
    <w:qFormat/>
    <w:locked/>
    <w:rsid w:val="00886A60"/>
    <w:pPr>
      <w:keepNext/>
      <w:keepLines/>
      <w:spacing w:before="200" w:after="120"/>
      <w:outlineLvl w:val="1"/>
    </w:pPr>
    <w:rPr>
      <w:b/>
      <w:bCs/>
      <w:szCs w:val="26"/>
    </w:rPr>
  </w:style>
  <w:style w:type="paragraph" w:styleId="berschrift3">
    <w:name w:val="heading 3"/>
    <w:basedOn w:val="Standard"/>
    <w:next w:val="Standard"/>
    <w:link w:val="berschrift3Zchn"/>
    <w:qFormat/>
    <w:locked/>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uiPriority w:val="9"/>
    <w:qFormat/>
    <w:locked/>
    <w:rsid w:val="00E9344E"/>
    <w:pPr>
      <w:keepNext/>
      <w:keepLines/>
      <w:numPr>
        <w:numId w:val="12"/>
      </w:numPr>
      <w:spacing w:before="200"/>
      <w:outlineLvl w:val="4"/>
    </w:pPr>
    <w:rPr>
      <w:b/>
    </w:rPr>
  </w:style>
  <w:style w:type="paragraph" w:styleId="berschrift6">
    <w:name w:val="heading 6"/>
    <w:basedOn w:val="Standard"/>
    <w:next w:val="Standard"/>
    <w:link w:val="berschrift6Zchn"/>
    <w:qFormat/>
    <w:locked/>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locked/>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locked/>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locked/>
    <w:rsid w:val="00A06867"/>
    <w:pPr>
      <w:tabs>
        <w:tab w:val="num" w:pos="1584"/>
      </w:tabs>
      <w:spacing w:before="240" w:after="60"/>
      <w:ind w:left="1584" w:hanging="1584"/>
      <w:outlineLvl w:val="8"/>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qFormat/>
    <w:locked/>
    <w:rsid w:val="005B64CB"/>
    <w:pPr>
      <w:tabs>
        <w:tab w:val="center" w:pos="4536"/>
        <w:tab w:val="right" w:pos="9072"/>
      </w:tabs>
    </w:pPr>
  </w:style>
  <w:style w:type="paragraph" w:styleId="Fuzeile">
    <w:name w:val="footer"/>
    <w:basedOn w:val="Standard"/>
    <w:link w:val="FuzeileZchn"/>
    <w:uiPriority w:val="99"/>
    <w:locked/>
    <w:rsid w:val="005B64CB"/>
    <w:pPr>
      <w:tabs>
        <w:tab w:val="center" w:pos="4536"/>
        <w:tab w:val="right" w:pos="9072"/>
      </w:tabs>
    </w:pPr>
  </w:style>
  <w:style w:type="table" w:styleId="Tabellenraster">
    <w:name w:val="Table Grid"/>
    <w:basedOn w:val="NormaleTabelle"/>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locked/>
    <w:rsid w:val="003E3ACA"/>
    <w:pPr>
      <w:spacing w:line="200" w:lineRule="exact"/>
    </w:pPr>
    <w:rPr>
      <w:color w:val="2D4190"/>
      <w:sz w:val="16"/>
    </w:rPr>
  </w:style>
  <w:style w:type="paragraph" w:customStyle="1" w:styleId="05aTitle">
    <w:name w:val="05a_Title"/>
    <w:basedOn w:val="Standard"/>
    <w:locked/>
    <w:rsid w:val="00791EB4"/>
    <w:pPr>
      <w:spacing w:line="340" w:lineRule="exact"/>
    </w:pPr>
    <w:rPr>
      <w:b/>
      <w:color w:val="000000"/>
      <w:sz w:val="28"/>
    </w:rPr>
  </w:style>
  <w:style w:type="paragraph" w:customStyle="1" w:styleId="02Date">
    <w:name w:val="02_Date"/>
    <w:basedOn w:val="Standard"/>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Standard"/>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Seitenzahl">
    <w:name w:val="page number"/>
    <w:basedOn w:val="Absatz-Standardschriftar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qFormat/>
    <w:locked/>
    <w:rsid w:val="001725A5"/>
    <w:pPr>
      <w:spacing w:line="200" w:lineRule="exact"/>
    </w:pPr>
    <w:rPr>
      <w:sz w:val="16"/>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Verzeichnis2">
    <w:name w:val="toc 2"/>
    <w:basedOn w:val="Standard"/>
    <w:next w:val="Standard"/>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Standard"/>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Kommentarzeichen">
    <w:name w:val="annotation reference"/>
    <w:locked/>
    <w:rsid w:val="004B1E61"/>
    <w:rPr>
      <w:sz w:val="16"/>
      <w:szCs w:val="16"/>
    </w:rPr>
  </w:style>
  <w:style w:type="paragraph" w:styleId="Kommentartext">
    <w:name w:val="annotation text"/>
    <w:basedOn w:val="Standard"/>
    <w:link w:val="KommentartextZchn"/>
    <w:locked/>
    <w:rsid w:val="004B1E61"/>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locked/>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locked/>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Paragraphe de liste,Normal Nivel 1,List Paragraph Main,List first level,List Paragraph_Sections"/>
    <w:basedOn w:val="Standard"/>
    <w:link w:val="ListenabsatzZchn"/>
    <w:uiPriority w:val="34"/>
    <w:qFormat/>
    <w:locked/>
    <w:rsid w:val="002A0C82"/>
    <w:pPr>
      <w:ind w:left="720"/>
      <w:contextualSpacing/>
    </w:pPr>
  </w:style>
  <w:style w:type="paragraph" w:styleId="Inhaltsverzeichnisberschrift">
    <w:name w:val="TOC Heading"/>
    <w:basedOn w:val="berschrift1"/>
    <w:next w:val="Standard"/>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locked/>
    <w:rsid w:val="008E1B6A"/>
  </w:style>
  <w:style w:type="paragraph" w:customStyle="1" w:styleId="ManualNumPar1">
    <w:name w:val="Manual NumPar 1"/>
    <w:basedOn w:val="Standard"/>
    <w:next w:val="Standard"/>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Hervorhebung">
    <w:name w:val="Emphasis"/>
    <w:uiPriority w:val="20"/>
    <w:qFormat/>
    <w:locked/>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Standard"/>
    <w:next w:val="Standard"/>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Standard"/>
    <w:next w:val="Standard"/>
    <w:uiPriority w:val="99"/>
    <w:locked/>
    <w:rsid w:val="00F377CD"/>
    <w:pPr>
      <w:autoSpaceDE w:val="0"/>
      <w:autoSpaceDN w:val="0"/>
      <w:adjustRightInd w:val="0"/>
    </w:pPr>
    <w:rPr>
      <w:rFonts w:ascii="EUAlbertina" w:eastAsia="Calibri" w:hAnsi="EUAlbertina"/>
      <w:sz w:val="24"/>
      <w:lang w:val="fr-FR"/>
    </w:rPr>
  </w:style>
  <w:style w:type="paragraph" w:styleId="Verzeichnis4">
    <w:name w:val="toc 4"/>
    <w:basedOn w:val="Standard"/>
    <w:next w:val="Standard"/>
    <w:autoRedefine/>
    <w:uiPriority w:val="39"/>
    <w:unhideWhenUsed/>
    <w:locked/>
    <w:rsid w:val="00F377CD"/>
    <w:pPr>
      <w:spacing w:after="100"/>
      <w:ind w:left="660"/>
    </w:pPr>
    <w:rPr>
      <w:rFonts w:ascii="Calibri" w:hAnsi="Calibri"/>
      <w:szCs w:val="22"/>
      <w:lang w:eastAsia="en-GB"/>
    </w:rPr>
  </w:style>
  <w:style w:type="paragraph" w:styleId="Verzeichnis5">
    <w:name w:val="toc 5"/>
    <w:basedOn w:val="Standard"/>
    <w:next w:val="Standard"/>
    <w:autoRedefine/>
    <w:uiPriority w:val="39"/>
    <w:unhideWhenUsed/>
    <w:locked/>
    <w:rsid w:val="00F377CD"/>
    <w:pPr>
      <w:spacing w:after="100"/>
      <w:ind w:left="880"/>
    </w:pPr>
    <w:rPr>
      <w:rFonts w:ascii="Calibri" w:hAnsi="Calibri"/>
      <w:szCs w:val="22"/>
      <w:lang w:eastAsia="en-GB"/>
    </w:rPr>
  </w:style>
  <w:style w:type="paragraph" w:styleId="Verzeichnis6">
    <w:name w:val="toc 6"/>
    <w:basedOn w:val="Standard"/>
    <w:next w:val="Standard"/>
    <w:autoRedefine/>
    <w:uiPriority w:val="39"/>
    <w:unhideWhenUsed/>
    <w:locked/>
    <w:rsid w:val="00F377CD"/>
    <w:pPr>
      <w:spacing w:after="100"/>
      <w:ind w:left="1100"/>
    </w:pPr>
    <w:rPr>
      <w:rFonts w:ascii="Calibri" w:hAnsi="Calibri"/>
      <w:szCs w:val="22"/>
      <w:lang w:eastAsia="en-GB"/>
    </w:rPr>
  </w:style>
  <w:style w:type="paragraph" w:styleId="Verzeichnis7">
    <w:name w:val="toc 7"/>
    <w:basedOn w:val="Standard"/>
    <w:next w:val="Standard"/>
    <w:autoRedefine/>
    <w:uiPriority w:val="39"/>
    <w:unhideWhenUsed/>
    <w:locked/>
    <w:rsid w:val="00F377CD"/>
    <w:pPr>
      <w:spacing w:after="100"/>
      <w:ind w:left="1320"/>
    </w:pPr>
    <w:rPr>
      <w:rFonts w:ascii="Calibri" w:hAnsi="Calibri"/>
      <w:szCs w:val="22"/>
      <w:lang w:eastAsia="en-GB"/>
    </w:rPr>
  </w:style>
  <w:style w:type="paragraph" w:styleId="Verzeichnis8">
    <w:name w:val="toc 8"/>
    <w:basedOn w:val="Standard"/>
    <w:next w:val="Standard"/>
    <w:autoRedefine/>
    <w:uiPriority w:val="39"/>
    <w:unhideWhenUsed/>
    <w:locked/>
    <w:rsid w:val="00F377CD"/>
    <w:pPr>
      <w:spacing w:after="100"/>
      <w:ind w:left="1540"/>
    </w:pPr>
    <w:rPr>
      <w:rFonts w:ascii="Calibri" w:hAnsi="Calibri"/>
      <w:szCs w:val="22"/>
      <w:lang w:eastAsia="en-GB"/>
    </w:rPr>
  </w:style>
  <w:style w:type="paragraph" w:styleId="Verzeichnis9">
    <w:name w:val="toc 9"/>
    <w:basedOn w:val="Standard"/>
    <w:next w:val="Standard"/>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eschriftung">
    <w:name w:val="caption"/>
    <w:basedOn w:val="Standard"/>
    <w:next w:val="Standard"/>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kumentstruktur">
    <w:name w:val="Document Map"/>
    <w:basedOn w:val="Standard"/>
    <w:link w:val="DokumentstrukturZchn"/>
    <w:locked/>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lock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locked/>
    <w:rsid w:val="00AA016B"/>
    <w:pPr>
      <w:numPr>
        <w:numId w:val="7"/>
      </w:numPr>
      <w:spacing w:after="240"/>
    </w:pPr>
    <w:rPr>
      <w:rFonts w:ascii="Times New Roman" w:hAnsi="Times New Roman"/>
      <w:sz w:val="24"/>
      <w:lang w:eastAsia="en-GB"/>
    </w:rPr>
  </w:style>
  <w:style w:type="character" w:customStyle="1" w:styleId="TextkrperZchn">
    <w:name w:val="Textkörper Zchn"/>
    <w:link w:val="Textkrper"/>
    <w:rsid w:val="00AA016B"/>
    <w:rPr>
      <w:rFonts w:eastAsiaTheme="minorEastAsia" w:cs="Arial"/>
      <w:color w:val="1A1A1A" w:themeColor="background1" w:themeShade="1A"/>
      <w:sz w:val="24"/>
    </w:rPr>
  </w:style>
  <w:style w:type="paragraph" w:customStyle="1" w:styleId="ListParagraph1">
    <w:name w:val="List Paragraph1"/>
    <w:basedOn w:val="Standard"/>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Fett">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Standard"/>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rFonts w:eastAsiaTheme="minorEastAsia" w:cs="Arial"/>
      <w:b/>
      <w:bCs/>
      <w:color w:val="1A1A1A" w:themeColor="background1" w:themeShade="1A"/>
      <w:sz w:val="22"/>
      <w:szCs w:val="22"/>
      <w:lang w:eastAsia="en-US"/>
    </w:rPr>
  </w:style>
  <w:style w:type="character" w:customStyle="1" w:styleId="berschrift8Zchn">
    <w:name w:val="Überschrift 8 Zchn"/>
    <w:link w:val="berschrift8"/>
    <w:rsid w:val="002D6E1A"/>
    <w:rPr>
      <w:rFonts w:eastAsiaTheme="minorEastAsia" w:cs="Arial"/>
      <w:i/>
      <w:iCs/>
      <w:color w:val="1A1A1A" w:themeColor="background1" w:themeShade="1A"/>
      <w:sz w:val="22"/>
      <w:lang w:eastAsia="en-US"/>
    </w:rPr>
  </w:style>
  <w:style w:type="numbering" w:customStyle="1" w:styleId="NoList1">
    <w:name w:val="No List1"/>
    <w:next w:val="KeineListe"/>
    <w:uiPriority w:val="99"/>
    <w:semiHidden/>
    <w:unhideWhenUsed/>
    <w:locked/>
    <w:rsid w:val="002D6E1A"/>
  </w:style>
  <w:style w:type="character" w:styleId="BesuchterLink">
    <w:name w:val="FollowedHyperlink"/>
    <w:unhideWhenUsed/>
    <w:locked/>
    <w:rsid w:val="002D6E1A"/>
    <w:rPr>
      <w:color w:val="800080"/>
      <w:u w:val="single"/>
    </w:rPr>
  </w:style>
  <w:style w:type="character" w:customStyle="1" w:styleId="KopfzeileZchn">
    <w:name w:val="Kopfzeile Zchn"/>
    <w:link w:val="Kopfzeile"/>
    <w:uiPriority w:val="99"/>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locked/>
    <w:rsid w:val="002D6E1A"/>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locked/>
    <w:rsid w:val="002D6E1A"/>
    <w:pPr>
      <w:numPr>
        <w:numId w:val="8"/>
      </w:numPr>
      <w:spacing w:before="120" w:after="120"/>
      <w:ind w:left="360" w:hanging="360"/>
    </w:pPr>
    <w:rPr>
      <w:rFonts w:ascii="Times New Roman" w:hAnsi="Times New Roman"/>
      <w:sz w:val="24"/>
    </w:r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link w:val="Listenabsatz"/>
    <w:uiPriority w:val="34"/>
    <w:locked/>
    <w:rsid w:val="002D6E1A"/>
    <w:rPr>
      <w:rFonts w:ascii="Georgia" w:hAnsi="Georgia"/>
      <w:sz w:val="22"/>
      <w:szCs w:val="24"/>
      <w:lang w:eastAsia="de-DE"/>
    </w:rPr>
  </w:style>
  <w:style w:type="paragraph" w:customStyle="1" w:styleId="04anumbering0">
    <w:name w:val="04anumbering"/>
    <w:basedOn w:val="Standard"/>
    <w:locked/>
    <w:rsid w:val="002D6E1A"/>
    <w:pPr>
      <w:tabs>
        <w:tab w:val="num" w:pos="360"/>
      </w:tabs>
    </w:pPr>
    <w:rPr>
      <w:rFonts w:eastAsia="Calibri"/>
      <w:lang w:eastAsia="en-GB"/>
    </w:rPr>
  </w:style>
  <w:style w:type="paragraph" w:customStyle="1" w:styleId="Tiret1">
    <w:name w:val="Tiret 1"/>
    <w:basedOn w:val="Standard"/>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locked/>
    <w:rsid w:val="002D6E1A"/>
    <w:pPr>
      <w:ind w:left="708"/>
      <w:contextualSpacing w:val="0"/>
    </w:pPr>
    <w:rPr>
      <w:b/>
      <w:u w:val="single"/>
    </w:rPr>
  </w:style>
  <w:style w:type="paragraph" w:customStyle="1" w:styleId="Bullet">
    <w:name w:val="Bullet"/>
    <w:basedOn w:val="Standard"/>
    <w:locked/>
    <w:rsid w:val="002D6E1A"/>
    <w:pPr>
      <w:numPr>
        <w:numId w:val="10"/>
      </w:numPr>
      <w:tabs>
        <w:tab w:val="left" w:pos="708"/>
      </w:tabs>
      <w:spacing w:before="120" w:after="120"/>
    </w:pPr>
    <w:rPr>
      <w:lang w:eastAsia="en-GB"/>
    </w:rPr>
  </w:style>
  <w:style w:type="character" w:styleId="Endnotenzeichen">
    <w:name w:val="endnote reference"/>
    <w:unhideWhenUsed/>
    <w:locked/>
    <w:rsid w:val="002D6E1A"/>
    <w:rPr>
      <w:vertAlign w:val="superscript"/>
    </w:rPr>
  </w:style>
  <w:style w:type="character" w:styleId="Platzhalt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NormaleTabelle"/>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locked/>
    <w:rsid w:val="00952F2C"/>
  </w:style>
  <w:style w:type="paragraph" w:customStyle="1" w:styleId="aStyle">
    <w:name w:val="a) Style"/>
    <w:basedOn w:val="Standard"/>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berschrift5Zchn">
    <w:name w:val="Überschrift 5 Zchn"/>
    <w:aliases w:val="Questions Zchn"/>
    <w:link w:val="berschrift5"/>
    <w:uiPriority w:val="9"/>
    <w:rsid w:val="00E9344E"/>
    <w:rPr>
      <w:rFonts w:ascii="Arial" w:eastAsiaTheme="minorEastAsia" w:hAnsi="Arial" w:cs="Arial"/>
      <w:b/>
      <w:color w:val="1A1A1A" w:themeColor="background1" w:themeShade="1A"/>
      <w:sz w:val="22"/>
      <w:lang w:eastAsia="en-US"/>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Standard"/>
    <w:locked/>
    <w:rsid w:val="000D2D0B"/>
    <w:pPr>
      <w:spacing w:line="340" w:lineRule="exact"/>
      <w:ind w:left="397" w:hanging="397"/>
    </w:pPr>
    <w:rPr>
      <w:b/>
      <w:caps/>
      <w:color w:val="2D4190"/>
      <w:sz w:val="28"/>
      <w:lang w:val="de-DE"/>
    </w:rPr>
  </w:style>
  <w:style w:type="paragraph" w:customStyle="1" w:styleId="04RunningText">
    <w:name w:val="04_Running Text"/>
    <w:basedOn w:val="Standard"/>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berschrift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berschrift1"/>
    <w:next w:val="Standard"/>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locked/>
    <w:rsid w:val="000D2D0B"/>
    <w:pPr>
      <w:tabs>
        <w:tab w:val="num" w:pos="284"/>
      </w:tabs>
      <w:ind w:left="284" w:hanging="284"/>
    </w:pPr>
    <w:rPr>
      <w:rFonts w:eastAsia="Calibri"/>
      <w:lang w:eastAsia="en-GB"/>
    </w:rPr>
  </w:style>
  <w:style w:type="paragraph" w:customStyle="1" w:styleId="Listenabsatz1">
    <w:name w:val="Listenabsatz1"/>
    <w:basedOn w:val="Standard"/>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Standard"/>
    <w:locked/>
    <w:rsid w:val="000D2D0B"/>
    <w:pPr>
      <w:spacing w:line="260" w:lineRule="atLeast"/>
      <w:ind w:left="720"/>
      <w:contextualSpacing/>
    </w:pPr>
    <w:rPr>
      <w:rFonts w:ascii="Verdana" w:hAnsi="Verdana"/>
      <w:kern w:val="10"/>
      <w:lang w:val="de-DE"/>
    </w:rPr>
  </w:style>
  <w:style w:type="paragraph" w:customStyle="1" w:styleId="Considrant">
    <w:name w:val="Considérant"/>
    <w:basedOn w:val="Standard"/>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Standard"/>
    <w:next w:val="Standard"/>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Standard"/>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Standard"/>
    <w:rsid w:val="000D2D0B"/>
  </w:style>
  <w:style w:type="paragraph" w:customStyle="1" w:styleId="Sbuchead">
    <w:name w:val="Sbuchead"/>
    <w:basedOn w:val="Standard"/>
    <w:locked/>
    <w:rsid w:val="000D2D0B"/>
    <w:pPr>
      <w:spacing w:after="360"/>
    </w:pPr>
    <w:rPr>
      <w:rFonts w:ascii="Times New Roman" w:hAnsi="Times New Roman"/>
      <w:b/>
      <w:caps/>
      <w:sz w:val="24"/>
      <w:lang w:eastAsia="en-GB"/>
    </w:rPr>
  </w:style>
  <w:style w:type="paragraph" w:customStyle="1" w:styleId="Applicationdirecte">
    <w:name w:val="Application directe"/>
    <w:basedOn w:val="Standard"/>
    <w:next w:val="Fait"/>
    <w:locked/>
    <w:rsid w:val="000D2D0B"/>
    <w:pPr>
      <w:spacing w:before="480" w:after="120"/>
    </w:pPr>
    <w:rPr>
      <w:rFonts w:ascii="Times New Roman" w:hAnsi="Times New Roman"/>
      <w:sz w:val="24"/>
    </w:rPr>
  </w:style>
  <w:style w:type="paragraph" w:customStyle="1" w:styleId="Fait">
    <w:name w:val="Fait à"/>
    <w:basedOn w:val="Standard"/>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Standard"/>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Standard"/>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Standard"/>
    <w:next w:val="Standard"/>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locked/>
    <w:rsid w:val="000D2D0B"/>
    <w:pPr>
      <w:spacing w:before="360" w:after="360"/>
      <w:jc w:val="center"/>
    </w:pPr>
    <w:rPr>
      <w:rFonts w:ascii="Times New Roman" w:hAnsi="Times New Roman"/>
      <w:b/>
      <w:sz w:val="24"/>
    </w:rPr>
  </w:style>
  <w:style w:type="paragraph" w:customStyle="1" w:styleId="Typedudocument">
    <w:name w:val="Type du document"/>
    <w:basedOn w:val="Standard"/>
    <w:next w:val="Titreobjet"/>
    <w:locked/>
    <w:rsid w:val="000D2D0B"/>
    <w:pPr>
      <w:spacing w:before="360"/>
      <w:jc w:val="center"/>
    </w:pPr>
    <w:rPr>
      <w:rFonts w:ascii="Times New Roman" w:hAnsi="Times New Roman"/>
      <w:b/>
      <w:sz w:val="24"/>
    </w:rPr>
  </w:style>
  <w:style w:type="paragraph" w:customStyle="1" w:styleId="HeaderLandscape">
    <w:name w:val="HeaderLandscape"/>
    <w:basedOn w:val="Standard"/>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Standard"/>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Standard"/>
    <w:locked/>
    <w:rsid w:val="000D2D0B"/>
    <w:pPr>
      <w:spacing w:before="120" w:after="120"/>
      <w:ind w:left="850"/>
    </w:pPr>
    <w:rPr>
      <w:rFonts w:ascii="Times New Roman" w:hAnsi="Times New Roman"/>
      <w:sz w:val="24"/>
    </w:rPr>
  </w:style>
  <w:style w:type="paragraph" w:customStyle="1" w:styleId="Text2">
    <w:name w:val="Text 2"/>
    <w:basedOn w:val="Standard"/>
    <w:locked/>
    <w:rsid w:val="000D2D0B"/>
    <w:pPr>
      <w:spacing w:before="120" w:after="120"/>
      <w:ind w:left="1417"/>
    </w:pPr>
    <w:rPr>
      <w:rFonts w:ascii="Times New Roman" w:hAnsi="Times New Roman"/>
      <w:sz w:val="24"/>
    </w:rPr>
  </w:style>
  <w:style w:type="paragraph" w:customStyle="1" w:styleId="Text3">
    <w:name w:val="Text 3"/>
    <w:basedOn w:val="Standard"/>
    <w:locked/>
    <w:rsid w:val="000D2D0B"/>
    <w:pPr>
      <w:spacing w:before="120" w:after="120"/>
      <w:ind w:left="1984"/>
    </w:pPr>
    <w:rPr>
      <w:rFonts w:ascii="Times New Roman" w:hAnsi="Times New Roman"/>
      <w:sz w:val="24"/>
    </w:rPr>
  </w:style>
  <w:style w:type="paragraph" w:customStyle="1" w:styleId="Text4">
    <w:name w:val="Text 4"/>
    <w:basedOn w:val="Standard"/>
    <w:locked/>
    <w:rsid w:val="000D2D0B"/>
    <w:pPr>
      <w:spacing w:before="120" w:after="120"/>
      <w:ind w:left="2551"/>
    </w:pPr>
    <w:rPr>
      <w:rFonts w:ascii="Times New Roman" w:hAnsi="Times New Roman"/>
      <w:sz w:val="24"/>
    </w:rPr>
  </w:style>
  <w:style w:type="paragraph" w:customStyle="1" w:styleId="NormalCentered">
    <w:name w:val="Normal Centered"/>
    <w:basedOn w:val="Standard"/>
    <w:rsid w:val="000D2D0B"/>
    <w:pPr>
      <w:spacing w:before="120" w:after="120"/>
      <w:jc w:val="center"/>
    </w:pPr>
    <w:rPr>
      <w:rFonts w:ascii="Times New Roman" w:hAnsi="Times New Roman"/>
      <w:sz w:val="24"/>
    </w:rPr>
  </w:style>
  <w:style w:type="paragraph" w:customStyle="1" w:styleId="NormalLeft">
    <w:name w:val="Normal Left"/>
    <w:basedOn w:val="Standard"/>
    <w:rsid w:val="000D2D0B"/>
    <w:pPr>
      <w:spacing w:before="120" w:after="120"/>
    </w:pPr>
    <w:rPr>
      <w:rFonts w:ascii="Times New Roman" w:hAnsi="Times New Roman"/>
      <w:sz w:val="24"/>
    </w:rPr>
  </w:style>
  <w:style w:type="paragraph" w:customStyle="1" w:styleId="NormalRight">
    <w:name w:val="Normal Right"/>
    <w:basedOn w:val="Standard"/>
    <w:rsid w:val="000D2D0B"/>
    <w:pPr>
      <w:spacing w:before="120" w:after="120"/>
      <w:jc w:val="right"/>
    </w:pPr>
    <w:rPr>
      <w:rFonts w:ascii="Times New Roman" w:hAnsi="Times New Roman"/>
      <w:sz w:val="24"/>
    </w:rPr>
  </w:style>
  <w:style w:type="paragraph" w:customStyle="1" w:styleId="QuotedText">
    <w:name w:val="Quoted Text"/>
    <w:basedOn w:val="Standard"/>
    <w:locked/>
    <w:rsid w:val="000D2D0B"/>
    <w:pPr>
      <w:spacing w:before="120" w:after="120"/>
      <w:ind w:left="1417"/>
    </w:pPr>
    <w:rPr>
      <w:rFonts w:ascii="Times New Roman" w:hAnsi="Times New Roman"/>
      <w:sz w:val="24"/>
    </w:rPr>
  </w:style>
  <w:style w:type="paragraph" w:customStyle="1" w:styleId="Point0">
    <w:name w:val="Point 0"/>
    <w:basedOn w:val="Standard"/>
    <w:locked/>
    <w:rsid w:val="000D2D0B"/>
    <w:pPr>
      <w:spacing w:before="120" w:after="120"/>
      <w:ind w:left="850" w:hanging="850"/>
    </w:pPr>
    <w:rPr>
      <w:rFonts w:ascii="Times New Roman" w:hAnsi="Times New Roman"/>
      <w:sz w:val="24"/>
    </w:rPr>
  </w:style>
  <w:style w:type="paragraph" w:customStyle="1" w:styleId="Point1">
    <w:name w:val="Point 1"/>
    <w:basedOn w:val="Standard"/>
    <w:locked/>
    <w:rsid w:val="000D2D0B"/>
    <w:pPr>
      <w:spacing w:before="120" w:after="120"/>
      <w:ind w:left="1417" w:hanging="567"/>
    </w:pPr>
    <w:rPr>
      <w:rFonts w:ascii="Times New Roman" w:hAnsi="Times New Roman"/>
      <w:sz w:val="24"/>
    </w:rPr>
  </w:style>
  <w:style w:type="paragraph" w:customStyle="1" w:styleId="Point2">
    <w:name w:val="Point 2"/>
    <w:basedOn w:val="Standard"/>
    <w:locked/>
    <w:rsid w:val="000D2D0B"/>
    <w:pPr>
      <w:spacing w:before="120" w:after="120"/>
      <w:ind w:left="1984" w:hanging="567"/>
    </w:pPr>
    <w:rPr>
      <w:rFonts w:ascii="Times New Roman" w:hAnsi="Times New Roman"/>
      <w:sz w:val="24"/>
    </w:rPr>
  </w:style>
  <w:style w:type="paragraph" w:customStyle="1" w:styleId="Point3">
    <w:name w:val="Point 3"/>
    <w:basedOn w:val="Standard"/>
    <w:locked/>
    <w:rsid w:val="000D2D0B"/>
    <w:pPr>
      <w:spacing w:before="120" w:after="120"/>
      <w:ind w:left="2551" w:hanging="567"/>
    </w:pPr>
    <w:rPr>
      <w:rFonts w:ascii="Times New Roman" w:hAnsi="Times New Roman"/>
      <w:sz w:val="24"/>
    </w:rPr>
  </w:style>
  <w:style w:type="paragraph" w:customStyle="1" w:styleId="Point4">
    <w:name w:val="Point 4"/>
    <w:basedOn w:val="Standard"/>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Standard"/>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Standard"/>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Standard"/>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Standard"/>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Standard"/>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Standard"/>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Standard"/>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Standard"/>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Standard"/>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Standard"/>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Standard"/>
    <w:next w:val="Text1"/>
    <w:locked/>
    <w:rsid w:val="000D2D0B"/>
    <w:pPr>
      <w:numPr>
        <w:numId w:val="20"/>
      </w:numPr>
      <w:spacing w:before="120" w:after="120"/>
    </w:pPr>
    <w:rPr>
      <w:rFonts w:ascii="Times New Roman" w:hAnsi="Times New Roman"/>
      <w:sz w:val="24"/>
    </w:rPr>
  </w:style>
  <w:style w:type="paragraph" w:customStyle="1" w:styleId="NumPar2">
    <w:name w:val="NumPar 2"/>
    <w:basedOn w:val="Standard"/>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Standard"/>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Standard"/>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Standard"/>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Standard"/>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Standard"/>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Standard"/>
    <w:locked/>
    <w:rsid w:val="000D2D0B"/>
    <w:pPr>
      <w:spacing w:before="120" w:after="120"/>
      <w:ind w:left="1417" w:hanging="567"/>
    </w:pPr>
    <w:rPr>
      <w:rFonts w:ascii="Times New Roman" w:hAnsi="Times New Roman"/>
      <w:sz w:val="24"/>
    </w:rPr>
  </w:style>
  <w:style w:type="paragraph" w:customStyle="1" w:styleId="ManualHeading1">
    <w:name w:val="Manual Heading 1"/>
    <w:basedOn w:val="Standard"/>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Standard"/>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Standard"/>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Standard"/>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Standard"/>
    <w:next w:val="Standard"/>
    <w:locked/>
    <w:rsid w:val="000D2D0B"/>
    <w:pPr>
      <w:keepNext/>
      <w:spacing w:before="120" w:after="360"/>
      <w:jc w:val="center"/>
    </w:pPr>
    <w:rPr>
      <w:rFonts w:ascii="Times New Roman" w:hAnsi="Times New Roman"/>
      <w:b/>
      <w:sz w:val="32"/>
    </w:rPr>
  </w:style>
  <w:style w:type="paragraph" w:customStyle="1" w:styleId="PartTitle">
    <w:name w:val="PartTitle"/>
    <w:basedOn w:val="Standard"/>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Standard"/>
    <w:next w:val="berschrift1"/>
    <w:locked/>
    <w:rsid w:val="000D2D0B"/>
    <w:pPr>
      <w:keepNext/>
      <w:spacing w:before="120" w:after="360"/>
      <w:jc w:val="center"/>
    </w:pPr>
    <w:rPr>
      <w:rFonts w:ascii="Times New Roman" w:hAnsi="Times New Roman"/>
      <w:b/>
      <w:smallCaps/>
      <w:sz w:val="28"/>
    </w:rPr>
  </w:style>
  <w:style w:type="paragraph" w:customStyle="1" w:styleId="TableTitle">
    <w:name w:val="Table Title"/>
    <w:basedOn w:val="Standard"/>
    <w:next w:val="Standard"/>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Standard"/>
    <w:locked/>
    <w:rsid w:val="000D2D0B"/>
    <w:pPr>
      <w:numPr>
        <w:numId w:val="27"/>
      </w:numPr>
      <w:spacing w:before="120" w:after="120"/>
    </w:pPr>
    <w:rPr>
      <w:rFonts w:ascii="Times New Roman" w:hAnsi="Times New Roman"/>
      <w:sz w:val="24"/>
    </w:rPr>
  </w:style>
  <w:style w:type="paragraph" w:customStyle="1" w:styleId="Point1number">
    <w:name w:val="Point 1 (number)"/>
    <w:basedOn w:val="Standard"/>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Standard"/>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Standard"/>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Standard"/>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Standard"/>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Standard"/>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Standard"/>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Standard"/>
    <w:locked/>
    <w:rsid w:val="000D2D0B"/>
    <w:pPr>
      <w:numPr>
        <w:ilvl w:val="8"/>
        <w:numId w:val="27"/>
      </w:numPr>
      <w:spacing w:before="120" w:after="120"/>
    </w:pPr>
    <w:rPr>
      <w:rFonts w:ascii="Times New Roman" w:hAnsi="Times New Roman"/>
      <w:sz w:val="24"/>
    </w:rPr>
  </w:style>
  <w:style w:type="paragraph" w:customStyle="1" w:styleId="Bullet0">
    <w:name w:val="Bullet 0"/>
    <w:basedOn w:val="Standard"/>
    <w:locked/>
    <w:rsid w:val="000D2D0B"/>
    <w:pPr>
      <w:numPr>
        <w:numId w:val="21"/>
      </w:numPr>
      <w:spacing w:before="120" w:after="120"/>
    </w:pPr>
    <w:rPr>
      <w:rFonts w:ascii="Times New Roman" w:hAnsi="Times New Roman"/>
      <w:sz w:val="24"/>
    </w:rPr>
  </w:style>
  <w:style w:type="paragraph" w:customStyle="1" w:styleId="Bullet1">
    <w:name w:val="Bullet 1"/>
    <w:basedOn w:val="Standard"/>
    <w:locked/>
    <w:rsid w:val="000D2D0B"/>
    <w:pPr>
      <w:numPr>
        <w:numId w:val="22"/>
      </w:numPr>
      <w:spacing w:before="120" w:after="120"/>
    </w:pPr>
    <w:rPr>
      <w:rFonts w:ascii="Times New Roman" w:hAnsi="Times New Roman"/>
      <w:sz w:val="24"/>
    </w:rPr>
  </w:style>
  <w:style w:type="paragraph" w:customStyle="1" w:styleId="Bullet2">
    <w:name w:val="Bullet 2"/>
    <w:basedOn w:val="Standard"/>
    <w:locked/>
    <w:rsid w:val="000D2D0B"/>
    <w:pPr>
      <w:numPr>
        <w:numId w:val="23"/>
      </w:numPr>
      <w:spacing w:before="120" w:after="120"/>
    </w:pPr>
    <w:rPr>
      <w:rFonts w:ascii="Times New Roman" w:hAnsi="Times New Roman"/>
      <w:sz w:val="24"/>
    </w:rPr>
  </w:style>
  <w:style w:type="paragraph" w:customStyle="1" w:styleId="Bullet3">
    <w:name w:val="Bullet 3"/>
    <w:basedOn w:val="Standard"/>
    <w:locked/>
    <w:rsid w:val="000D2D0B"/>
    <w:pPr>
      <w:numPr>
        <w:numId w:val="24"/>
      </w:numPr>
      <w:spacing w:before="120" w:after="120"/>
    </w:pPr>
    <w:rPr>
      <w:rFonts w:ascii="Times New Roman" w:hAnsi="Times New Roman"/>
      <w:sz w:val="24"/>
    </w:rPr>
  </w:style>
  <w:style w:type="paragraph" w:customStyle="1" w:styleId="Bullet4">
    <w:name w:val="Bullet 4"/>
    <w:basedOn w:val="Standard"/>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Standard"/>
    <w:next w:val="Standard"/>
    <w:locked/>
    <w:rsid w:val="000D2D0B"/>
    <w:pPr>
      <w:spacing w:before="120" w:after="120"/>
      <w:jc w:val="center"/>
    </w:pPr>
    <w:rPr>
      <w:rFonts w:ascii="Times New Roman" w:hAnsi="Times New Roman"/>
      <w:b/>
      <w:sz w:val="24"/>
      <w:u w:val="single"/>
    </w:rPr>
  </w:style>
  <w:style w:type="paragraph" w:customStyle="1" w:styleId="Annexetitre">
    <w:name w:val="Annexe titre"/>
    <w:basedOn w:val="Standard"/>
    <w:next w:val="Standard"/>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Standard"/>
    <w:next w:val="Standard"/>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Standard"/>
    <w:next w:val="Standard"/>
    <w:locked/>
    <w:rsid w:val="000D2D0B"/>
    <w:pPr>
      <w:keepNext/>
      <w:spacing w:before="480" w:after="120"/>
    </w:pPr>
    <w:rPr>
      <w:rFonts w:ascii="Times New Roman" w:hAnsi="Times New Roman"/>
      <w:sz w:val="24"/>
      <w:u w:val="single"/>
    </w:rPr>
  </w:style>
  <w:style w:type="paragraph" w:customStyle="1" w:styleId="Confidence">
    <w:name w:val="Confidence"/>
    <w:basedOn w:val="Standard"/>
    <w:next w:val="Standard"/>
    <w:locked/>
    <w:rsid w:val="000D2D0B"/>
    <w:pPr>
      <w:spacing w:before="360" w:after="120"/>
      <w:jc w:val="center"/>
    </w:pPr>
    <w:rPr>
      <w:rFonts w:ascii="Times New Roman" w:hAnsi="Times New Roman"/>
      <w:sz w:val="24"/>
    </w:rPr>
  </w:style>
  <w:style w:type="paragraph" w:customStyle="1" w:styleId="Confidentialit">
    <w:name w:val="Confidentialité"/>
    <w:basedOn w:val="Standard"/>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Standard"/>
    <w:next w:val="Standard"/>
    <w:locked/>
    <w:rsid w:val="000D2D0B"/>
    <w:pPr>
      <w:spacing w:after="240"/>
    </w:pPr>
    <w:rPr>
      <w:rFonts w:ascii="Times New Roman" w:hAnsi="Times New Roman"/>
      <w:sz w:val="24"/>
    </w:rPr>
  </w:style>
  <w:style w:type="paragraph" w:customStyle="1" w:styleId="Datedadoption">
    <w:name w:val="Date d'adoption"/>
    <w:basedOn w:val="Standard"/>
    <w:next w:val="Titreobjet"/>
    <w:locked/>
    <w:rsid w:val="000D2D0B"/>
    <w:pPr>
      <w:spacing w:before="360"/>
      <w:jc w:val="center"/>
    </w:pPr>
    <w:rPr>
      <w:rFonts w:ascii="Times New Roman" w:hAnsi="Times New Roman"/>
      <w:b/>
      <w:sz w:val="24"/>
    </w:rPr>
  </w:style>
  <w:style w:type="paragraph" w:customStyle="1" w:styleId="Emission">
    <w:name w:val="Emission"/>
    <w:basedOn w:val="Standard"/>
    <w:next w:val="Rfrenceinstitutionnelle"/>
    <w:locked/>
    <w:rsid w:val="000D2D0B"/>
    <w:pPr>
      <w:ind w:left="5103"/>
    </w:pPr>
    <w:rPr>
      <w:rFonts w:ascii="Times New Roman" w:hAnsi="Times New Roman"/>
      <w:sz w:val="24"/>
    </w:rPr>
  </w:style>
  <w:style w:type="paragraph" w:customStyle="1" w:styleId="Exposdesmotifstitre">
    <w:name w:val="Exposé des motifs titre"/>
    <w:basedOn w:val="Standard"/>
    <w:next w:val="Standard"/>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Standard"/>
    <w:next w:val="Standard"/>
    <w:locked/>
    <w:rsid w:val="000D2D0B"/>
    <w:pPr>
      <w:keepNext/>
      <w:spacing w:before="600" w:after="120"/>
    </w:pPr>
    <w:rPr>
      <w:rFonts w:ascii="Times New Roman" w:hAnsi="Times New Roman"/>
      <w:sz w:val="24"/>
    </w:rPr>
  </w:style>
  <w:style w:type="paragraph" w:customStyle="1" w:styleId="Langue">
    <w:name w:val="Langue"/>
    <w:basedOn w:val="Standard"/>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Standard"/>
    <w:locked/>
    <w:rsid w:val="000D2D0B"/>
    <w:pPr>
      <w:spacing w:before="120" w:after="120"/>
      <w:ind w:left="709" w:hanging="709"/>
    </w:pPr>
    <w:rPr>
      <w:rFonts w:ascii="Times New Roman" w:hAnsi="Times New Roman"/>
      <w:sz w:val="24"/>
    </w:rPr>
  </w:style>
  <w:style w:type="paragraph" w:customStyle="1" w:styleId="Nomdelinstitution">
    <w:name w:val="Nom de l'institution"/>
    <w:basedOn w:val="Standard"/>
    <w:next w:val="Emission"/>
    <w:locked/>
    <w:rsid w:val="000D2D0B"/>
    <w:rPr>
      <w:sz w:val="24"/>
    </w:rPr>
  </w:style>
  <w:style w:type="paragraph" w:customStyle="1" w:styleId="Rfrenceinstitutionnelle">
    <w:name w:val="Référence institutionnelle"/>
    <w:basedOn w:val="Standard"/>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Standard"/>
    <w:next w:val="Statut"/>
    <w:locked/>
    <w:rsid w:val="000D2D0B"/>
    <w:pPr>
      <w:ind w:left="5103"/>
    </w:pPr>
    <w:rPr>
      <w:rFonts w:ascii="Times New Roman" w:hAnsi="Times New Roman"/>
      <w:sz w:val="24"/>
    </w:rPr>
  </w:style>
  <w:style w:type="paragraph" w:customStyle="1" w:styleId="Rfrenceinterne">
    <w:name w:val="Référence interne"/>
    <w:basedOn w:val="Standard"/>
    <w:next w:val="Rfrenceinterinstitutionnelle"/>
    <w:locked/>
    <w:rsid w:val="000D2D0B"/>
    <w:pPr>
      <w:ind w:left="5103"/>
    </w:pPr>
    <w:rPr>
      <w:rFonts w:ascii="Times New Roman" w:hAnsi="Times New Roman"/>
      <w:sz w:val="24"/>
    </w:rPr>
  </w:style>
  <w:style w:type="paragraph" w:customStyle="1" w:styleId="Sous-titreobjet">
    <w:name w:val="Sous-titre objet"/>
    <w:basedOn w:val="Standard"/>
    <w:locked/>
    <w:rsid w:val="000D2D0B"/>
    <w:pPr>
      <w:jc w:val="center"/>
    </w:pPr>
    <w:rPr>
      <w:rFonts w:ascii="Times New Roman" w:hAnsi="Times New Roman"/>
      <w:b/>
      <w:sz w:val="24"/>
    </w:rPr>
  </w:style>
  <w:style w:type="paragraph" w:customStyle="1" w:styleId="Statut">
    <w:name w:val="Statut"/>
    <w:basedOn w:val="Standard"/>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Standard"/>
    <w:next w:val="Standard"/>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Standard"/>
    <w:next w:val="Standard"/>
    <w:locked/>
    <w:rsid w:val="000D2D0B"/>
    <w:pPr>
      <w:spacing w:before="120" w:after="120"/>
    </w:pPr>
    <w:rPr>
      <w:rFonts w:ascii="Times New Roman" w:hAnsi="Times New Roman"/>
      <w:i/>
      <w:caps/>
      <w:sz w:val="24"/>
    </w:rPr>
  </w:style>
  <w:style w:type="paragraph" w:customStyle="1" w:styleId="Pagedecouverture">
    <w:name w:val="Page de couverture"/>
    <w:basedOn w:val="Standard"/>
    <w:next w:val="Standard"/>
    <w:locked/>
    <w:rsid w:val="000D2D0B"/>
    <w:pPr>
      <w:spacing w:before="120" w:after="120"/>
    </w:pPr>
    <w:rPr>
      <w:rFonts w:ascii="Times New Roman" w:hAnsi="Times New Roman"/>
      <w:sz w:val="24"/>
    </w:rPr>
  </w:style>
  <w:style w:type="paragraph" w:customStyle="1" w:styleId="Supertitre">
    <w:name w:val="Supertitre"/>
    <w:basedOn w:val="Standard"/>
    <w:next w:val="Standard"/>
    <w:locked/>
    <w:rsid w:val="000D2D0B"/>
    <w:pPr>
      <w:spacing w:after="600"/>
      <w:jc w:val="center"/>
    </w:pPr>
    <w:rPr>
      <w:rFonts w:ascii="Times New Roman" w:hAnsi="Times New Roman"/>
      <w:b/>
      <w:sz w:val="24"/>
    </w:rPr>
  </w:style>
  <w:style w:type="paragraph" w:customStyle="1" w:styleId="Languesfaisantfoi">
    <w:name w:val="Langues faisant foi"/>
    <w:basedOn w:val="Standard"/>
    <w:next w:val="Standard"/>
    <w:locked/>
    <w:rsid w:val="000D2D0B"/>
    <w:pPr>
      <w:spacing w:before="360"/>
      <w:jc w:val="center"/>
    </w:pPr>
    <w:rPr>
      <w:rFonts w:ascii="Times New Roman" w:hAnsi="Times New Roman"/>
      <w:sz w:val="24"/>
    </w:rPr>
  </w:style>
  <w:style w:type="paragraph" w:customStyle="1" w:styleId="Rfrencecroise">
    <w:name w:val="Référence croisée"/>
    <w:basedOn w:val="Standard"/>
    <w:locked/>
    <w:rsid w:val="000D2D0B"/>
    <w:pPr>
      <w:jc w:val="center"/>
    </w:pPr>
    <w:rPr>
      <w:rFonts w:ascii="Times New Roman" w:hAnsi="Times New Roman"/>
      <w:sz w:val="24"/>
    </w:rPr>
  </w:style>
  <w:style w:type="paragraph" w:customStyle="1" w:styleId="Fichefinanciretitre">
    <w:name w:val="Fiche financière titre"/>
    <w:basedOn w:val="Standard"/>
    <w:next w:val="Standard"/>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Standard"/>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Standard"/>
    <w:locked/>
    <w:rsid w:val="000D2D0B"/>
    <w:pPr>
      <w:spacing w:after="240"/>
    </w:pPr>
  </w:style>
  <w:style w:type="paragraph" w:customStyle="1" w:styleId="Accompagnant">
    <w:name w:val="Accompagnant"/>
    <w:basedOn w:val="Standard"/>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Standard"/>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Standard"/>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Standard"/>
    <w:next w:val="Standard"/>
    <w:locked/>
    <w:rsid w:val="000D2D0B"/>
    <w:pPr>
      <w:spacing w:before="360"/>
      <w:jc w:val="center"/>
    </w:pPr>
    <w:rPr>
      <w:rFonts w:ascii="Times New Roman" w:hAnsi="Times New Roman"/>
      <w:sz w:val="24"/>
    </w:rPr>
  </w:style>
  <w:style w:type="paragraph" w:styleId="Listennummer2">
    <w:name w:val="List Number 2"/>
    <w:basedOn w:val="Standard"/>
    <w:locked/>
    <w:rsid w:val="000D2D0B"/>
    <w:pPr>
      <w:tabs>
        <w:tab w:val="num" w:pos="643"/>
      </w:tabs>
      <w:spacing w:before="120" w:after="120"/>
      <w:ind w:left="643" w:hanging="360"/>
    </w:pPr>
    <w:rPr>
      <w:rFonts w:ascii="Times New Roman" w:hAnsi="Times New Roman"/>
      <w:sz w:val="24"/>
    </w:rPr>
  </w:style>
  <w:style w:type="paragraph" w:styleId="Listennummer3">
    <w:name w:val="List Number 3"/>
    <w:basedOn w:val="Standard"/>
    <w:locked/>
    <w:rsid w:val="000D2D0B"/>
    <w:pPr>
      <w:tabs>
        <w:tab w:val="num" w:pos="926"/>
      </w:tabs>
      <w:spacing w:before="120" w:after="120"/>
      <w:ind w:left="926" w:hanging="360"/>
    </w:pPr>
    <w:rPr>
      <w:rFonts w:ascii="Times New Roman" w:hAnsi="Times New Roman"/>
      <w:sz w:val="24"/>
    </w:rPr>
  </w:style>
  <w:style w:type="paragraph" w:styleId="Listennummer4">
    <w:name w:val="List Number 4"/>
    <w:basedOn w:val="Standard"/>
    <w:locked/>
    <w:rsid w:val="000D2D0B"/>
    <w:pPr>
      <w:tabs>
        <w:tab w:val="num" w:pos="1209"/>
        <w:tab w:val="num" w:pos="1417"/>
      </w:tabs>
      <w:spacing w:before="120" w:after="120"/>
      <w:ind w:left="1209" w:hanging="360"/>
    </w:pPr>
    <w:rPr>
      <w:rFonts w:ascii="Times New Roman" w:hAnsi="Times New Roman"/>
      <w:sz w:val="24"/>
    </w:rPr>
  </w:style>
  <w:style w:type="paragraph" w:styleId="Aufzhlungszeichen">
    <w:name w:val="List Bullet"/>
    <w:basedOn w:val="Standard"/>
    <w:locked/>
    <w:rsid w:val="000D2D0B"/>
    <w:pPr>
      <w:numPr>
        <w:numId w:val="13"/>
      </w:numPr>
      <w:tabs>
        <w:tab w:val="num" w:pos="360"/>
      </w:tabs>
      <w:spacing w:before="120" w:after="120"/>
      <w:ind w:left="360" w:hanging="360"/>
    </w:pPr>
    <w:rPr>
      <w:rFonts w:ascii="Times New Roman" w:hAnsi="Times New Roman"/>
      <w:sz w:val="24"/>
    </w:rPr>
  </w:style>
  <w:style w:type="paragraph" w:styleId="Aufzhlungszeichen2">
    <w:name w:val="List Bullet 2"/>
    <w:basedOn w:val="Standard"/>
    <w:locked/>
    <w:rsid w:val="000D2D0B"/>
    <w:pPr>
      <w:tabs>
        <w:tab w:val="num" w:pos="643"/>
        <w:tab w:val="num" w:pos="851"/>
      </w:tabs>
      <w:spacing w:before="120" w:after="120"/>
      <w:ind w:left="643" w:hanging="360"/>
    </w:pPr>
    <w:rPr>
      <w:rFonts w:ascii="Times New Roman" w:hAnsi="Times New Roman"/>
      <w:sz w:val="24"/>
    </w:rPr>
  </w:style>
  <w:style w:type="paragraph" w:styleId="Aufzhlungszeichen3">
    <w:name w:val="List Bullet 3"/>
    <w:basedOn w:val="Standard"/>
    <w:locked/>
    <w:rsid w:val="000D2D0B"/>
    <w:pPr>
      <w:numPr>
        <w:numId w:val="15"/>
      </w:numPr>
      <w:tabs>
        <w:tab w:val="num" w:pos="926"/>
      </w:tabs>
      <w:spacing w:before="120" w:after="120"/>
      <w:ind w:left="926"/>
    </w:pPr>
    <w:rPr>
      <w:rFonts w:ascii="Times New Roman" w:hAnsi="Times New Roman"/>
      <w:sz w:val="24"/>
    </w:rPr>
  </w:style>
  <w:style w:type="paragraph" w:styleId="Aufzhlungszeichen4">
    <w:name w:val="List Bullet 4"/>
    <w:basedOn w:val="Standard"/>
    <w:locked/>
    <w:rsid w:val="000D2D0B"/>
    <w:pPr>
      <w:numPr>
        <w:numId w:val="16"/>
      </w:numPr>
      <w:tabs>
        <w:tab w:val="num" w:pos="1209"/>
      </w:tabs>
      <w:spacing w:before="120" w:after="120"/>
      <w:ind w:left="1209"/>
    </w:pPr>
    <w:rPr>
      <w:rFonts w:ascii="Times New Roman" w:hAnsi="Times New Roman"/>
      <w:sz w:val="24"/>
    </w:rPr>
  </w:style>
  <w:style w:type="paragraph" w:styleId="Abbildungsverzeichnis">
    <w:name w:val="table of figures"/>
    <w:basedOn w:val="Standard"/>
    <w:next w:val="Standard"/>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locked/>
    <w:rsid w:val="000D2D0B"/>
    <w:pPr>
      <w:ind w:left="720"/>
      <w:contextualSpacing/>
    </w:pPr>
    <w:rPr>
      <w:rFonts w:ascii="Cambria" w:hAnsi="Cambria"/>
      <w:sz w:val="24"/>
      <w:lang w:val="en-US"/>
    </w:rPr>
  </w:style>
  <w:style w:type="paragraph" w:customStyle="1" w:styleId="Listeavsnitt1">
    <w:name w:val="Listeavsnitt1"/>
    <w:basedOn w:val="Standard"/>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Standard"/>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Standard"/>
    <w:uiPriority w:val="99"/>
    <w:locked/>
    <w:rsid w:val="000D2D0B"/>
    <w:pPr>
      <w:ind w:left="720"/>
      <w:contextualSpacing/>
    </w:pPr>
    <w:rPr>
      <w:rFonts w:ascii="Cambria" w:hAnsi="Cambria"/>
      <w:sz w:val="24"/>
      <w:lang w:val="en-US"/>
    </w:rPr>
  </w:style>
  <w:style w:type="paragraph" w:customStyle="1" w:styleId="ListParagraph2">
    <w:name w:val="List Paragraph2"/>
    <w:basedOn w:val="Standard"/>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berschrift1"/>
    <w:next w:val="Standard"/>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Standard"/>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Standard"/>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Standard"/>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el">
    <w:name w:val="Title"/>
    <w:basedOn w:val="Standard"/>
    <w:next w:val="Standard"/>
    <w:link w:val="TitelZchn"/>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locked/>
    <w:rsid w:val="000D2D0B"/>
    <w:pPr>
      <w:spacing w:before="320" w:line="260" w:lineRule="exact"/>
    </w:pPr>
    <w:rPr>
      <w:rFonts w:ascii="Myriad Pro Light" w:hAnsi="Myriad Pro Light"/>
      <w:b/>
      <w:sz w:val="21"/>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locked/>
    <w:rsid w:val="003A6E9A"/>
    <w:rPr>
      <w:b/>
      <w:i w:val="0"/>
      <w:iCs/>
      <w:sz w:val="20"/>
    </w:rPr>
  </w:style>
  <w:style w:type="paragraph" w:customStyle="1" w:styleId="NEW-Paragraph-Level1">
    <w:name w:val="NEW-Paragraph-Level1"/>
    <w:basedOn w:val="Standard"/>
    <w:locked/>
    <w:rsid w:val="003A6E9A"/>
    <w:pPr>
      <w:tabs>
        <w:tab w:val="num" w:pos="284"/>
      </w:tabs>
      <w:ind w:left="284" w:hanging="284"/>
    </w:pPr>
  </w:style>
  <w:style w:type="paragraph" w:customStyle="1" w:styleId="NEW-Paragraph-level2">
    <w:name w:val="NEW-Paragraph-level2"/>
    <w:basedOn w:val="Standard"/>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Standard"/>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Standard"/>
    <w:locked/>
    <w:rsid w:val="003A6E9A"/>
    <w:pPr>
      <w:keepNext/>
      <w:numPr>
        <w:numId w:val="29"/>
      </w:numPr>
      <w:spacing w:before="240"/>
      <w:outlineLvl w:val="0"/>
    </w:pPr>
    <w:rPr>
      <w:b/>
      <w:bCs/>
      <w:kern w:val="32"/>
      <w:sz w:val="28"/>
      <w:szCs w:val="28"/>
    </w:rPr>
  </w:style>
  <w:style w:type="paragraph" w:customStyle="1" w:styleId="NEW-Level1">
    <w:name w:val="NEW-Level1"/>
    <w:basedOn w:val="Standard"/>
    <w:locked/>
    <w:rsid w:val="003A6E9A"/>
    <w:pPr>
      <w:keepNext/>
      <w:numPr>
        <w:ilvl w:val="1"/>
        <w:numId w:val="29"/>
      </w:numPr>
      <w:spacing w:before="240"/>
      <w:outlineLvl w:val="0"/>
    </w:pPr>
    <w:rPr>
      <w:b/>
      <w:bCs/>
      <w:kern w:val="32"/>
      <w:sz w:val="24"/>
      <w:szCs w:val="32"/>
    </w:rPr>
  </w:style>
  <w:style w:type="paragraph" w:customStyle="1" w:styleId="NEW-Level2">
    <w:name w:val="NEW-Level2"/>
    <w:basedOn w:val="Standard"/>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Standard"/>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Standard"/>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Standard"/>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locked/>
    <w:rsid w:val="00EF0769"/>
    <w:pPr>
      <w:numPr>
        <w:numId w:val="31"/>
      </w:numPr>
      <w:spacing w:before="250"/>
    </w:pPr>
    <w:rPr>
      <w:rFonts w:cstheme="minorBidi"/>
      <w:b/>
    </w:rPr>
  </w:style>
  <w:style w:type="character" w:customStyle="1" w:styleId="CPQuestionsChar">
    <w:name w:val="CP_Questions Char"/>
    <w:basedOn w:val="Absatz-Standardschriftar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iveHervorhebung">
    <w:name w:val="Intense Emphasis"/>
    <w:basedOn w:val="Absatz-Standardschriftart"/>
    <w:uiPriority w:val="21"/>
    <w:qFormat/>
    <w:locked/>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berschrift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Standard"/>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Standard"/>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Standard"/>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Standard"/>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Standard"/>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Standard"/>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Standard"/>
    <w:next w:val="Standard"/>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Absatz-Standardschriftar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Fett"/>
    <w:uiPriority w:val="1"/>
    <w:qFormat/>
    <w:rsid w:val="00F87468"/>
    <w:rPr>
      <w:b w:val="0"/>
      <w:bCs/>
      <w:caps/>
      <w:smallCaps w:val="0"/>
      <w:color w:val="F79646" w:themeColor="accent6"/>
      <w:sz w:val="22"/>
    </w:rPr>
  </w:style>
  <w:style w:type="paragraph" w:styleId="Untertitel">
    <w:name w:val="Subtitle"/>
    <w:basedOn w:val="Standard"/>
    <w:next w:val="Standard"/>
    <w:link w:val="UntertitelZchn"/>
    <w:uiPriority w:val="11"/>
    <w:qFormat/>
    <w:locked/>
    <w:rsid w:val="00E70E2E"/>
    <w:pPr>
      <w:numPr>
        <w:ilvl w:val="1"/>
      </w:numPr>
    </w:pPr>
    <w:rPr>
      <w:rFonts w:eastAsiaTheme="majorEastAsia"/>
      <w:b/>
      <w:bCs/>
      <w:sz w:val="28"/>
    </w:rPr>
  </w:style>
  <w:style w:type="character" w:customStyle="1" w:styleId="UntertitelZchn">
    <w:name w:val="Untertitel Zchn"/>
    <w:basedOn w:val="Absatz-Standardschriftart"/>
    <w:link w:val="Untertitel"/>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Standard"/>
    <w:link w:val="HeaderFootChar"/>
    <w:qFormat/>
    <w:rsid w:val="00F716D4"/>
    <w:pPr>
      <w:spacing w:after="0"/>
      <w:jc w:val="right"/>
    </w:pPr>
    <w:rPr>
      <w:color w:val="001B4F"/>
      <w:sz w:val="16"/>
      <w:szCs w:val="16"/>
    </w:rPr>
  </w:style>
  <w:style w:type="character" w:styleId="NichtaufgelsteErwhnung">
    <w:name w:val="Unresolved Mention"/>
    <w:basedOn w:val="Absatz-Standardschriftart"/>
    <w:uiPriority w:val="99"/>
    <w:semiHidden/>
    <w:unhideWhenUsed/>
    <w:rsid w:val="0034374F"/>
    <w:rPr>
      <w:color w:val="605E5C"/>
      <w:shd w:val="clear" w:color="auto" w:fill="E1DFDD"/>
    </w:rPr>
  </w:style>
  <w:style w:type="character" w:customStyle="1" w:styleId="HeaderFootChar">
    <w:name w:val="HeaderFoot Char"/>
    <w:basedOn w:val="Absatz-Standardschriftar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Standard"/>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Absatz-Standardschriftar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esma.europa.eu/about-esma/data-protection"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www.esma.europa.eu"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D Policy Document" ma:contentTypeID="0x010100503F0D35E53D034B940919FAB1A37C88010200886C2D374374F346A8C0877FBBFFF5A6" ma:contentTypeVersion="26" ma:contentTypeDescription="" ma:contentTypeScope="" ma:versionID="1a33745356bbb1a0bf33dad033736ac3">
  <xsd:schema xmlns:xsd="http://www.w3.org/2001/XMLSchema" xmlns:xs="http://www.w3.org/2001/XMLSchema" xmlns:p="http://schemas.microsoft.com/office/2006/metadata/properties" xmlns:ns2="d0fb0f98-34f9-4d57-9559-eb8efd17aa5e" xmlns:ns3="6f12cd6b-8b2a-4dd7-980a-cc1ae6d63939" xmlns:ns4="http://schemas.microsoft.com/sharepoint/v4" targetNamespace="http://schemas.microsoft.com/office/2006/metadata/properties" ma:root="true" ma:fieldsID="c67944f40fbc93ab4cc582d12006568a" ns2:_="" ns3:_="" ns4:_="">
    <xsd:import namespace="d0fb0f98-34f9-4d57-9559-eb8efd17aa5e"/>
    <xsd:import namespace="6f12cd6b-8b2a-4dd7-980a-cc1ae6d63939"/>
    <xsd:import namespace="http://schemas.microsoft.com/sharepoint/v4"/>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adfed02cb80f4453940112edc610ae0b"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1;#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default="" ma:fieldId="{caa5aeb1-a664-4849-b60f-be2335e12657}" ma:sspId="d4b01e31-ead0-4f68-a8e9-2aaca35f2e62" ma:termSetId="f69c9a53-5413-4cfb-bcb5-5dda08801a4b" ma:anchorId="00000000-0000-0000-0000-000000000000" ma:open="true" ma:isKeyword="false">
      <xsd:complexType>
        <xsd:sequence>
          <xsd:element ref="pc:Terms" minOccurs="0" maxOccurs="1"/>
        </xsd:sequence>
      </xsd:complexType>
    </xsd:element>
    <xsd:element name="adfed02cb80f4453940112edc610ae0b" ma:index="21" nillable="true" ma:taxonomy="true" ma:internalName="adfed02cb80f4453940112edc610ae0b" ma:taxonomyFieldName="MultiTopic" ma:displayName="MultiTopic" ma:readOnly="false" ma:fieldId="{adfed02c-b80f-4453-9401-12edc610ae0b}" ma:taxonomyMulti="true" ma:sspId="d4b01e31-ead0-4f68-a8e9-2aaca35f2e62" ma:termSetId="53d8606b-b8d1-487f-aeb7-9497ccd07a27"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2cd6b-8b2a-4dd7-980a-cc1ae6d6393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eetingDate xmlns="d0fb0f98-34f9-4d57-9559-eb8efd17aa5e" xsi:nil="true"/>
    <Year xmlns="d0fb0f98-34f9-4d57-9559-eb8efd17aa5e">2024</Year>
    <TaxCatchAll xmlns="d0fb0f98-34f9-4d57-9559-eb8efd17aa5e">
      <Value>6</Value>
      <Value>54</Value>
      <Value>329</Value>
    </TaxCatchAll>
    <_dlc_DocId xmlns="d0fb0f98-34f9-4d57-9559-eb8efd17aa5e">ESMA12-2121844265-3960</_dlc_DocId>
    <_dlc_DocIdUrl xmlns="d0fb0f98-34f9-4d57-9559-eb8efd17aa5e">
      <Url>https://securitiesandmarketsauth.sharepoint.com/sites/sherpa-daru/_layouts/15/DocIdRedir.aspx?ID=ESMA12-2121844265-3960</Url>
      <Description>ESMA12-2121844265-3960</Description>
    </_dlc_DocIdUrl>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Reference data</TermName>
          <TermId xmlns="http://schemas.microsoft.com/office/infopath/2007/PartnerControls">36bb832f-b991-4ef7-8bec-e7277df3041f</TermId>
        </TermInfo>
      </Terms>
    </caa5aeb1a6644849b60fbe2335e12657>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d0fb0f98-34f9-4d57-9559-eb8efd17aa5e">
      <Terms xmlns="http://schemas.microsoft.com/office/infopath/2007/PartnerControls"/>
    </a9b3b1dad23b4ba58c3f3e36a96e1d9c>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adfed02cb80f4453940112edc610ae0b xmlns="d0fb0f98-34f9-4d57-9559-eb8efd17aa5e">
      <Terms xmlns="http://schemas.microsoft.com/office/infopath/2007/PartnerControls"/>
    </adfed02cb80f4453940112edc610ae0b>
  </documentManagement>
</p:properties>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692CBE38-6864-4AA2-ACB2-53F00492F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f12cd6b-8b2a-4dd7-980a-cc1ae6d63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4.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5.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6.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http://schemas.microsoft.com/sharepoint/v4"/>
    <ds:schemaRef ds:uri="d0fb0f98-34f9-4d57-9559-eb8efd17aa5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10252</Words>
  <Characters>61214</Characters>
  <Application>Microsoft Office Word</Application>
  <DocSecurity>0</DocSecurity>
  <Lines>510</Lines>
  <Paragraphs>142</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71324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tf</cp:lastModifiedBy>
  <cp:revision>3</cp:revision>
  <cp:lastPrinted>2015-02-18T11:01:00Z</cp:lastPrinted>
  <dcterms:created xsi:type="dcterms:W3CDTF">2025-01-16T23:37:00Z</dcterms:created>
  <dcterms:modified xsi:type="dcterms:W3CDTF">2025-01-16T23:41:00Z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0x010100503F0D35E53D034B940919FAB1A37C88010200886C2D374374F346A8C0877FBBFFF5A6</vt:lpwstr>
  </property>
  <property fmtid="{D5CDD505-2E9C-101B-9397-08002B2CF9AE}" pid="3" name="_dlc_DocIdItemGuid">
    <vt:lpwstr>c2d45bef-b2fe-4c35-a8ae-07692bf93444</vt:lpwstr>
  </property>
  <property fmtid="{D5CDD505-2E9C-101B-9397-08002B2CF9AE}" pid="4" name="TeamName">
    <vt:lpwstr>8</vt:lpwstr>
  </property>
  <property fmtid="{D5CDD505-2E9C-101B-9397-08002B2CF9AE}" pid="5" name="Topic">
    <vt:lpwstr>54</vt:lpwstr>
  </property>
  <property fmtid="{D5CDD505-2E9C-101B-9397-08002B2CF9AE}" pid="6" name="ConfidentialityLevel">
    <vt:lpwstr>6;#Regular|07f1e362-856b-423d-bea6-a14079762141</vt:lpwstr>
  </property>
  <property fmtid="{D5CDD505-2E9C-101B-9397-08002B2CF9AE}" pid="7" name="DocumentType">
    <vt:lpwstr>329;#Form / Request|efe27f23-61a2-47e7-916e-544dd02c80f4</vt:lpwstr>
  </property>
  <property fmtid="{D5CDD505-2E9C-101B-9397-08002B2CF9AE}" pid="8" name="SubTopic">
    <vt:lpwstr>894</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ultiTopic">
    <vt:lpwstr/>
  </property>
</Properties>
</file>