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0DD37A" w14:textId="208E8473" w:rsidR="00262AD4" w:rsidRDefault="00262AD4" w:rsidP="00262AD4">
      <w:pPr>
        <w:spacing w:after="0"/>
        <w:contextualSpacing/>
      </w:pPr>
      <w:r>
        <w:rPr>
          <w:noProof/>
        </w:rPr>
        <w:drawing>
          <wp:anchor distT="0" distB="0" distL="114300" distR="114300" simplePos="0" relativeHeight="251658240" behindDoc="1" locked="0" layoutInCell="1" allowOverlap="1" wp14:anchorId="6B6D1310" wp14:editId="167BED26">
            <wp:simplePos x="0" y="0"/>
            <wp:positionH relativeFrom="margin">
              <wp:align>left</wp:align>
            </wp:positionH>
            <wp:positionV relativeFrom="paragraph">
              <wp:posOffset>0</wp:posOffset>
            </wp:positionV>
            <wp:extent cx="2203450" cy="825500"/>
            <wp:effectExtent l="0" t="0" r="6350" b="0"/>
            <wp:wrapTight wrapText="bothSides">
              <wp:wrapPolygon edited="0">
                <wp:start x="0" y="0"/>
                <wp:lineTo x="0" y="20935"/>
                <wp:lineTo x="20355" y="20935"/>
                <wp:lineTo x="20168" y="17446"/>
                <wp:lineTo x="19235" y="15951"/>
                <wp:lineTo x="21476" y="10468"/>
                <wp:lineTo x="21476" y="7477"/>
                <wp:lineTo x="20542" y="0"/>
                <wp:lineTo x="0" y="0"/>
              </wp:wrapPolygon>
            </wp:wrapTight>
            <wp:docPr id="1"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3450" cy="825500"/>
                    </a:xfrm>
                    <a:prstGeom prst="rect">
                      <a:avLst/>
                    </a:prstGeom>
                    <a:noFill/>
                    <a:ln>
                      <a:noFill/>
                    </a:ln>
                  </pic:spPr>
                </pic:pic>
              </a:graphicData>
            </a:graphic>
          </wp:anchor>
        </w:drawing>
      </w:r>
    </w:p>
    <w:p w14:paraId="7FCAFEAB" w14:textId="14E1BD08" w:rsidR="00262AD4" w:rsidRDefault="00262AD4" w:rsidP="00262AD4">
      <w:pPr>
        <w:spacing w:after="0"/>
        <w:contextualSpacing/>
      </w:pPr>
    </w:p>
    <w:p w14:paraId="67506C59" w14:textId="498BA208" w:rsidR="00262AD4" w:rsidRDefault="00262AD4" w:rsidP="00262AD4">
      <w:pPr>
        <w:spacing w:after="0"/>
        <w:contextualSpacing/>
      </w:pPr>
    </w:p>
    <w:p w14:paraId="6D351080" w14:textId="77777777" w:rsidR="00262AD4" w:rsidRDefault="00262AD4" w:rsidP="00262AD4">
      <w:pPr>
        <w:spacing w:after="0"/>
        <w:contextualSpacing/>
      </w:pPr>
    </w:p>
    <w:p w14:paraId="438EF525" w14:textId="77777777" w:rsidR="00262AD4" w:rsidRDefault="00262AD4" w:rsidP="00262AD4">
      <w:pPr>
        <w:spacing w:after="0"/>
        <w:contextualSpacing/>
      </w:pPr>
    </w:p>
    <w:p w14:paraId="0B11FEC8" w14:textId="2092BE97" w:rsidR="00262AD4" w:rsidRDefault="00262AD4" w:rsidP="00262AD4">
      <w:pPr>
        <w:spacing w:after="0"/>
        <w:contextualSpacing/>
      </w:pPr>
    </w:p>
    <w:p w14:paraId="38A664AC" w14:textId="6A2735A1" w:rsidR="00262AD4" w:rsidRPr="008E7CD0" w:rsidRDefault="008E7CD0" w:rsidP="00262AD4">
      <w:pPr>
        <w:spacing w:after="0"/>
        <w:contextualSpacing/>
        <w:jc w:val="right"/>
        <w:rPr>
          <w:b/>
          <w:bCs/>
        </w:rPr>
      </w:pPr>
      <w:r>
        <w:rPr>
          <w:b/>
          <w:bCs/>
        </w:rPr>
        <w:t xml:space="preserve">Date: </w:t>
      </w:r>
      <w:r w:rsidR="00EF4D8C">
        <w:rPr>
          <w:b/>
          <w:bCs/>
        </w:rPr>
        <w:t>1</w:t>
      </w:r>
      <w:r w:rsidR="002614CA">
        <w:rPr>
          <w:b/>
          <w:bCs/>
        </w:rPr>
        <w:t>6</w:t>
      </w:r>
      <w:r w:rsidR="00D03C60">
        <w:rPr>
          <w:b/>
          <w:bCs/>
        </w:rPr>
        <w:t xml:space="preserve"> October</w:t>
      </w:r>
      <w:r w:rsidR="004A29F4">
        <w:rPr>
          <w:b/>
          <w:bCs/>
        </w:rPr>
        <w:t xml:space="preserve"> 2024</w:t>
      </w:r>
    </w:p>
    <w:p w14:paraId="4CFFBA28" w14:textId="77777777" w:rsidR="00262AD4" w:rsidRDefault="00262AD4" w:rsidP="00262AD4">
      <w:pPr>
        <w:spacing w:after="0"/>
        <w:contextualSpacing/>
      </w:pPr>
    </w:p>
    <w:p w14:paraId="215955D7" w14:textId="7D414DAE" w:rsidR="00262AD4" w:rsidRPr="00262AD4" w:rsidRDefault="00262AD4" w:rsidP="00262AD4">
      <w:pPr>
        <w:spacing w:after="0"/>
        <w:contextualSpacing/>
        <w:jc w:val="both"/>
        <w:rPr>
          <w:b/>
          <w:bCs/>
          <w:sz w:val="36"/>
          <w:szCs w:val="36"/>
        </w:rPr>
      </w:pPr>
      <w:r w:rsidRPr="00262AD4">
        <w:rPr>
          <w:b/>
          <w:bCs/>
          <w:sz w:val="36"/>
          <w:szCs w:val="36"/>
        </w:rPr>
        <w:t xml:space="preserve">FIA EPTA response to the </w:t>
      </w:r>
      <w:r w:rsidR="00D173CF">
        <w:rPr>
          <w:b/>
          <w:bCs/>
          <w:sz w:val="36"/>
          <w:szCs w:val="36"/>
        </w:rPr>
        <w:t>ESMA</w:t>
      </w:r>
      <w:r w:rsidR="009B6CB0">
        <w:rPr>
          <w:b/>
          <w:bCs/>
          <w:sz w:val="36"/>
          <w:szCs w:val="36"/>
        </w:rPr>
        <w:t xml:space="preserve"> Consultation Package on MiFIR </w:t>
      </w:r>
      <w:r w:rsidR="002F4A3D">
        <w:rPr>
          <w:b/>
          <w:bCs/>
          <w:sz w:val="36"/>
          <w:szCs w:val="36"/>
        </w:rPr>
        <w:t>Order Execution Policies</w:t>
      </w:r>
      <w:r w:rsidR="00F70291">
        <w:rPr>
          <w:b/>
          <w:bCs/>
          <w:sz w:val="36"/>
          <w:szCs w:val="36"/>
        </w:rPr>
        <w:t xml:space="preserve"> </w:t>
      </w:r>
    </w:p>
    <w:p w14:paraId="383C4B5E" w14:textId="3DD5AB5D" w:rsidR="004B3362" w:rsidRDefault="004B3362" w:rsidP="00262AD4">
      <w:pPr>
        <w:spacing w:after="0"/>
        <w:contextualSpacing/>
        <w:jc w:val="both"/>
      </w:pPr>
    </w:p>
    <w:p w14:paraId="70B075E0" w14:textId="77777777" w:rsidR="00FC4E38" w:rsidRDefault="00FC4E38" w:rsidP="00262AD4">
      <w:pPr>
        <w:spacing w:after="0"/>
        <w:contextualSpacing/>
        <w:jc w:val="both"/>
      </w:pPr>
    </w:p>
    <w:tbl>
      <w:tblPr>
        <w:tblStyle w:val="TableGrid"/>
        <w:tblW w:w="0" w:type="auto"/>
        <w:tblLook w:val="04A0" w:firstRow="1" w:lastRow="0" w:firstColumn="1" w:lastColumn="0" w:noHBand="0" w:noVBand="1"/>
      </w:tblPr>
      <w:tblGrid>
        <w:gridCol w:w="1555"/>
        <w:gridCol w:w="11395"/>
      </w:tblGrid>
      <w:tr w:rsidR="00262AD4" w:rsidRPr="003C5657" w14:paraId="7747EFE2" w14:textId="77777777" w:rsidTr="00262AD4">
        <w:tc>
          <w:tcPr>
            <w:tcW w:w="1555" w:type="dxa"/>
          </w:tcPr>
          <w:p w14:paraId="61024018" w14:textId="2B0A1C7A" w:rsidR="00262AD4" w:rsidRPr="00262AD4" w:rsidRDefault="00262AD4" w:rsidP="00262AD4">
            <w:pPr>
              <w:contextualSpacing/>
              <w:jc w:val="both"/>
              <w:rPr>
                <w:b/>
                <w:bCs/>
              </w:rPr>
            </w:pPr>
            <w:r w:rsidRPr="00262AD4">
              <w:rPr>
                <w:b/>
                <w:bCs/>
              </w:rPr>
              <w:t>Introduction</w:t>
            </w:r>
          </w:p>
        </w:tc>
        <w:tc>
          <w:tcPr>
            <w:tcW w:w="11395" w:type="dxa"/>
          </w:tcPr>
          <w:p w14:paraId="4566185F" w14:textId="77777777" w:rsidR="008E7CD0" w:rsidRPr="009F166E" w:rsidRDefault="008E7CD0" w:rsidP="008E7CD0">
            <w:pPr>
              <w:rPr>
                <w:rFonts w:cstheme="minorHAnsi"/>
              </w:rPr>
            </w:pPr>
            <w:r w:rsidRPr="009F166E">
              <w:rPr>
                <w:rFonts w:cstheme="minorHAnsi"/>
              </w:rPr>
              <w:t xml:space="preserve">The European Principal Traders Association (FIA EPTA) represents Europe’s leading Principal Trading Firms. Our members are independent market makers and providers of liquidity and risk-transfer for markets and end-investors across Europe. FIA EPTA works constructively with policy-makers, regulators and other market stakeholders to ensure efficient, resilient and trusted financial markets in Europe. </w:t>
            </w:r>
          </w:p>
          <w:p w14:paraId="66028904" w14:textId="77777777" w:rsidR="008E7CD0" w:rsidRDefault="008E7CD0" w:rsidP="00262AD4">
            <w:pPr>
              <w:contextualSpacing/>
              <w:jc w:val="both"/>
            </w:pPr>
          </w:p>
          <w:p w14:paraId="1DEE43DC" w14:textId="77777777" w:rsidR="001447F1" w:rsidRDefault="001447F1" w:rsidP="001447F1">
            <w:pPr>
              <w:jc w:val="both"/>
            </w:pPr>
          </w:p>
          <w:p w14:paraId="2E61C178" w14:textId="03864D79" w:rsidR="0030771E" w:rsidRPr="003C5657" w:rsidRDefault="0030771E" w:rsidP="00632735">
            <w:pPr>
              <w:jc w:val="both"/>
              <w:rPr>
                <w:lang w:val="en-GB"/>
              </w:rPr>
            </w:pPr>
          </w:p>
        </w:tc>
      </w:tr>
    </w:tbl>
    <w:p w14:paraId="62B4D8A9" w14:textId="4EE8C198" w:rsidR="00262AD4" w:rsidRPr="003C5657" w:rsidRDefault="00262AD4" w:rsidP="00262AD4">
      <w:pPr>
        <w:spacing w:after="0"/>
        <w:contextualSpacing/>
        <w:jc w:val="both"/>
        <w:rPr>
          <w:lang w:val="en-GB"/>
        </w:rPr>
      </w:pPr>
    </w:p>
    <w:p w14:paraId="55260AA5" w14:textId="18983C4D" w:rsidR="00262AD4" w:rsidRDefault="00D173CF" w:rsidP="00262AD4">
      <w:pPr>
        <w:pStyle w:val="Heading1"/>
      </w:pPr>
      <w:r>
        <w:t>ESMA</w:t>
      </w:r>
      <w:r w:rsidR="00CA3567">
        <w:t xml:space="preserve"> Questions:</w:t>
      </w:r>
    </w:p>
    <w:tbl>
      <w:tblPr>
        <w:tblStyle w:val="TableGrid"/>
        <w:tblW w:w="0" w:type="auto"/>
        <w:tblLayout w:type="fixed"/>
        <w:tblLook w:val="04A0" w:firstRow="1" w:lastRow="0" w:firstColumn="1" w:lastColumn="0" w:noHBand="0" w:noVBand="1"/>
      </w:tblPr>
      <w:tblGrid>
        <w:gridCol w:w="2830"/>
        <w:gridCol w:w="9781"/>
      </w:tblGrid>
      <w:tr w:rsidR="00195FDA" w14:paraId="19ED646D" w14:textId="77777777" w:rsidTr="00195FDA">
        <w:tc>
          <w:tcPr>
            <w:tcW w:w="2830" w:type="dxa"/>
          </w:tcPr>
          <w:p w14:paraId="38F10EE5" w14:textId="0E488D8B" w:rsidR="00195FDA" w:rsidRPr="00262AD4" w:rsidRDefault="00195FDA" w:rsidP="00262AD4">
            <w:pPr>
              <w:contextualSpacing/>
              <w:jc w:val="both"/>
              <w:rPr>
                <w:b/>
                <w:bCs/>
              </w:rPr>
            </w:pPr>
            <w:r>
              <w:rPr>
                <w:b/>
                <w:bCs/>
              </w:rPr>
              <w:t>Question:</w:t>
            </w:r>
          </w:p>
        </w:tc>
        <w:tc>
          <w:tcPr>
            <w:tcW w:w="9781" w:type="dxa"/>
          </w:tcPr>
          <w:p w14:paraId="0B809909" w14:textId="4B27CF92" w:rsidR="00195FDA" w:rsidRPr="00262AD4" w:rsidRDefault="00195FDA" w:rsidP="00262AD4">
            <w:pPr>
              <w:contextualSpacing/>
              <w:jc w:val="both"/>
              <w:rPr>
                <w:b/>
                <w:bCs/>
              </w:rPr>
            </w:pPr>
            <w:r>
              <w:rPr>
                <w:b/>
                <w:bCs/>
              </w:rPr>
              <w:t>Draft FIA EPTA Response:</w:t>
            </w:r>
          </w:p>
        </w:tc>
      </w:tr>
      <w:tr w:rsidR="00195FDA" w14:paraId="0D037D5F" w14:textId="77777777" w:rsidTr="00195FDA">
        <w:tc>
          <w:tcPr>
            <w:tcW w:w="2830" w:type="dxa"/>
          </w:tcPr>
          <w:p w14:paraId="4DD4E415" w14:textId="2F8CCAF4" w:rsidR="00195FDA" w:rsidRDefault="00195FDA" w:rsidP="00D864E0">
            <w:pPr>
              <w:jc w:val="both"/>
            </w:pPr>
            <w:r w:rsidRPr="004C4FE3">
              <w:t xml:space="preserve">Q1: Do you agree with the proposed categorisation of classes of financial instruments? And could the methodology based on, inter alia, the classification of financial instruments in the MiFID II RTSs 1 and 2 be used in the context of MiFID II transparency reporting be an </w:t>
            </w:r>
            <w:r w:rsidRPr="004C4FE3">
              <w:lastRenderedPageBreak/>
              <w:t>alternative? Please state the reasons for your answers.</w:t>
            </w:r>
          </w:p>
        </w:tc>
        <w:tc>
          <w:tcPr>
            <w:tcW w:w="9781" w:type="dxa"/>
          </w:tcPr>
          <w:p w14:paraId="25A5B80D" w14:textId="1E1DC5F0" w:rsidR="00195FDA" w:rsidRDefault="00195FDA" w:rsidP="004C2548">
            <w:pPr>
              <w:contextualSpacing/>
              <w:jc w:val="both"/>
            </w:pPr>
          </w:p>
          <w:p w14:paraId="6A0595E9" w14:textId="3B181F82" w:rsidR="00195FDA" w:rsidRDefault="00195FDA" w:rsidP="004C2548">
            <w:pPr>
              <w:contextualSpacing/>
              <w:jc w:val="both"/>
            </w:pPr>
            <w:r>
              <w:t xml:space="preserve">Whilst FIA EPTA members acknowledge there is some logic in grouping classes of financial instruments together to enable a meaningful comparison of execution outcomes, we believe these categories should be broad enough to enable comparison across different financial instruments that provide a similar risk/reward profile. This is especially pertinent for retail investors for whom total consideration is the relevant factor in assessing the best possible execution result. </w:t>
            </w:r>
            <w:r w:rsidRPr="00324088">
              <w:t xml:space="preserve">Accordingly, we therefore have a preference for adopting </w:t>
            </w:r>
            <w:r>
              <w:t xml:space="preserve">a more expansive approach, similar to the </w:t>
            </w:r>
            <w:r w:rsidRPr="00324088">
              <w:t xml:space="preserve">classifications in RTS 1 and 2 </w:t>
            </w:r>
            <w:r>
              <w:t xml:space="preserve">but also allowing for comparison of products which have the same or substantially similar underlying reference instruments. This would acknowledge that investors can obtain exposure to certain instruments or issuers via a range of different products with similar </w:t>
            </w:r>
            <w:r>
              <w:lastRenderedPageBreak/>
              <w:t xml:space="preserve">risk/reward profiles such as an ETF vs. a future referencing the same index or a single stock option or warrant referencing the same shares. </w:t>
            </w:r>
          </w:p>
          <w:p w14:paraId="18D384EF" w14:textId="77777777" w:rsidR="00195FDA" w:rsidRDefault="00195FDA" w:rsidP="004C2548">
            <w:pPr>
              <w:contextualSpacing/>
              <w:jc w:val="both"/>
            </w:pPr>
          </w:p>
          <w:p w14:paraId="03CBB794" w14:textId="68551BD2" w:rsidR="00195FDA" w:rsidRDefault="00195FDA" w:rsidP="004C2548">
            <w:pPr>
              <w:contextualSpacing/>
              <w:jc w:val="both"/>
            </w:pPr>
            <w:r>
              <w:t>A range of products available to retail investors may have similar risk/reward profiles and yet offer significantly different outcomes in terms of total consideration and other relevant factors due to differing market structure.</w:t>
            </w:r>
          </w:p>
          <w:p w14:paraId="2776DA08" w14:textId="77777777" w:rsidR="00195FDA" w:rsidRDefault="00195FDA" w:rsidP="004C2548">
            <w:pPr>
              <w:contextualSpacing/>
              <w:jc w:val="both"/>
            </w:pPr>
          </w:p>
          <w:p w14:paraId="6E911DE3" w14:textId="7A82CB06" w:rsidR="00195FDA" w:rsidRPr="008E37D2" w:rsidRDefault="00195FDA" w:rsidP="006201C2">
            <w:pPr>
              <w:contextualSpacing/>
              <w:jc w:val="both"/>
              <w:rPr>
                <w:lang w:val="en-GB"/>
              </w:rPr>
            </w:pPr>
            <w:r>
              <w:t xml:space="preserve">By way of example, warrants and listed options are both listed on regulated markets and have a similar pay-off structure, however the costs entailed by retail investors and constraints on managing risk are significantly greater with respect to warrants compared to listed options. This is because </w:t>
            </w:r>
            <w:r w:rsidRPr="006201C2">
              <w:rPr>
                <w:lang w:val="en-GB"/>
              </w:rPr>
              <w:t>the warrants market operates as a single market maker</w:t>
            </w:r>
            <w:r>
              <w:rPr>
                <w:lang w:val="en-GB"/>
              </w:rPr>
              <w:t xml:space="preserve"> </w:t>
            </w:r>
            <w:r w:rsidRPr="006201C2">
              <w:rPr>
                <w:lang w:val="en-GB"/>
              </w:rPr>
              <w:t>model where there is only one market maker, who is typically the issuer of the</w:t>
            </w:r>
            <w:r>
              <w:rPr>
                <w:lang w:val="en-GB"/>
              </w:rPr>
              <w:t xml:space="preserve"> </w:t>
            </w:r>
            <w:r w:rsidRPr="006201C2">
              <w:rPr>
                <w:lang w:val="en-GB"/>
              </w:rPr>
              <w:t>affiliated warrants, to provide liquidity in the order book</w:t>
            </w:r>
          </w:p>
          <w:p w14:paraId="192AE4DB" w14:textId="77777777" w:rsidR="00195FDA" w:rsidRDefault="00195FDA" w:rsidP="005A1549">
            <w:pPr>
              <w:contextualSpacing/>
              <w:jc w:val="both"/>
              <w:rPr>
                <w:lang w:val="en-GB"/>
              </w:rPr>
            </w:pPr>
          </w:p>
          <w:p w14:paraId="0D85CC48" w14:textId="40CD70FF" w:rsidR="00195FDA" w:rsidRPr="005A1549" w:rsidRDefault="00195FDA" w:rsidP="005A1549">
            <w:pPr>
              <w:contextualSpacing/>
              <w:jc w:val="both"/>
              <w:rPr>
                <w:lang w:val="en-GB"/>
              </w:rPr>
            </w:pPr>
            <w:r w:rsidRPr="005A1549">
              <w:rPr>
                <w:lang w:val="en-GB"/>
              </w:rPr>
              <w:t>Warrant investors can in theory purchase warrants from other investors exiting long</w:t>
            </w:r>
            <w:r>
              <w:rPr>
                <w:lang w:val="en-GB"/>
              </w:rPr>
              <w:t xml:space="preserve"> </w:t>
            </w:r>
            <w:r w:rsidRPr="005A1549">
              <w:rPr>
                <w:lang w:val="en-GB"/>
              </w:rPr>
              <w:t>positions. However, historical data shows this only occurs on very rare occasions</w:t>
            </w:r>
            <w:r>
              <w:rPr>
                <w:lang w:val="en-GB"/>
              </w:rPr>
              <w:t xml:space="preserve"> </w:t>
            </w:r>
            <w:r w:rsidRPr="005A1549">
              <w:rPr>
                <w:lang w:val="en-GB"/>
              </w:rPr>
              <w:t>and investors are prohibited from short selling limiting their ability to manage risk. In</w:t>
            </w:r>
            <w:r>
              <w:rPr>
                <w:lang w:val="en-GB"/>
              </w:rPr>
              <w:t xml:space="preserve"> </w:t>
            </w:r>
            <w:r w:rsidRPr="005A1549">
              <w:rPr>
                <w:lang w:val="en-GB"/>
              </w:rPr>
              <w:t>practice, this means that retail investors’ orders are matched and settled bilaterally</w:t>
            </w:r>
            <w:r>
              <w:rPr>
                <w:lang w:val="en-GB"/>
              </w:rPr>
              <w:t xml:space="preserve"> </w:t>
            </w:r>
            <w:r w:rsidRPr="005A1549">
              <w:rPr>
                <w:lang w:val="en-GB"/>
              </w:rPr>
              <w:t>against the one market maker who is the exclusive counterparty to the retail orders,</w:t>
            </w:r>
          </w:p>
          <w:p w14:paraId="5B24FC2B" w14:textId="7C3B4BFA" w:rsidR="00195FDA" w:rsidRDefault="00195FDA" w:rsidP="005A1549">
            <w:pPr>
              <w:contextualSpacing/>
              <w:jc w:val="both"/>
              <w:rPr>
                <w:lang w:val="en-GB"/>
              </w:rPr>
            </w:pPr>
            <w:r w:rsidRPr="005A1549">
              <w:rPr>
                <w:lang w:val="en-GB"/>
              </w:rPr>
              <w:t>meaning in effect that the issuer has a monopoly on all</w:t>
            </w:r>
            <w:r>
              <w:rPr>
                <w:lang w:val="en-GB"/>
              </w:rPr>
              <w:t xml:space="preserve"> </w:t>
            </w:r>
            <w:r w:rsidRPr="005A1549">
              <w:rPr>
                <w:lang w:val="en-GB"/>
              </w:rPr>
              <w:t>liquidity provision.</w:t>
            </w:r>
          </w:p>
          <w:p w14:paraId="0C0B5FF1" w14:textId="77777777" w:rsidR="00195FDA" w:rsidRPr="008E37D2" w:rsidRDefault="00195FDA" w:rsidP="005A1549">
            <w:pPr>
              <w:contextualSpacing/>
              <w:jc w:val="both"/>
              <w:rPr>
                <w:lang w:val="en-GB"/>
              </w:rPr>
            </w:pPr>
          </w:p>
          <w:p w14:paraId="6550D160" w14:textId="03C212A8" w:rsidR="00195FDA" w:rsidRDefault="00195FDA" w:rsidP="00E57275">
            <w:pPr>
              <w:contextualSpacing/>
              <w:jc w:val="both"/>
              <w:rPr>
                <w:lang w:val="en-GB"/>
              </w:rPr>
            </w:pPr>
            <w:r w:rsidRPr="00037B7C">
              <w:rPr>
                <w:lang w:val="en-GB"/>
              </w:rPr>
              <w:t>By contrast, the options market is an open market that is</w:t>
            </w:r>
            <w:r>
              <w:rPr>
                <w:lang w:val="en-GB"/>
              </w:rPr>
              <w:t xml:space="preserve"> </w:t>
            </w:r>
            <w:r w:rsidRPr="00037B7C">
              <w:rPr>
                <w:lang w:val="en-GB"/>
              </w:rPr>
              <w:t>centrally cleared and where multiple market makers can</w:t>
            </w:r>
            <w:r>
              <w:rPr>
                <w:lang w:val="en-GB"/>
              </w:rPr>
              <w:t xml:space="preserve"> </w:t>
            </w:r>
            <w:r w:rsidRPr="00037B7C">
              <w:rPr>
                <w:lang w:val="en-GB"/>
              </w:rPr>
              <w:t>register to provide liquidity and where there is diverse</w:t>
            </w:r>
            <w:r>
              <w:rPr>
                <w:lang w:val="en-GB"/>
              </w:rPr>
              <w:t xml:space="preserve"> </w:t>
            </w:r>
            <w:r w:rsidRPr="00037B7C">
              <w:rPr>
                <w:lang w:val="en-GB"/>
              </w:rPr>
              <w:t>selling and buying interest in a transparent market</w:t>
            </w:r>
            <w:r>
              <w:rPr>
                <w:lang w:val="en-GB"/>
              </w:rPr>
              <w:t xml:space="preserve"> </w:t>
            </w:r>
            <w:r w:rsidRPr="00037B7C">
              <w:rPr>
                <w:lang w:val="en-GB"/>
              </w:rPr>
              <w:t>environment.</w:t>
            </w:r>
            <w:r>
              <w:rPr>
                <w:lang w:val="en-GB"/>
              </w:rPr>
              <w:t xml:space="preserve"> </w:t>
            </w:r>
            <w:r w:rsidRPr="00E57275">
              <w:rPr>
                <w:lang w:val="en-GB"/>
              </w:rPr>
              <w:t>This leads to high levels of competition which</w:t>
            </w:r>
            <w:r>
              <w:rPr>
                <w:lang w:val="en-GB"/>
              </w:rPr>
              <w:t xml:space="preserve"> </w:t>
            </w:r>
            <w:r w:rsidRPr="00E57275">
              <w:rPr>
                <w:lang w:val="en-GB"/>
              </w:rPr>
              <w:t>creates tighter spreads and therefore reduces cost for</w:t>
            </w:r>
            <w:r>
              <w:rPr>
                <w:lang w:val="en-GB"/>
              </w:rPr>
              <w:t xml:space="preserve"> </w:t>
            </w:r>
            <w:r w:rsidRPr="00E57275">
              <w:rPr>
                <w:lang w:val="en-GB"/>
              </w:rPr>
              <w:t xml:space="preserve">end investors. </w:t>
            </w:r>
          </w:p>
          <w:p w14:paraId="744C2733" w14:textId="77777777" w:rsidR="00195FDA" w:rsidRDefault="00195FDA" w:rsidP="00037B7C">
            <w:pPr>
              <w:contextualSpacing/>
              <w:jc w:val="both"/>
              <w:rPr>
                <w:lang w:val="en-GB"/>
              </w:rPr>
            </w:pPr>
          </w:p>
          <w:p w14:paraId="1989E7A8" w14:textId="4A1EBF19" w:rsidR="00195FDA" w:rsidRDefault="00195FDA" w:rsidP="00F660C6">
            <w:pPr>
              <w:contextualSpacing/>
              <w:jc w:val="both"/>
            </w:pPr>
            <w:r>
              <w:rPr>
                <w:lang w:val="en-GB"/>
              </w:rPr>
              <w:t xml:space="preserve">Analysis conducted by FIA EPTA involving </w:t>
            </w:r>
            <w:r w:rsidRPr="00F660C6">
              <w:rPr>
                <w:lang w:val="en-GB"/>
              </w:rPr>
              <w:t>a comparison of pricing between the warrants and the listed options</w:t>
            </w:r>
            <w:r>
              <w:rPr>
                <w:lang w:val="en-GB"/>
              </w:rPr>
              <w:t xml:space="preserve"> </w:t>
            </w:r>
            <w:r w:rsidRPr="00F660C6">
              <w:rPr>
                <w:lang w:val="en-GB"/>
              </w:rPr>
              <w:t>markets in Europe found clear evidence that investors would receive better</w:t>
            </w:r>
            <w:r>
              <w:rPr>
                <w:lang w:val="en-GB"/>
              </w:rPr>
              <w:t xml:space="preserve"> </w:t>
            </w:r>
            <w:r w:rsidRPr="00F660C6">
              <w:rPr>
                <w:lang w:val="en-GB"/>
              </w:rPr>
              <w:t>pricing in the options market. This is in line with prior academic research that</w:t>
            </w:r>
            <w:r>
              <w:rPr>
                <w:lang w:val="en-GB"/>
              </w:rPr>
              <w:t xml:space="preserve"> </w:t>
            </w:r>
            <w:r w:rsidRPr="00F660C6">
              <w:rPr>
                <w:lang w:val="en-GB"/>
              </w:rPr>
              <w:t>has shown that overpricing is prevalent across the warrants market. In addition,</w:t>
            </w:r>
            <w:r>
              <w:rPr>
                <w:lang w:val="en-GB"/>
              </w:rPr>
              <w:t xml:space="preserve"> </w:t>
            </w:r>
            <w:r w:rsidRPr="00F660C6">
              <w:rPr>
                <w:lang w:val="en-GB"/>
              </w:rPr>
              <w:t>reviewing the market structure, risk profile and</w:t>
            </w:r>
            <w:r>
              <w:rPr>
                <w:lang w:val="en-GB"/>
              </w:rPr>
              <w:t xml:space="preserve"> </w:t>
            </w:r>
            <w:r w:rsidRPr="00F660C6">
              <w:rPr>
                <w:lang w:val="en-GB"/>
              </w:rPr>
              <w:t>performance, including during the COVID-19 pandemic,</w:t>
            </w:r>
            <w:r>
              <w:rPr>
                <w:lang w:val="en-GB"/>
              </w:rPr>
              <w:t xml:space="preserve"> </w:t>
            </w:r>
            <w:r w:rsidRPr="00F660C6">
              <w:rPr>
                <w:lang w:val="en-GB"/>
              </w:rPr>
              <w:t>we found that warrants performed sub-optimally in</w:t>
            </w:r>
            <w:r>
              <w:rPr>
                <w:lang w:val="en-GB"/>
              </w:rPr>
              <w:t xml:space="preserve"> </w:t>
            </w:r>
            <w:r w:rsidRPr="00F660C6">
              <w:rPr>
                <w:lang w:val="en-GB"/>
              </w:rPr>
              <w:t>comparison with equivalent options.</w:t>
            </w:r>
            <w:r>
              <w:rPr>
                <w:lang w:val="en-GB"/>
              </w:rPr>
              <w:t xml:space="preserve"> Our full paper setting out these findings is available here: </w:t>
            </w:r>
            <w:hyperlink r:id="rId12" w:history="1">
              <w:hyperlink r:id="rId13" w:history="1">
                <w:r w:rsidRPr="00871891">
                  <w:rPr>
                    <w:rStyle w:val="Hyperlink"/>
                  </w:rPr>
                  <w:t>FIA</w:t>
                </w:r>
              </w:hyperlink>
              <w:r w:rsidRPr="00871891">
                <w:rPr>
                  <w:rStyle w:val="Hyperlink"/>
                  <w:lang w:val="en-GB"/>
                </w:rPr>
                <w:t xml:space="preserve"> EPTA Insights: Higher Cost, Higher Risk - Warrants Market Structure</w:t>
              </w:r>
            </w:hyperlink>
          </w:p>
          <w:p w14:paraId="483A715C" w14:textId="77777777" w:rsidR="00195FDA" w:rsidRDefault="00195FDA" w:rsidP="00F660C6">
            <w:pPr>
              <w:contextualSpacing/>
              <w:jc w:val="both"/>
            </w:pPr>
          </w:p>
          <w:p w14:paraId="55CC1214" w14:textId="2A1A4FA9" w:rsidR="00195FDA" w:rsidRDefault="00195FDA" w:rsidP="004C2548">
            <w:pPr>
              <w:contextualSpacing/>
              <w:jc w:val="both"/>
            </w:pPr>
          </w:p>
          <w:p w14:paraId="667E5340" w14:textId="77777777" w:rsidR="00195FDA" w:rsidRDefault="00195FDA" w:rsidP="00563F35">
            <w:pPr>
              <w:contextualSpacing/>
              <w:jc w:val="both"/>
            </w:pPr>
            <w:r>
              <w:lastRenderedPageBreak/>
              <w:t xml:space="preserve">Accordingly , we strongly recommend that ESMA adopt product groupings that are sufficiently broad to facilitate comparison between products with similar reward/payoff structures. </w:t>
            </w:r>
          </w:p>
          <w:p w14:paraId="7B3ED410" w14:textId="20281EBC" w:rsidR="00195FDA" w:rsidRDefault="00195FDA" w:rsidP="00563F35">
            <w:pPr>
              <w:contextualSpacing/>
              <w:jc w:val="both"/>
            </w:pPr>
          </w:p>
        </w:tc>
      </w:tr>
      <w:tr w:rsidR="00195FDA" w14:paraId="6031ED24" w14:textId="77777777" w:rsidTr="00195FDA">
        <w:tc>
          <w:tcPr>
            <w:tcW w:w="2830" w:type="dxa"/>
          </w:tcPr>
          <w:p w14:paraId="330EE557" w14:textId="2569267B" w:rsidR="00195FDA" w:rsidRDefault="00195FDA" w:rsidP="00D864E0">
            <w:pPr>
              <w:jc w:val="both"/>
            </w:pPr>
            <w:r w:rsidRPr="00244F77">
              <w:lastRenderedPageBreak/>
              <w:t>Q2:</w:t>
            </w:r>
            <w:r w:rsidRPr="00AE1922">
              <w:t xml:space="preserve"> Do you believe that the current wording of the RTS is clear and sufficient with regard to the content of the order execution policy where an investment firm selects only one execution venue to execute all client orders? Or </w:t>
            </w:r>
            <w:r w:rsidRPr="00244F77">
              <w:t>should the RTS provide for specific criteria to be taken into account when assessing if the selected venue achieves the best possible result in the execution of client orders</w:t>
            </w:r>
            <w:r w:rsidRPr="00AE1922">
              <w:t>? Please also state the reasons for your answer.</w:t>
            </w:r>
          </w:p>
        </w:tc>
        <w:tc>
          <w:tcPr>
            <w:tcW w:w="9781" w:type="dxa"/>
          </w:tcPr>
          <w:p w14:paraId="2D7B5469" w14:textId="431C3A11" w:rsidR="00195FDA" w:rsidRDefault="00195FDA" w:rsidP="004C2548">
            <w:pPr>
              <w:contextualSpacing/>
              <w:jc w:val="both"/>
            </w:pPr>
            <w:r>
              <w:t xml:space="preserve">FIA EPTA members are generally supportive of ESMA’s proposed drafting in the RTS regarding the content of the order execution policy (OEP) where an investment firm selects only one execution venue. We agree with the statement in recital 18 that use of the specific instruction has significant investor protection consequences and agree that firms executing orders for retail clients should specify in their OEPs how they  assess whether this achieves the best outcomes and the </w:t>
            </w:r>
            <w:r w:rsidRPr="00194B54">
              <w:t xml:space="preserve">safeguards </w:t>
            </w:r>
            <w:r>
              <w:t>the</w:t>
            </w:r>
            <w:r w:rsidRPr="00194B54">
              <w:t>y</w:t>
            </w:r>
            <w:r>
              <w:t xml:space="preserve"> will apply</w:t>
            </w:r>
            <w:r w:rsidRPr="00194B54">
              <w:t xml:space="preserve"> to ensure the correct use of the specific client instruction</w:t>
            </w:r>
            <w:r>
              <w:t>. We also agree that this choice should be periodically assessed against the best execution criteria.</w:t>
            </w:r>
          </w:p>
          <w:p w14:paraId="1B668C47" w14:textId="77777777" w:rsidR="00195FDA" w:rsidRDefault="00195FDA" w:rsidP="00F2636F">
            <w:pPr>
              <w:contextualSpacing/>
              <w:jc w:val="both"/>
            </w:pPr>
          </w:p>
          <w:p w14:paraId="7D919AC1" w14:textId="0A88279D" w:rsidR="00195FDA" w:rsidRDefault="00195FDA" w:rsidP="00F2636F">
            <w:pPr>
              <w:contextualSpacing/>
              <w:jc w:val="both"/>
            </w:pPr>
            <w:r>
              <w:t>We are particularly supportive of the requirement for the OEP to describe how it prevents inducing clients to choose a specific execution venue (art 8(4)(a)).</w:t>
            </w:r>
          </w:p>
          <w:p w14:paraId="55EAD5D9" w14:textId="77777777" w:rsidR="00195FDA" w:rsidRDefault="00195FDA" w:rsidP="00F2636F">
            <w:pPr>
              <w:contextualSpacing/>
              <w:jc w:val="both"/>
            </w:pPr>
          </w:p>
          <w:p w14:paraId="167ABC2C" w14:textId="287DCC2B" w:rsidR="00195FDA" w:rsidRDefault="00195FDA" w:rsidP="00F2636F">
            <w:pPr>
              <w:contextualSpacing/>
              <w:jc w:val="both"/>
            </w:pPr>
            <w:r>
              <w:t xml:space="preserve">We also support article 8(4)(d) whereby clients are offered the possibility not to choose an execution venue thus resulting in the firm remaining responsible for fulfilling the best execution obligation. </w:t>
            </w:r>
          </w:p>
          <w:p w14:paraId="2C732711" w14:textId="69964CCE" w:rsidR="00195FDA" w:rsidRDefault="00195FDA" w:rsidP="004C2548">
            <w:pPr>
              <w:contextualSpacing/>
              <w:jc w:val="both"/>
            </w:pPr>
          </w:p>
          <w:p w14:paraId="53CD959C" w14:textId="5BE57902" w:rsidR="00195FDA" w:rsidRDefault="00195FDA" w:rsidP="004C2548">
            <w:pPr>
              <w:contextualSpacing/>
              <w:jc w:val="both"/>
            </w:pPr>
            <w:r>
              <w:t xml:space="preserve">We firmly believe that it is incompatible with the overall best execution obligation for a broker to absolve themselves of fulfilling that obligation simply by referring to a retail client’s instruction to execute on a specific trading venue and it is clear that more safeguards are necessary to ensure investors get good execution outcomes. It is particularly concerning where a retail client has been “nudged” or induced to select a specific execution venue by their broker. These practices should be subject to greater scrutiny and justification on behalf of the broker as to how this selection meets the best execution criteria. </w:t>
            </w:r>
          </w:p>
          <w:p w14:paraId="5354FD0B" w14:textId="77777777" w:rsidR="00195FDA" w:rsidRDefault="00195FDA" w:rsidP="004C2548">
            <w:pPr>
              <w:contextualSpacing/>
              <w:jc w:val="both"/>
            </w:pPr>
          </w:p>
          <w:p w14:paraId="08A30AD4" w14:textId="1E6E31EA" w:rsidR="00195FDA" w:rsidRDefault="00195FDA" w:rsidP="004C2548">
            <w:pPr>
              <w:contextualSpacing/>
              <w:jc w:val="both"/>
            </w:pPr>
            <w:r>
              <w:t>We observe these practices in connection with retail brokerage services provided by (neo) brokers on German single market maker venues, often in connection with Payment for Order Flow arrangements, which will remain in place until the MiFIR Review ban comes into effect in mid-2026.</w:t>
            </w:r>
          </w:p>
          <w:p w14:paraId="64F77D87" w14:textId="77777777" w:rsidR="00195FDA" w:rsidRDefault="00195FDA" w:rsidP="004C2548">
            <w:pPr>
              <w:contextualSpacing/>
              <w:jc w:val="both"/>
            </w:pPr>
          </w:p>
          <w:p w14:paraId="115C4F88" w14:textId="4E6EC52F" w:rsidR="00195FDA" w:rsidRDefault="00195FDA" w:rsidP="004C2548">
            <w:pPr>
              <w:contextualSpacing/>
              <w:jc w:val="both"/>
            </w:pPr>
            <w:r w:rsidRPr="004D181E">
              <w:rPr>
                <w:lang w:val="en-GB"/>
              </w:rPr>
              <w:t>We have reason to believe that in a number of cases retail (neo)brokers prioritise certain venues, which provide PFOF, within the order submission screen/broker GUI and/</w:t>
            </w:r>
            <w:r w:rsidRPr="00065FC5">
              <w:rPr>
                <w:lang w:val="en-GB"/>
              </w:rPr>
              <w:t>or expressly nudge the retail investors’ choices towards that/those venues.</w:t>
            </w:r>
            <w:r w:rsidRPr="004D181E">
              <w:rPr>
                <w:b/>
                <w:bCs/>
                <w:lang w:val="en-GB"/>
              </w:rPr>
              <w:t xml:space="preserve"> </w:t>
            </w:r>
            <w:r w:rsidRPr="004D181E">
              <w:rPr>
                <w:lang w:val="en-GB"/>
              </w:rPr>
              <w:t>The use of defaults is</w:t>
            </w:r>
            <w:r>
              <w:rPr>
                <w:lang w:val="en-GB"/>
              </w:rPr>
              <w:t xml:space="preserve"> also</w:t>
            </w:r>
            <w:r w:rsidRPr="004D181E">
              <w:rPr>
                <w:lang w:val="en-GB"/>
              </w:rPr>
              <w:t xml:space="preserve"> used to promote the PFOF venues with retail investors often simply opting for the designated default venue. As the users of these (neo)</w:t>
            </w:r>
            <w:r>
              <w:rPr>
                <w:lang w:val="en-GB"/>
              </w:rPr>
              <w:t xml:space="preserve"> </w:t>
            </w:r>
            <w:r w:rsidRPr="004D181E">
              <w:rPr>
                <w:lang w:val="en-GB"/>
              </w:rPr>
              <w:t xml:space="preserve">brokers are primarily retail investors, who </w:t>
            </w:r>
            <w:r>
              <w:rPr>
                <w:lang w:val="en-GB"/>
              </w:rPr>
              <w:t xml:space="preserve">are more likely to </w:t>
            </w:r>
            <w:r w:rsidRPr="004D181E">
              <w:rPr>
                <w:lang w:val="en-GB"/>
              </w:rPr>
              <w:t xml:space="preserve">have limited market knowledge, the ability for these brokers </w:t>
            </w:r>
            <w:r w:rsidRPr="004D181E">
              <w:rPr>
                <w:lang w:val="en-GB"/>
              </w:rPr>
              <w:lastRenderedPageBreak/>
              <w:t xml:space="preserve">to </w:t>
            </w:r>
            <w:r>
              <w:rPr>
                <w:lang w:val="en-GB"/>
              </w:rPr>
              <w:t>absolve themselves of</w:t>
            </w:r>
            <w:r w:rsidRPr="004D181E">
              <w:rPr>
                <w:lang w:val="en-GB"/>
              </w:rPr>
              <w:t xml:space="preserve"> their </w:t>
            </w:r>
            <w:r>
              <w:rPr>
                <w:lang w:val="en-GB"/>
              </w:rPr>
              <w:t xml:space="preserve">substantive </w:t>
            </w:r>
            <w:r w:rsidRPr="004D181E">
              <w:rPr>
                <w:lang w:val="en-GB"/>
              </w:rPr>
              <w:t>obligation to ensure best execution appears to be a fundamental failing by these brokers to protect their clients.</w:t>
            </w:r>
          </w:p>
          <w:p w14:paraId="256537FC" w14:textId="5800B007" w:rsidR="00195FDA" w:rsidRDefault="00195FDA" w:rsidP="004C2548">
            <w:pPr>
              <w:contextualSpacing/>
              <w:jc w:val="both"/>
            </w:pPr>
          </w:p>
          <w:p w14:paraId="00006A98" w14:textId="2C1FF739" w:rsidR="00195FDA" w:rsidRDefault="00195FDA" w:rsidP="004C2548">
            <w:pPr>
              <w:contextualSpacing/>
              <w:jc w:val="both"/>
              <w:rPr>
                <w:lang w:val="en-GB"/>
              </w:rPr>
            </w:pPr>
            <w:r w:rsidRPr="00D74E3B">
              <w:rPr>
                <w:lang w:val="en-GB"/>
              </w:rPr>
              <w:t>ESMA acknowledged this problematic p</w:t>
            </w:r>
            <w:r>
              <w:rPr>
                <w:lang w:val="en-GB"/>
              </w:rPr>
              <w:t xml:space="preserve">ractice in their </w:t>
            </w:r>
            <w:hyperlink r:id="rId14" w:history="1">
              <w:r w:rsidRPr="00A20F61">
                <w:rPr>
                  <w:rStyle w:val="Hyperlink"/>
                  <w:lang w:val="en-GB"/>
                </w:rPr>
                <w:t>13 July 2021 Public Statement</w:t>
              </w:r>
            </w:hyperlink>
            <w:r>
              <w:rPr>
                <w:lang w:val="en-GB"/>
              </w:rPr>
              <w:t>:</w:t>
            </w:r>
          </w:p>
          <w:p w14:paraId="74BE3F81" w14:textId="77777777" w:rsidR="00195FDA" w:rsidRDefault="00195FDA" w:rsidP="004C2548">
            <w:pPr>
              <w:contextualSpacing/>
              <w:jc w:val="both"/>
              <w:rPr>
                <w:lang w:val="en-GB"/>
              </w:rPr>
            </w:pPr>
          </w:p>
          <w:p w14:paraId="72C65930" w14:textId="77777777" w:rsidR="00195FDA" w:rsidRPr="009A3971" w:rsidRDefault="00195FDA" w:rsidP="00D74E3B">
            <w:pPr>
              <w:contextualSpacing/>
              <w:jc w:val="both"/>
              <w:rPr>
                <w:i/>
                <w:iCs/>
              </w:rPr>
            </w:pPr>
            <w:r>
              <w:rPr>
                <w:i/>
                <w:iCs/>
              </w:rPr>
              <w:t>“</w:t>
            </w:r>
            <w:r w:rsidRPr="009A3971">
              <w:rPr>
                <w:i/>
                <w:iCs/>
              </w:rPr>
              <w:t>ESMA emphasises that this practice raises investor protection concerns. By presenting the execution venues providing PFOF to the firm in a prominent manner, clients are systematically induced to choose an execution venue that provides PFOF to the firm. In ESMA’s view, such a choice does not constitute a proper specific instruction from the client.</w:t>
            </w:r>
            <w:r>
              <w:rPr>
                <w:i/>
                <w:iCs/>
              </w:rPr>
              <w:t>” [p2]</w:t>
            </w:r>
          </w:p>
          <w:p w14:paraId="5F3AEDEC" w14:textId="77777777" w:rsidR="00195FDA" w:rsidRPr="00D74E3B" w:rsidRDefault="00195FDA" w:rsidP="004C2548">
            <w:pPr>
              <w:contextualSpacing/>
              <w:jc w:val="both"/>
              <w:rPr>
                <w:lang w:val="en-GB"/>
              </w:rPr>
            </w:pPr>
          </w:p>
          <w:p w14:paraId="7B6CB1F6" w14:textId="252483EA" w:rsidR="00195FDA" w:rsidRDefault="00195FDA" w:rsidP="004C2548">
            <w:pPr>
              <w:contextualSpacing/>
              <w:jc w:val="both"/>
              <w:rPr>
                <w:lang w:val="en-GB"/>
              </w:rPr>
            </w:pPr>
            <w:r>
              <w:rPr>
                <w:lang w:val="en-GB"/>
              </w:rPr>
              <w:t xml:space="preserve">A subsequent AFM study revealed these practices led to consistently worse execution prices for retail investors: </w:t>
            </w:r>
            <w:hyperlink r:id="rId15" w:history="1">
              <w:r w:rsidRPr="008E0F35">
                <w:rPr>
                  <w:rStyle w:val="Hyperlink"/>
                </w:rPr>
                <w:t>AFM examines quality of order execution on PFOF trading venues</w:t>
              </w:r>
            </w:hyperlink>
          </w:p>
          <w:p w14:paraId="431995BE" w14:textId="77777777" w:rsidR="00195FDA" w:rsidRDefault="00195FDA" w:rsidP="004C2548">
            <w:pPr>
              <w:contextualSpacing/>
              <w:jc w:val="both"/>
              <w:rPr>
                <w:lang w:val="en-GB"/>
              </w:rPr>
            </w:pPr>
          </w:p>
          <w:p w14:paraId="27CA2369" w14:textId="31255718" w:rsidR="00195FDA" w:rsidRDefault="00195FDA" w:rsidP="004C2548">
            <w:pPr>
              <w:contextualSpacing/>
              <w:jc w:val="both"/>
              <w:rPr>
                <w:lang w:val="en-GB"/>
              </w:rPr>
            </w:pPr>
            <w:r>
              <w:rPr>
                <w:lang w:val="en-GB"/>
              </w:rPr>
              <w:t>Accordingly, we would recommend that ESMA does incorporate specific criteria to be taken into account when assessing whether the single execution venue achieves the best possible result in the execution of client orders. Given the practices highlighted by ESMA, we recommend the following criteria be included in the RTS:</w:t>
            </w:r>
          </w:p>
          <w:p w14:paraId="729C6CB8" w14:textId="42E3E8C1" w:rsidR="00195FDA" w:rsidRDefault="00195FDA" w:rsidP="00245B08">
            <w:pPr>
              <w:pStyle w:val="ListParagraph"/>
              <w:numPr>
                <w:ilvl w:val="0"/>
                <w:numId w:val="34"/>
              </w:numPr>
              <w:jc w:val="both"/>
              <w:rPr>
                <w:lang w:val="en-GB"/>
              </w:rPr>
            </w:pPr>
            <w:r w:rsidRPr="00245B08">
              <w:rPr>
                <w:lang w:val="en-GB"/>
              </w:rPr>
              <w:t>The single venue’s execution performance over a representative period as compared to the EBBO</w:t>
            </w:r>
            <w:r>
              <w:rPr>
                <w:lang w:val="en-GB"/>
              </w:rPr>
              <w:t xml:space="preserve"> or other appropriate reference, depending on the nature of the financial instrument</w:t>
            </w:r>
            <w:r w:rsidRPr="00245B08">
              <w:rPr>
                <w:lang w:val="en-GB"/>
              </w:rPr>
              <w:t>;</w:t>
            </w:r>
          </w:p>
          <w:p w14:paraId="57FD2E5C" w14:textId="77777777" w:rsidR="001B6F84" w:rsidRDefault="00195FDA" w:rsidP="001B6F84">
            <w:pPr>
              <w:pStyle w:val="ListParagraph"/>
              <w:numPr>
                <w:ilvl w:val="0"/>
                <w:numId w:val="34"/>
              </w:numPr>
              <w:jc w:val="both"/>
              <w:rPr>
                <w:lang w:val="en-GB"/>
              </w:rPr>
            </w:pPr>
            <w:r>
              <w:rPr>
                <w:lang w:val="en-GB"/>
              </w:rPr>
              <w:t>Close links, commercial arrangements or other relationships with execution venues that may pose a conflict of interest or amount to an inducement; and</w:t>
            </w:r>
          </w:p>
          <w:p w14:paraId="4A8473BE" w14:textId="0F9B684E" w:rsidR="00195FDA" w:rsidRPr="001B6F84" w:rsidRDefault="00195FDA" w:rsidP="001B6F84">
            <w:pPr>
              <w:pStyle w:val="ListParagraph"/>
              <w:numPr>
                <w:ilvl w:val="0"/>
                <w:numId w:val="34"/>
              </w:numPr>
              <w:jc w:val="both"/>
              <w:rPr>
                <w:lang w:val="en-GB"/>
              </w:rPr>
            </w:pPr>
            <w:r w:rsidRPr="001B6F84">
              <w:rPr>
                <w:lang w:val="en-GB"/>
              </w:rPr>
              <w:t>Whether the venue facilitates additional liquidity provision to support competitive pricing/quoting by multiple market participants interacting on a genuinely multilateral platform.</w:t>
            </w:r>
          </w:p>
          <w:p w14:paraId="7479D6E3" w14:textId="605EB49A" w:rsidR="00195FDA" w:rsidRDefault="00195FDA" w:rsidP="004C2548">
            <w:pPr>
              <w:contextualSpacing/>
              <w:jc w:val="both"/>
            </w:pPr>
          </w:p>
          <w:p w14:paraId="6E609E3E" w14:textId="0A8F7E29" w:rsidR="00195FDA" w:rsidRDefault="00195FDA" w:rsidP="004C2548">
            <w:pPr>
              <w:contextualSpacing/>
              <w:jc w:val="both"/>
            </w:pPr>
            <w:r>
              <w:t xml:space="preserve">We also believe that retail investors deserve enhanced disclosure in these cases, so that brokers remain accountable to their clients for achieving execution performance in line with MiFID standards for best execution. We recommend that brokers be required to provide periodic reporting to their retail clients assessing execution performance against a commonly established benchmark. The EU CT will provide an appropriate reference point for this and until that is developed, the EBBO or other appropriate benchmark depending upon the financial instrument should be used. In addition, brokers should be required to disclose to their retail clients the consequences of executing on a single venue, including whether that venue provides meaningful price competition and how that may impact the execution quality received by the client. </w:t>
            </w:r>
          </w:p>
          <w:p w14:paraId="5D810A54" w14:textId="0C67ACB8" w:rsidR="00195FDA" w:rsidRDefault="00195FDA" w:rsidP="004C2548">
            <w:pPr>
              <w:contextualSpacing/>
              <w:jc w:val="both"/>
            </w:pPr>
          </w:p>
        </w:tc>
      </w:tr>
      <w:tr w:rsidR="00195FDA" w14:paraId="29C62C29" w14:textId="77777777" w:rsidTr="00195FDA">
        <w:tc>
          <w:tcPr>
            <w:tcW w:w="2830" w:type="dxa"/>
          </w:tcPr>
          <w:p w14:paraId="3D535287" w14:textId="7C680DEE" w:rsidR="00195FDA" w:rsidRDefault="00195FDA" w:rsidP="00D864E0">
            <w:pPr>
              <w:jc w:val="both"/>
            </w:pPr>
            <w:r w:rsidRPr="008D34C6">
              <w:lastRenderedPageBreak/>
              <w:t>Q3: Do you agree with the proposed factor of “order sizes” respectively for retail and professional clients, to be considered in investment firms’ selection of eligible execution venues in their order execution policy and internal execution arrangements (see Article 4(1)(d)(i) and ii) of the draft RTS)? If not, what alternative factor would you propose?</w:t>
            </w:r>
          </w:p>
        </w:tc>
        <w:tc>
          <w:tcPr>
            <w:tcW w:w="9781" w:type="dxa"/>
          </w:tcPr>
          <w:p w14:paraId="4091D824" w14:textId="07BF04E5" w:rsidR="00195FDA" w:rsidRDefault="00195FDA" w:rsidP="004C2548">
            <w:pPr>
              <w:contextualSpacing/>
              <w:jc w:val="both"/>
            </w:pPr>
            <w:r>
              <w:t>No comment</w:t>
            </w:r>
          </w:p>
        </w:tc>
      </w:tr>
      <w:tr w:rsidR="00195FDA" w14:paraId="459E763E" w14:textId="77777777" w:rsidTr="00195FDA">
        <w:tc>
          <w:tcPr>
            <w:tcW w:w="2830" w:type="dxa"/>
          </w:tcPr>
          <w:p w14:paraId="1D47DE6B" w14:textId="40661F0C" w:rsidR="00195FDA" w:rsidRDefault="00195FDA" w:rsidP="00D864E0">
            <w:pPr>
              <w:jc w:val="both"/>
            </w:pPr>
            <w:r w:rsidRPr="008D34C6">
              <w:t>Q4: Do you agree with ESMA’s proposals for the specification of the criteria for establishing and assessing the effectiveness of investment firms’ order execution policies? Please also state the reasons for your answer.</w:t>
            </w:r>
          </w:p>
        </w:tc>
        <w:tc>
          <w:tcPr>
            <w:tcW w:w="9781" w:type="dxa"/>
          </w:tcPr>
          <w:p w14:paraId="38499A30" w14:textId="77777777" w:rsidR="00195FDA" w:rsidRDefault="00195FDA" w:rsidP="004C2548">
            <w:pPr>
              <w:contextualSpacing/>
              <w:jc w:val="both"/>
            </w:pPr>
            <w:r>
              <w:t xml:space="preserve">FIA EPTA members agree with the proposed criteria, particularly in respect of brokers offering, recommending or inducing retail clients to select a single execution venue. In these cases, periodic assessment of execution quality is especially important to ensure retail brokers remain accountable to their clients for the additional responsibility they have taken on in limiting execution venue choice. </w:t>
            </w:r>
          </w:p>
          <w:p w14:paraId="584CAC2C" w14:textId="77777777" w:rsidR="00195FDA" w:rsidRDefault="00195FDA" w:rsidP="004C2548">
            <w:pPr>
              <w:contextualSpacing/>
              <w:jc w:val="both"/>
            </w:pPr>
          </w:p>
          <w:p w14:paraId="1ADE5809" w14:textId="785D6392" w:rsidR="00195FDA" w:rsidRDefault="00195FDA" w:rsidP="004C2548">
            <w:pPr>
              <w:contextualSpacing/>
              <w:jc w:val="both"/>
            </w:pPr>
            <w:r>
              <w:t>In this regard, benchmarking execution performance against more than one data source, including the Most Relevant Market in Terms of Liquidity for the instrument, is also crucial to ensure retail investors are well informed about how their limited execution venue options compare to other potential execution venues. The EU Consolidated Tape will be a particularly useful tool to facilitate this measurement and comparison. We recommend comprehensive reporting to retail clients providing full transparency on relative outcomes, along with a breakdown of execution cost and other related fees and charges comprising total consideration.</w:t>
            </w:r>
          </w:p>
          <w:p w14:paraId="692C68DD" w14:textId="2A6A07C7" w:rsidR="00195FDA" w:rsidRPr="00AC4A8C" w:rsidRDefault="00195FDA" w:rsidP="004C2548">
            <w:pPr>
              <w:contextualSpacing/>
              <w:jc w:val="both"/>
              <w:rPr>
                <w:lang w:val="en-GB"/>
              </w:rPr>
            </w:pPr>
          </w:p>
        </w:tc>
      </w:tr>
      <w:tr w:rsidR="00195FDA" w14:paraId="7E60C95C" w14:textId="77777777" w:rsidTr="00195FDA">
        <w:tc>
          <w:tcPr>
            <w:tcW w:w="2830" w:type="dxa"/>
          </w:tcPr>
          <w:p w14:paraId="0D7B7FF0" w14:textId="098A8AF3" w:rsidR="00195FDA" w:rsidRDefault="00195FDA" w:rsidP="00D864E0">
            <w:pPr>
              <w:jc w:val="both"/>
            </w:pPr>
            <w:r w:rsidRPr="00767350">
              <w:t xml:space="preserve">Q5: Do you agree with ESMA’s proposal that investment firms may rely on monitoring and assessments performed by third parties, such as independent data providers, as long as firms assess the processes of these third parties? Please also </w:t>
            </w:r>
            <w:r w:rsidRPr="00767350">
              <w:lastRenderedPageBreak/>
              <w:t>state the reasons for your answer.</w:t>
            </w:r>
          </w:p>
        </w:tc>
        <w:tc>
          <w:tcPr>
            <w:tcW w:w="9781" w:type="dxa"/>
          </w:tcPr>
          <w:p w14:paraId="55E7C98B" w14:textId="197C116C" w:rsidR="00195FDA" w:rsidRDefault="00195FDA" w:rsidP="004C2548">
            <w:pPr>
              <w:contextualSpacing/>
              <w:jc w:val="both"/>
            </w:pPr>
            <w:r>
              <w:lastRenderedPageBreak/>
              <w:t>Yes, we agree with this proposal provided more than one benchmark is used. This seems a pragmatic approach to balance retail clients’ need for transparency on execution quality against potential limitations on data and analytics tools available internally to retail brokers. It is imperative that retail clients receive comprehensive and informative reports on execution quality, preferably using more than one benchmark price, particularly where a retail broker is offering or recommending a single execution venue. In this regard, disclosure to retail clients of the details of the assessment in line with article 7(1) and (2) would be a good basis for a retail client disclosure.</w:t>
            </w:r>
          </w:p>
        </w:tc>
      </w:tr>
      <w:tr w:rsidR="00195FDA" w14:paraId="46660571" w14:textId="77777777" w:rsidTr="00195FDA">
        <w:tc>
          <w:tcPr>
            <w:tcW w:w="2830" w:type="dxa"/>
          </w:tcPr>
          <w:p w14:paraId="34B35F3E" w14:textId="0646FF80" w:rsidR="00195FDA" w:rsidRDefault="00195FDA" w:rsidP="00D864E0">
            <w:pPr>
              <w:jc w:val="both"/>
            </w:pPr>
            <w:r w:rsidRPr="00767350">
              <w:t>Q6: Concerning the specific client instruction, should it be possible for an investment firm to pre-select an execution venue in the order screen, where the firm invites its clients to choose an executing venue out of multiple options? And if so, do you agree that only if the client chooses a different venue than the one pre-selected by the firm, the choice of execution venue does constitute a specific instruction? Please also state the reasons for your answer.</w:t>
            </w:r>
          </w:p>
        </w:tc>
        <w:tc>
          <w:tcPr>
            <w:tcW w:w="9781" w:type="dxa"/>
          </w:tcPr>
          <w:p w14:paraId="2CC20371" w14:textId="20939A2D" w:rsidR="00195FDA" w:rsidRDefault="00195FDA" w:rsidP="004C2548">
            <w:pPr>
              <w:contextualSpacing/>
              <w:jc w:val="both"/>
            </w:pPr>
            <w:r>
              <w:t xml:space="preserve">No, an investment firm should not be permitted to pre-select an execution venue in the order screen for retail clients. Presentation and default selection can be persuasive and may suggest (even if unintended) an implicit recommendation as to execution venue. This is particularly problematic when considering it may amount to a specific instruction absolving the broker from obtaining the best possible result for the client. </w:t>
            </w:r>
            <w:r w:rsidR="00DA606E">
              <w:t xml:space="preserve">A retail client should have the option to choose from a range of venues, if available, in order to secure best execution. </w:t>
            </w:r>
          </w:p>
          <w:p w14:paraId="7E335FE2" w14:textId="77777777" w:rsidR="00195FDA" w:rsidRDefault="00195FDA" w:rsidP="004C2548">
            <w:pPr>
              <w:contextualSpacing/>
              <w:jc w:val="both"/>
            </w:pPr>
          </w:p>
          <w:p w14:paraId="6059ABC8" w14:textId="2A0ADFAB" w:rsidR="00195FDA" w:rsidRDefault="00195FDA" w:rsidP="004C2548">
            <w:pPr>
              <w:contextualSpacing/>
              <w:jc w:val="both"/>
            </w:pPr>
            <w:r>
              <w:t xml:space="preserve"> </w:t>
            </w:r>
          </w:p>
        </w:tc>
      </w:tr>
      <w:tr w:rsidR="00195FDA" w14:paraId="24AB6523" w14:textId="77777777" w:rsidTr="00195FDA">
        <w:tc>
          <w:tcPr>
            <w:tcW w:w="2830" w:type="dxa"/>
          </w:tcPr>
          <w:p w14:paraId="59A93970" w14:textId="6468E581" w:rsidR="00195FDA" w:rsidRDefault="00195FDA" w:rsidP="00D864E0">
            <w:pPr>
              <w:jc w:val="both"/>
            </w:pPr>
            <w:r w:rsidRPr="000535F4">
              <w:t>Q7: Where an investment firm executes client orders by dealing on own account (including back-to-back trading), in light of the specificity of this execution model and since it is bound by the rules governing best execution, do you believe the current text is clear with regard to what kind of obligations investment firm applying such model</w:t>
            </w:r>
            <w:r>
              <w:t xml:space="preserve"> </w:t>
            </w:r>
            <w:r w:rsidRPr="00341F24">
              <w:t xml:space="preserve">should comply with? Or do you believe it would be useful to </w:t>
            </w:r>
            <w:r w:rsidRPr="00341F24">
              <w:lastRenderedPageBreak/>
              <w:t>provide in the RTS list and explanations of information that should be included in the order execution policy, such as related to the method and steps to be taken by the firm to establish the price of client transactions in back-to-back trading, or the methodology for the firm’s application of mark-ups or mark-downs in such order executions? Please also state the reasons for your answer.</w:t>
            </w:r>
          </w:p>
        </w:tc>
        <w:tc>
          <w:tcPr>
            <w:tcW w:w="9781" w:type="dxa"/>
          </w:tcPr>
          <w:p w14:paraId="4C0D757F" w14:textId="3D414944" w:rsidR="00195FDA" w:rsidRDefault="00195FDA" w:rsidP="004C2548">
            <w:pPr>
              <w:contextualSpacing/>
              <w:jc w:val="both"/>
            </w:pPr>
            <w:r>
              <w:lastRenderedPageBreak/>
              <w:t>No comment</w:t>
            </w:r>
          </w:p>
        </w:tc>
      </w:tr>
      <w:tr w:rsidR="00195FDA" w14:paraId="6596660E" w14:textId="77777777" w:rsidTr="00195FDA">
        <w:tc>
          <w:tcPr>
            <w:tcW w:w="2830" w:type="dxa"/>
          </w:tcPr>
          <w:p w14:paraId="2902CBEF" w14:textId="61ECCDB0" w:rsidR="00195FDA" w:rsidRDefault="00195FDA" w:rsidP="00D864E0">
            <w:pPr>
              <w:jc w:val="both"/>
            </w:pPr>
            <w:r w:rsidRPr="00341F24">
              <w:t>Q8: Are there any additional comments that you would like to raise and/or information that you would like to provide (for example, relevant information in relation to any expected costs and benefits arising from the proposals)?</w:t>
            </w:r>
          </w:p>
        </w:tc>
        <w:tc>
          <w:tcPr>
            <w:tcW w:w="9781" w:type="dxa"/>
          </w:tcPr>
          <w:p w14:paraId="3472F232" w14:textId="2275A8B8" w:rsidR="00195FDA" w:rsidRPr="00D07F67" w:rsidRDefault="00195FDA" w:rsidP="00D07F67">
            <w:pPr>
              <w:contextualSpacing/>
              <w:jc w:val="both"/>
              <w:rPr>
                <w:lang w:val="en-GB"/>
              </w:rPr>
            </w:pPr>
            <w:r>
              <w:rPr>
                <w:lang w:val="en-GB"/>
              </w:rPr>
              <w:t>No comment</w:t>
            </w:r>
          </w:p>
          <w:p w14:paraId="6B565A27" w14:textId="7EABE761" w:rsidR="00195FDA" w:rsidRPr="008E37D2" w:rsidRDefault="00195FDA" w:rsidP="004C5B0D">
            <w:pPr>
              <w:contextualSpacing/>
              <w:jc w:val="both"/>
              <w:rPr>
                <w:lang w:val="en-GB"/>
              </w:rPr>
            </w:pPr>
          </w:p>
        </w:tc>
      </w:tr>
    </w:tbl>
    <w:p w14:paraId="176185F2" w14:textId="77777777" w:rsidR="007C1065" w:rsidRDefault="007C1065" w:rsidP="00262AD4">
      <w:pPr>
        <w:spacing w:after="0"/>
        <w:contextualSpacing/>
        <w:jc w:val="both"/>
      </w:pPr>
    </w:p>
    <w:sectPr w:rsidR="007C1065" w:rsidSect="00D262EA">
      <w:headerReference w:type="default" r:id="rId16"/>
      <w:footerReference w:type="default" r:id="rId17"/>
      <w:pgSz w:w="15840" w:h="12240"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796D00" w14:textId="77777777" w:rsidR="006F1C36" w:rsidRDefault="006F1C36" w:rsidP="00262AD4">
      <w:pPr>
        <w:spacing w:after="0" w:line="240" w:lineRule="auto"/>
      </w:pPr>
      <w:r>
        <w:separator/>
      </w:r>
    </w:p>
  </w:endnote>
  <w:endnote w:type="continuationSeparator" w:id="0">
    <w:p w14:paraId="27B840F8" w14:textId="77777777" w:rsidR="006F1C36" w:rsidRDefault="006F1C36" w:rsidP="00262AD4">
      <w:pPr>
        <w:spacing w:after="0" w:line="240" w:lineRule="auto"/>
      </w:pPr>
      <w:r>
        <w:continuationSeparator/>
      </w:r>
    </w:p>
  </w:endnote>
  <w:endnote w:type="continuationNotice" w:id="1">
    <w:p w14:paraId="5F677D1E" w14:textId="77777777" w:rsidR="006F1C36" w:rsidRDefault="006F1C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9342519"/>
      <w:docPartObj>
        <w:docPartGallery w:val="Page Numbers (Bottom of Page)"/>
        <w:docPartUnique/>
      </w:docPartObj>
    </w:sdtPr>
    <w:sdtEndPr>
      <w:rPr>
        <w:noProof/>
      </w:rPr>
    </w:sdtEndPr>
    <w:sdtContent>
      <w:p w14:paraId="6EEEB136" w14:textId="7699F890" w:rsidR="00D81472" w:rsidRDefault="00D8147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BD7678" w14:textId="77777777" w:rsidR="00D81472" w:rsidRDefault="00D814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986DAE" w14:textId="77777777" w:rsidR="006F1C36" w:rsidRDefault="006F1C36" w:rsidP="00262AD4">
      <w:pPr>
        <w:spacing w:after="0" w:line="240" w:lineRule="auto"/>
      </w:pPr>
      <w:r>
        <w:separator/>
      </w:r>
    </w:p>
  </w:footnote>
  <w:footnote w:type="continuationSeparator" w:id="0">
    <w:p w14:paraId="18C1B1BE" w14:textId="77777777" w:rsidR="006F1C36" w:rsidRDefault="006F1C36" w:rsidP="00262AD4">
      <w:pPr>
        <w:spacing w:after="0" w:line="240" w:lineRule="auto"/>
      </w:pPr>
      <w:r>
        <w:continuationSeparator/>
      </w:r>
    </w:p>
  </w:footnote>
  <w:footnote w:type="continuationNotice" w:id="1">
    <w:p w14:paraId="18042B25" w14:textId="77777777" w:rsidR="006F1C36" w:rsidRDefault="006F1C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4FAB6" w14:textId="60DEAE90" w:rsidR="00262AD4" w:rsidRDefault="00262AD4">
    <w:pPr>
      <w:pStyle w:val="Header"/>
    </w:pPr>
  </w:p>
  <w:p w14:paraId="2A693CF0" w14:textId="1314088F" w:rsidR="00262AD4" w:rsidRDefault="00262AD4">
    <w:pPr>
      <w:pStyle w:val="Header"/>
    </w:pPr>
  </w:p>
  <w:p w14:paraId="5EC98F9F" w14:textId="62D94D8C" w:rsidR="00262AD4" w:rsidRDefault="00262A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327B23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21D4D97"/>
    <w:multiLevelType w:val="multilevel"/>
    <w:tmpl w:val="C63C91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7538A5"/>
    <w:multiLevelType w:val="hybridMultilevel"/>
    <w:tmpl w:val="A26C8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8C203C"/>
    <w:multiLevelType w:val="hybridMultilevel"/>
    <w:tmpl w:val="C45472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206AF6"/>
    <w:multiLevelType w:val="hybridMultilevel"/>
    <w:tmpl w:val="17D0DB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A00B97"/>
    <w:multiLevelType w:val="multilevel"/>
    <w:tmpl w:val="DE74B6E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C8606BC"/>
    <w:multiLevelType w:val="hybridMultilevel"/>
    <w:tmpl w:val="093814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D882AB3"/>
    <w:multiLevelType w:val="hybridMultilevel"/>
    <w:tmpl w:val="7A72E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FA24355"/>
    <w:multiLevelType w:val="hybridMultilevel"/>
    <w:tmpl w:val="BE80F008"/>
    <w:lvl w:ilvl="0" w:tplc="A9EE79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134F72"/>
    <w:multiLevelType w:val="hybridMultilevel"/>
    <w:tmpl w:val="B02AD7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473CB7"/>
    <w:multiLevelType w:val="hybridMultilevel"/>
    <w:tmpl w:val="B3681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8D7B84"/>
    <w:multiLevelType w:val="hybridMultilevel"/>
    <w:tmpl w:val="66902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E61E33"/>
    <w:multiLevelType w:val="hybridMultilevel"/>
    <w:tmpl w:val="22022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3D0B48"/>
    <w:multiLevelType w:val="multilevel"/>
    <w:tmpl w:val="F42E45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C57A58"/>
    <w:multiLevelType w:val="hybridMultilevel"/>
    <w:tmpl w:val="9AD461EE"/>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15" w15:restartNumberingAfterBreak="0">
    <w:nsid w:val="49F749FF"/>
    <w:multiLevelType w:val="hybridMultilevel"/>
    <w:tmpl w:val="E892DC48"/>
    <w:lvl w:ilvl="0" w:tplc="0E82F76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AB0052"/>
    <w:multiLevelType w:val="hybridMultilevel"/>
    <w:tmpl w:val="3EF46DDE"/>
    <w:lvl w:ilvl="0" w:tplc="4D3A3444">
      <w:start w:val="1"/>
      <w:numFmt w:val="bullet"/>
      <w:lvlText w:val=""/>
      <w:lvlJc w:val="left"/>
      <w:pPr>
        <w:ind w:left="360" w:hanging="360"/>
      </w:pPr>
      <w:rPr>
        <w:rFonts w:ascii="Symbol" w:hAnsi="Symbol" w:hint="default"/>
      </w:rPr>
    </w:lvl>
    <w:lvl w:ilvl="1" w:tplc="5A7CC1EC">
      <w:start w:val="1"/>
      <w:numFmt w:val="bullet"/>
      <w:lvlText w:val="o"/>
      <w:lvlJc w:val="left"/>
      <w:pPr>
        <w:ind w:left="1080" w:hanging="360"/>
      </w:pPr>
      <w:rPr>
        <w:rFonts w:ascii="Courier New" w:hAnsi="Courier New" w:hint="default"/>
      </w:rPr>
    </w:lvl>
    <w:lvl w:ilvl="2" w:tplc="F36E536E">
      <w:start w:val="1"/>
      <w:numFmt w:val="bullet"/>
      <w:lvlText w:val=""/>
      <w:lvlJc w:val="left"/>
      <w:pPr>
        <w:ind w:left="1800" w:hanging="360"/>
      </w:pPr>
      <w:rPr>
        <w:rFonts w:ascii="Wingdings" w:hAnsi="Wingdings" w:hint="default"/>
      </w:rPr>
    </w:lvl>
    <w:lvl w:ilvl="3" w:tplc="180A893E">
      <w:start w:val="1"/>
      <w:numFmt w:val="bullet"/>
      <w:lvlText w:val=""/>
      <w:lvlJc w:val="left"/>
      <w:pPr>
        <w:ind w:left="2520" w:hanging="360"/>
      </w:pPr>
      <w:rPr>
        <w:rFonts w:ascii="Symbol" w:hAnsi="Symbol" w:hint="default"/>
      </w:rPr>
    </w:lvl>
    <w:lvl w:ilvl="4" w:tplc="920202F8">
      <w:start w:val="1"/>
      <w:numFmt w:val="bullet"/>
      <w:lvlText w:val="o"/>
      <w:lvlJc w:val="left"/>
      <w:pPr>
        <w:ind w:left="3240" w:hanging="360"/>
      </w:pPr>
      <w:rPr>
        <w:rFonts w:ascii="Courier New" w:hAnsi="Courier New" w:hint="default"/>
      </w:rPr>
    </w:lvl>
    <w:lvl w:ilvl="5" w:tplc="5F281290">
      <w:start w:val="1"/>
      <w:numFmt w:val="bullet"/>
      <w:lvlText w:val=""/>
      <w:lvlJc w:val="left"/>
      <w:pPr>
        <w:ind w:left="3960" w:hanging="360"/>
      </w:pPr>
      <w:rPr>
        <w:rFonts w:ascii="Wingdings" w:hAnsi="Wingdings" w:hint="default"/>
      </w:rPr>
    </w:lvl>
    <w:lvl w:ilvl="6" w:tplc="9DCC4602">
      <w:start w:val="1"/>
      <w:numFmt w:val="bullet"/>
      <w:lvlText w:val=""/>
      <w:lvlJc w:val="left"/>
      <w:pPr>
        <w:ind w:left="4680" w:hanging="360"/>
      </w:pPr>
      <w:rPr>
        <w:rFonts w:ascii="Symbol" w:hAnsi="Symbol" w:hint="default"/>
      </w:rPr>
    </w:lvl>
    <w:lvl w:ilvl="7" w:tplc="190645B0">
      <w:start w:val="1"/>
      <w:numFmt w:val="bullet"/>
      <w:lvlText w:val="o"/>
      <w:lvlJc w:val="left"/>
      <w:pPr>
        <w:ind w:left="5400" w:hanging="360"/>
      </w:pPr>
      <w:rPr>
        <w:rFonts w:ascii="Courier New" w:hAnsi="Courier New" w:hint="default"/>
      </w:rPr>
    </w:lvl>
    <w:lvl w:ilvl="8" w:tplc="CFEAD1D4">
      <w:start w:val="1"/>
      <w:numFmt w:val="bullet"/>
      <w:lvlText w:val=""/>
      <w:lvlJc w:val="left"/>
      <w:pPr>
        <w:ind w:left="6120" w:hanging="360"/>
      </w:pPr>
      <w:rPr>
        <w:rFonts w:ascii="Wingdings" w:hAnsi="Wingdings" w:hint="default"/>
      </w:rPr>
    </w:lvl>
  </w:abstractNum>
  <w:abstractNum w:abstractNumId="17" w15:restartNumberingAfterBreak="0">
    <w:nsid w:val="4CD437A7"/>
    <w:multiLevelType w:val="hybridMultilevel"/>
    <w:tmpl w:val="0EDC6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295268"/>
    <w:multiLevelType w:val="multilevel"/>
    <w:tmpl w:val="DE74B6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21B240F"/>
    <w:multiLevelType w:val="hybridMultilevel"/>
    <w:tmpl w:val="3ABA6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DC082D"/>
    <w:multiLevelType w:val="hybridMultilevel"/>
    <w:tmpl w:val="6DD02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6A1D2C"/>
    <w:multiLevelType w:val="hybridMultilevel"/>
    <w:tmpl w:val="A8961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1F26BA"/>
    <w:multiLevelType w:val="hybridMultilevel"/>
    <w:tmpl w:val="65F4DDAC"/>
    <w:lvl w:ilvl="0" w:tplc="4D3A3444">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821CF6"/>
    <w:multiLevelType w:val="multilevel"/>
    <w:tmpl w:val="DE74B6E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1775662"/>
    <w:multiLevelType w:val="hybridMultilevel"/>
    <w:tmpl w:val="164A77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3627B4B"/>
    <w:multiLevelType w:val="hybridMultilevel"/>
    <w:tmpl w:val="F6EEC5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E462E3"/>
    <w:multiLevelType w:val="hybridMultilevel"/>
    <w:tmpl w:val="DB285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7E079F"/>
    <w:multiLevelType w:val="hybridMultilevel"/>
    <w:tmpl w:val="32344C60"/>
    <w:lvl w:ilvl="0" w:tplc="4D3A3444">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184B72"/>
    <w:multiLevelType w:val="hybridMultilevel"/>
    <w:tmpl w:val="E6B41FC6"/>
    <w:lvl w:ilvl="0" w:tplc="EE62AB3E">
      <w:start w:val="3"/>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151FBC"/>
    <w:multiLevelType w:val="hybridMultilevel"/>
    <w:tmpl w:val="2FFEA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327A71"/>
    <w:multiLevelType w:val="multilevel"/>
    <w:tmpl w:val="34900A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E43B08"/>
    <w:multiLevelType w:val="hybridMultilevel"/>
    <w:tmpl w:val="C8920A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FE663C4"/>
    <w:multiLevelType w:val="hybridMultilevel"/>
    <w:tmpl w:val="4142D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3462427">
    <w:abstractNumId w:val="17"/>
  </w:num>
  <w:num w:numId="2" w16cid:durableId="339745429">
    <w:abstractNumId w:val="20"/>
  </w:num>
  <w:num w:numId="3" w16cid:durableId="1638143594">
    <w:abstractNumId w:val="12"/>
  </w:num>
  <w:num w:numId="4" w16cid:durableId="290525728">
    <w:abstractNumId w:val="3"/>
  </w:num>
  <w:num w:numId="5" w16cid:durableId="953485144">
    <w:abstractNumId w:val="11"/>
  </w:num>
  <w:num w:numId="6" w16cid:durableId="543522566">
    <w:abstractNumId w:val="10"/>
  </w:num>
  <w:num w:numId="7" w16cid:durableId="888422232">
    <w:abstractNumId w:val="8"/>
  </w:num>
  <w:num w:numId="8" w16cid:durableId="63378846">
    <w:abstractNumId w:val="22"/>
  </w:num>
  <w:num w:numId="9" w16cid:durableId="1851023247">
    <w:abstractNumId w:val="27"/>
  </w:num>
  <w:num w:numId="10" w16cid:durableId="1313754417">
    <w:abstractNumId w:val="0"/>
  </w:num>
  <w:num w:numId="11" w16cid:durableId="279726522">
    <w:abstractNumId w:val="16"/>
  </w:num>
  <w:num w:numId="12" w16cid:durableId="12264528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6272142">
    <w:abstractNumId w:val="30"/>
  </w:num>
  <w:num w:numId="14" w16cid:durableId="182854523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2302673">
    <w:abstractNumId w:val="13"/>
  </w:num>
  <w:num w:numId="16" w16cid:durableId="897597114">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7362953">
    <w:abstractNumId w:val="1"/>
  </w:num>
  <w:num w:numId="18" w16cid:durableId="322127998">
    <w:abstractNumId w:val="4"/>
  </w:num>
  <w:num w:numId="19" w16cid:durableId="938369670">
    <w:abstractNumId w:val="7"/>
  </w:num>
  <w:num w:numId="20" w16cid:durableId="2002348121">
    <w:abstractNumId w:val="6"/>
  </w:num>
  <w:num w:numId="21" w16cid:durableId="964577701">
    <w:abstractNumId w:val="6"/>
  </w:num>
  <w:num w:numId="22" w16cid:durableId="536283932">
    <w:abstractNumId w:val="2"/>
  </w:num>
  <w:num w:numId="23" w16cid:durableId="1378897302">
    <w:abstractNumId w:val="26"/>
  </w:num>
  <w:num w:numId="24" w16cid:durableId="419571852">
    <w:abstractNumId w:val="29"/>
  </w:num>
  <w:num w:numId="25" w16cid:durableId="1426227122">
    <w:abstractNumId w:val="15"/>
  </w:num>
  <w:num w:numId="26" w16cid:durableId="970940261">
    <w:abstractNumId w:val="19"/>
  </w:num>
  <w:num w:numId="27" w16cid:durableId="760831037">
    <w:abstractNumId w:val="9"/>
  </w:num>
  <w:num w:numId="28" w16cid:durableId="866412125">
    <w:abstractNumId w:val="32"/>
  </w:num>
  <w:num w:numId="29" w16cid:durableId="146674904">
    <w:abstractNumId w:val="31"/>
  </w:num>
  <w:num w:numId="30" w16cid:durableId="1552956928">
    <w:abstractNumId w:val="25"/>
  </w:num>
  <w:num w:numId="31" w16cid:durableId="76481822">
    <w:abstractNumId w:val="28"/>
  </w:num>
  <w:num w:numId="32" w16cid:durableId="1735620679">
    <w:abstractNumId w:val="24"/>
  </w:num>
  <w:num w:numId="33" w16cid:durableId="1650092850">
    <w:abstractNumId w:val="14"/>
  </w:num>
  <w:num w:numId="34" w16cid:durableId="173758836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I2MLUwNDE0tzAwMjRU0lEKTi0uzszPAykwrAUAUrXuqywAAAA="/>
  </w:docVars>
  <w:rsids>
    <w:rsidRoot w:val="00262AD4"/>
    <w:rsid w:val="00000145"/>
    <w:rsid w:val="00001158"/>
    <w:rsid w:val="000014CD"/>
    <w:rsid w:val="0000241A"/>
    <w:rsid w:val="00002FC2"/>
    <w:rsid w:val="00003996"/>
    <w:rsid w:val="00003D60"/>
    <w:rsid w:val="00005A38"/>
    <w:rsid w:val="00007072"/>
    <w:rsid w:val="00020504"/>
    <w:rsid w:val="00020C06"/>
    <w:rsid w:val="00022222"/>
    <w:rsid w:val="00030C33"/>
    <w:rsid w:val="0003268A"/>
    <w:rsid w:val="00032ACA"/>
    <w:rsid w:val="00032CFC"/>
    <w:rsid w:val="00033A50"/>
    <w:rsid w:val="00035764"/>
    <w:rsid w:val="0003732E"/>
    <w:rsid w:val="00037B7C"/>
    <w:rsid w:val="00041ACA"/>
    <w:rsid w:val="00042580"/>
    <w:rsid w:val="000427EE"/>
    <w:rsid w:val="00044112"/>
    <w:rsid w:val="00045DAB"/>
    <w:rsid w:val="000460D0"/>
    <w:rsid w:val="00046AE6"/>
    <w:rsid w:val="000500C5"/>
    <w:rsid w:val="00051E89"/>
    <w:rsid w:val="00052BE0"/>
    <w:rsid w:val="0005306D"/>
    <w:rsid w:val="000535F4"/>
    <w:rsid w:val="000538C4"/>
    <w:rsid w:val="00056320"/>
    <w:rsid w:val="00061FAA"/>
    <w:rsid w:val="0006217D"/>
    <w:rsid w:val="00062814"/>
    <w:rsid w:val="00062A61"/>
    <w:rsid w:val="000649E4"/>
    <w:rsid w:val="00065FC5"/>
    <w:rsid w:val="00066ACE"/>
    <w:rsid w:val="00066B7E"/>
    <w:rsid w:val="00071301"/>
    <w:rsid w:val="000722F2"/>
    <w:rsid w:val="00072988"/>
    <w:rsid w:val="00076FD1"/>
    <w:rsid w:val="00085D7C"/>
    <w:rsid w:val="00086367"/>
    <w:rsid w:val="00092A37"/>
    <w:rsid w:val="00093A02"/>
    <w:rsid w:val="00096C07"/>
    <w:rsid w:val="000A0CC6"/>
    <w:rsid w:val="000A3E21"/>
    <w:rsid w:val="000A5C23"/>
    <w:rsid w:val="000A688C"/>
    <w:rsid w:val="000B0C5D"/>
    <w:rsid w:val="000B0DC2"/>
    <w:rsid w:val="000B1223"/>
    <w:rsid w:val="000B23F1"/>
    <w:rsid w:val="000B3040"/>
    <w:rsid w:val="000B3160"/>
    <w:rsid w:val="000B3328"/>
    <w:rsid w:val="000B4ACF"/>
    <w:rsid w:val="000B6802"/>
    <w:rsid w:val="000B6998"/>
    <w:rsid w:val="000B69CC"/>
    <w:rsid w:val="000B7CA1"/>
    <w:rsid w:val="000C07D0"/>
    <w:rsid w:val="000C64B3"/>
    <w:rsid w:val="000C6A3D"/>
    <w:rsid w:val="000C6EF6"/>
    <w:rsid w:val="000D044B"/>
    <w:rsid w:val="000D2B43"/>
    <w:rsid w:val="000D4FF6"/>
    <w:rsid w:val="000D7954"/>
    <w:rsid w:val="000E317C"/>
    <w:rsid w:val="000E5465"/>
    <w:rsid w:val="000E5588"/>
    <w:rsid w:val="000E75C7"/>
    <w:rsid w:val="000E7F88"/>
    <w:rsid w:val="000F1DEF"/>
    <w:rsid w:val="000F26CD"/>
    <w:rsid w:val="000F2741"/>
    <w:rsid w:val="00100BCE"/>
    <w:rsid w:val="00107F92"/>
    <w:rsid w:val="00111FF8"/>
    <w:rsid w:val="001158E3"/>
    <w:rsid w:val="00115F1F"/>
    <w:rsid w:val="0011676F"/>
    <w:rsid w:val="00116788"/>
    <w:rsid w:val="0012060C"/>
    <w:rsid w:val="001213D3"/>
    <w:rsid w:val="001217C2"/>
    <w:rsid w:val="00122BB5"/>
    <w:rsid w:val="00122EFE"/>
    <w:rsid w:val="00123745"/>
    <w:rsid w:val="00123AB8"/>
    <w:rsid w:val="0012641D"/>
    <w:rsid w:val="00132537"/>
    <w:rsid w:val="0013698C"/>
    <w:rsid w:val="00136A37"/>
    <w:rsid w:val="00141FA5"/>
    <w:rsid w:val="0014228C"/>
    <w:rsid w:val="00144082"/>
    <w:rsid w:val="001447F1"/>
    <w:rsid w:val="001449C4"/>
    <w:rsid w:val="00147710"/>
    <w:rsid w:val="00150945"/>
    <w:rsid w:val="00151240"/>
    <w:rsid w:val="001512BE"/>
    <w:rsid w:val="001526A1"/>
    <w:rsid w:val="00153816"/>
    <w:rsid w:val="00153D9E"/>
    <w:rsid w:val="00155E5B"/>
    <w:rsid w:val="00156074"/>
    <w:rsid w:val="0016121A"/>
    <w:rsid w:val="00161A04"/>
    <w:rsid w:val="00164CBF"/>
    <w:rsid w:val="00166F20"/>
    <w:rsid w:val="001675A1"/>
    <w:rsid w:val="001675C9"/>
    <w:rsid w:val="00176400"/>
    <w:rsid w:val="0017661C"/>
    <w:rsid w:val="00176A78"/>
    <w:rsid w:val="001771AC"/>
    <w:rsid w:val="00180ABF"/>
    <w:rsid w:val="00181472"/>
    <w:rsid w:val="00182BD6"/>
    <w:rsid w:val="00192E56"/>
    <w:rsid w:val="00193D64"/>
    <w:rsid w:val="00193EE2"/>
    <w:rsid w:val="00194B54"/>
    <w:rsid w:val="00195FDA"/>
    <w:rsid w:val="001A050B"/>
    <w:rsid w:val="001A1039"/>
    <w:rsid w:val="001A1323"/>
    <w:rsid w:val="001A16D1"/>
    <w:rsid w:val="001A1828"/>
    <w:rsid w:val="001A3EC7"/>
    <w:rsid w:val="001A49E5"/>
    <w:rsid w:val="001A6F1F"/>
    <w:rsid w:val="001A7952"/>
    <w:rsid w:val="001B1CF0"/>
    <w:rsid w:val="001B2878"/>
    <w:rsid w:val="001B41C7"/>
    <w:rsid w:val="001B4D75"/>
    <w:rsid w:val="001B6BC0"/>
    <w:rsid w:val="001B6F84"/>
    <w:rsid w:val="001C12AD"/>
    <w:rsid w:val="001C182D"/>
    <w:rsid w:val="001C2634"/>
    <w:rsid w:val="001C2B60"/>
    <w:rsid w:val="001C4529"/>
    <w:rsid w:val="001C56F7"/>
    <w:rsid w:val="001C66FE"/>
    <w:rsid w:val="001D131D"/>
    <w:rsid w:val="001D2B2D"/>
    <w:rsid w:val="001D4C96"/>
    <w:rsid w:val="001D4DDB"/>
    <w:rsid w:val="001D4F13"/>
    <w:rsid w:val="001E6552"/>
    <w:rsid w:val="001F2AC0"/>
    <w:rsid w:val="001F3ACB"/>
    <w:rsid w:val="001F6B10"/>
    <w:rsid w:val="002035CF"/>
    <w:rsid w:val="00203957"/>
    <w:rsid w:val="00204073"/>
    <w:rsid w:val="00204881"/>
    <w:rsid w:val="002118EB"/>
    <w:rsid w:val="00212B35"/>
    <w:rsid w:val="00213292"/>
    <w:rsid w:val="00213918"/>
    <w:rsid w:val="0021517C"/>
    <w:rsid w:val="0021622A"/>
    <w:rsid w:val="0021773A"/>
    <w:rsid w:val="002213DC"/>
    <w:rsid w:val="00221D3E"/>
    <w:rsid w:val="00222BAA"/>
    <w:rsid w:val="0022658C"/>
    <w:rsid w:val="00230776"/>
    <w:rsid w:val="00230F62"/>
    <w:rsid w:val="00232AEC"/>
    <w:rsid w:val="00236ED2"/>
    <w:rsid w:val="0024011F"/>
    <w:rsid w:val="00241CAF"/>
    <w:rsid w:val="0024292A"/>
    <w:rsid w:val="00243DA6"/>
    <w:rsid w:val="002444EE"/>
    <w:rsid w:val="00244F77"/>
    <w:rsid w:val="00245B08"/>
    <w:rsid w:val="00246774"/>
    <w:rsid w:val="0025339D"/>
    <w:rsid w:val="002542A1"/>
    <w:rsid w:val="0026073C"/>
    <w:rsid w:val="002614CA"/>
    <w:rsid w:val="00262AD4"/>
    <w:rsid w:val="00263331"/>
    <w:rsid w:val="002666BD"/>
    <w:rsid w:val="002668AA"/>
    <w:rsid w:val="00267FE2"/>
    <w:rsid w:val="00271857"/>
    <w:rsid w:val="002743FD"/>
    <w:rsid w:val="00274DEC"/>
    <w:rsid w:val="00275CE0"/>
    <w:rsid w:val="002772A3"/>
    <w:rsid w:val="00280AF6"/>
    <w:rsid w:val="00285231"/>
    <w:rsid w:val="00286768"/>
    <w:rsid w:val="002877FB"/>
    <w:rsid w:val="00290D9F"/>
    <w:rsid w:val="00292D57"/>
    <w:rsid w:val="0029421F"/>
    <w:rsid w:val="002944CC"/>
    <w:rsid w:val="00295FDC"/>
    <w:rsid w:val="002975D3"/>
    <w:rsid w:val="002A212B"/>
    <w:rsid w:val="002A2399"/>
    <w:rsid w:val="002A37D7"/>
    <w:rsid w:val="002A452B"/>
    <w:rsid w:val="002A6EA9"/>
    <w:rsid w:val="002A73F4"/>
    <w:rsid w:val="002B19AA"/>
    <w:rsid w:val="002B2063"/>
    <w:rsid w:val="002B541D"/>
    <w:rsid w:val="002B6450"/>
    <w:rsid w:val="002B6CD0"/>
    <w:rsid w:val="002C0026"/>
    <w:rsid w:val="002C2D89"/>
    <w:rsid w:val="002C6105"/>
    <w:rsid w:val="002C7094"/>
    <w:rsid w:val="002D0E36"/>
    <w:rsid w:val="002D24E1"/>
    <w:rsid w:val="002D35B3"/>
    <w:rsid w:val="002D4044"/>
    <w:rsid w:val="002D41BC"/>
    <w:rsid w:val="002D48A6"/>
    <w:rsid w:val="002D5E00"/>
    <w:rsid w:val="002D7C31"/>
    <w:rsid w:val="002E3B61"/>
    <w:rsid w:val="002E4FA3"/>
    <w:rsid w:val="002F045F"/>
    <w:rsid w:val="002F232A"/>
    <w:rsid w:val="002F32C5"/>
    <w:rsid w:val="002F443F"/>
    <w:rsid w:val="002F44F9"/>
    <w:rsid w:val="002F4669"/>
    <w:rsid w:val="002F4A3D"/>
    <w:rsid w:val="002F4C39"/>
    <w:rsid w:val="00301727"/>
    <w:rsid w:val="00301F22"/>
    <w:rsid w:val="0030321C"/>
    <w:rsid w:val="0030534B"/>
    <w:rsid w:val="00305EF5"/>
    <w:rsid w:val="0030771E"/>
    <w:rsid w:val="00310138"/>
    <w:rsid w:val="00311896"/>
    <w:rsid w:val="00312B18"/>
    <w:rsid w:val="00312C44"/>
    <w:rsid w:val="00315D6F"/>
    <w:rsid w:val="003167B3"/>
    <w:rsid w:val="0032228F"/>
    <w:rsid w:val="00323071"/>
    <w:rsid w:val="003232C5"/>
    <w:rsid w:val="00324088"/>
    <w:rsid w:val="0032533B"/>
    <w:rsid w:val="00327148"/>
    <w:rsid w:val="00331DB7"/>
    <w:rsid w:val="0033218A"/>
    <w:rsid w:val="00334800"/>
    <w:rsid w:val="00336B35"/>
    <w:rsid w:val="00336C3A"/>
    <w:rsid w:val="00341F24"/>
    <w:rsid w:val="0034478D"/>
    <w:rsid w:val="00344A71"/>
    <w:rsid w:val="00351EF5"/>
    <w:rsid w:val="00353A16"/>
    <w:rsid w:val="003549E3"/>
    <w:rsid w:val="00355CCF"/>
    <w:rsid w:val="00356578"/>
    <w:rsid w:val="003635C8"/>
    <w:rsid w:val="00365F8C"/>
    <w:rsid w:val="00366E06"/>
    <w:rsid w:val="00370AD9"/>
    <w:rsid w:val="00370E16"/>
    <w:rsid w:val="0037264C"/>
    <w:rsid w:val="00373FD0"/>
    <w:rsid w:val="00374088"/>
    <w:rsid w:val="003753A2"/>
    <w:rsid w:val="003801A1"/>
    <w:rsid w:val="00380D02"/>
    <w:rsid w:val="00381564"/>
    <w:rsid w:val="00384149"/>
    <w:rsid w:val="0038530A"/>
    <w:rsid w:val="00387C8D"/>
    <w:rsid w:val="00390270"/>
    <w:rsid w:val="003A12C6"/>
    <w:rsid w:val="003A25F8"/>
    <w:rsid w:val="003A3B41"/>
    <w:rsid w:val="003A5493"/>
    <w:rsid w:val="003A5B52"/>
    <w:rsid w:val="003A6021"/>
    <w:rsid w:val="003A6C62"/>
    <w:rsid w:val="003B0303"/>
    <w:rsid w:val="003B0312"/>
    <w:rsid w:val="003B40B5"/>
    <w:rsid w:val="003B440A"/>
    <w:rsid w:val="003B50F5"/>
    <w:rsid w:val="003B68F4"/>
    <w:rsid w:val="003C0263"/>
    <w:rsid w:val="003C51D2"/>
    <w:rsid w:val="003C5657"/>
    <w:rsid w:val="003C5CE3"/>
    <w:rsid w:val="003C5D74"/>
    <w:rsid w:val="003D2080"/>
    <w:rsid w:val="003D27F2"/>
    <w:rsid w:val="003D58C5"/>
    <w:rsid w:val="003D6F14"/>
    <w:rsid w:val="003E1EBE"/>
    <w:rsid w:val="003E2B0D"/>
    <w:rsid w:val="003E2CF7"/>
    <w:rsid w:val="003E3046"/>
    <w:rsid w:val="003E3C0B"/>
    <w:rsid w:val="003E5D4A"/>
    <w:rsid w:val="003F0CE4"/>
    <w:rsid w:val="003F1DE1"/>
    <w:rsid w:val="003F5C7E"/>
    <w:rsid w:val="003F65AB"/>
    <w:rsid w:val="003F69D0"/>
    <w:rsid w:val="003F6E71"/>
    <w:rsid w:val="003F7198"/>
    <w:rsid w:val="003F7371"/>
    <w:rsid w:val="00401210"/>
    <w:rsid w:val="00401A03"/>
    <w:rsid w:val="00403BC0"/>
    <w:rsid w:val="004042A1"/>
    <w:rsid w:val="004059A9"/>
    <w:rsid w:val="0040757E"/>
    <w:rsid w:val="004107C6"/>
    <w:rsid w:val="0041709A"/>
    <w:rsid w:val="004219E7"/>
    <w:rsid w:val="00422516"/>
    <w:rsid w:val="0042448E"/>
    <w:rsid w:val="00426069"/>
    <w:rsid w:val="00427E01"/>
    <w:rsid w:val="004303F0"/>
    <w:rsid w:val="0043100A"/>
    <w:rsid w:val="00431AB6"/>
    <w:rsid w:val="0043226F"/>
    <w:rsid w:val="00433A8E"/>
    <w:rsid w:val="00435590"/>
    <w:rsid w:val="00436C2B"/>
    <w:rsid w:val="00437205"/>
    <w:rsid w:val="0043732D"/>
    <w:rsid w:val="00444619"/>
    <w:rsid w:val="00444A59"/>
    <w:rsid w:val="004452A4"/>
    <w:rsid w:val="004459E6"/>
    <w:rsid w:val="004462D7"/>
    <w:rsid w:val="00446B58"/>
    <w:rsid w:val="00447831"/>
    <w:rsid w:val="00447F0C"/>
    <w:rsid w:val="00452C21"/>
    <w:rsid w:val="00454A8A"/>
    <w:rsid w:val="00455564"/>
    <w:rsid w:val="00456162"/>
    <w:rsid w:val="0045641D"/>
    <w:rsid w:val="00456594"/>
    <w:rsid w:val="004569B7"/>
    <w:rsid w:val="00457C59"/>
    <w:rsid w:val="00460E78"/>
    <w:rsid w:val="00461D21"/>
    <w:rsid w:val="00463396"/>
    <w:rsid w:val="00464F81"/>
    <w:rsid w:val="0046530F"/>
    <w:rsid w:val="00465B34"/>
    <w:rsid w:val="00466BF4"/>
    <w:rsid w:val="00471B43"/>
    <w:rsid w:val="00473C8F"/>
    <w:rsid w:val="00473EBF"/>
    <w:rsid w:val="0047439A"/>
    <w:rsid w:val="00475C72"/>
    <w:rsid w:val="00476F1F"/>
    <w:rsid w:val="0048286D"/>
    <w:rsid w:val="00483B3A"/>
    <w:rsid w:val="00490725"/>
    <w:rsid w:val="00493847"/>
    <w:rsid w:val="004954E2"/>
    <w:rsid w:val="00495D67"/>
    <w:rsid w:val="00496A8F"/>
    <w:rsid w:val="00496D96"/>
    <w:rsid w:val="00497AFB"/>
    <w:rsid w:val="004A070B"/>
    <w:rsid w:val="004A0BF7"/>
    <w:rsid w:val="004A1691"/>
    <w:rsid w:val="004A1F43"/>
    <w:rsid w:val="004A2983"/>
    <w:rsid w:val="004A29F4"/>
    <w:rsid w:val="004A43B2"/>
    <w:rsid w:val="004B3266"/>
    <w:rsid w:val="004B3362"/>
    <w:rsid w:val="004B3C87"/>
    <w:rsid w:val="004B41C3"/>
    <w:rsid w:val="004B6C15"/>
    <w:rsid w:val="004B6D35"/>
    <w:rsid w:val="004C1BB1"/>
    <w:rsid w:val="004C2548"/>
    <w:rsid w:val="004C314A"/>
    <w:rsid w:val="004C3443"/>
    <w:rsid w:val="004C4FE3"/>
    <w:rsid w:val="004C56C6"/>
    <w:rsid w:val="004C5B0D"/>
    <w:rsid w:val="004C5E20"/>
    <w:rsid w:val="004C64A3"/>
    <w:rsid w:val="004C660F"/>
    <w:rsid w:val="004D0040"/>
    <w:rsid w:val="004D0A60"/>
    <w:rsid w:val="004D0C23"/>
    <w:rsid w:val="004D0C5A"/>
    <w:rsid w:val="004D17B1"/>
    <w:rsid w:val="004D181E"/>
    <w:rsid w:val="004D205D"/>
    <w:rsid w:val="004D21B6"/>
    <w:rsid w:val="004D2A8D"/>
    <w:rsid w:val="004D2DB4"/>
    <w:rsid w:val="004D427B"/>
    <w:rsid w:val="004D4F63"/>
    <w:rsid w:val="004D5435"/>
    <w:rsid w:val="004D569C"/>
    <w:rsid w:val="004D5995"/>
    <w:rsid w:val="004E42C0"/>
    <w:rsid w:val="004E6A48"/>
    <w:rsid w:val="004F07FC"/>
    <w:rsid w:val="004F1F1A"/>
    <w:rsid w:val="004F31D3"/>
    <w:rsid w:val="004F3DE7"/>
    <w:rsid w:val="004F5C82"/>
    <w:rsid w:val="004F67C0"/>
    <w:rsid w:val="004F7087"/>
    <w:rsid w:val="004F76AE"/>
    <w:rsid w:val="00500C22"/>
    <w:rsid w:val="00500DF1"/>
    <w:rsid w:val="00501350"/>
    <w:rsid w:val="0050202C"/>
    <w:rsid w:val="005023BC"/>
    <w:rsid w:val="005056F6"/>
    <w:rsid w:val="00507777"/>
    <w:rsid w:val="005103B2"/>
    <w:rsid w:val="00510D68"/>
    <w:rsid w:val="00511E94"/>
    <w:rsid w:val="00516C31"/>
    <w:rsid w:val="00516CC1"/>
    <w:rsid w:val="0052013C"/>
    <w:rsid w:val="0052343A"/>
    <w:rsid w:val="00524312"/>
    <w:rsid w:val="00524E23"/>
    <w:rsid w:val="00525CD8"/>
    <w:rsid w:val="0052663F"/>
    <w:rsid w:val="005315AF"/>
    <w:rsid w:val="005320F2"/>
    <w:rsid w:val="00535B06"/>
    <w:rsid w:val="0054123F"/>
    <w:rsid w:val="00541289"/>
    <w:rsid w:val="0054447C"/>
    <w:rsid w:val="00547E9C"/>
    <w:rsid w:val="00554830"/>
    <w:rsid w:val="005549EE"/>
    <w:rsid w:val="00556AC5"/>
    <w:rsid w:val="00556CF3"/>
    <w:rsid w:val="00556EAB"/>
    <w:rsid w:val="00556F6A"/>
    <w:rsid w:val="00562287"/>
    <w:rsid w:val="0056243D"/>
    <w:rsid w:val="00563929"/>
    <w:rsid w:val="00563F35"/>
    <w:rsid w:val="005646BC"/>
    <w:rsid w:val="00567959"/>
    <w:rsid w:val="00574324"/>
    <w:rsid w:val="00576256"/>
    <w:rsid w:val="00577523"/>
    <w:rsid w:val="005801C8"/>
    <w:rsid w:val="00583373"/>
    <w:rsid w:val="00583FEB"/>
    <w:rsid w:val="005852AB"/>
    <w:rsid w:val="00585F07"/>
    <w:rsid w:val="00586AE1"/>
    <w:rsid w:val="005909C7"/>
    <w:rsid w:val="0059155C"/>
    <w:rsid w:val="00592C96"/>
    <w:rsid w:val="00594909"/>
    <w:rsid w:val="00594BBD"/>
    <w:rsid w:val="0059517B"/>
    <w:rsid w:val="005964E5"/>
    <w:rsid w:val="00597C4E"/>
    <w:rsid w:val="005A1086"/>
    <w:rsid w:val="005A1549"/>
    <w:rsid w:val="005A17BE"/>
    <w:rsid w:val="005A437D"/>
    <w:rsid w:val="005B2304"/>
    <w:rsid w:val="005B23E6"/>
    <w:rsid w:val="005B375F"/>
    <w:rsid w:val="005B693F"/>
    <w:rsid w:val="005B715D"/>
    <w:rsid w:val="005C0EB1"/>
    <w:rsid w:val="005C1082"/>
    <w:rsid w:val="005C3A46"/>
    <w:rsid w:val="005C41A4"/>
    <w:rsid w:val="005C5BB4"/>
    <w:rsid w:val="005C5F13"/>
    <w:rsid w:val="005C692B"/>
    <w:rsid w:val="005C76F9"/>
    <w:rsid w:val="005D071E"/>
    <w:rsid w:val="005D4043"/>
    <w:rsid w:val="005D4C7E"/>
    <w:rsid w:val="005D5C69"/>
    <w:rsid w:val="005D670B"/>
    <w:rsid w:val="005D6895"/>
    <w:rsid w:val="005D7D16"/>
    <w:rsid w:val="005D7E15"/>
    <w:rsid w:val="005E0F6E"/>
    <w:rsid w:val="005E11C4"/>
    <w:rsid w:val="005E2884"/>
    <w:rsid w:val="005E52D6"/>
    <w:rsid w:val="005E5FE4"/>
    <w:rsid w:val="005F38F3"/>
    <w:rsid w:val="005F72F6"/>
    <w:rsid w:val="005F7831"/>
    <w:rsid w:val="005F7E95"/>
    <w:rsid w:val="006037D5"/>
    <w:rsid w:val="00604F18"/>
    <w:rsid w:val="006058EA"/>
    <w:rsid w:val="00605D97"/>
    <w:rsid w:val="00607210"/>
    <w:rsid w:val="0060752B"/>
    <w:rsid w:val="0061105E"/>
    <w:rsid w:val="00611A0E"/>
    <w:rsid w:val="00611B4C"/>
    <w:rsid w:val="00615B2D"/>
    <w:rsid w:val="00615F5C"/>
    <w:rsid w:val="0061670F"/>
    <w:rsid w:val="006170DC"/>
    <w:rsid w:val="00617F91"/>
    <w:rsid w:val="006201C2"/>
    <w:rsid w:val="006213EF"/>
    <w:rsid w:val="00621419"/>
    <w:rsid w:val="0062226B"/>
    <w:rsid w:val="006232E6"/>
    <w:rsid w:val="0062364C"/>
    <w:rsid w:val="00623D03"/>
    <w:rsid w:val="0062644A"/>
    <w:rsid w:val="00626B48"/>
    <w:rsid w:val="00626F83"/>
    <w:rsid w:val="00627718"/>
    <w:rsid w:val="00627FDA"/>
    <w:rsid w:val="00632735"/>
    <w:rsid w:val="006332F1"/>
    <w:rsid w:val="006337DE"/>
    <w:rsid w:val="00634A60"/>
    <w:rsid w:val="00636F2C"/>
    <w:rsid w:val="00640DD0"/>
    <w:rsid w:val="00641D38"/>
    <w:rsid w:val="0064335F"/>
    <w:rsid w:val="0064346E"/>
    <w:rsid w:val="006461C1"/>
    <w:rsid w:val="00646A7F"/>
    <w:rsid w:val="00647617"/>
    <w:rsid w:val="00647CB8"/>
    <w:rsid w:val="006501CC"/>
    <w:rsid w:val="006503BC"/>
    <w:rsid w:val="00650A91"/>
    <w:rsid w:val="006511D6"/>
    <w:rsid w:val="0065162A"/>
    <w:rsid w:val="00653FD5"/>
    <w:rsid w:val="006540F2"/>
    <w:rsid w:val="006546B1"/>
    <w:rsid w:val="006557E3"/>
    <w:rsid w:val="006577BD"/>
    <w:rsid w:val="00657C25"/>
    <w:rsid w:val="0066025F"/>
    <w:rsid w:val="00661847"/>
    <w:rsid w:val="0066336F"/>
    <w:rsid w:val="00663F75"/>
    <w:rsid w:val="006644B1"/>
    <w:rsid w:val="00664B2C"/>
    <w:rsid w:val="00664DBF"/>
    <w:rsid w:val="00666A23"/>
    <w:rsid w:val="006712C1"/>
    <w:rsid w:val="0067205A"/>
    <w:rsid w:val="00672291"/>
    <w:rsid w:val="0067426F"/>
    <w:rsid w:val="006809D6"/>
    <w:rsid w:val="00681EA9"/>
    <w:rsid w:val="0068499A"/>
    <w:rsid w:val="006850C4"/>
    <w:rsid w:val="006928D6"/>
    <w:rsid w:val="0069730D"/>
    <w:rsid w:val="006A1D53"/>
    <w:rsid w:val="006A24A1"/>
    <w:rsid w:val="006A3492"/>
    <w:rsid w:val="006A541C"/>
    <w:rsid w:val="006A5F1D"/>
    <w:rsid w:val="006A67A8"/>
    <w:rsid w:val="006A7137"/>
    <w:rsid w:val="006B0BD8"/>
    <w:rsid w:val="006B2E27"/>
    <w:rsid w:val="006B343E"/>
    <w:rsid w:val="006B558D"/>
    <w:rsid w:val="006B6A08"/>
    <w:rsid w:val="006C0ADC"/>
    <w:rsid w:val="006C3564"/>
    <w:rsid w:val="006C3EC7"/>
    <w:rsid w:val="006C58D8"/>
    <w:rsid w:val="006C5A62"/>
    <w:rsid w:val="006D0280"/>
    <w:rsid w:val="006D7C88"/>
    <w:rsid w:val="006E0E3C"/>
    <w:rsid w:val="006E24CF"/>
    <w:rsid w:val="006E486E"/>
    <w:rsid w:val="006E4AC5"/>
    <w:rsid w:val="006E51EE"/>
    <w:rsid w:val="006E68CB"/>
    <w:rsid w:val="006E7461"/>
    <w:rsid w:val="006F1C36"/>
    <w:rsid w:val="006F1E73"/>
    <w:rsid w:val="006F3F9F"/>
    <w:rsid w:val="007005D0"/>
    <w:rsid w:val="00701615"/>
    <w:rsid w:val="00706017"/>
    <w:rsid w:val="00707032"/>
    <w:rsid w:val="007107BD"/>
    <w:rsid w:val="00712E1B"/>
    <w:rsid w:val="00715351"/>
    <w:rsid w:val="00716CA3"/>
    <w:rsid w:val="0071729E"/>
    <w:rsid w:val="00717DAC"/>
    <w:rsid w:val="00720698"/>
    <w:rsid w:val="0072106B"/>
    <w:rsid w:val="00721110"/>
    <w:rsid w:val="00724D5C"/>
    <w:rsid w:val="007253CC"/>
    <w:rsid w:val="007268C9"/>
    <w:rsid w:val="00726958"/>
    <w:rsid w:val="00727BF9"/>
    <w:rsid w:val="0073132D"/>
    <w:rsid w:val="00732D3D"/>
    <w:rsid w:val="00733404"/>
    <w:rsid w:val="007343E9"/>
    <w:rsid w:val="007362FB"/>
    <w:rsid w:val="00737B61"/>
    <w:rsid w:val="00740B75"/>
    <w:rsid w:val="007417B7"/>
    <w:rsid w:val="00741893"/>
    <w:rsid w:val="0074525C"/>
    <w:rsid w:val="007453EC"/>
    <w:rsid w:val="007511A2"/>
    <w:rsid w:val="00752E40"/>
    <w:rsid w:val="00757595"/>
    <w:rsid w:val="00762237"/>
    <w:rsid w:val="00762BDD"/>
    <w:rsid w:val="007641B3"/>
    <w:rsid w:val="00764A7E"/>
    <w:rsid w:val="00767350"/>
    <w:rsid w:val="00767783"/>
    <w:rsid w:val="007739F4"/>
    <w:rsid w:val="00775D1D"/>
    <w:rsid w:val="00781E47"/>
    <w:rsid w:val="0078369B"/>
    <w:rsid w:val="00783773"/>
    <w:rsid w:val="00785019"/>
    <w:rsid w:val="007856F6"/>
    <w:rsid w:val="00787210"/>
    <w:rsid w:val="007906A4"/>
    <w:rsid w:val="00792D81"/>
    <w:rsid w:val="007A4CF5"/>
    <w:rsid w:val="007A6550"/>
    <w:rsid w:val="007A799E"/>
    <w:rsid w:val="007B2DDF"/>
    <w:rsid w:val="007B3737"/>
    <w:rsid w:val="007B4BC0"/>
    <w:rsid w:val="007B4DC8"/>
    <w:rsid w:val="007B5D9F"/>
    <w:rsid w:val="007B5FA1"/>
    <w:rsid w:val="007B6897"/>
    <w:rsid w:val="007B7438"/>
    <w:rsid w:val="007C1065"/>
    <w:rsid w:val="007C2C44"/>
    <w:rsid w:val="007C5C79"/>
    <w:rsid w:val="007C6E0D"/>
    <w:rsid w:val="007C7B57"/>
    <w:rsid w:val="007D018F"/>
    <w:rsid w:val="007D0397"/>
    <w:rsid w:val="007D1D9D"/>
    <w:rsid w:val="007D2D74"/>
    <w:rsid w:val="007D34B4"/>
    <w:rsid w:val="007D418F"/>
    <w:rsid w:val="007D6603"/>
    <w:rsid w:val="007E1D39"/>
    <w:rsid w:val="007E36E5"/>
    <w:rsid w:val="007E5099"/>
    <w:rsid w:val="007E7762"/>
    <w:rsid w:val="007E7FE7"/>
    <w:rsid w:val="007F04EF"/>
    <w:rsid w:val="007F1D23"/>
    <w:rsid w:val="007F2616"/>
    <w:rsid w:val="007F35F6"/>
    <w:rsid w:val="007F7A85"/>
    <w:rsid w:val="00800124"/>
    <w:rsid w:val="008021C9"/>
    <w:rsid w:val="0080731D"/>
    <w:rsid w:val="008078ED"/>
    <w:rsid w:val="0080790A"/>
    <w:rsid w:val="008105A5"/>
    <w:rsid w:val="00813ED8"/>
    <w:rsid w:val="00814CA8"/>
    <w:rsid w:val="0082026E"/>
    <w:rsid w:val="00822A1C"/>
    <w:rsid w:val="008230C3"/>
    <w:rsid w:val="008312E4"/>
    <w:rsid w:val="0083277A"/>
    <w:rsid w:val="0083351C"/>
    <w:rsid w:val="00835F7C"/>
    <w:rsid w:val="00837A8E"/>
    <w:rsid w:val="00837B68"/>
    <w:rsid w:val="00837EC9"/>
    <w:rsid w:val="00840236"/>
    <w:rsid w:val="00841AAE"/>
    <w:rsid w:val="00846A58"/>
    <w:rsid w:val="00851D76"/>
    <w:rsid w:val="00852CCA"/>
    <w:rsid w:val="0085353B"/>
    <w:rsid w:val="00857F92"/>
    <w:rsid w:val="0086144F"/>
    <w:rsid w:val="00861AE0"/>
    <w:rsid w:val="008626F8"/>
    <w:rsid w:val="00862BAF"/>
    <w:rsid w:val="00863A8D"/>
    <w:rsid w:val="00863F62"/>
    <w:rsid w:val="0086617B"/>
    <w:rsid w:val="0087175A"/>
    <w:rsid w:val="00871891"/>
    <w:rsid w:val="008739D8"/>
    <w:rsid w:val="00874F70"/>
    <w:rsid w:val="008754FD"/>
    <w:rsid w:val="008772B0"/>
    <w:rsid w:val="0088018C"/>
    <w:rsid w:val="00880484"/>
    <w:rsid w:val="00880E6A"/>
    <w:rsid w:val="00881B94"/>
    <w:rsid w:val="0088623A"/>
    <w:rsid w:val="00890757"/>
    <w:rsid w:val="00895CF7"/>
    <w:rsid w:val="00895F2B"/>
    <w:rsid w:val="008A12C0"/>
    <w:rsid w:val="008A2111"/>
    <w:rsid w:val="008A2AB8"/>
    <w:rsid w:val="008A352D"/>
    <w:rsid w:val="008A50E4"/>
    <w:rsid w:val="008A7A2D"/>
    <w:rsid w:val="008B7214"/>
    <w:rsid w:val="008C20C8"/>
    <w:rsid w:val="008C2249"/>
    <w:rsid w:val="008C3CBA"/>
    <w:rsid w:val="008C64A7"/>
    <w:rsid w:val="008C699D"/>
    <w:rsid w:val="008C7BF0"/>
    <w:rsid w:val="008D0870"/>
    <w:rsid w:val="008D0925"/>
    <w:rsid w:val="008D0ABA"/>
    <w:rsid w:val="008D20C1"/>
    <w:rsid w:val="008D21C4"/>
    <w:rsid w:val="008D34C6"/>
    <w:rsid w:val="008D474E"/>
    <w:rsid w:val="008D5D0A"/>
    <w:rsid w:val="008D6162"/>
    <w:rsid w:val="008D6D6C"/>
    <w:rsid w:val="008D744D"/>
    <w:rsid w:val="008E0F35"/>
    <w:rsid w:val="008E2F5C"/>
    <w:rsid w:val="008E37D2"/>
    <w:rsid w:val="008E3A0C"/>
    <w:rsid w:val="008E6FC5"/>
    <w:rsid w:val="008E7CD0"/>
    <w:rsid w:val="008F2ADB"/>
    <w:rsid w:val="008F386E"/>
    <w:rsid w:val="008F44BA"/>
    <w:rsid w:val="008F744B"/>
    <w:rsid w:val="00900828"/>
    <w:rsid w:val="0090090F"/>
    <w:rsid w:val="009032A0"/>
    <w:rsid w:val="009036DF"/>
    <w:rsid w:val="009064D8"/>
    <w:rsid w:val="009067FA"/>
    <w:rsid w:val="00906BF5"/>
    <w:rsid w:val="00907484"/>
    <w:rsid w:val="00907A0C"/>
    <w:rsid w:val="00911114"/>
    <w:rsid w:val="00911EDB"/>
    <w:rsid w:val="00913804"/>
    <w:rsid w:val="00914A11"/>
    <w:rsid w:val="00922D5B"/>
    <w:rsid w:val="00923E22"/>
    <w:rsid w:val="0092432F"/>
    <w:rsid w:val="0092483B"/>
    <w:rsid w:val="00924EFB"/>
    <w:rsid w:val="00926621"/>
    <w:rsid w:val="00927C6E"/>
    <w:rsid w:val="00931C17"/>
    <w:rsid w:val="00932C2C"/>
    <w:rsid w:val="00933D62"/>
    <w:rsid w:val="00933E69"/>
    <w:rsid w:val="00936F34"/>
    <w:rsid w:val="0094175A"/>
    <w:rsid w:val="00942BE3"/>
    <w:rsid w:val="00943332"/>
    <w:rsid w:val="0094451A"/>
    <w:rsid w:val="009448B2"/>
    <w:rsid w:val="00945F09"/>
    <w:rsid w:val="00946F69"/>
    <w:rsid w:val="00951A50"/>
    <w:rsid w:val="009526A5"/>
    <w:rsid w:val="0095332B"/>
    <w:rsid w:val="00953A66"/>
    <w:rsid w:val="00954318"/>
    <w:rsid w:val="00955574"/>
    <w:rsid w:val="00956675"/>
    <w:rsid w:val="009569BE"/>
    <w:rsid w:val="00956BC5"/>
    <w:rsid w:val="00957162"/>
    <w:rsid w:val="00966590"/>
    <w:rsid w:val="00970B5B"/>
    <w:rsid w:val="00971C57"/>
    <w:rsid w:val="00972C32"/>
    <w:rsid w:val="00973197"/>
    <w:rsid w:val="009748E5"/>
    <w:rsid w:val="00974C5E"/>
    <w:rsid w:val="0097576F"/>
    <w:rsid w:val="00976CD0"/>
    <w:rsid w:val="00980248"/>
    <w:rsid w:val="00981E7A"/>
    <w:rsid w:val="00982682"/>
    <w:rsid w:val="009847E9"/>
    <w:rsid w:val="00984BC0"/>
    <w:rsid w:val="00984E7F"/>
    <w:rsid w:val="00984F69"/>
    <w:rsid w:val="00985591"/>
    <w:rsid w:val="009855F6"/>
    <w:rsid w:val="00985A4A"/>
    <w:rsid w:val="00985AED"/>
    <w:rsid w:val="00991ADA"/>
    <w:rsid w:val="0099232F"/>
    <w:rsid w:val="00994E63"/>
    <w:rsid w:val="00994EE7"/>
    <w:rsid w:val="009955AD"/>
    <w:rsid w:val="00995806"/>
    <w:rsid w:val="0099593E"/>
    <w:rsid w:val="009A2762"/>
    <w:rsid w:val="009A2EE5"/>
    <w:rsid w:val="009A3971"/>
    <w:rsid w:val="009A4FD3"/>
    <w:rsid w:val="009A62CA"/>
    <w:rsid w:val="009A6C3E"/>
    <w:rsid w:val="009A7211"/>
    <w:rsid w:val="009A72BF"/>
    <w:rsid w:val="009A7855"/>
    <w:rsid w:val="009B13F5"/>
    <w:rsid w:val="009B6CB0"/>
    <w:rsid w:val="009B7088"/>
    <w:rsid w:val="009B759E"/>
    <w:rsid w:val="009C18C6"/>
    <w:rsid w:val="009C2D7D"/>
    <w:rsid w:val="009C3584"/>
    <w:rsid w:val="009C6CF6"/>
    <w:rsid w:val="009D0604"/>
    <w:rsid w:val="009D0A0A"/>
    <w:rsid w:val="009D5988"/>
    <w:rsid w:val="009E0EE9"/>
    <w:rsid w:val="009E0FF8"/>
    <w:rsid w:val="009E1344"/>
    <w:rsid w:val="009E1CB2"/>
    <w:rsid w:val="009E39B6"/>
    <w:rsid w:val="009E4C56"/>
    <w:rsid w:val="009E4FA9"/>
    <w:rsid w:val="009E527D"/>
    <w:rsid w:val="009E5B8B"/>
    <w:rsid w:val="009E7CB9"/>
    <w:rsid w:val="009F166E"/>
    <w:rsid w:val="009F1C75"/>
    <w:rsid w:val="009F26B9"/>
    <w:rsid w:val="009F5D01"/>
    <w:rsid w:val="009F6C12"/>
    <w:rsid w:val="00A01949"/>
    <w:rsid w:val="00A019C6"/>
    <w:rsid w:val="00A02908"/>
    <w:rsid w:val="00A045A7"/>
    <w:rsid w:val="00A05ECB"/>
    <w:rsid w:val="00A106CC"/>
    <w:rsid w:val="00A108CB"/>
    <w:rsid w:val="00A10B17"/>
    <w:rsid w:val="00A114F2"/>
    <w:rsid w:val="00A12B93"/>
    <w:rsid w:val="00A14953"/>
    <w:rsid w:val="00A149B2"/>
    <w:rsid w:val="00A14E8C"/>
    <w:rsid w:val="00A17A25"/>
    <w:rsid w:val="00A20E85"/>
    <w:rsid w:val="00A20F61"/>
    <w:rsid w:val="00A21680"/>
    <w:rsid w:val="00A2330E"/>
    <w:rsid w:val="00A27807"/>
    <w:rsid w:val="00A31632"/>
    <w:rsid w:val="00A31741"/>
    <w:rsid w:val="00A31D4B"/>
    <w:rsid w:val="00A3206F"/>
    <w:rsid w:val="00A37704"/>
    <w:rsid w:val="00A412BC"/>
    <w:rsid w:val="00A4173B"/>
    <w:rsid w:val="00A41FAE"/>
    <w:rsid w:val="00A44F89"/>
    <w:rsid w:val="00A4582C"/>
    <w:rsid w:val="00A470D3"/>
    <w:rsid w:val="00A50B60"/>
    <w:rsid w:val="00A51217"/>
    <w:rsid w:val="00A61DE8"/>
    <w:rsid w:val="00A62F5B"/>
    <w:rsid w:val="00A637EF"/>
    <w:rsid w:val="00A63D16"/>
    <w:rsid w:val="00A64AD8"/>
    <w:rsid w:val="00A65812"/>
    <w:rsid w:val="00A6603C"/>
    <w:rsid w:val="00A71981"/>
    <w:rsid w:val="00A772B8"/>
    <w:rsid w:val="00A772E3"/>
    <w:rsid w:val="00A77468"/>
    <w:rsid w:val="00A82FEE"/>
    <w:rsid w:val="00A831EA"/>
    <w:rsid w:val="00A86A63"/>
    <w:rsid w:val="00A87D69"/>
    <w:rsid w:val="00A90550"/>
    <w:rsid w:val="00A92043"/>
    <w:rsid w:val="00A93B24"/>
    <w:rsid w:val="00A96933"/>
    <w:rsid w:val="00A96E11"/>
    <w:rsid w:val="00A972E7"/>
    <w:rsid w:val="00AA00FD"/>
    <w:rsid w:val="00AA0E30"/>
    <w:rsid w:val="00AA1DD9"/>
    <w:rsid w:val="00AA2FC4"/>
    <w:rsid w:val="00AA3B72"/>
    <w:rsid w:val="00AA68BD"/>
    <w:rsid w:val="00AA7F1C"/>
    <w:rsid w:val="00AB3243"/>
    <w:rsid w:val="00AB652B"/>
    <w:rsid w:val="00AC0E92"/>
    <w:rsid w:val="00AC3891"/>
    <w:rsid w:val="00AC4A8C"/>
    <w:rsid w:val="00AD04E1"/>
    <w:rsid w:val="00AD0697"/>
    <w:rsid w:val="00AD1A8B"/>
    <w:rsid w:val="00AD4B83"/>
    <w:rsid w:val="00AD69A2"/>
    <w:rsid w:val="00AD7D8B"/>
    <w:rsid w:val="00AD7F43"/>
    <w:rsid w:val="00AE08EC"/>
    <w:rsid w:val="00AE0D3A"/>
    <w:rsid w:val="00AE1922"/>
    <w:rsid w:val="00AE643B"/>
    <w:rsid w:val="00AF0C36"/>
    <w:rsid w:val="00AF158E"/>
    <w:rsid w:val="00AF37EA"/>
    <w:rsid w:val="00AF4A63"/>
    <w:rsid w:val="00AF4BCF"/>
    <w:rsid w:val="00AF629D"/>
    <w:rsid w:val="00AF658C"/>
    <w:rsid w:val="00B01C2A"/>
    <w:rsid w:val="00B03CD2"/>
    <w:rsid w:val="00B04FEC"/>
    <w:rsid w:val="00B069BD"/>
    <w:rsid w:val="00B06A5A"/>
    <w:rsid w:val="00B13295"/>
    <w:rsid w:val="00B1344A"/>
    <w:rsid w:val="00B14749"/>
    <w:rsid w:val="00B16885"/>
    <w:rsid w:val="00B20621"/>
    <w:rsid w:val="00B21673"/>
    <w:rsid w:val="00B262C7"/>
    <w:rsid w:val="00B36C80"/>
    <w:rsid w:val="00B36EBC"/>
    <w:rsid w:val="00B36ED2"/>
    <w:rsid w:val="00B40468"/>
    <w:rsid w:val="00B42BE5"/>
    <w:rsid w:val="00B42E0E"/>
    <w:rsid w:val="00B4397B"/>
    <w:rsid w:val="00B45F9B"/>
    <w:rsid w:val="00B46BBF"/>
    <w:rsid w:val="00B46D1A"/>
    <w:rsid w:val="00B47C14"/>
    <w:rsid w:val="00B50755"/>
    <w:rsid w:val="00B50D2B"/>
    <w:rsid w:val="00B518A2"/>
    <w:rsid w:val="00B534DC"/>
    <w:rsid w:val="00B53DA8"/>
    <w:rsid w:val="00B54164"/>
    <w:rsid w:val="00B56AFE"/>
    <w:rsid w:val="00B66753"/>
    <w:rsid w:val="00B768D6"/>
    <w:rsid w:val="00B76E7D"/>
    <w:rsid w:val="00B7702F"/>
    <w:rsid w:val="00B7741C"/>
    <w:rsid w:val="00B833AE"/>
    <w:rsid w:val="00B845A8"/>
    <w:rsid w:val="00B84EA3"/>
    <w:rsid w:val="00B86F96"/>
    <w:rsid w:val="00B87FD9"/>
    <w:rsid w:val="00B87FF8"/>
    <w:rsid w:val="00B900C8"/>
    <w:rsid w:val="00B90386"/>
    <w:rsid w:val="00B91AE7"/>
    <w:rsid w:val="00B91DED"/>
    <w:rsid w:val="00B91F1C"/>
    <w:rsid w:val="00B9208A"/>
    <w:rsid w:val="00B92656"/>
    <w:rsid w:val="00B934D8"/>
    <w:rsid w:val="00B97FF6"/>
    <w:rsid w:val="00BA00F7"/>
    <w:rsid w:val="00BA1539"/>
    <w:rsid w:val="00BA1747"/>
    <w:rsid w:val="00BA431E"/>
    <w:rsid w:val="00BA4B3D"/>
    <w:rsid w:val="00BA60A2"/>
    <w:rsid w:val="00BA6C0F"/>
    <w:rsid w:val="00BB0BE9"/>
    <w:rsid w:val="00BB3B8D"/>
    <w:rsid w:val="00BB3BEC"/>
    <w:rsid w:val="00BB7500"/>
    <w:rsid w:val="00BC079B"/>
    <w:rsid w:val="00BC1AB5"/>
    <w:rsid w:val="00BC367F"/>
    <w:rsid w:val="00BC41D9"/>
    <w:rsid w:val="00BC4491"/>
    <w:rsid w:val="00BC4A34"/>
    <w:rsid w:val="00BC7F2A"/>
    <w:rsid w:val="00BD35BC"/>
    <w:rsid w:val="00BE017B"/>
    <w:rsid w:val="00BE156E"/>
    <w:rsid w:val="00BE33F2"/>
    <w:rsid w:val="00BE6403"/>
    <w:rsid w:val="00BF0F24"/>
    <w:rsid w:val="00BF47A6"/>
    <w:rsid w:val="00BF772F"/>
    <w:rsid w:val="00C00152"/>
    <w:rsid w:val="00C01097"/>
    <w:rsid w:val="00C02A13"/>
    <w:rsid w:val="00C031C0"/>
    <w:rsid w:val="00C04FAA"/>
    <w:rsid w:val="00C056EA"/>
    <w:rsid w:val="00C059E6"/>
    <w:rsid w:val="00C10626"/>
    <w:rsid w:val="00C10B26"/>
    <w:rsid w:val="00C1629F"/>
    <w:rsid w:val="00C170CD"/>
    <w:rsid w:val="00C1756C"/>
    <w:rsid w:val="00C20CA0"/>
    <w:rsid w:val="00C21559"/>
    <w:rsid w:val="00C22BC8"/>
    <w:rsid w:val="00C25D86"/>
    <w:rsid w:val="00C26ABC"/>
    <w:rsid w:val="00C27DEB"/>
    <w:rsid w:val="00C307B3"/>
    <w:rsid w:val="00C334AB"/>
    <w:rsid w:val="00C346FA"/>
    <w:rsid w:val="00C3534A"/>
    <w:rsid w:val="00C36723"/>
    <w:rsid w:val="00C374AE"/>
    <w:rsid w:val="00C40429"/>
    <w:rsid w:val="00C4132B"/>
    <w:rsid w:val="00C418F8"/>
    <w:rsid w:val="00C43E70"/>
    <w:rsid w:val="00C43ED4"/>
    <w:rsid w:val="00C53A48"/>
    <w:rsid w:val="00C55AA7"/>
    <w:rsid w:val="00C61BE7"/>
    <w:rsid w:val="00C6312D"/>
    <w:rsid w:val="00C652E7"/>
    <w:rsid w:val="00C73070"/>
    <w:rsid w:val="00C74740"/>
    <w:rsid w:val="00C748F5"/>
    <w:rsid w:val="00C7552A"/>
    <w:rsid w:val="00C75727"/>
    <w:rsid w:val="00C76936"/>
    <w:rsid w:val="00C800C4"/>
    <w:rsid w:val="00C80C85"/>
    <w:rsid w:val="00C823CA"/>
    <w:rsid w:val="00C82E95"/>
    <w:rsid w:val="00C83DBB"/>
    <w:rsid w:val="00C87275"/>
    <w:rsid w:val="00C9123C"/>
    <w:rsid w:val="00C9123E"/>
    <w:rsid w:val="00C956AF"/>
    <w:rsid w:val="00C96F80"/>
    <w:rsid w:val="00CA032F"/>
    <w:rsid w:val="00CA24CA"/>
    <w:rsid w:val="00CA2F22"/>
    <w:rsid w:val="00CA3567"/>
    <w:rsid w:val="00CB1784"/>
    <w:rsid w:val="00CB4B7B"/>
    <w:rsid w:val="00CB4B96"/>
    <w:rsid w:val="00CB4EB0"/>
    <w:rsid w:val="00CB61F2"/>
    <w:rsid w:val="00CB7599"/>
    <w:rsid w:val="00CC02B5"/>
    <w:rsid w:val="00CC0E11"/>
    <w:rsid w:val="00CC19C5"/>
    <w:rsid w:val="00CC640A"/>
    <w:rsid w:val="00CD5EFC"/>
    <w:rsid w:val="00CD7768"/>
    <w:rsid w:val="00CD792A"/>
    <w:rsid w:val="00CE03FD"/>
    <w:rsid w:val="00CE0BCB"/>
    <w:rsid w:val="00CE3E0A"/>
    <w:rsid w:val="00CE7CAD"/>
    <w:rsid w:val="00CF052E"/>
    <w:rsid w:val="00CF1175"/>
    <w:rsid w:val="00CF2BE4"/>
    <w:rsid w:val="00CF3A62"/>
    <w:rsid w:val="00CF404C"/>
    <w:rsid w:val="00CF4B41"/>
    <w:rsid w:val="00CF59F9"/>
    <w:rsid w:val="00CF730B"/>
    <w:rsid w:val="00CF7A79"/>
    <w:rsid w:val="00CF7FAF"/>
    <w:rsid w:val="00D011D7"/>
    <w:rsid w:val="00D03C60"/>
    <w:rsid w:val="00D043F8"/>
    <w:rsid w:val="00D07683"/>
    <w:rsid w:val="00D07F67"/>
    <w:rsid w:val="00D11706"/>
    <w:rsid w:val="00D120D7"/>
    <w:rsid w:val="00D134D3"/>
    <w:rsid w:val="00D173CF"/>
    <w:rsid w:val="00D22E05"/>
    <w:rsid w:val="00D24367"/>
    <w:rsid w:val="00D24D20"/>
    <w:rsid w:val="00D262EA"/>
    <w:rsid w:val="00D26D2A"/>
    <w:rsid w:val="00D301D2"/>
    <w:rsid w:val="00D325B3"/>
    <w:rsid w:val="00D376CD"/>
    <w:rsid w:val="00D40588"/>
    <w:rsid w:val="00D421DE"/>
    <w:rsid w:val="00D43E58"/>
    <w:rsid w:val="00D44E6C"/>
    <w:rsid w:val="00D45FAF"/>
    <w:rsid w:val="00D46B3F"/>
    <w:rsid w:val="00D46C63"/>
    <w:rsid w:val="00D47CC2"/>
    <w:rsid w:val="00D52A5E"/>
    <w:rsid w:val="00D539C3"/>
    <w:rsid w:val="00D5475B"/>
    <w:rsid w:val="00D55473"/>
    <w:rsid w:val="00D56B24"/>
    <w:rsid w:val="00D61D7A"/>
    <w:rsid w:val="00D65F6A"/>
    <w:rsid w:val="00D66D38"/>
    <w:rsid w:val="00D7004D"/>
    <w:rsid w:val="00D73943"/>
    <w:rsid w:val="00D74E3B"/>
    <w:rsid w:val="00D81472"/>
    <w:rsid w:val="00D81F65"/>
    <w:rsid w:val="00D864E0"/>
    <w:rsid w:val="00D91C96"/>
    <w:rsid w:val="00D9505C"/>
    <w:rsid w:val="00D958E9"/>
    <w:rsid w:val="00D96BAC"/>
    <w:rsid w:val="00D96DB5"/>
    <w:rsid w:val="00DA02F6"/>
    <w:rsid w:val="00DA09CD"/>
    <w:rsid w:val="00DA1D0A"/>
    <w:rsid w:val="00DA606E"/>
    <w:rsid w:val="00DA679A"/>
    <w:rsid w:val="00DB1050"/>
    <w:rsid w:val="00DB2E0B"/>
    <w:rsid w:val="00DB2E23"/>
    <w:rsid w:val="00DB3533"/>
    <w:rsid w:val="00DB3B0F"/>
    <w:rsid w:val="00DB4227"/>
    <w:rsid w:val="00DB57F7"/>
    <w:rsid w:val="00DB5CB4"/>
    <w:rsid w:val="00DB729A"/>
    <w:rsid w:val="00DC537D"/>
    <w:rsid w:val="00DC72BF"/>
    <w:rsid w:val="00DC7419"/>
    <w:rsid w:val="00DD1A20"/>
    <w:rsid w:val="00DD2AAB"/>
    <w:rsid w:val="00DD58D1"/>
    <w:rsid w:val="00DD5922"/>
    <w:rsid w:val="00DE16C8"/>
    <w:rsid w:val="00DE4088"/>
    <w:rsid w:val="00DE4BEF"/>
    <w:rsid w:val="00DE5A9E"/>
    <w:rsid w:val="00DF6EC3"/>
    <w:rsid w:val="00E01792"/>
    <w:rsid w:val="00E01834"/>
    <w:rsid w:val="00E03169"/>
    <w:rsid w:val="00E07350"/>
    <w:rsid w:val="00E1107D"/>
    <w:rsid w:val="00E12A3A"/>
    <w:rsid w:val="00E13DCA"/>
    <w:rsid w:val="00E1588C"/>
    <w:rsid w:val="00E16C8A"/>
    <w:rsid w:val="00E17903"/>
    <w:rsid w:val="00E213FB"/>
    <w:rsid w:val="00E219F8"/>
    <w:rsid w:val="00E21C77"/>
    <w:rsid w:val="00E22076"/>
    <w:rsid w:val="00E230F3"/>
    <w:rsid w:val="00E23177"/>
    <w:rsid w:val="00E24DED"/>
    <w:rsid w:val="00E302B6"/>
    <w:rsid w:val="00E32455"/>
    <w:rsid w:val="00E33126"/>
    <w:rsid w:val="00E33333"/>
    <w:rsid w:val="00E363E6"/>
    <w:rsid w:val="00E37607"/>
    <w:rsid w:val="00E41506"/>
    <w:rsid w:val="00E44CAB"/>
    <w:rsid w:val="00E451B4"/>
    <w:rsid w:val="00E45C09"/>
    <w:rsid w:val="00E50033"/>
    <w:rsid w:val="00E50041"/>
    <w:rsid w:val="00E51D47"/>
    <w:rsid w:val="00E54262"/>
    <w:rsid w:val="00E5523A"/>
    <w:rsid w:val="00E56CE3"/>
    <w:rsid w:val="00E56E5C"/>
    <w:rsid w:val="00E57275"/>
    <w:rsid w:val="00E57C82"/>
    <w:rsid w:val="00E61C5E"/>
    <w:rsid w:val="00E63056"/>
    <w:rsid w:val="00E64EA8"/>
    <w:rsid w:val="00E66FA2"/>
    <w:rsid w:val="00E679E9"/>
    <w:rsid w:val="00E7029E"/>
    <w:rsid w:val="00E71CDE"/>
    <w:rsid w:val="00E72C2F"/>
    <w:rsid w:val="00E74986"/>
    <w:rsid w:val="00E76CE0"/>
    <w:rsid w:val="00E8004A"/>
    <w:rsid w:val="00E813FA"/>
    <w:rsid w:val="00E83E69"/>
    <w:rsid w:val="00E84C6D"/>
    <w:rsid w:val="00E857EC"/>
    <w:rsid w:val="00E85A86"/>
    <w:rsid w:val="00E874EF"/>
    <w:rsid w:val="00E87542"/>
    <w:rsid w:val="00E87922"/>
    <w:rsid w:val="00E9004F"/>
    <w:rsid w:val="00E910F0"/>
    <w:rsid w:val="00E9264A"/>
    <w:rsid w:val="00E94350"/>
    <w:rsid w:val="00E948B5"/>
    <w:rsid w:val="00E950C2"/>
    <w:rsid w:val="00EA07D2"/>
    <w:rsid w:val="00EA1527"/>
    <w:rsid w:val="00EA2446"/>
    <w:rsid w:val="00EA31BA"/>
    <w:rsid w:val="00EA31E8"/>
    <w:rsid w:val="00EA339F"/>
    <w:rsid w:val="00EA501B"/>
    <w:rsid w:val="00EA66AA"/>
    <w:rsid w:val="00EA7501"/>
    <w:rsid w:val="00EB3315"/>
    <w:rsid w:val="00EB3E46"/>
    <w:rsid w:val="00EB56F2"/>
    <w:rsid w:val="00EB6D15"/>
    <w:rsid w:val="00EB741C"/>
    <w:rsid w:val="00EB7AB9"/>
    <w:rsid w:val="00EB7DF5"/>
    <w:rsid w:val="00EB7FBF"/>
    <w:rsid w:val="00EC1625"/>
    <w:rsid w:val="00EC20A6"/>
    <w:rsid w:val="00EC6658"/>
    <w:rsid w:val="00ED29A3"/>
    <w:rsid w:val="00ED3952"/>
    <w:rsid w:val="00ED498C"/>
    <w:rsid w:val="00ED4F67"/>
    <w:rsid w:val="00ED5743"/>
    <w:rsid w:val="00ED6FDD"/>
    <w:rsid w:val="00ED7701"/>
    <w:rsid w:val="00EE0FB1"/>
    <w:rsid w:val="00EE1BB0"/>
    <w:rsid w:val="00EE21D8"/>
    <w:rsid w:val="00EE28D8"/>
    <w:rsid w:val="00EE59CD"/>
    <w:rsid w:val="00EE5E9D"/>
    <w:rsid w:val="00EE61F6"/>
    <w:rsid w:val="00EF21BD"/>
    <w:rsid w:val="00EF2BBE"/>
    <w:rsid w:val="00EF4346"/>
    <w:rsid w:val="00EF4D8C"/>
    <w:rsid w:val="00EF601F"/>
    <w:rsid w:val="00EF62A4"/>
    <w:rsid w:val="00EF6772"/>
    <w:rsid w:val="00EF68DF"/>
    <w:rsid w:val="00EF69DE"/>
    <w:rsid w:val="00EF701F"/>
    <w:rsid w:val="00F01054"/>
    <w:rsid w:val="00F01DA3"/>
    <w:rsid w:val="00F026BD"/>
    <w:rsid w:val="00F03C2F"/>
    <w:rsid w:val="00F05278"/>
    <w:rsid w:val="00F068AE"/>
    <w:rsid w:val="00F06D29"/>
    <w:rsid w:val="00F0709E"/>
    <w:rsid w:val="00F074F4"/>
    <w:rsid w:val="00F11954"/>
    <w:rsid w:val="00F1439D"/>
    <w:rsid w:val="00F1582E"/>
    <w:rsid w:val="00F16B21"/>
    <w:rsid w:val="00F17187"/>
    <w:rsid w:val="00F210C9"/>
    <w:rsid w:val="00F25232"/>
    <w:rsid w:val="00F2561F"/>
    <w:rsid w:val="00F26041"/>
    <w:rsid w:val="00F2636F"/>
    <w:rsid w:val="00F30C6D"/>
    <w:rsid w:val="00F31D7C"/>
    <w:rsid w:val="00F34074"/>
    <w:rsid w:val="00F37807"/>
    <w:rsid w:val="00F40CE1"/>
    <w:rsid w:val="00F41752"/>
    <w:rsid w:val="00F419B2"/>
    <w:rsid w:val="00F4291F"/>
    <w:rsid w:val="00F43588"/>
    <w:rsid w:val="00F46BA2"/>
    <w:rsid w:val="00F46DBF"/>
    <w:rsid w:val="00F506EF"/>
    <w:rsid w:val="00F5245A"/>
    <w:rsid w:val="00F53B45"/>
    <w:rsid w:val="00F55616"/>
    <w:rsid w:val="00F5687D"/>
    <w:rsid w:val="00F602E6"/>
    <w:rsid w:val="00F60600"/>
    <w:rsid w:val="00F62D1E"/>
    <w:rsid w:val="00F64C99"/>
    <w:rsid w:val="00F64F96"/>
    <w:rsid w:val="00F650C2"/>
    <w:rsid w:val="00F655E8"/>
    <w:rsid w:val="00F655EA"/>
    <w:rsid w:val="00F660C6"/>
    <w:rsid w:val="00F66EDC"/>
    <w:rsid w:val="00F672C3"/>
    <w:rsid w:val="00F67F78"/>
    <w:rsid w:val="00F70291"/>
    <w:rsid w:val="00F72EC5"/>
    <w:rsid w:val="00F7343C"/>
    <w:rsid w:val="00F74836"/>
    <w:rsid w:val="00F74DBC"/>
    <w:rsid w:val="00F83DC8"/>
    <w:rsid w:val="00F90C5C"/>
    <w:rsid w:val="00F92A85"/>
    <w:rsid w:val="00F92D1A"/>
    <w:rsid w:val="00F92D34"/>
    <w:rsid w:val="00F93D9C"/>
    <w:rsid w:val="00F9738C"/>
    <w:rsid w:val="00FA05C4"/>
    <w:rsid w:val="00FA1227"/>
    <w:rsid w:val="00FA3AEF"/>
    <w:rsid w:val="00FA5195"/>
    <w:rsid w:val="00FB1E61"/>
    <w:rsid w:val="00FB223A"/>
    <w:rsid w:val="00FB25AA"/>
    <w:rsid w:val="00FB2D5A"/>
    <w:rsid w:val="00FB3683"/>
    <w:rsid w:val="00FB50CB"/>
    <w:rsid w:val="00FB77D2"/>
    <w:rsid w:val="00FC1DE1"/>
    <w:rsid w:val="00FC2DD1"/>
    <w:rsid w:val="00FC33B2"/>
    <w:rsid w:val="00FC4E38"/>
    <w:rsid w:val="00FC784F"/>
    <w:rsid w:val="00FD35AA"/>
    <w:rsid w:val="00FD3CD9"/>
    <w:rsid w:val="00FD4FF8"/>
    <w:rsid w:val="00FD6A8C"/>
    <w:rsid w:val="00FD7493"/>
    <w:rsid w:val="00FD793D"/>
    <w:rsid w:val="00FE075B"/>
    <w:rsid w:val="00FE4D58"/>
    <w:rsid w:val="00FE51E9"/>
    <w:rsid w:val="00FE5A02"/>
    <w:rsid w:val="00FE63A1"/>
    <w:rsid w:val="00FE6AE9"/>
    <w:rsid w:val="00FE6E79"/>
    <w:rsid w:val="00FE6EF2"/>
    <w:rsid w:val="00FF055B"/>
    <w:rsid w:val="00FF0A3E"/>
    <w:rsid w:val="00FF2A39"/>
    <w:rsid w:val="00FF58F7"/>
    <w:rsid w:val="00FF6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8A23F"/>
  <w15:chartTrackingRefBased/>
  <w15:docId w15:val="{66B76465-0096-47EE-9E7C-9737D6393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2A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96BA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2A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AD4"/>
  </w:style>
  <w:style w:type="paragraph" w:styleId="Footer">
    <w:name w:val="footer"/>
    <w:basedOn w:val="Normal"/>
    <w:link w:val="FooterChar"/>
    <w:uiPriority w:val="99"/>
    <w:unhideWhenUsed/>
    <w:rsid w:val="00262A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AD4"/>
  </w:style>
  <w:style w:type="table" w:styleId="TableGrid">
    <w:name w:val="Table Grid"/>
    <w:basedOn w:val="TableNormal"/>
    <w:uiPriority w:val="39"/>
    <w:rsid w:val="00262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62AD4"/>
    <w:rPr>
      <w:rFonts w:asciiTheme="majorHAnsi" w:eastAsiaTheme="majorEastAsia" w:hAnsiTheme="majorHAnsi" w:cstheme="majorBidi"/>
      <w:color w:val="2F5496" w:themeColor="accent1" w:themeShade="BF"/>
      <w:sz w:val="32"/>
      <w:szCs w:val="32"/>
    </w:rPr>
  </w:style>
  <w:style w:type="paragraph" w:styleId="ListParagraph">
    <w:name w:val="List Paragraph"/>
    <w:aliases w:val="Paragraphe EI,Paragraphe de liste1,EC,Paragraphe de liste"/>
    <w:basedOn w:val="Normal"/>
    <w:link w:val="ListParagraphChar"/>
    <w:uiPriority w:val="34"/>
    <w:qFormat/>
    <w:rsid w:val="000B0DC2"/>
    <w:pPr>
      <w:ind w:left="720"/>
      <w:contextualSpacing/>
    </w:pPr>
  </w:style>
  <w:style w:type="paragraph" w:customStyle="1" w:styleId="Default">
    <w:name w:val="Default"/>
    <w:rsid w:val="004C2548"/>
    <w:pPr>
      <w:autoSpaceDE w:val="0"/>
      <w:autoSpaceDN w:val="0"/>
      <w:adjustRightInd w:val="0"/>
      <w:spacing w:after="0" w:line="240" w:lineRule="auto"/>
    </w:pPr>
    <w:rPr>
      <w:rFonts w:ascii="Calibri" w:hAnsi="Calibri" w:cs="Calibri"/>
      <w:color w:val="000000"/>
      <w:kern w:val="0"/>
      <w:sz w:val="24"/>
      <w:szCs w:val="24"/>
      <w:lang w:val="en-GB"/>
      <w14:ligatures w14:val="none"/>
    </w:rPr>
  </w:style>
  <w:style w:type="character" w:customStyle="1" w:styleId="Heading2Char">
    <w:name w:val="Heading 2 Char"/>
    <w:basedOn w:val="DefaultParagraphFont"/>
    <w:link w:val="Heading2"/>
    <w:uiPriority w:val="9"/>
    <w:rsid w:val="00D96BAC"/>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907484"/>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907484"/>
    <w:rPr>
      <w:kern w:val="0"/>
      <w:sz w:val="20"/>
      <w:szCs w:val="20"/>
      <w14:ligatures w14:val="none"/>
    </w:rPr>
  </w:style>
  <w:style w:type="character" w:styleId="FootnoteReference">
    <w:name w:val="footnote reference"/>
    <w:basedOn w:val="DefaultParagraphFont"/>
    <w:uiPriority w:val="99"/>
    <w:semiHidden/>
    <w:unhideWhenUsed/>
    <w:rsid w:val="00907484"/>
    <w:rPr>
      <w:vertAlign w:val="superscript"/>
    </w:rPr>
  </w:style>
  <w:style w:type="character" w:customStyle="1" w:styleId="apple-converted-space">
    <w:name w:val="apple-converted-space"/>
    <w:basedOn w:val="DefaultParagraphFont"/>
    <w:rsid w:val="003E3C0B"/>
  </w:style>
  <w:style w:type="paragraph" w:customStyle="1" w:styleId="xmsonormal">
    <w:name w:val="x_msonormal"/>
    <w:basedOn w:val="Normal"/>
    <w:rsid w:val="00DB729A"/>
    <w:pPr>
      <w:spacing w:after="0" w:line="240" w:lineRule="auto"/>
    </w:pPr>
    <w:rPr>
      <w:rFonts w:ascii="Calibri" w:hAnsi="Calibri" w:cs="Calibri"/>
      <w:kern w:val="0"/>
      <w:lang w:val="en-GB" w:eastAsia="en-GB"/>
      <w14:ligatures w14:val="none"/>
    </w:rPr>
  </w:style>
  <w:style w:type="character" w:styleId="Hyperlink">
    <w:name w:val="Hyperlink"/>
    <w:basedOn w:val="DefaultParagraphFont"/>
    <w:uiPriority w:val="99"/>
    <w:unhideWhenUsed/>
    <w:rsid w:val="000538C4"/>
    <w:rPr>
      <w:color w:val="0563C1" w:themeColor="hyperlink"/>
      <w:u w:val="single"/>
    </w:rPr>
  </w:style>
  <w:style w:type="paragraph" w:customStyle="1" w:styleId="xmsolistparagraph">
    <w:name w:val="x_msolistparagraph"/>
    <w:basedOn w:val="Normal"/>
    <w:rsid w:val="00A61DE8"/>
    <w:pPr>
      <w:spacing w:after="0" w:line="240" w:lineRule="auto"/>
      <w:ind w:left="720"/>
    </w:pPr>
    <w:rPr>
      <w:rFonts w:ascii="Calibri" w:hAnsi="Calibri" w:cs="Calibri"/>
      <w:kern w:val="0"/>
      <w:lang w:val="en-GB" w:eastAsia="en-GB"/>
      <w14:ligatures w14:val="none"/>
    </w:rPr>
  </w:style>
  <w:style w:type="paragraph" w:customStyle="1" w:styleId="xxmsonormal">
    <w:name w:val="x_xmsonormal"/>
    <w:basedOn w:val="Normal"/>
    <w:rsid w:val="00A61DE8"/>
    <w:pPr>
      <w:spacing w:after="0" w:line="240" w:lineRule="auto"/>
    </w:pPr>
    <w:rPr>
      <w:rFonts w:ascii="Calibri" w:hAnsi="Calibri" w:cs="Calibri"/>
      <w:kern w:val="0"/>
      <w:lang w:val="en-GB" w:eastAsia="en-GB"/>
      <w14:ligatures w14:val="none"/>
    </w:rPr>
  </w:style>
  <w:style w:type="character" w:customStyle="1" w:styleId="xxapple-converted-space">
    <w:name w:val="x_xapple-converted-space"/>
    <w:basedOn w:val="DefaultParagraphFont"/>
    <w:rsid w:val="00A61DE8"/>
  </w:style>
  <w:style w:type="paragraph" w:styleId="Revision">
    <w:name w:val="Revision"/>
    <w:hidden/>
    <w:uiPriority w:val="99"/>
    <w:semiHidden/>
    <w:rsid w:val="00C4132B"/>
    <w:pPr>
      <w:spacing w:after="0" w:line="240" w:lineRule="auto"/>
    </w:pPr>
  </w:style>
  <w:style w:type="paragraph" w:customStyle="1" w:styleId="ti-art">
    <w:name w:val="ti-art"/>
    <w:basedOn w:val="Normal"/>
    <w:rsid w:val="00F17187"/>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customStyle="1" w:styleId="sti-art">
    <w:name w:val="sti-art"/>
    <w:basedOn w:val="Normal"/>
    <w:rsid w:val="00F17187"/>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customStyle="1" w:styleId="Normal1">
    <w:name w:val="Normal1"/>
    <w:basedOn w:val="Normal"/>
    <w:rsid w:val="00F17187"/>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ListParagraphChar">
    <w:name w:val="List Paragraph Char"/>
    <w:aliases w:val="Paragraphe EI Char,Paragraphe de liste1 Char,EC Char,Paragraphe de liste Char"/>
    <w:basedOn w:val="DefaultParagraphFont"/>
    <w:link w:val="ListParagraph"/>
    <w:uiPriority w:val="34"/>
    <w:locked/>
    <w:rsid w:val="00AD1A8B"/>
  </w:style>
  <w:style w:type="character" w:styleId="UnresolvedMention">
    <w:name w:val="Unresolved Mention"/>
    <w:basedOn w:val="DefaultParagraphFont"/>
    <w:uiPriority w:val="99"/>
    <w:semiHidden/>
    <w:unhideWhenUsed/>
    <w:rsid w:val="004954E2"/>
    <w:rPr>
      <w:color w:val="605E5C"/>
      <w:shd w:val="clear" w:color="auto" w:fill="E1DFDD"/>
    </w:rPr>
  </w:style>
  <w:style w:type="character" w:styleId="FollowedHyperlink">
    <w:name w:val="FollowedHyperlink"/>
    <w:basedOn w:val="DefaultParagraphFont"/>
    <w:uiPriority w:val="99"/>
    <w:semiHidden/>
    <w:unhideWhenUsed/>
    <w:rsid w:val="00D74E3B"/>
    <w:rPr>
      <w:color w:val="954F72" w:themeColor="followedHyperlink"/>
      <w:u w:val="single"/>
    </w:rPr>
  </w:style>
  <w:style w:type="character" w:styleId="CommentReference">
    <w:name w:val="annotation reference"/>
    <w:basedOn w:val="DefaultParagraphFont"/>
    <w:uiPriority w:val="99"/>
    <w:semiHidden/>
    <w:unhideWhenUsed/>
    <w:rsid w:val="00E44CAB"/>
    <w:rPr>
      <w:sz w:val="16"/>
      <w:szCs w:val="16"/>
    </w:rPr>
  </w:style>
  <w:style w:type="paragraph" w:styleId="CommentText">
    <w:name w:val="annotation text"/>
    <w:basedOn w:val="Normal"/>
    <w:link w:val="CommentTextChar"/>
    <w:uiPriority w:val="99"/>
    <w:unhideWhenUsed/>
    <w:rsid w:val="00E44CAB"/>
    <w:pPr>
      <w:spacing w:line="240" w:lineRule="auto"/>
    </w:pPr>
    <w:rPr>
      <w:sz w:val="20"/>
      <w:szCs w:val="20"/>
    </w:rPr>
  </w:style>
  <w:style w:type="character" w:customStyle="1" w:styleId="CommentTextChar">
    <w:name w:val="Comment Text Char"/>
    <w:basedOn w:val="DefaultParagraphFont"/>
    <w:link w:val="CommentText"/>
    <w:uiPriority w:val="99"/>
    <w:rsid w:val="00E44CAB"/>
    <w:rPr>
      <w:sz w:val="20"/>
      <w:szCs w:val="20"/>
    </w:rPr>
  </w:style>
  <w:style w:type="paragraph" w:styleId="CommentSubject">
    <w:name w:val="annotation subject"/>
    <w:basedOn w:val="CommentText"/>
    <w:next w:val="CommentText"/>
    <w:link w:val="CommentSubjectChar"/>
    <w:uiPriority w:val="99"/>
    <w:semiHidden/>
    <w:unhideWhenUsed/>
    <w:rsid w:val="00E44CAB"/>
    <w:rPr>
      <w:b/>
      <w:bCs/>
    </w:rPr>
  </w:style>
  <w:style w:type="character" w:customStyle="1" w:styleId="CommentSubjectChar">
    <w:name w:val="Comment Subject Char"/>
    <w:basedOn w:val="CommentTextChar"/>
    <w:link w:val="CommentSubject"/>
    <w:uiPriority w:val="99"/>
    <w:semiHidden/>
    <w:rsid w:val="00E44C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89059">
      <w:bodyDiv w:val="1"/>
      <w:marLeft w:val="0"/>
      <w:marRight w:val="0"/>
      <w:marTop w:val="0"/>
      <w:marBottom w:val="0"/>
      <w:divBdr>
        <w:top w:val="none" w:sz="0" w:space="0" w:color="auto"/>
        <w:left w:val="none" w:sz="0" w:space="0" w:color="auto"/>
        <w:bottom w:val="none" w:sz="0" w:space="0" w:color="auto"/>
        <w:right w:val="none" w:sz="0" w:space="0" w:color="auto"/>
      </w:divBdr>
    </w:div>
    <w:div w:id="27338509">
      <w:bodyDiv w:val="1"/>
      <w:marLeft w:val="0"/>
      <w:marRight w:val="0"/>
      <w:marTop w:val="0"/>
      <w:marBottom w:val="0"/>
      <w:divBdr>
        <w:top w:val="none" w:sz="0" w:space="0" w:color="auto"/>
        <w:left w:val="none" w:sz="0" w:space="0" w:color="auto"/>
        <w:bottom w:val="none" w:sz="0" w:space="0" w:color="auto"/>
        <w:right w:val="none" w:sz="0" w:space="0" w:color="auto"/>
      </w:divBdr>
    </w:div>
    <w:div w:id="132144810">
      <w:bodyDiv w:val="1"/>
      <w:marLeft w:val="0"/>
      <w:marRight w:val="0"/>
      <w:marTop w:val="0"/>
      <w:marBottom w:val="0"/>
      <w:divBdr>
        <w:top w:val="none" w:sz="0" w:space="0" w:color="auto"/>
        <w:left w:val="none" w:sz="0" w:space="0" w:color="auto"/>
        <w:bottom w:val="none" w:sz="0" w:space="0" w:color="auto"/>
        <w:right w:val="none" w:sz="0" w:space="0" w:color="auto"/>
      </w:divBdr>
    </w:div>
    <w:div w:id="137042841">
      <w:bodyDiv w:val="1"/>
      <w:marLeft w:val="0"/>
      <w:marRight w:val="0"/>
      <w:marTop w:val="0"/>
      <w:marBottom w:val="0"/>
      <w:divBdr>
        <w:top w:val="none" w:sz="0" w:space="0" w:color="auto"/>
        <w:left w:val="none" w:sz="0" w:space="0" w:color="auto"/>
        <w:bottom w:val="none" w:sz="0" w:space="0" w:color="auto"/>
        <w:right w:val="none" w:sz="0" w:space="0" w:color="auto"/>
      </w:divBdr>
    </w:div>
    <w:div w:id="293370426">
      <w:bodyDiv w:val="1"/>
      <w:marLeft w:val="0"/>
      <w:marRight w:val="0"/>
      <w:marTop w:val="0"/>
      <w:marBottom w:val="0"/>
      <w:divBdr>
        <w:top w:val="none" w:sz="0" w:space="0" w:color="auto"/>
        <w:left w:val="none" w:sz="0" w:space="0" w:color="auto"/>
        <w:bottom w:val="none" w:sz="0" w:space="0" w:color="auto"/>
        <w:right w:val="none" w:sz="0" w:space="0" w:color="auto"/>
      </w:divBdr>
    </w:div>
    <w:div w:id="315256973">
      <w:bodyDiv w:val="1"/>
      <w:marLeft w:val="0"/>
      <w:marRight w:val="0"/>
      <w:marTop w:val="0"/>
      <w:marBottom w:val="0"/>
      <w:divBdr>
        <w:top w:val="none" w:sz="0" w:space="0" w:color="auto"/>
        <w:left w:val="none" w:sz="0" w:space="0" w:color="auto"/>
        <w:bottom w:val="none" w:sz="0" w:space="0" w:color="auto"/>
        <w:right w:val="none" w:sz="0" w:space="0" w:color="auto"/>
      </w:divBdr>
    </w:div>
    <w:div w:id="554126344">
      <w:bodyDiv w:val="1"/>
      <w:marLeft w:val="0"/>
      <w:marRight w:val="0"/>
      <w:marTop w:val="0"/>
      <w:marBottom w:val="0"/>
      <w:divBdr>
        <w:top w:val="none" w:sz="0" w:space="0" w:color="auto"/>
        <w:left w:val="none" w:sz="0" w:space="0" w:color="auto"/>
        <w:bottom w:val="none" w:sz="0" w:space="0" w:color="auto"/>
        <w:right w:val="none" w:sz="0" w:space="0" w:color="auto"/>
      </w:divBdr>
    </w:div>
    <w:div w:id="831216781">
      <w:bodyDiv w:val="1"/>
      <w:marLeft w:val="0"/>
      <w:marRight w:val="0"/>
      <w:marTop w:val="0"/>
      <w:marBottom w:val="0"/>
      <w:divBdr>
        <w:top w:val="none" w:sz="0" w:space="0" w:color="auto"/>
        <w:left w:val="none" w:sz="0" w:space="0" w:color="auto"/>
        <w:bottom w:val="none" w:sz="0" w:space="0" w:color="auto"/>
        <w:right w:val="none" w:sz="0" w:space="0" w:color="auto"/>
      </w:divBdr>
    </w:div>
    <w:div w:id="925311203">
      <w:bodyDiv w:val="1"/>
      <w:marLeft w:val="0"/>
      <w:marRight w:val="0"/>
      <w:marTop w:val="0"/>
      <w:marBottom w:val="0"/>
      <w:divBdr>
        <w:top w:val="none" w:sz="0" w:space="0" w:color="auto"/>
        <w:left w:val="none" w:sz="0" w:space="0" w:color="auto"/>
        <w:bottom w:val="none" w:sz="0" w:space="0" w:color="auto"/>
        <w:right w:val="none" w:sz="0" w:space="0" w:color="auto"/>
      </w:divBdr>
    </w:div>
    <w:div w:id="1090276137">
      <w:bodyDiv w:val="1"/>
      <w:marLeft w:val="0"/>
      <w:marRight w:val="0"/>
      <w:marTop w:val="0"/>
      <w:marBottom w:val="0"/>
      <w:divBdr>
        <w:top w:val="none" w:sz="0" w:space="0" w:color="auto"/>
        <w:left w:val="none" w:sz="0" w:space="0" w:color="auto"/>
        <w:bottom w:val="none" w:sz="0" w:space="0" w:color="auto"/>
        <w:right w:val="none" w:sz="0" w:space="0" w:color="auto"/>
      </w:divBdr>
    </w:div>
    <w:div w:id="1109204051">
      <w:bodyDiv w:val="1"/>
      <w:marLeft w:val="0"/>
      <w:marRight w:val="0"/>
      <w:marTop w:val="0"/>
      <w:marBottom w:val="0"/>
      <w:divBdr>
        <w:top w:val="none" w:sz="0" w:space="0" w:color="auto"/>
        <w:left w:val="none" w:sz="0" w:space="0" w:color="auto"/>
        <w:bottom w:val="none" w:sz="0" w:space="0" w:color="auto"/>
        <w:right w:val="none" w:sz="0" w:space="0" w:color="auto"/>
      </w:divBdr>
    </w:div>
    <w:div w:id="1209761252">
      <w:bodyDiv w:val="1"/>
      <w:marLeft w:val="0"/>
      <w:marRight w:val="0"/>
      <w:marTop w:val="0"/>
      <w:marBottom w:val="0"/>
      <w:divBdr>
        <w:top w:val="none" w:sz="0" w:space="0" w:color="auto"/>
        <w:left w:val="none" w:sz="0" w:space="0" w:color="auto"/>
        <w:bottom w:val="none" w:sz="0" w:space="0" w:color="auto"/>
        <w:right w:val="none" w:sz="0" w:space="0" w:color="auto"/>
      </w:divBdr>
    </w:div>
    <w:div w:id="1257322918">
      <w:bodyDiv w:val="1"/>
      <w:marLeft w:val="0"/>
      <w:marRight w:val="0"/>
      <w:marTop w:val="0"/>
      <w:marBottom w:val="0"/>
      <w:divBdr>
        <w:top w:val="none" w:sz="0" w:space="0" w:color="auto"/>
        <w:left w:val="none" w:sz="0" w:space="0" w:color="auto"/>
        <w:bottom w:val="none" w:sz="0" w:space="0" w:color="auto"/>
        <w:right w:val="none" w:sz="0" w:space="0" w:color="auto"/>
      </w:divBdr>
    </w:div>
    <w:div w:id="1504393645">
      <w:bodyDiv w:val="1"/>
      <w:marLeft w:val="0"/>
      <w:marRight w:val="0"/>
      <w:marTop w:val="0"/>
      <w:marBottom w:val="0"/>
      <w:divBdr>
        <w:top w:val="none" w:sz="0" w:space="0" w:color="auto"/>
        <w:left w:val="none" w:sz="0" w:space="0" w:color="auto"/>
        <w:bottom w:val="none" w:sz="0" w:space="0" w:color="auto"/>
        <w:right w:val="none" w:sz="0" w:space="0" w:color="auto"/>
      </w:divBdr>
    </w:div>
    <w:div w:id="1504474400">
      <w:bodyDiv w:val="1"/>
      <w:marLeft w:val="0"/>
      <w:marRight w:val="0"/>
      <w:marTop w:val="0"/>
      <w:marBottom w:val="0"/>
      <w:divBdr>
        <w:top w:val="none" w:sz="0" w:space="0" w:color="auto"/>
        <w:left w:val="none" w:sz="0" w:space="0" w:color="auto"/>
        <w:bottom w:val="none" w:sz="0" w:space="0" w:color="auto"/>
        <w:right w:val="none" w:sz="0" w:space="0" w:color="auto"/>
      </w:divBdr>
    </w:div>
    <w:div w:id="1662737663">
      <w:bodyDiv w:val="1"/>
      <w:marLeft w:val="0"/>
      <w:marRight w:val="0"/>
      <w:marTop w:val="0"/>
      <w:marBottom w:val="0"/>
      <w:divBdr>
        <w:top w:val="none" w:sz="0" w:space="0" w:color="auto"/>
        <w:left w:val="none" w:sz="0" w:space="0" w:color="auto"/>
        <w:bottom w:val="none" w:sz="0" w:space="0" w:color="auto"/>
        <w:right w:val="none" w:sz="0" w:space="0" w:color="auto"/>
      </w:divBdr>
    </w:div>
    <w:div w:id="1790052601">
      <w:bodyDiv w:val="1"/>
      <w:marLeft w:val="0"/>
      <w:marRight w:val="0"/>
      <w:marTop w:val="0"/>
      <w:marBottom w:val="0"/>
      <w:divBdr>
        <w:top w:val="none" w:sz="0" w:space="0" w:color="auto"/>
        <w:left w:val="none" w:sz="0" w:space="0" w:color="auto"/>
        <w:bottom w:val="none" w:sz="0" w:space="0" w:color="auto"/>
        <w:right w:val="none" w:sz="0" w:space="0" w:color="auto"/>
      </w:divBdr>
    </w:div>
    <w:div w:id="197416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a.org/sites/default/files/2020-11/FIA%20EPTA_Insights%204_2020%29_Warrents_%20price%20analysis%20and%20recommendations_FINAL_0.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a.org/sites/default/files/2020-11/FIA%20EPTA_Insights%204_2020%29_Warrents_%20price%20analysis%20and%20recommendations_FINAL_0.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afm.nl/en/sector/actueel/2022/februari/kwaliteit-orderuitvoering-pfo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ma.europa.eu/sites/default/files/library/esma35-43-2749_esma_public_statement_pfof_and_zero-commission_broke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b28cc91-a3f8-438f-9a63-82fef7b65873" xsi:nil="true"/>
    <lcf76f155ced4ddcb4097134ff3c332f xmlns="cd8cd0e2-fecb-441a-a76e-fb96239463f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B5125868DD164F979D685E1741D1BD" ma:contentTypeVersion="18" ma:contentTypeDescription="Create a new document." ma:contentTypeScope="" ma:versionID="9b80d55ca277626ab79ebe84e41737d2">
  <xsd:schema xmlns:xsd="http://www.w3.org/2001/XMLSchema" xmlns:xs="http://www.w3.org/2001/XMLSchema" xmlns:p="http://schemas.microsoft.com/office/2006/metadata/properties" xmlns:ns2="cd8cd0e2-fecb-441a-a76e-fb96239463f3" xmlns:ns3="9b28cc91-a3f8-438f-9a63-82fef7b65873" targetNamespace="http://schemas.microsoft.com/office/2006/metadata/properties" ma:root="true" ma:fieldsID="dea17a4e78303bacc7ef2b416eafff1b" ns2:_="" ns3:_="">
    <xsd:import namespace="cd8cd0e2-fecb-441a-a76e-fb96239463f3"/>
    <xsd:import namespace="9b28cc91-a3f8-438f-9a63-82fef7b658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cd0e2-fecb-441a-a76e-fb96239463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317f6e-2cf7-4ca2-aff5-a4d7f2f902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8cc91-a3f8-438f-9a63-82fef7b6587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51e4ae2-3669-40bf-b021-01eda60f78ab}" ma:internalName="TaxCatchAll" ma:showField="CatchAllData" ma:web="9b28cc91-a3f8-438f-9a63-82fef7b658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32953-F2CE-4343-9C2C-FF95FBAA2132}">
  <ds:schemaRefs>
    <ds:schemaRef ds:uri="http://schemas.microsoft.com/office/2006/metadata/properties"/>
    <ds:schemaRef ds:uri="http://schemas.microsoft.com/office/infopath/2007/PartnerControls"/>
    <ds:schemaRef ds:uri="9b28cc91-a3f8-438f-9a63-82fef7b65873"/>
    <ds:schemaRef ds:uri="cd8cd0e2-fecb-441a-a76e-fb96239463f3"/>
  </ds:schemaRefs>
</ds:datastoreItem>
</file>

<file path=customXml/itemProps2.xml><?xml version="1.0" encoding="utf-8"?>
<ds:datastoreItem xmlns:ds="http://schemas.openxmlformats.org/officeDocument/2006/customXml" ds:itemID="{26F7F39B-E6A9-49DF-A940-079255920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8cd0e2-fecb-441a-a76e-fb96239463f3"/>
    <ds:schemaRef ds:uri="9b28cc91-a3f8-438f-9a63-82fef7b658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3D32C3-5B83-4C1D-8ED5-A85C9EA5E0BC}">
  <ds:schemaRefs>
    <ds:schemaRef ds:uri="http://schemas.microsoft.com/sharepoint/v3/contenttype/forms"/>
  </ds:schemaRefs>
</ds:datastoreItem>
</file>

<file path=customXml/itemProps4.xml><?xml version="1.0" encoding="utf-8"?>
<ds:datastoreItem xmlns:ds="http://schemas.openxmlformats.org/officeDocument/2006/customXml" ds:itemID="{8FFE02EC-ABC6-4E00-95CB-A243442B9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2233</Words>
  <Characters>12731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Rutger Vijgen</dc:creator>
  <cp:keywords/>
  <dc:description/>
  <cp:lastModifiedBy>Lara Shevchenko</cp:lastModifiedBy>
  <cp:revision>2</cp:revision>
  <dcterms:created xsi:type="dcterms:W3CDTF">2024-10-16T22:24:00Z</dcterms:created>
  <dcterms:modified xsi:type="dcterms:W3CDTF">2024-10-16T22:24:00Z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0x0101003BB5125868DD164F979D685E1741D1BD</vt:lpwstr>
  </property>
  <property fmtid="{D5CDD505-2E9C-101B-9397-08002B2CF9AE}" pid="3" name="MediaServiceImageTags">
    <vt:lpwstr/>
  </property>
</Properties>
</file>