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KPosition"/>
        <w:tblpPr w:rightFromText="227" w:vertAnchor="page" w:tblpY="2382"/>
        <w:tblOverlap w:val="never"/>
        <w:tblW w:w="6804" w:type="dxa"/>
        <w:tblLayout w:type="fixed"/>
        <w:tblLook w:val="0600" w:firstRow="0" w:lastRow="0" w:firstColumn="0" w:lastColumn="0" w:noHBand="1" w:noVBand="1"/>
      </w:tblPr>
      <w:tblGrid>
        <w:gridCol w:w="6804"/>
      </w:tblGrid>
      <w:tr w:rsidR="00144111" w:rsidRPr="00180914" w14:paraId="437B812D" w14:textId="77777777" w:rsidTr="00455B2D">
        <w:trPr>
          <w:cantSplit/>
          <w:trHeight w:hRule="exact" w:val="1843"/>
        </w:trPr>
        <w:tc>
          <w:tcPr>
            <w:tcW w:w="6804" w:type="dxa"/>
          </w:tcPr>
          <w:p w14:paraId="2A24090A" w14:textId="77777777" w:rsidR="00144111" w:rsidRPr="00180914" w:rsidRDefault="00144111" w:rsidP="00F57F71"/>
        </w:tc>
      </w:tr>
      <w:tr w:rsidR="00144111" w:rsidRPr="00180914" w14:paraId="419E93A1" w14:textId="77777777" w:rsidTr="00455B2D">
        <w:trPr>
          <w:cantSplit/>
          <w:trHeight w:hRule="exact" w:val="794"/>
        </w:trPr>
        <w:tc>
          <w:tcPr>
            <w:tcW w:w="6804" w:type="dxa"/>
          </w:tcPr>
          <w:p w14:paraId="74176C31" w14:textId="77777777" w:rsidR="00144111" w:rsidRPr="00180914" w:rsidRDefault="004202AB" w:rsidP="00F57F71">
            <w:pPr>
              <w:pStyle w:val="berschrift1"/>
              <w:outlineLvl w:val="0"/>
            </w:pPr>
            <w:r w:rsidRPr="00180914">
              <w:t>Comments</w:t>
            </w:r>
          </w:p>
        </w:tc>
      </w:tr>
      <w:tr w:rsidR="00A90222" w:rsidRPr="00180914" w14:paraId="7E71B5D0" w14:textId="77777777" w:rsidTr="00455B2D">
        <w:trPr>
          <w:cantSplit/>
          <w:trHeight w:val="2495"/>
        </w:trPr>
        <w:tc>
          <w:tcPr>
            <w:tcW w:w="6804" w:type="dxa"/>
          </w:tcPr>
          <w:p w14:paraId="7B925CD4" w14:textId="52AC5008" w:rsidR="00A90222" w:rsidRPr="00180914" w:rsidRDefault="00455B2D" w:rsidP="00455B2D">
            <w:pPr>
              <w:pStyle w:val="berschrift2"/>
              <w:spacing w:line="440" w:lineRule="exact"/>
              <w:outlineLvl w:val="1"/>
              <w:rPr>
                <w:lang w:val="en-US"/>
              </w:rPr>
            </w:pPr>
            <w:r w:rsidRPr="00180914">
              <w:rPr>
                <w:b/>
                <w:bCs/>
                <w:sz w:val="36"/>
                <w:szCs w:val="36"/>
                <w:lang w:val="en-US"/>
              </w:rPr>
              <w:t>on ESMA Consultation Paper</w:t>
            </w:r>
            <w:r w:rsidRPr="00180914">
              <w:rPr>
                <w:b/>
                <w:bCs/>
                <w:sz w:val="36"/>
                <w:szCs w:val="36"/>
                <w:lang w:val="en-US"/>
              </w:rPr>
              <w:br/>
              <w:t>(ESMA35-335435667-5891)</w:t>
            </w:r>
            <w:r w:rsidRPr="00180914">
              <w:rPr>
                <w:sz w:val="32"/>
                <w:szCs w:val="32"/>
                <w:lang w:val="en-US"/>
              </w:rPr>
              <w:br/>
            </w:r>
            <w:r w:rsidRPr="00180914">
              <w:rPr>
                <w:lang w:val="en-US"/>
              </w:rPr>
              <w:t>Technical Standards specifying the criteria for establishing and assessing the effectiveness of investment firms’ order execution policies</w:t>
            </w:r>
          </w:p>
          <w:p w14:paraId="39002CF3" w14:textId="77777777" w:rsidR="00A90222" w:rsidRPr="00180914" w:rsidRDefault="00A90222" w:rsidP="00F57F71">
            <w:pPr>
              <w:rPr>
                <w:bCs/>
                <w:lang w:val="en-US"/>
              </w:rPr>
            </w:pPr>
            <w:r w:rsidRPr="00180914">
              <w:rPr>
                <w:bCs/>
                <w:lang w:val="en-US"/>
              </w:rPr>
              <w:t>German Lobby Register No R001459</w:t>
            </w:r>
          </w:p>
          <w:p w14:paraId="56C92A89" w14:textId="4E38EF3B" w:rsidR="00455B2D" w:rsidRPr="00180914" w:rsidRDefault="00A90222" w:rsidP="00915905">
            <w:pPr>
              <w:rPr>
                <w:bCs/>
              </w:rPr>
            </w:pPr>
            <w:r w:rsidRPr="00180914">
              <w:rPr>
                <w:bCs/>
              </w:rPr>
              <w:t xml:space="preserve">EU Transparency Register </w:t>
            </w:r>
            <w:proofErr w:type="spellStart"/>
            <w:r w:rsidRPr="00180914">
              <w:rPr>
                <w:bCs/>
              </w:rPr>
              <w:t>No</w:t>
            </w:r>
            <w:proofErr w:type="spellEnd"/>
            <w:r w:rsidRPr="00180914">
              <w:rPr>
                <w:bCs/>
              </w:rPr>
              <w:t xml:space="preserve"> 52646912360-95</w:t>
            </w:r>
          </w:p>
        </w:tc>
      </w:tr>
      <w:tr w:rsidR="004C423E" w:rsidRPr="00A84128" w14:paraId="7E736D77" w14:textId="77777777" w:rsidTr="00455B2D">
        <w:trPr>
          <w:cantSplit/>
          <w:trHeight w:hRule="exact" w:val="2901"/>
        </w:trPr>
        <w:tc>
          <w:tcPr>
            <w:tcW w:w="6804" w:type="dxa"/>
          </w:tcPr>
          <w:p w14:paraId="588FB6E3" w14:textId="77777777" w:rsidR="00455B2D" w:rsidRPr="0043598E" w:rsidRDefault="00455B2D" w:rsidP="00F57F71">
            <w:pPr>
              <w:rPr>
                <w:bCs/>
                <w:lang w:val="en-US"/>
              </w:rPr>
            </w:pPr>
          </w:p>
          <w:p w14:paraId="6B58E9EA" w14:textId="639B516D" w:rsidR="004C423E" w:rsidRPr="0043598E" w:rsidRDefault="004202AB" w:rsidP="00F57F71">
            <w:pPr>
              <w:rPr>
                <w:bCs/>
                <w:lang w:val="en-US"/>
              </w:rPr>
            </w:pPr>
            <w:r w:rsidRPr="0043598E">
              <w:rPr>
                <w:bCs/>
                <w:lang w:val="en-US"/>
              </w:rPr>
              <w:t>Contact</w:t>
            </w:r>
            <w:r w:rsidR="004C423E" w:rsidRPr="0043598E">
              <w:rPr>
                <w:bCs/>
                <w:lang w:val="en-US"/>
              </w:rPr>
              <w:t>:</w:t>
            </w:r>
          </w:p>
          <w:p w14:paraId="4D12B1DD" w14:textId="0F92A5B5" w:rsidR="004C423E" w:rsidRPr="0043598E" w:rsidRDefault="00455B2D" w:rsidP="00F57F71">
            <w:pPr>
              <w:rPr>
                <w:bCs/>
                <w:lang w:val="en-US"/>
              </w:rPr>
            </w:pPr>
            <w:bookmarkStart w:id="0" w:name="BearbeiterName"/>
            <w:bookmarkEnd w:id="0"/>
            <w:r w:rsidRPr="0043598E">
              <w:rPr>
                <w:lang w:val="en-US"/>
              </w:rPr>
              <w:t>Michael Pullen</w:t>
            </w:r>
          </w:p>
          <w:p w14:paraId="613E4EDD" w14:textId="6E93DF73" w:rsidR="004C423E" w:rsidRPr="0043598E" w:rsidRDefault="004C423E" w:rsidP="00F57F71">
            <w:pPr>
              <w:rPr>
                <w:bCs/>
                <w:lang w:val="en-US"/>
              </w:rPr>
            </w:pPr>
            <w:proofErr w:type="spellStart"/>
            <w:r w:rsidRPr="0043598E">
              <w:rPr>
                <w:bCs/>
                <w:lang w:val="en-US"/>
              </w:rPr>
              <w:t>Telefon</w:t>
            </w:r>
            <w:proofErr w:type="spellEnd"/>
            <w:r w:rsidRPr="0043598E">
              <w:rPr>
                <w:bCs/>
                <w:lang w:val="en-US"/>
              </w:rPr>
              <w:t>: +49 30 20225-</w:t>
            </w:r>
            <w:bookmarkStart w:id="1" w:name="BearbeiterTelefon"/>
            <w:bookmarkEnd w:id="1"/>
            <w:r w:rsidR="00455B2D" w:rsidRPr="0043598E">
              <w:rPr>
                <w:bCs/>
                <w:lang w:val="en-US"/>
              </w:rPr>
              <w:t>5659</w:t>
            </w:r>
          </w:p>
          <w:p w14:paraId="2E645D7C" w14:textId="26FF0A63" w:rsidR="004C423E" w:rsidRPr="0043598E" w:rsidRDefault="004C423E" w:rsidP="00F57F71">
            <w:pPr>
              <w:rPr>
                <w:bCs/>
                <w:lang w:val="en-US"/>
              </w:rPr>
            </w:pPr>
            <w:r w:rsidRPr="0043598E">
              <w:rPr>
                <w:bCs/>
                <w:lang w:val="en-US"/>
              </w:rPr>
              <w:t>Telefax: +49 30 20225-</w:t>
            </w:r>
            <w:bookmarkStart w:id="2" w:name="BearbeiterFax"/>
            <w:bookmarkEnd w:id="2"/>
            <w:r w:rsidR="00455B2D" w:rsidRPr="0043598E">
              <w:rPr>
                <w:bCs/>
                <w:lang w:val="en-US"/>
              </w:rPr>
              <w:t>5665</w:t>
            </w:r>
          </w:p>
          <w:p w14:paraId="5B6338C9" w14:textId="13851861" w:rsidR="004C423E" w:rsidRPr="0043598E" w:rsidRDefault="004C423E" w:rsidP="00F57F71">
            <w:pPr>
              <w:rPr>
                <w:bCs/>
                <w:lang w:val="en-US"/>
              </w:rPr>
            </w:pPr>
            <w:r w:rsidRPr="0043598E">
              <w:rPr>
                <w:bCs/>
                <w:lang w:val="en-US"/>
              </w:rPr>
              <w:t>E-</w:t>
            </w:r>
            <w:r w:rsidR="004202AB" w:rsidRPr="0043598E">
              <w:rPr>
                <w:bCs/>
                <w:lang w:val="en-US"/>
              </w:rPr>
              <w:t>m</w:t>
            </w:r>
            <w:r w:rsidRPr="0043598E">
              <w:rPr>
                <w:bCs/>
                <w:lang w:val="en-US"/>
              </w:rPr>
              <w:t xml:space="preserve">ail: </w:t>
            </w:r>
            <w:bookmarkStart w:id="3" w:name="BearbeiterEmail"/>
            <w:bookmarkEnd w:id="3"/>
            <w:r w:rsidR="00455B2D" w:rsidRPr="0043598E">
              <w:rPr>
                <w:lang w:val="en-US"/>
              </w:rPr>
              <w:t>michael.pullen@dsgv.de</w:t>
            </w:r>
          </w:p>
          <w:p w14:paraId="08864F97" w14:textId="77777777" w:rsidR="004C423E" w:rsidRPr="0043598E" w:rsidRDefault="004C423E" w:rsidP="00F57F71">
            <w:pPr>
              <w:rPr>
                <w:bCs/>
                <w:lang w:val="en-US"/>
              </w:rPr>
            </w:pPr>
          </w:p>
          <w:p w14:paraId="23A7FBCB" w14:textId="6CC3BEAF" w:rsidR="004C423E" w:rsidRPr="0043598E" w:rsidRDefault="004C423E" w:rsidP="00F57F71">
            <w:pPr>
              <w:rPr>
                <w:bCs/>
                <w:lang w:val="en-US"/>
              </w:rPr>
            </w:pPr>
            <w:r w:rsidRPr="00226EBC">
              <w:rPr>
                <w:bCs/>
                <w:lang w:val="en-US"/>
              </w:rPr>
              <w:t xml:space="preserve">Berlin, </w:t>
            </w:r>
            <w:r w:rsidR="00C2312D" w:rsidRPr="00226EBC">
              <w:rPr>
                <w:lang w:val="en-GB"/>
              </w:rPr>
              <w:fldChar w:fldCharType="begin"/>
            </w:r>
            <w:r w:rsidR="00C2312D" w:rsidRPr="00226EBC">
              <w:rPr>
                <w:lang w:val="en-GB"/>
              </w:rPr>
              <w:instrText xml:space="preserve"> DATE  \@ "MMMM dd, yyyy"  \* MERGEFORMAT </w:instrText>
            </w:r>
            <w:r w:rsidR="00C2312D" w:rsidRPr="00226EBC">
              <w:rPr>
                <w:lang w:val="en-GB"/>
              </w:rPr>
              <w:fldChar w:fldCharType="separate"/>
            </w:r>
            <w:r w:rsidR="00A84128">
              <w:rPr>
                <w:noProof/>
                <w:lang w:val="en-GB"/>
              </w:rPr>
              <w:t>October 16, 2024</w:t>
            </w:r>
            <w:r w:rsidR="00C2312D" w:rsidRPr="00226EBC">
              <w:rPr>
                <w:lang w:val="en-GB"/>
              </w:rPr>
              <w:fldChar w:fldCharType="end"/>
            </w:r>
          </w:p>
        </w:tc>
      </w:tr>
      <w:tr w:rsidR="00F57F71" w:rsidRPr="00A84128" w14:paraId="5956891C" w14:textId="77777777" w:rsidTr="00455B2D">
        <w:trPr>
          <w:cantSplit/>
          <w:trHeight w:hRule="exact" w:val="2948"/>
        </w:trPr>
        <w:tc>
          <w:tcPr>
            <w:tcW w:w="6804" w:type="dxa"/>
          </w:tcPr>
          <w:p w14:paraId="2D3B5C74" w14:textId="77777777" w:rsidR="00F57F71" w:rsidRPr="00180914" w:rsidRDefault="00F57F71" w:rsidP="00FB0A94">
            <w:pPr>
              <w:pStyle w:val="DKFlietextFarbeoTrennung"/>
              <w:framePr w:wrap="auto" w:vAnchor="margin" w:yAlign="inline"/>
              <w:suppressOverlap w:val="0"/>
              <w:rPr>
                <w:lang w:val="en-US"/>
              </w:rPr>
            </w:pPr>
            <w:r w:rsidRPr="00180914">
              <w:rPr>
                <w:lang w:val="en-US"/>
              </w:rPr>
              <w:t xml:space="preserve">The </w:t>
            </w:r>
            <w:r w:rsidRPr="00180914">
              <w:rPr>
                <w:b/>
                <w:lang w:val="en-US"/>
              </w:rPr>
              <w:t>German Banking Industry Committee</w:t>
            </w:r>
            <w:r w:rsidRPr="00180914">
              <w:rPr>
                <w:lang w:val="en-US"/>
              </w:rPr>
              <w:t xml:space="preserve"> is the joint committee operated by the central associations of the German banking industry. These associations are the </w:t>
            </w:r>
            <w:proofErr w:type="spellStart"/>
            <w:r w:rsidRPr="00180914">
              <w:rPr>
                <w:lang w:val="en-US"/>
              </w:rPr>
              <w:t>Bundesverband</w:t>
            </w:r>
            <w:proofErr w:type="spellEnd"/>
            <w:r w:rsidRPr="00180914">
              <w:rPr>
                <w:lang w:val="en-US"/>
              </w:rPr>
              <w:t xml:space="preserve"> der </w:t>
            </w:r>
            <w:proofErr w:type="spellStart"/>
            <w:r w:rsidRPr="00180914">
              <w:rPr>
                <w:lang w:val="en-US"/>
              </w:rPr>
              <w:t>Deutschen</w:t>
            </w:r>
            <w:proofErr w:type="spellEnd"/>
            <w:r w:rsidRPr="00180914">
              <w:rPr>
                <w:lang w:val="en-US"/>
              </w:rPr>
              <w:t xml:space="preserve"> </w:t>
            </w:r>
            <w:proofErr w:type="spellStart"/>
            <w:r w:rsidRPr="00180914">
              <w:rPr>
                <w:lang w:val="en-US"/>
              </w:rPr>
              <w:t>Volksbanken</w:t>
            </w:r>
            <w:proofErr w:type="spellEnd"/>
            <w:r w:rsidRPr="00180914">
              <w:rPr>
                <w:lang w:val="en-US"/>
              </w:rPr>
              <w:t xml:space="preserve"> und </w:t>
            </w:r>
            <w:proofErr w:type="spellStart"/>
            <w:r w:rsidRPr="00180914">
              <w:rPr>
                <w:lang w:val="en-US"/>
              </w:rPr>
              <w:t>Raiffeisenbanken</w:t>
            </w:r>
            <w:proofErr w:type="spellEnd"/>
            <w:r w:rsidRPr="00180914">
              <w:rPr>
                <w:lang w:val="en-US"/>
              </w:rPr>
              <w:t xml:space="preserve"> (BVR), for the cooperative banks, the </w:t>
            </w:r>
            <w:proofErr w:type="spellStart"/>
            <w:r w:rsidRPr="00180914">
              <w:rPr>
                <w:lang w:val="en-US"/>
              </w:rPr>
              <w:t>Bundesverband</w:t>
            </w:r>
            <w:proofErr w:type="spellEnd"/>
            <w:r w:rsidRPr="00180914">
              <w:rPr>
                <w:lang w:val="en-US"/>
              </w:rPr>
              <w:t xml:space="preserve"> </w:t>
            </w:r>
            <w:proofErr w:type="spellStart"/>
            <w:r w:rsidRPr="00180914">
              <w:rPr>
                <w:lang w:val="en-US"/>
              </w:rPr>
              <w:t>deutscher</w:t>
            </w:r>
            <w:proofErr w:type="spellEnd"/>
            <w:r w:rsidRPr="00180914">
              <w:rPr>
                <w:lang w:val="en-US"/>
              </w:rPr>
              <w:t xml:space="preserve"> </w:t>
            </w:r>
            <w:proofErr w:type="spellStart"/>
            <w:r w:rsidRPr="00180914">
              <w:rPr>
                <w:lang w:val="en-US"/>
              </w:rPr>
              <w:t>Banken</w:t>
            </w:r>
            <w:proofErr w:type="spellEnd"/>
            <w:r w:rsidRPr="00180914">
              <w:rPr>
                <w:lang w:val="en-US"/>
              </w:rPr>
              <w:t xml:space="preserve"> (BdB), for the private commercial banks, the </w:t>
            </w:r>
            <w:proofErr w:type="spellStart"/>
            <w:r w:rsidRPr="00180914">
              <w:rPr>
                <w:lang w:val="en-US"/>
              </w:rPr>
              <w:t>Bundesverband</w:t>
            </w:r>
            <w:proofErr w:type="spellEnd"/>
            <w:r w:rsidRPr="00180914">
              <w:rPr>
                <w:lang w:val="en-US"/>
              </w:rPr>
              <w:t xml:space="preserve"> </w:t>
            </w:r>
            <w:proofErr w:type="spellStart"/>
            <w:r w:rsidRPr="00180914">
              <w:rPr>
                <w:lang w:val="en-US"/>
              </w:rPr>
              <w:t>Öffentlicher</w:t>
            </w:r>
            <w:proofErr w:type="spellEnd"/>
            <w:r w:rsidRPr="00180914">
              <w:rPr>
                <w:lang w:val="en-US"/>
              </w:rPr>
              <w:t xml:space="preserve"> </w:t>
            </w:r>
            <w:proofErr w:type="spellStart"/>
            <w:r w:rsidRPr="00180914">
              <w:rPr>
                <w:lang w:val="en-US"/>
              </w:rPr>
              <w:t>Banken</w:t>
            </w:r>
            <w:proofErr w:type="spellEnd"/>
            <w:r w:rsidRPr="00180914">
              <w:rPr>
                <w:lang w:val="en-US"/>
              </w:rPr>
              <w:t xml:space="preserve"> </w:t>
            </w:r>
            <w:proofErr w:type="spellStart"/>
            <w:r w:rsidRPr="00180914">
              <w:rPr>
                <w:lang w:val="en-US"/>
              </w:rPr>
              <w:t>Deutschlands</w:t>
            </w:r>
            <w:proofErr w:type="spellEnd"/>
            <w:r w:rsidRPr="00180914">
              <w:rPr>
                <w:lang w:val="en-US"/>
              </w:rPr>
              <w:t xml:space="preserve"> (VÖB), for the public-sector banks, the </w:t>
            </w:r>
            <w:proofErr w:type="spellStart"/>
            <w:r w:rsidRPr="00180914">
              <w:rPr>
                <w:lang w:val="en-US"/>
              </w:rPr>
              <w:t>Deutscher</w:t>
            </w:r>
            <w:proofErr w:type="spellEnd"/>
            <w:r w:rsidRPr="00180914">
              <w:rPr>
                <w:lang w:val="en-US"/>
              </w:rPr>
              <w:t xml:space="preserve"> </w:t>
            </w:r>
            <w:proofErr w:type="spellStart"/>
            <w:r w:rsidRPr="00180914">
              <w:rPr>
                <w:lang w:val="en-US"/>
              </w:rPr>
              <w:t>Sparkassen</w:t>
            </w:r>
            <w:proofErr w:type="spellEnd"/>
            <w:r w:rsidRPr="00180914">
              <w:rPr>
                <w:lang w:val="en-US"/>
              </w:rPr>
              <w:t xml:space="preserve">- und </w:t>
            </w:r>
            <w:proofErr w:type="spellStart"/>
            <w:r w:rsidRPr="00180914">
              <w:rPr>
                <w:lang w:val="en-US"/>
              </w:rPr>
              <w:t>Giroverband</w:t>
            </w:r>
            <w:proofErr w:type="spellEnd"/>
            <w:r w:rsidRPr="00180914">
              <w:rPr>
                <w:lang w:val="en-US"/>
              </w:rPr>
              <w:t xml:space="preserve"> (DSGV), for the savings banks finance group, and the </w:t>
            </w:r>
            <w:proofErr w:type="spellStart"/>
            <w:r w:rsidRPr="00180914">
              <w:rPr>
                <w:lang w:val="en-US"/>
              </w:rPr>
              <w:t>Verband</w:t>
            </w:r>
            <w:proofErr w:type="spellEnd"/>
            <w:r w:rsidRPr="00180914">
              <w:rPr>
                <w:lang w:val="en-US"/>
              </w:rPr>
              <w:t xml:space="preserve"> </w:t>
            </w:r>
            <w:proofErr w:type="spellStart"/>
            <w:r w:rsidRPr="00180914">
              <w:rPr>
                <w:lang w:val="en-US"/>
              </w:rPr>
              <w:t>deutscher</w:t>
            </w:r>
            <w:proofErr w:type="spellEnd"/>
            <w:r w:rsidRPr="00180914">
              <w:rPr>
                <w:lang w:val="en-US"/>
              </w:rPr>
              <w:t xml:space="preserve"> </w:t>
            </w:r>
            <w:proofErr w:type="spellStart"/>
            <w:r w:rsidRPr="00180914">
              <w:rPr>
                <w:lang w:val="en-US"/>
              </w:rPr>
              <w:t>Pfandbriefbanken</w:t>
            </w:r>
            <w:proofErr w:type="spellEnd"/>
            <w:r w:rsidRPr="00180914">
              <w:rPr>
                <w:lang w:val="en-US"/>
              </w:rPr>
              <w:t xml:space="preserve"> (</w:t>
            </w:r>
            <w:proofErr w:type="spellStart"/>
            <w:r w:rsidRPr="00180914">
              <w:rPr>
                <w:lang w:val="en-US"/>
              </w:rPr>
              <w:t>vdp</w:t>
            </w:r>
            <w:proofErr w:type="spellEnd"/>
            <w:r w:rsidRPr="00180914">
              <w:rPr>
                <w:lang w:val="en-US"/>
              </w:rPr>
              <w:t>), for the Pfandbrief banks.</w:t>
            </w:r>
          </w:p>
        </w:tc>
      </w:tr>
    </w:tbl>
    <w:tbl>
      <w:tblPr>
        <w:tblStyle w:val="DKPosition"/>
        <w:tblpPr w:vertAnchor="page" w:horzAnchor="page" w:tblpX="8223" w:tblpY="2382"/>
        <w:tblOverlap w:val="never"/>
        <w:tblW w:w="3289" w:type="dxa"/>
        <w:tblLook w:val="0600" w:firstRow="0" w:lastRow="0" w:firstColumn="0" w:lastColumn="0" w:noHBand="1" w:noVBand="1"/>
      </w:tblPr>
      <w:tblGrid>
        <w:gridCol w:w="3289"/>
      </w:tblGrid>
      <w:tr w:rsidR="004C423E" w:rsidRPr="00A84128" w14:paraId="36D554FF" w14:textId="77777777" w:rsidTr="00F57F71">
        <w:trPr>
          <w:cantSplit/>
          <w:trHeight w:hRule="exact" w:val="10348"/>
        </w:trPr>
        <w:tc>
          <w:tcPr>
            <w:tcW w:w="3289" w:type="dxa"/>
          </w:tcPr>
          <w:p w14:paraId="67D6CF23" w14:textId="77777777" w:rsidR="004C423E" w:rsidRPr="00180914" w:rsidRDefault="004C423E" w:rsidP="00F57F71">
            <w:pPr>
              <w:pStyle w:val="DKMarginalspalte"/>
              <w:rPr>
                <w:lang w:val="en-US"/>
              </w:rPr>
            </w:pPr>
          </w:p>
        </w:tc>
      </w:tr>
      <w:tr w:rsidR="00716D83" w:rsidRPr="00A84128" w14:paraId="2277655F" w14:textId="77777777" w:rsidTr="00F57F71">
        <w:trPr>
          <w:cantSplit/>
          <w:trHeight w:val="2948"/>
        </w:trPr>
        <w:tc>
          <w:tcPr>
            <w:tcW w:w="0" w:type="auto"/>
          </w:tcPr>
          <w:p w14:paraId="312A87F7" w14:textId="77777777" w:rsidR="00716D83" w:rsidRPr="00180914" w:rsidRDefault="004202AB" w:rsidP="00F57F71">
            <w:pPr>
              <w:pStyle w:val="DKFederfhrer"/>
              <w:rPr>
                <w:lang w:val="en-US"/>
              </w:rPr>
            </w:pPr>
            <w:r w:rsidRPr="00180914">
              <w:rPr>
                <w:lang w:val="en-US"/>
              </w:rPr>
              <w:t>Coordinator</w:t>
            </w:r>
            <w:r w:rsidR="00716D83" w:rsidRPr="00180914">
              <w:rPr>
                <w:lang w:val="en-US"/>
              </w:rPr>
              <w:t>:</w:t>
            </w:r>
          </w:p>
          <w:p w14:paraId="47AED397" w14:textId="77777777" w:rsidR="00716D83" w:rsidRPr="00180914" w:rsidRDefault="004202AB" w:rsidP="00F57F71">
            <w:pPr>
              <w:pStyle w:val="DKFederfhrer"/>
              <w:rPr>
                <w:lang w:val="en-US"/>
              </w:rPr>
            </w:pPr>
            <w:r w:rsidRPr="00180914">
              <w:rPr>
                <w:lang w:val="en-US"/>
              </w:rPr>
              <w:t>German Savings Banks Association</w:t>
            </w:r>
          </w:p>
          <w:p w14:paraId="18F81EED" w14:textId="77777777" w:rsidR="00716D83" w:rsidRPr="00180914" w:rsidRDefault="00716D83" w:rsidP="00F57F71">
            <w:pPr>
              <w:pStyle w:val="DKFederfhrer"/>
              <w:rPr>
                <w:lang w:val="en-US"/>
              </w:rPr>
            </w:pPr>
            <w:proofErr w:type="spellStart"/>
            <w:r w:rsidRPr="00180914">
              <w:rPr>
                <w:lang w:val="en-US"/>
              </w:rPr>
              <w:t>Charlottenstraße</w:t>
            </w:r>
            <w:proofErr w:type="spellEnd"/>
            <w:r w:rsidRPr="00180914">
              <w:rPr>
                <w:lang w:val="en-US"/>
              </w:rPr>
              <w:t xml:space="preserve"> 47 | 10117 Berlin</w:t>
            </w:r>
            <w:r w:rsidR="004202AB" w:rsidRPr="00180914">
              <w:rPr>
                <w:lang w:val="en-US"/>
              </w:rPr>
              <w:t xml:space="preserve"> | Germany</w:t>
            </w:r>
          </w:p>
          <w:p w14:paraId="01C72020" w14:textId="77777777" w:rsidR="00716D83" w:rsidRPr="00180914" w:rsidRDefault="00716D83" w:rsidP="00F57F71">
            <w:pPr>
              <w:pStyle w:val="DKFederfhrer"/>
              <w:rPr>
                <w:lang w:val="en-US"/>
              </w:rPr>
            </w:pPr>
            <w:r w:rsidRPr="00180914">
              <w:rPr>
                <w:lang w:val="en-US"/>
              </w:rPr>
              <w:t>Tele</w:t>
            </w:r>
            <w:r w:rsidR="004202AB" w:rsidRPr="00180914">
              <w:rPr>
                <w:lang w:val="en-US"/>
              </w:rPr>
              <w:t>ph</w:t>
            </w:r>
            <w:r w:rsidRPr="00180914">
              <w:rPr>
                <w:lang w:val="en-US"/>
              </w:rPr>
              <w:t>on</w:t>
            </w:r>
            <w:r w:rsidR="004202AB" w:rsidRPr="00180914">
              <w:rPr>
                <w:lang w:val="en-US"/>
              </w:rPr>
              <w:t>e</w:t>
            </w:r>
            <w:r w:rsidRPr="00180914">
              <w:rPr>
                <w:lang w:val="en-US"/>
              </w:rPr>
              <w:t>: +49 30 20225-0</w:t>
            </w:r>
          </w:p>
          <w:p w14:paraId="4F281DAD" w14:textId="77777777" w:rsidR="00716D83" w:rsidRPr="00180914" w:rsidRDefault="00716D83" w:rsidP="00F57F71">
            <w:pPr>
              <w:pStyle w:val="DKFederfhrer"/>
              <w:rPr>
                <w:lang w:val="en-US"/>
              </w:rPr>
            </w:pPr>
            <w:r w:rsidRPr="00180914">
              <w:rPr>
                <w:lang w:val="en-US"/>
              </w:rPr>
              <w:t>Telefax: +49 30 20225-250</w:t>
            </w:r>
          </w:p>
          <w:p w14:paraId="51075C93" w14:textId="77777777" w:rsidR="00716D83" w:rsidRPr="00180914" w:rsidRDefault="00716D83" w:rsidP="00F57F71">
            <w:pPr>
              <w:pStyle w:val="DKFederfhrer"/>
              <w:rPr>
                <w:lang w:val="en-US"/>
              </w:rPr>
            </w:pPr>
            <w:r w:rsidRPr="00180914">
              <w:rPr>
                <w:lang w:val="en-US"/>
              </w:rPr>
              <w:t>www.die-deutsche-kreditwirtschaft.de</w:t>
            </w:r>
          </w:p>
        </w:tc>
      </w:tr>
    </w:tbl>
    <w:p w14:paraId="00829BBF" w14:textId="77777777" w:rsidR="00455B2D" w:rsidRPr="00B85906" w:rsidRDefault="00455B2D" w:rsidP="006F4DAF">
      <w:pPr>
        <w:pStyle w:val="DKFlietext"/>
        <w:rPr>
          <w:lang w:val="en-US"/>
        </w:rPr>
      </w:pPr>
    </w:p>
    <w:p w14:paraId="13D5E745" w14:textId="77777777" w:rsidR="00455B2D" w:rsidRPr="00B85906" w:rsidRDefault="00455B2D" w:rsidP="006F4DAF">
      <w:pPr>
        <w:pStyle w:val="DKFlietext"/>
        <w:rPr>
          <w:lang w:val="en-US"/>
        </w:rPr>
      </w:pPr>
    </w:p>
    <w:p w14:paraId="5E5070E6" w14:textId="77777777" w:rsidR="00455B2D" w:rsidRPr="00B85906" w:rsidRDefault="00455B2D" w:rsidP="006F4DAF">
      <w:pPr>
        <w:pStyle w:val="DKFlietext"/>
        <w:rPr>
          <w:lang w:val="en-US"/>
        </w:rPr>
      </w:pPr>
    </w:p>
    <w:p w14:paraId="01E930AF" w14:textId="77777777" w:rsidR="00455B2D" w:rsidRDefault="00455B2D" w:rsidP="006F4DAF">
      <w:pPr>
        <w:pStyle w:val="DKFlietext"/>
        <w:rPr>
          <w:lang w:val="en-US"/>
        </w:rPr>
      </w:pPr>
    </w:p>
    <w:p w14:paraId="1CB6994D" w14:textId="77777777" w:rsidR="00252F25" w:rsidRPr="00B85906" w:rsidRDefault="00252F25" w:rsidP="006F4DAF">
      <w:pPr>
        <w:pStyle w:val="DKFlietext"/>
        <w:rPr>
          <w:lang w:val="en-US"/>
        </w:rPr>
      </w:pPr>
    </w:p>
    <w:p w14:paraId="3FF776CA" w14:textId="2C652BA9" w:rsidR="00455B2D" w:rsidRPr="00D354E6" w:rsidRDefault="00180914" w:rsidP="00455B2D">
      <w:pPr>
        <w:pStyle w:val="Listenabsatz"/>
        <w:widowControl w:val="0"/>
        <w:numPr>
          <w:ilvl w:val="0"/>
          <w:numId w:val="26"/>
        </w:numPr>
        <w:autoSpaceDE w:val="0"/>
        <w:autoSpaceDN w:val="0"/>
        <w:adjustRightInd w:val="0"/>
        <w:spacing w:before="203" w:line="240" w:lineRule="auto"/>
        <w:ind w:left="567" w:right="176" w:hanging="567"/>
        <w:jc w:val="both"/>
        <w:rPr>
          <w:rFonts w:cstheme="minorHAnsi"/>
          <w:b/>
          <w:bCs/>
          <w:color w:val="111111"/>
          <w:sz w:val="22"/>
          <w:szCs w:val="22"/>
        </w:rPr>
      </w:pPr>
      <w:r w:rsidRPr="00D354E6">
        <w:rPr>
          <w:rFonts w:cstheme="minorHAnsi"/>
          <w:b/>
          <w:bCs/>
          <w:color w:val="111111"/>
          <w:sz w:val="22"/>
          <w:szCs w:val="22"/>
          <w:lang w:val="en-US"/>
        </w:rPr>
        <w:lastRenderedPageBreak/>
        <w:t>Question and Answers</w:t>
      </w:r>
    </w:p>
    <w:p w14:paraId="1394F79B" w14:textId="77777777" w:rsidR="00455B2D" w:rsidRPr="00B85906" w:rsidRDefault="00455B2D" w:rsidP="00D354E6">
      <w:pPr>
        <w:widowControl w:val="0"/>
        <w:autoSpaceDE w:val="0"/>
        <w:autoSpaceDN w:val="0"/>
        <w:adjustRightInd w:val="0"/>
        <w:spacing w:before="253" w:line="240" w:lineRule="auto"/>
        <w:ind w:right="176"/>
        <w:jc w:val="both"/>
        <w:rPr>
          <w:rFonts w:cstheme="minorHAnsi"/>
          <w:b/>
          <w:bCs/>
          <w:color w:val="111111"/>
          <w:sz w:val="22"/>
          <w:szCs w:val="22"/>
          <w:lang w:val="en-US"/>
        </w:rPr>
      </w:pPr>
      <w:r w:rsidRPr="00D354E6">
        <w:rPr>
          <w:rFonts w:cstheme="minorHAnsi"/>
          <w:b/>
          <w:bCs/>
          <w:color w:val="111111"/>
          <w:sz w:val="22"/>
          <w:szCs w:val="22"/>
          <w:lang w:val="en-US"/>
        </w:rPr>
        <w:t xml:space="preserve">Q1: Do you agree with the proposed </w:t>
      </w:r>
      <w:proofErr w:type="spellStart"/>
      <w:r w:rsidRPr="00D354E6">
        <w:rPr>
          <w:rFonts w:cstheme="minorHAnsi"/>
          <w:b/>
          <w:bCs/>
          <w:color w:val="111111"/>
          <w:sz w:val="22"/>
          <w:szCs w:val="22"/>
          <w:lang w:val="en-US"/>
        </w:rPr>
        <w:t>categorisation</w:t>
      </w:r>
      <w:proofErr w:type="spellEnd"/>
      <w:r w:rsidRPr="00D354E6">
        <w:rPr>
          <w:rFonts w:cstheme="minorHAnsi"/>
          <w:b/>
          <w:bCs/>
          <w:color w:val="111111"/>
          <w:sz w:val="22"/>
          <w:szCs w:val="22"/>
          <w:lang w:val="en-US"/>
        </w:rPr>
        <w:t xml:space="preserve"> of classes of financial instruments? And could the methodology based on, inter alia, the classification of financial instruments in the MiFID II RTSs 1 and 2 be used in the context of MiFID II transparency reporting be an alternative?</w:t>
      </w:r>
      <w:r w:rsidRPr="00D354E6">
        <w:rPr>
          <w:rFonts w:cstheme="minorHAnsi"/>
          <w:color w:val="111111"/>
          <w:sz w:val="22"/>
          <w:szCs w:val="22"/>
          <w:lang w:val="en-US"/>
        </w:rPr>
        <w:t xml:space="preserve"> </w:t>
      </w:r>
      <w:r w:rsidRPr="00B85906">
        <w:rPr>
          <w:rFonts w:cstheme="minorHAnsi"/>
          <w:b/>
          <w:bCs/>
          <w:color w:val="111111"/>
          <w:sz w:val="22"/>
          <w:szCs w:val="22"/>
          <w:lang w:val="en-US"/>
        </w:rPr>
        <w:t>Please state the reasons for your answers.</w:t>
      </w:r>
    </w:p>
    <w:p w14:paraId="5978AB8D" w14:textId="510423E6" w:rsidR="00EB77F6" w:rsidRPr="00B85906" w:rsidRDefault="00EB77F6" w:rsidP="006F4DAF">
      <w:pPr>
        <w:pStyle w:val="DKFlietext"/>
        <w:rPr>
          <w:sz w:val="22"/>
          <w:szCs w:val="22"/>
          <w:lang w:val="en-US"/>
        </w:rPr>
      </w:pPr>
    </w:p>
    <w:p w14:paraId="5F6B162B" w14:textId="745D4BAD" w:rsidR="00455B2D" w:rsidRPr="00D354E6" w:rsidRDefault="00455B2D" w:rsidP="00455B2D">
      <w:pPr>
        <w:pStyle w:val="DKFlietext"/>
        <w:rPr>
          <w:sz w:val="22"/>
          <w:szCs w:val="22"/>
          <w:lang w:val="en-US"/>
        </w:rPr>
      </w:pPr>
      <w:r w:rsidRPr="00D354E6">
        <w:rPr>
          <w:sz w:val="22"/>
          <w:szCs w:val="22"/>
          <w:lang w:val="en-US"/>
        </w:rPr>
        <w:t>No, we do not agree with the categorization of financial instrument classes according to ISO 10962 in the proposed form. Article 1 (1) should be deleted. Categorization based on the first two characters would result in 78 (!) categories. If the country of first listing were added for equities, there would be well over 100 categories.</w:t>
      </w:r>
      <w:r w:rsidR="000673DA">
        <w:rPr>
          <w:sz w:val="22"/>
          <w:szCs w:val="22"/>
          <w:lang w:val="en-US"/>
        </w:rPr>
        <w:t xml:space="preserve"> </w:t>
      </w:r>
      <w:r w:rsidRPr="00D354E6">
        <w:rPr>
          <w:sz w:val="22"/>
          <w:szCs w:val="22"/>
          <w:lang w:val="en-US"/>
        </w:rPr>
        <w:t xml:space="preserve">This would – contrary to the intention stated in recital 5 – unnecessarily </w:t>
      </w:r>
      <w:proofErr w:type="gramStart"/>
      <w:r w:rsidRPr="00D354E6">
        <w:rPr>
          <w:sz w:val="22"/>
          <w:szCs w:val="22"/>
          <w:lang w:val="en-US"/>
        </w:rPr>
        <w:t>drive up</w:t>
      </w:r>
      <w:proofErr w:type="gramEnd"/>
      <w:r w:rsidRPr="00D354E6">
        <w:rPr>
          <w:sz w:val="22"/>
          <w:szCs w:val="22"/>
          <w:lang w:val="en-US"/>
        </w:rPr>
        <w:t xml:space="preserve"> costs.</w:t>
      </w:r>
    </w:p>
    <w:p w14:paraId="2A3E5035" w14:textId="77777777" w:rsidR="00455B2D" w:rsidRPr="00D354E6" w:rsidRDefault="00455B2D" w:rsidP="00455B2D">
      <w:pPr>
        <w:pStyle w:val="DKFlietext"/>
        <w:rPr>
          <w:sz w:val="22"/>
          <w:szCs w:val="22"/>
          <w:lang w:val="en-US"/>
        </w:rPr>
      </w:pPr>
    </w:p>
    <w:p w14:paraId="3397B9E7" w14:textId="2CE52545" w:rsidR="00455B2D" w:rsidRPr="00D354E6" w:rsidRDefault="00455B2D" w:rsidP="00455B2D">
      <w:pPr>
        <w:pStyle w:val="DKFlietext"/>
        <w:rPr>
          <w:sz w:val="22"/>
          <w:szCs w:val="22"/>
          <w:lang w:val="en-US"/>
        </w:rPr>
      </w:pPr>
      <w:r w:rsidRPr="00D354E6">
        <w:rPr>
          <w:sz w:val="22"/>
          <w:szCs w:val="22"/>
          <w:lang w:val="en-US"/>
        </w:rPr>
        <w:t xml:space="preserve">Furthermore, such a detailed categorization would not do justice to the financial instruments. For example, a distinction between common and preferred </w:t>
      </w:r>
      <w:r w:rsidRPr="00226EBC">
        <w:rPr>
          <w:sz w:val="22"/>
          <w:szCs w:val="22"/>
          <w:lang w:val="en-US"/>
        </w:rPr>
        <w:t>shares would be meaningless for these purposes. Above all</w:t>
      </w:r>
      <w:r w:rsidR="002D2499">
        <w:rPr>
          <w:sz w:val="22"/>
          <w:szCs w:val="22"/>
          <w:lang w:val="en-US"/>
        </w:rPr>
        <w:t xml:space="preserve"> </w:t>
      </w:r>
      <w:r w:rsidR="007C3151">
        <w:rPr>
          <w:sz w:val="22"/>
          <w:szCs w:val="22"/>
          <w:lang w:val="en-US"/>
        </w:rPr>
        <w:t>c</w:t>
      </w:r>
      <w:r w:rsidRPr="00226EBC">
        <w:rPr>
          <w:sz w:val="22"/>
          <w:szCs w:val="22"/>
          <w:lang w:val="en-US"/>
        </w:rPr>
        <w:t xml:space="preserve">lients would lose </w:t>
      </w:r>
      <w:r w:rsidR="00D3300C" w:rsidRPr="00226EBC">
        <w:rPr>
          <w:sz w:val="22"/>
          <w:szCs w:val="22"/>
          <w:lang w:val="en-US"/>
        </w:rPr>
        <w:t>the</w:t>
      </w:r>
      <w:r w:rsidRPr="00226EBC">
        <w:rPr>
          <w:sz w:val="22"/>
          <w:szCs w:val="22"/>
          <w:lang w:val="en-US"/>
        </w:rPr>
        <w:t xml:space="preserve"> overview. The </w:t>
      </w:r>
      <w:r w:rsidR="0043598E" w:rsidRPr="00226EBC">
        <w:rPr>
          <w:sz w:val="22"/>
          <w:szCs w:val="22"/>
          <w:lang w:val="en-US"/>
        </w:rPr>
        <w:t xml:space="preserve">order </w:t>
      </w:r>
      <w:r w:rsidRPr="00226EBC">
        <w:rPr>
          <w:sz w:val="22"/>
          <w:szCs w:val="22"/>
          <w:lang w:val="en-US"/>
        </w:rPr>
        <w:t>execution p</w:t>
      </w:r>
      <w:r w:rsidR="0043598E" w:rsidRPr="00226EBC">
        <w:rPr>
          <w:sz w:val="22"/>
          <w:szCs w:val="22"/>
          <w:lang w:val="en-US"/>
        </w:rPr>
        <w:t>olic</w:t>
      </w:r>
      <w:r w:rsidR="00D028F9" w:rsidRPr="00226EBC">
        <w:rPr>
          <w:sz w:val="22"/>
          <w:szCs w:val="22"/>
          <w:lang w:val="en-US"/>
        </w:rPr>
        <w:t>y</w:t>
      </w:r>
      <w:r w:rsidRPr="00226EBC">
        <w:rPr>
          <w:sz w:val="22"/>
          <w:szCs w:val="22"/>
          <w:lang w:val="en-US"/>
        </w:rPr>
        <w:t xml:space="preserve"> would become virtually worthless. Such a measure would not be perceived as client protection, but rather as an additional burden.</w:t>
      </w:r>
    </w:p>
    <w:p w14:paraId="5EC392AE" w14:textId="77777777" w:rsidR="00455B2D" w:rsidRPr="00D354E6" w:rsidRDefault="00455B2D" w:rsidP="00455B2D">
      <w:pPr>
        <w:pStyle w:val="DKFlietext"/>
        <w:rPr>
          <w:sz w:val="22"/>
          <w:szCs w:val="22"/>
          <w:lang w:val="en-US"/>
        </w:rPr>
      </w:pPr>
    </w:p>
    <w:p w14:paraId="26E20CE4" w14:textId="1E6B821A" w:rsidR="00455B2D" w:rsidRPr="00D354E6" w:rsidRDefault="00455B2D" w:rsidP="00455B2D">
      <w:pPr>
        <w:pStyle w:val="DKFlietext"/>
        <w:rPr>
          <w:sz w:val="22"/>
          <w:szCs w:val="22"/>
          <w:lang w:val="en-US"/>
        </w:rPr>
      </w:pPr>
      <w:r w:rsidRPr="00D354E6">
        <w:rPr>
          <w:sz w:val="22"/>
          <w:szCs w:val="22"/>
          <w:lang w:val="en-US"/>
        </w:rPr>
        <w:t>Instead, we suggest categorizing the instruments as set out in Article 2 (2): investment firms should create meaningful groups</w:t>
      </w:r>
      <w:r w:rsidR="0043598E">
        <w:rPr>
          <w:sz w:val="22"/>
          <w:szCs w:val="22"/>
          <w:lang w:val="en-US"/>
        </w:rPr>
        <w:t>/clusters</w:t>
      </w:r>
      <w:r w:rsidRPr="00D354E6">
        <w:rPr>
          <w:sz w:val="22"/>
          <w:szCs w:val="22"/>
          <w:lang w:val="en-US"/>
        </w:rPr>
        <w:t xml:space="preserve"> of financial instruments on the basis of ISO 10962. The reasons for this should be documented internally, but should not be included in the </w:t>
      </w:r>
      <w:r w:rsidR="0043598E">
        <w:rPr>
          <w:sz w:val="22"/>
          <w:szCs w:val="22"/>
          <w:lang w:val="en-US"/>
        </w:rPr>
        <w:t xml:space="preserve">order </w:t>
      </w:r>
      <w:r w:rsidRPr="00D354E6">
        <w:rPr>
          <w:sz w:val="22"/>
          <w:szCs w:val="22"/>
          <w:lang w:val="en-US"/>
        </w:rPr>
        <w:t xml:space="preserve">execution policy. Disclosure of the internal logic behind the clusters would not add any value for </w:t>
      </w:r>
      <w:r w:rsidR="000A5562" w:rsidRPr="00D354E6">
        <w:rPr>
          <w:sz w:val="22"/>
          <w:szCs w:val="22"/>
          <w:lang w:val="en-US"/>
        </w:rPr>
        <w:t>c</w:t>
      </w:r>
      <w:r w:rsidR="000A5562">
        <w:rPr>
          <w:sz w:val="22"/>
          <w:szCs w:val="22"/>
          <w:lang w:val="en-US"/>
        </w:rPr>
        <w:t>lient</w:t>
      </w:r>
      <w:r w:rsidR="000A5562" w:rsidRPr="00D354E6">
        <w:rPr>
          <w:sz w:val="22"/>
          <w:szCs w:val="22"/>
          <w:lang w:val="en-US"/>
        </w:rPr>
        <w:t>s</w:t>
      </w:r>
      <w:r w:rsidRPr="00D354E6">
        <w:rPr>
          <w:sz w:val="22"/>
          <w:szCs w:val="22"/>
          <w:lang w:val="en-US"/>
        </w:rPr>
        <w:t>. This information would only increase complexity and detract from the important information.</w:t>
      </w:r>
    </w:p>
    <w:p w14:paraId="500DF360" w14:textId="77777777" w:rsidR="00455B2D" w:rsidRPr="00D354E6" w:rsidRDefault="00455B2D" w:rsidP="006F4DAF">
      <w:pPr>
        <w:pStyle w:val="DKFlietext"/>
        <w:rPr>
          <w:sz w:val="22"/>
          <w:szCs w:val="22"/>
          <w:lang w:val="en-US"/>
        </w:rPr>
      </w:pPr>
    </w:p>
    <w:p w14:paraId="0F1BFEAC" w14:textId="77777777" w:rsidR="00455B2D" w:rsidRPr="00D354E6" w:rsidRDefault="00455B2D" w:rsidP="00455B2D">
      <w:pPr>
        <w:widowControl w:val="0"/>
        <w:autoSpaceDE w:val="0"/>
        <w:autoSpaceDN w:val="0"/>
        <w:adjustRightInd w:val="0"/>
        <w:spacing w:before="253" w:line="240" w:lineRule="auto"/>
        <w:ind w:right="176"/>
        <w:jc w:val="both"/>
        <w:rPr>
          <w:rFonts w:cstheme="minorHAnsi"/>
          <w:b/>
          <w:bCs/>
          <w:color w:val="111111"/>
          <w:sz w:val="22"/>
          <w:szCs w:val="22"/>
          <w:lang w:val="en-US"/>
        </w:rPr>
      </w:pPr>
      <w:r w:rsidRPr="00D354E6">
        <w:rPr>
          <w:rFonts w:cstheme="minorHAnsi"/>
          <w:b/>
          <w:bCs/>
          <w:color w:val="111111"/>
          <w:sz w:val="22"/>
          <w:szCs w:val="22"/>
          <w:lang w:val="en-US"/>
        </w:rPr>
        <w:t>Q2: Do you believe that the current wording of the RTS is clear and sufficient with regard to the content of the order execution policy where an investment firm selects only one execution venue to execute all client orders? Or should the RTS provide for specific criteria to be taken into account when assessing if the selected venue achieves the best possible result in the execution of client orders? Please also state the reasons for your answer.</w:t>
      </w:r>
    </w:p>
    <w:p w14:paraId="4005CD4C" w14:textId="77777777" w:rsidR="00455B2D" w:rsidRPr="00D354E6" w:rsidRDefault="00455B2D" w:rsidP="00455B2D">
      <w:pPr>
        <w:rPr>
          <w:rFonts w:cstheme="minorHAnsi"/>
          <w:sz w:val="22"/>
          <w:szCs w:val="22"/>
          <w:highlight w:val="yellow"/>
          <w:lang w:val="en-US"/>
        </w:rPr>
      </w:pPr>
    </w:p>
    <w:p w14:paraId="0C908390" w14:textId="2F2A2C38" w:rsidR="00D354E6" w:rsidRDefault="00455B2D" w:rsidP="00AF79D3">
      <w:pPr>
        <w:rPr>
          <w:rFonts w:cstheme="minorHAnsi"/>
          <w:sz w:val="22"/>
          <w:szCs w:val="22"/>
          <w:lang w:val="en-US"/>
        </w:rPr>
      </w:pPr>
      <w:r w:rsidRPr="00D354E6">
        <w:rPr>
          <w:rFonts w:cstheme="minorHAnsi"/>
          <w:sz w:val="22"/>
          <w:szCs w:val="22"/>
          <w:lang w:val="en-US"/>
        </w:rPr>
        <w:t>Yes, the current wording of the RTS is clear and sufficient with regard to the content of the order execution policy where an investment firm selects only one execution venue to execute all client orders. In particular, the already overly detailed drafted RTS should not provide for specific criteria to be taken into account when assessing if the selected venue achieves the best possible result in the execution of client orders.</w:t>
      </w:r>
    </w:p>
    <w:p w14:paraId="2C3ABE36" w14:textId="77777777" w:rsidR="00AF79D3" w:rsidRDefault="00AF79D3" w:rsidP="00AF79D3">
      <w:pPr>
        <w:rPr>
          <w:rFonts w:cstheme="minorHAnsi"/>
          <w:sz w:val="22"/>
          <w:szCs w:val="22"/>
          <w:lang w:val="en-US"/>
        </w:rPr>
      </w:pPr>
    </w:p>
    <w:p w14:paraId="1F13EF80" w14:textId="5AC0F35A" w:rsidR="00455B2D" w:rsidRPr="00B85906" w:rsidRDefault="00455B2D" w:rsidP="00455B2D">
      <w:pPr>
        <w:rPr>
          <w:sz w:val="22"/>
          <w:szCs w:val="22"/>
          <w:lang w:val="en-US"/>
        </w:rPr>
      </w:pPr>
      <w:r w:rsidRPr="00B85906">
        <w:rPr>
          <w:sz w:val="22"/>
          <w:szCs w:val="22"/>
          <w:lang w:val="en-US"/>
        </w:rPr>
        <w:t>With regard to Art</w:t>
      </w:r>
      <w:r w:rsidR="00556F35">
        <w:rPr>
          <w:sz w:val="22"/>
          <w:szCs w:val="22"/>
          <w:lang w:val="en-US"/>
        </w:rPr>
        <w:t>icle</w:t>
      </w:r>
      <w:r w:rsidRPr="00B85906">
        <w:rPr>
          <w:sz w:val="22"/>
          <w:szCs w:val="22"/>
          <w:lang w:val="en-US"/>
        </w:rPr>
        <w:t xml:space="preserve"> 3 we propose the following amendments:</w:t>
      </w:r>
    </w:p>
    <w:p w14:paraId="5AD7C037" w14:textId="7848DA58" w:rsidR="00455B2D" w:rsidRPr="00D354E6" w:rsidRDefault="00455B2D" w:rsidP="00455B2D">
      <w:pPr>
        <w:rPr>
          <w:rFonts w:cstheme="minorHAnsi"/>
          <w:sz w:val="22"/>
          <w:szCs w:val="22"/>
          <w:lang w:val="en-US"/>
        </w:rPr>
      </w:pPr>
    </w:p>
    <w:p w14:paraId="587DEF78" w14:textId="5E77F8F5" w:rsidR="00455B2D" w:rsidRPr="00D354E6" w:rsidRDefault="00455B2D" w:rsidP="00455B2D">
      <w:pPr>
        <w:rPr>
          <w:rFonts w:cstheme="minorHAnsi"/>
          <w:sz w:val="22"/>
          <w:szCs w:val="22"/>
          <w:lang w:val="en-US"/>
        </w:rPr>
      </w:pPr>
      <w:r w:rsidRPr="00455B2D">
        <w:rPr>
          <w:rFonts w:cstheme="minorHAnsi"/>
          <w:sz w:val="22"/>
          <w:szCs w:val="22"/>
          <w:lang w:val="en-US"/>
        </w:rPr>
        <w:lastRenderedPageBreak/>
        <w:t xml:space="preserve">Article 3 (1) should be deleted. The </w:t>
      </w:r>
      <w:r w:rsidR="0043598E">
        <w:rPr>
          <w:rFonts w:cstheme="minorHAnsi"/>
          <w:sz w:val="22"/>
          <w:szCs w:val="22"/>
          <w:lang w:val="en-US"/>
        </w:rPr>
        <w:t xml:space="preserve">order </w:t>
      </w:r>
      <w:r w:rsidRPr="00455B2D">
        <w:rPr>
          <w:rFonts w:cstheme="minorHAnsi"/>
          <w:sz w:val="22"/>
          <w:szCs w:val="22"/>
          <w:lang w:val="en-US"/>
        </w:rPr>
        <w:t>execution policy should give c</w:t>
      </w:r>
      <w:r w:rsidR="000A5562">
        <w:rPr>
          <w:rFonts w:cstheme="minorHAnsi"/>
          <w:sz w:val="22"/>
          <w:szCs w:val="22"/>
          <w:lang w:val="en-US"/>
        </w:rPr>
        <w:t>lients</w:t>
      </w:r>
      <w:r w:rsidRPr="00455B2D">
        <w:rPr>
          <w:rFonts w:cstheme="minorHAnsi"/>
          <w:sz w:val="22"/>
          <w:szCs w:val="22"/>
          <w:lang w:val="en-US"/>
        </w:rPr>
        <w:t xml:space="preserve"> a meaningful overview of the aspects that are important to them and relevant to their decision-making. Internal organizational processes are not among them. Neither information on internal </w:t>
      </w:r>
      <w:r w:rsidR="00D3300C">
        <w:rPr>
          <w:rFonts w:cstheme="minorHAnsi"/>
          <w:sz w:val="22"/>
          <w:szCs w:val="22"/>
          <w:lang w:val="en-US"/>
        </w:rPr>
        <w:t>‘</w:t>
      </w:r>
      <w:r w:rsidRPr="00455B2D">
        <w:rPr>
          <w:rFonts w:cstheme="minorHAnsi"/>
          <w:i/>
          <w:iCs/>
          <w:sz w:val="22"/>
          <w:szCs w:val="22"/>
          <w:lang w:val="en-US"/>
        </w:rPr>
        <w:t>governance procedures</w:t>
      </w:r>
      <w:r w:rsidR="00D3300C">
        <w:rPr>
          <w:rFonts w:cstheme="minorHAnsi"/>
          <w:i/>
          <w:iCs/>
          <w:sz w:val="22"/>
          <w:szCs w:val="22"/>
          <w:lang w:val="en-US"/>
        </w:rPr>
        <w:t>’</w:t>
      </w:r>
      <w:r w:rsidRPr="00455B2D">
        <w:rPr>
          <w:rFonts w:cstheme="minorHAnsi"/>
          <w:sz w:val="22"/>
          <w:szCs w:val="22"/>
          <w:lang w:val="en-US"/>
        </w:rPr>
        <w:t xml:space="preserve"> nor on measures to ensure the selection of </w:t>
      </w:r>
      <w:r w:rsidR="00E8276A" w:rsidRPr="00455B2D">
        <w:rPr>
          <w:rFonts w:cstheme="minorHAnsi"/>
          <w:sz w:val="22"/>
          <w:szCs w:val="22"/>
          <w:lang w:val="en-US"/>
        </w:rPr>
        <w:t>approved</w:t>
      </w:r>
      <w:r w:rsidRPr="00455B2D">
        <w:rPr>
          <w:rFonts w:cstheme="minorHAnsi"/>
          <w:sz w:val="22"/>
          <w:szCs w:val="22"/>
          <w:lang w:val="en-US"/>
        </w:rPr>
        <w:t xml:space="preserve"> execution venues is of interest to c</w:t>
      </w:r>
      <w:r w:rsidR="000A5562">
        <w:rPr>
          <w:rFonts w:cstheme="minorHAnsi"/>
          <w:sz w:val="22"/>
          <w:szCs w:val="22"/>
          <w:lang w:val="en-US"/>
        </w:rPr>
        <w:t>lients</w:t>
      </w:r>
      <w:r w:rsidRPr="00455B2D">
        <w:rPr>
          <w:rFonts w:cstheme="minorHAnsi"/>
          <w:sz w:val="22"/>
          <w:szCs w:val="22"/>
          <w:lang w:val="en-US"/>
        </w:rPr>
        <w:t>.</w:t>
      </w:r>
    </w:p>
    <w:p w14:paraId="2922A6C5" w14:textId="77777777" w:rsidR="00455B2D" w:rsidRPr="00D354E6" w:rsidRDefault="00455B2D" w:rsidP="00455B2D">
      <w:pPr>
        <w:rPr>
          <w:rFonts w:cstheme="minorHAnsi"/>
          <w:sz w:val="22"/>
          <w:szCs w:val="22"/>
          <w:lang w:val="en-US"/>
        </w:rPr>
      </w:pPr>
    </w:p>
    <w:p w14:paraId="360389F3" w14:textId="1AC80286" w:rsidR="00455B2D" w:rsidRPr="00455B2D" w:rsidRDefault="00455B2D" w:rsidP="00455B2D">
      <w:pPr>
        <w:rPr>
          <w:rFonts w:cstheme="minorHAnsi"/>
          <w:sz w:val="22"/>
          <w:szCs w:val="22"/>
          <w:lang w:val="en-US"/>
        </w:rPr>
      </w:pPr>
      <w:r w:rsidRPr="00455B2D">
        <w:rPr>
          <w:rFonts w:cstheme="minorHAnsi"/>
          <w:sz w:val="22"/>
          <w:szCs w:val="22"/>
          <w:lang w:val="en-US"/>
        </w:rPr>
        <w:t>Article 3 (2) should make clear that the list of details of the selected execution venues – as set out in the</w:t>
      </w:r>
      <w:r w:rsidR="001B0D99">
        <w:rPr>
          <w:rFonts w:cstheme="minorHAnsi"/>
          <w:sz w:val="22"/>
          <w:szCs w:val="22"/>
          <w:lang w:val="en-US"/>
        </w:rPr>
        <w:t xml:space="preserve"> order</w:t>
      </w:r>
      <w:r w:rsidRPr="00455B2D">
        <w:rPr>
          <w:rFonts w:cstheme="minorHAnsi"/>
          <w:sz w:val="22"/>
          <w:szCs w:val="22"/>
          <w:lang w:val="en-US"/>
        </w:rPr>
        <w:t xml:space="preserve"> execution policy – is to be created for internal documentation purposes only and is not to be published. We see no tangible benefit for c</w:t>
      </w:r>
      <w:r w:rsidR="000A5562">
        <w:rPr>
          <w:rFonts w:cstheme="minorHAnsi"/>
          <w:sz w:val="22"/>
          <w:szCs w:val="22"/>
          <w:lang w:val="en-US"/>
        </w:rPr>
        <w:t>lients</w:t>
      </w:r>
      <w:r w:rsidRPr="00455B2D">
        <w:rPr>
          <w:rFonts w:cstheme="minorHAnsi"/>
          <w:sz w:val="22"/>
          <w:szCs w:val="22"/>
          <w:lang w:val="en-US"/>
        </w:rPr>
        <w:t xml:space="preserve"> in the requirement to provide a wide range of information for each execution venue in </w:t>
      </w:r>
      <w:r w:rsidRPr="00C952D1">
        <w:rPr>
          <w:rFonts w:cstheme="minorHAnsi"/>
          <w:sz w:val="22"/>
          <w:szCs w:val="22"/>
          <w:lang w:val="en-US"/>
        </w:rPr>
        <w:t xml:space="preserve">the </w:t>
      </w:r>
      <w:r w:rsidR="00C83905" w:rsidRPr="00C952D1">
        <w:rPr>
          <w:rFonts w:cstheme="minorHAnsi"/>
          <w:sz w:val="22"/>
          <w:szCs w:val="22"/>
          <w:lang w:val="en-US"/>
        </w:rPr>
        <w:t>order</w:t>
      </w:r>
      <w:r w:rsidRPr="00C952D1">
        <w:rPr>
          <w:rFonts w:cstheme="minorHAnsi"/>
          <w:sz w:val="22"/>
          <w:szCs w:val="22"/>
          <w:lang w:val="en-US"/>
        </w:rPr>
        <w:t xml:space="preserve"> execution policy. This</w:t>
      </w:r>
      <w:r w:rsidRPr="00455B2D">
        <w:rPr>
          <w:rFonts w:cstheme="minorHAnsi"/>
          <w:sz w:val="22"/>
          <w:szCs w:val="22"/>
          <w:lang w:val="en-US"/>
        </w:rPr>
        <w:t xml:space="preserve"> would not improve c</w:t>
      </w:r>
      <w:r w:rsidR="000A5562">
        <w:rPr>
          <w:rFonts w:cstheme="minorHAnsi"/>
          <w:sz w:val="22"/>
          <w:szCs w:val="22"/>
          <w:lang w:val="en-US"/>
        </w:rPr>
        <w:t>lient</w:t>
      </w:r>
      <w:r w:rsidRPr="00455B2D">
        <w:rPr>
          <w:rFonts w:cstheme="minorHAnsi"/>
          <w:sz w:val="22"/>
          <w:szCs w:val="22"/>
          <w:lang w:val="en-US"/>
        </w:rPr>
        <w:t xml:space="preserve"> experience or c</w:t>
      </w:r>
      <w:r w:rsidR="000A5562">
        <w:rPr>
          <w:rFonts w:cstheme="minorHAnsi"/>
          <w:sz w:val="22"/>
          <w:szCs w:val="22"/>
          <w:lang w:val="en-US"/>
        </w:rPr>
        <w:t>lient</w:t>
      </w:r>
      <w:r w:rsidRPr="00455B2D">
        <w:rPr>
          <w:rFonts w:cstheme="minorHAnsi"/>
          <w:sz w:val="22"/>
          <w:szCs w:val="22"/>
          <w:lang w:val="en-US"/>
        </w:rPr>
        <w:t xml:space="preserve"> protection. Instead, this </w:t>
      </w:r>
      <w:r w:rsidR="00E8276A">
        <w:rPr>
          <w:rFonts w:cstheme="minorHAnsi"/>
          <w:sz w:val="22"/>
          <w:szCs w:val="22"/>
          <w:lang w:val="en-US"/>
        </w:rPr>
        <w:t>abundance</w:t>
      </w:r>
      <w:r w:rsidRPr="00455B2D">
        <w:rPr>
          <w:rFonts w:cstheme="minorHAnsi"/>
          <w:sz w:val="22"/>
          <w:szCs w:val="22"/>
          <w:lang w:val="en-US"/>
        </w:rPr>
        <w:t xml:space="preserve"> of detail could lead to unnecessary complexity and confusion.</w:t>
      </w:r>
    </w:p>
    <w:p w14:paraId="1DED5EBA" w14:textId="5060F969" w:rsidR="00455B2D" w:rsidRPr="00D354E6" w:rsidRDefault="00455B2D" w:rsidP="00455B2D">
      <w:pPr>
        <w:rPr>
          <w:rFonts w:cstheme="minorHAnsi"/>
          <w:sz w:val="22"/>
          <w:szCs w:val="22"/>
          <w:lang w:val="en-US"/>
        </w:rPr>
      </w:pPr>
    </w:p>
    <w:p w14:paraId="1BB1EF04" w14:textId="77777777" w:rsidR="00455B2D" w:rsidRPr="00D354E6" w:rsidRDefault="00455B2D" w:rsidP="00D354E6">
      <w:pPr>
        <w:widowControl w:val="0"/>
        <w:autoSpaceDE w:val="0"/>
        <w:autoSpaceDN w:val="0"/>
        <w:adjustRightInd w:val="0"/>
        <w:spacing w:before="253" w:line="240" w:lineRule="auto"/>
        <w:ind w:right="176"/>
        <w:jc w:val="both"/>
        <w:rPr>
          <w:rFonts w:cstheme="minorHAnsi"/>
          <w:b/>
          <w:bCs/>
          <w:color w:val="111111"/>
          <w:sz w:val="22"/>
          <w:szCs w:val="22"/>
          <w:lang w:val="en-US"/>
        </w:rPr>
      </w:pPr>
      <w:r w:rsidRPr="00D354E6">
        <w:rPr>
          <w:rFonts w:cstheme="minorHAnsi"/>
          <w:b/>
          <w:bCs/>
          <w:color w:val="111111"/>
          <w:sz w:val="22"/>
          <w:szCs w:val="22"/>
          <w:lang w:val="en-US"/>
        </w:rPr>
        <w:t>Q3: Do you agree with the proposed factor of “order sizes” respectively for retail and professional clients, to be considered in investment firms’ selection of eligible execution venues in their order execution policy and internal execution arrangements (see Article 4(1)(d)(</w:t>
      </w:r>
      <w:proofErr w:type="spellStart"/>
      <w:r w:rsidRPr="00D354E6">
        <w:rPr>
          <w:rFonts w:cstheme="minorHAnsi"/>
          <w:b/>
          <w:bCs/>
          <w:color w:val="111111"/>
          <w:sz w:val="22"/>
          <w:szCs w:val="22"/>
          <w:lang w:val="en-US"/>
        </w:rPr>
        <w:t>i</w:t>
      </w:r>
      <w:proofErr w:type="spellEnd"/>
      <w:r w:rsidRPr="00D354E6">
        <w:rPr>
          <w:rFonts w:cstheme="minorHAnsi"/>
          <w:b/>
          <w:bCs/>
          <w:color w:val="111111"/>
          <w:sz w:val="22"/>
          <w:szCs w:val="22"/>
          <w:lang w:val="en-US"/>
        </w:rPr>
        <w:t>) and ii) of the draft RTS)? If not, what alternative factor would you propose?</w:t>
      </w:r>
    </w:p>
    <w:p w14:paraId="142B386F" w14:textId="77777777" w:rsidR="00455B2D" w:rsidRPr="00D354E6" w:rsidRDefault="00455B2D" w:rsidP="00455B2D">
      <w:pPr>
        <w:rPr>
          <w:rFonts w:cstheme="minorHAnsi"/>
          <w:sz w:val="22"/>
          <w:szCs w:val="22"/>
          <w:lang w:val="en-US"/>
        </w:rPr>
      </w:pPr>
    </w:p>
    <w:p w14:paraId="5DEF8A3C" w14:textId="472DCA52" w:rsidR="0043598E" w:rsidRDefault="00455B2D" w:rsidP="00455B2D">
      <w:pPr>
        <w:rPr>
          <w:rFonts w:cstheme="minorHAnsi"/>
          <w:sz w:val="22"/>
          <w:szCs w:val="22"/>
          <w:lang w:val="en-US"/>
        </w:rPr>
      </w:pPr>
      <w:r w:rsidRPr="00455B2D">
        <w:rPr>
          <w:rFonts w:cstheme="minorHAnsi"/>
          <w:sz w:val="22"/>
          <w:szCs w:val="22"/>
          <w:lang w:val="en-US"/>
        </w:rPr>
        <w:t xml:space="preserve">No, we do not agree with the proposed factor </w:t>
      </w:r>
      <w:r w:rsidR="00D3300C">
        <w:rPr>
          <w:rFonts w:cstheme="minorHAnsi"/>
          <w:sz w:val="22"/>
          <w:szCs w:val="22"/>
          <w:lang w:val="en-US"/>
        </w:rPr>
        <w:t>‘</w:t>
      </w:r>
      <w:r w:rsidRPr="00455B2D">
        <w:rPr>
          <w:rFonts w:cstheme="minorHAnsi"/>
          <w:sz w:val="22"/>
          <w:szCs w:val="22"/>
          <w:lang w:val="en-US"/>
        </w:rPr>
        <w:t>or</w:t>
      </w:r>
      <w:r w:rsidR="00B85906">
        <w:rPr>
          <w:rFonts w:cstheme="minorHAnsi"/>
          <w:sz w:val="22"/>
          <w:szCs w:val="22"/>
          <w:lang w:val="en-US"/>
        </w:rPr>
        <w:t>der</w:t>
      </w:r>
      <w:r w:rsidRPr="00455B2D">
        <w:rPr>
          <w:rFonts w:cstheme="minorHAnsi"/>
          <w:sz w:val="22"/>
          <w:szCs w:val="22"/>
          <w:lang w:val="en-US"/>
        </w:rPr>
        <w:t xml:space="preserve"> sizes</w:t>
      </w:r>
      <w:r w:rsidR="00D3300C">
        <w:rPr>
          <w:rFonts w:cstheme="minorHAnsi"/>
          <w:sz w:val="22"/>
          <w:szCs w:val="22"/>
          <w:lang w:val="en-US"/>
        </w:rPr>
        <w:t>’</w:t>
      </w:r>
      <w:r w:rsidRPr="00455B2D">
        <w:rPr>
          <w:rFonts w:cstheme="minorHAnsi"/>
          <w:sz w:val="22"/>
          <w:szCs w:val="22"/>
          <w:lang w:val="en-US"/>
        </w:rPr>
        <w:t xml:space="preserve"> for private and professional clients. Although differentiation by order size can be useful in principle, it should be independent of the client groups. Investment firms must be able to determine this independently. Article 4(1)(d)(</w:t>
      </w:r>
      <w:proofErr w:type="spellStart"/>
      <w:r w:rsidRPr="00455B2D">
        <w:rPr>
          <w:rFonts w:cstheme="minorHAnsi"/>
          <w:sz w:val="22"/>
          <w:szCs w:val="22"/>
          <w:lang w:val="en-US"/>
        </w:rPr>
        <w:t>i</w:t>
      </w:r>
      <w:proofErr w:type="spellEnd"/>
      <w:r w:rsidRPr="00455B2D">
        <w:rPr>
          <w:rFonts w:cstheme="minorHAnsi"/>
          <w:sz w:val="22"/>
          <w:szCs w:val="22"/>
          <w:lang w:val="en-US"/>
        </w:rPr>
        <w:t>) and Article 4(1)(d)(ii) should be deleted.</w:t>
      </w:r>
      <w:r w:rsidRPr="00455B2D">
        <w:rPr>
          <w:rFonts w:cstheme="minorHAnsi"/>
          <w:sz w:val="22"/>
          <w:szCs w:val="22"/>
          <w:lang w:val="en-US"/>
        </w:rPr>
        <w:br/>
      </w:r>
      <w:r w:rsidRPr="00455B2D">
        <w:rPr>
          <w:rFonts w:cstheme="minorHAnsi"/>
          <w:sz w:val="22"/>
          <w:szCs w:val="22"/>
          <w:lang w:val="en-US"/>
        </w:rPr>
        <w:br/>
        <w:t xml:space="preserve">The term commonly used in the securities business is </w:t>
      </w:r>
      <w:r w:rsidR="00D3300C">
        <w:rPr>
          <w:rFonts w:cstheme="minorHAnsi"/>
          <w:sz w:val="22"/>
          <w:szCs w:val="22"/>
          <w:lang w:val="en-US"/>
        </w:rPr>
        <w:t>‘</w:t>
      </w:r>
      <w:r w:rsidRPr="00455B2D">
        <w:rPr>
          <w:rFonts w:cstheme="minorHAnsi"/>
          <w:i/>
          <w:iCs/>
          <w:sz w:val="22"/>
          <w:szCs w:val="22"/>
          <w:lang w:val="en-US"/>
        </w:rPr>
        <w:t>order size</w:t>
      </w:r>
      <w:r w:rsidR="00D3300C">
        <w:rPr>
          <w:rFonts w:cstheme="minorHAnsi"/>
          <w:i/>
          <w:iCs/>
          <w:sz w:val="22"/>
          <w:szCs w:val="22"/>
          <w:lang w:val="en-US"/>
        </w:rPr>
        <w:t>’</w:t>
      </w:r>
      <w:r w:rsidRPr="00455B2D">
        <w:rPr>
          <w:rFonts w:cstheme="minorHAnsi"/>
          <w:sz w:val="22"/>
          <w:szCs w:val="22"/>
          <w:lang w:val="en-US"/>
        </w:rPr>
        <w:t xml:space="preserve">. This term should replace the ambiguous term </w:t>
      </w:r>
      <w:r w:rsidR="00D3300C">
        <w:rPr>
          <w:rFonts w:cstheme="minorHAnsi"/>
          <w:sz w:val="22"/>
          <w:szCs w:val="22"/>
          <w:lang w:val="en-US"/>
        </w:rPr>
        <w:t>‘</w:t>
      </w:r>
      <w:r w:rsidRPr="00455B2D">
        <w:rPr>
          <w:rFonts w:cstheme="minorHAnsi"/>
          <w:i/>
          <w:iCs/>
          <w:sz w:val="22"/>
          <w:szCs w:val="22"/>
          <w:lang w:val="en-US"/>
        </w:rPr>
        <w:t>investment amount</w:t>
      </w:r>
      <w:r w:rsidR="00D3300C">
        <w:rPr>
          <w:rFonts w:cstheme="minorHAnsi"/>
          <w:i/>
          <w:iCs/>
          <w:sz w:val="22"/>
          <w:szCs w:val="22"/>
          <w:lang w:val="en-US"/>
        </w:rPr>
        <w:t>’</w:t>
      </w:r>
      <w:r w:rsidRPr="00455B2D">
        <w:rPr>
          <w:rFonts w:cstheme="minorHAnsi"/>
          <w:sz w:val="22"/>
          <w:szCs w:val="22"/>
          <w:lang w:val="en-US"/>
        </w:rPr>
        <w:t xml:space="preserve"> in Article 4(1)(c). Article 4(1)(d) should be limited to the </w:t>
      </w:r>
      <w:r w:rsidR="00D3300C">
        <w:rPr>
          <w:rFonts w:cstheme="minorHAnsi"/>
          <w:sz w:val="22"/>
          <w:szCs w:val="22"/>
          <w:lang w:val="en-US"/>
        </w:rPr>
        <w:t>‘</w:t>
      </w:r>
      <w:r w:rsidRPr="00455B2D">
        <w:rPr>
          <w:rFonts w:cstheme="minorHAnsi"/>
          <w:i/>
          <w:iCs/>
          <w:sz w:val="22"/>
          <w:szCs w:val="22"/>
          <w:lang w:val="en-US"/>
        </w:rPr>
        <w:t>typical frequency of orders from its clients</w:t>
      </w:r>
      <w:r w:rsidR="00D3300C">
        <w:rPr>
          <w:rFonts w:cstheme="minorHAnsi"/>
          <w:i/>
          <w:iCs/>
          <w:sz w:val="22"/>
          <w:szCs w:val="22"/>
          <w:lang w:val="en-US"/>
        </w:rPr>
        <w:t>’</w:t>
      </w:r>
      <w:r w:rsidRPr="00455B2D">
        <w:rPr>
          <w:rFonts w:cstheme="minorHAnsi"/>
          <w:sz w:val="22"/>
          <w:szCs w:val="22"/>
          <w:lang w:val="en-US"/>
        </w:rPr>
        <w:t>.</w:t>
      </w:r>
      <w:r w:rsidRPr="00455B2D">
        <w:rPr>
          <w:rFonts w:cstheme="minorHAnsi"/>
          <w:sz w:val="22"/>
          <w:szCs w:val="22"/>
          <w:lang w:val="en-US"/>
        </w:rPr>
        <w:br/>
      </w:r>
    </w:p>
    <w:p w14:paraId="1B79C012" w14:textId="73869B28" w:rsidR="0043598E" w:rsidRDefault="0043598E" w:rsidP="00455B2D">
      <w:pPr>
        <w:rPr>
          <w:rFonts w:cstheme="minorHAnsi"/>
          <w:sz w:val="22"/>
          <w:szCs w:val="22"/>
          <w:lang w:val="en-US"/>
        </w:rPr>
      </w:pPr>
      <w:r>
        <w:rPr>
          <w:rFonts w:cstheme="minorHAnsi"/>
          <w:sz w:val="22"/>
          <w:szCs w:val="22"/>
          <w:lang w:val="en-US"/>
        </w:rPr>
        <w:t xml:space="preserve">In addition, we </w:t>
      </w:r>
      <w:r w:rsidRPr="00455B2D">
        <w:rPr>
          <w:rFonts w:cstheme="minorHAnsi"/>
          <w:sz w:val="22"/>
          <w:szCs w:val="22"/>
          <w:lang w:val="en-US"/>
        </w:rPr>
        <w:t xml:space="preserve">assume that real-time data does not need to be used to determine the best possible result for the </w:t>
      </w:r>
      <w:r w:rsidR="00D3300C">
        <w:rPr>
          <w:rFonts w:cstheme="minorHAnsi"/>
          <w:sz w:val="22"/>
          <w:szCs w:val="22"/>
          <w:lang w:val="en-US"/>
        </w:rPr>
        <w:t>‘</w:t>
      </w:r>
      <w:r w:rsidRPr="00455B2D">
        <w:rPr>
          <w:rFonts w:cstheme="minorHAnsi"/>
          <w:i/>
          <w:iCs/>
          <w:sz w:val="22"/>
          <w:szCs w:val="22"/>
          <w:lang w:val="en-US"/>
        </w:rPr>
        <w:t>criterion of price</w:t>
      </w:r>
      <w:r w:rsidR="00D3300C">
        <w:rPr>
          <w:rFonts w:cstheme="minorHAnsi"/>
          <w:sz w:val="22"/>
          <w:szCs w:val="22"/>
          <w:lang w:val="en-US"/>
        </w:rPr>
        <w:t>’</w:t>
      </w:r>
      <w:r w:rsidRPr="00455B2D">
        <w:rPr>
          <w:rFonts w:cstheme="minorHAnsi"/>
          <w:sz w:val="22"/>
          <w:szCs w:val="22"/>
          <w:lang w:val="en-US"/>
        </w:rPr>
        <w:t xml:space="preserve">. Rather, it should be possible to use historical data. Otherwise, this would be an implicit introduction of the obligation to create a dynamic </w:t>
      </w:r>
      <w:r w:rsidR="00C83905">
        <w:rPr>
          <w:rFonts w:cstheme="minorHAnsi"/>
          <w:sz w:val="22"/>
          <w:szCs w:val="22"/>
          <w:lang w:val="en-US"/>
        </w:rPr>
        <w:t>order</w:t>
      </w:r>
      <w:r w:rsidRPr="00455B2D">
        <w:rPr>
          <w:rFonts w:cstheme="minorHAnsi"/>
          <w:sz w:val="22"/>
          <w:szCs w:val="22"/>
          <w:lang w:val="en-US"/>
        </w:rPr>
        <w:t xml:space="preserve"> execution policy.</w:t>
      </w:r>
    </w:p>
    <w:p w14:paraId="2A6F1F6C" w14:textId="49DB9522" w:rsidR="00455B2D" w:rsidRPr="00455B2D" w:rsidRDefault="00455B2D" w:rsidP="00455B2D">
      <w:pPr>
        <w:rPr>
          <w:rFonts w:cstheme="minorHAnsi"/>
          <w:sz w:val="22"/>
          <w:szCs w:val="22"/>
          <w:lang w:val="en-US"/>
        </w:rPr>
      </w:pPr>
      <w:r w:rsidRPr="00455B2D">
        <w:rPr>
          <w:rFonts w:cstheme="minorHAnsi"/>
          <w:sz w:val="22"/>
          <w:szCs w:val="22"/>
          <w:lang w:val="en-US"/>
        </w:rPr>
        <w:br/>
        <w:t>Overall, the approach to selecting execution venues (Art</w:t>
      </w:r>
      <w:r w:rsidR="00556F35">
        <w:rPr>
          <w:rFonts w:cstheme="minorHAnsi"/>
          <w:sz w:val="22"/>
          <w:szCs w:val="22"/>
          <w:lang w:val="en-US"/>
        </w:rPr>
        <w:t>icle</w:t>
      </w:r>
      <w:r w:rsidRPr="00455B2D">
        <w:rPr>
          <w:rFonts w:cstheme="minorHAnsi"/>
          <w:sz w:val="22"/>
          <w:szCs w:val="22"/>
          <w:lang w:val="en-US"/>
        </w:rPr>
        <w:t xml:space="preserve"> 4) places a considerable burden on </w:t>
      </w:r>
      <w:r w:rsidR="0043598E">
        <w:rPr>
          <w:rFonts w:cstheme="minorHAnsi"/>
          <w:sz w:val="22"/>
          <w:szCs w:val="22"/>
          <w:lang w:val="en-US"/>
        </w:rPr>
        <w:t xml:space="preserve">establishing </w:t>
      </w:r>
      <w:r w:rsidRPr="00455B2D">
        <w:rPr>
          <w:rFonts w:cstheme="minorHAnsi"/>
          <w:sz w:val="22"/>
          <w:szCs w:val="22"/>
          <w:lang w:val="en-US"/>
        </w:rPr>
        <w:t xml:space="preserve">an </w:t>
      </w:r>
      <w:r w:rsidR="0043598E">
        <w:rPr>
          <w:rFonts w:cstheme="minorHAnsi"/>
          <w:sz w:val="22"/>
          <w:szCs w:val="22"/>
          <w:lang w:val="en-US"/>
        </w:rPr>
        <w:t xml:space="preserve">order </w:t>
      </w:r>
      <w:r w:rsidRPr="00455B2D">
        <w:rPr>
          <w:rFonts w:cstheme="minorHAnsi"/>
          <w:sz w:val="22"/>
          <w:szCs w:val="22"/>
          <w:lang w:val="en-US"/>
        </w:rPr>
        <w:t>execution policy without providing any recognizable added value for the c</w:t>
      </w:r>
      <w:r w:rsidR="000A5562">
        <w:rPr>
          <w:rFonts w:cstheme="minorHAnsi"/>
          <w:sz w:val="22"/>
          <w:szCs w:val="22"/>
          <w:lang w:val="en-US"/>
        </w:rPr>
        <w:t>lient</w:t>
      </w:r>
      <w:r w:rsidRPr="00455B2D">
        <w:rPr>
          <w:rFonts w:cstheme="minorHAnsi"/>
          <w:sz w:val="22"/>
          <w:szCs w:val="22"/>
          <w:lang w:val="en-US"/>
        </w:rPr>
        <w:t>.</w:t>
      </w:r>
    </w:p>
    <w:p w14:paraId="334D1A58" w14:textId="5C3F4DC1" w:rsidR="00D354E6" w:rsidRDefault="00D354E6">
      <w:pPr>
        <w:spacing w:line="240" w:lineRule="auto"/>
        <w:rPr>
          <w:rFonts w:cstheme="minorHAnsi"/>
          <w:sz w:val="22"/>
          <w:szCs w:val="22"/>
          <w:lang w:val="en-US"/>
        </w:rPr>
      </w:pPr>
      <w:r>
        <w:rPr>
          <w:rFonts w:cstheme="minorHAnsi"/>
          <w:sz w:val="22"/>
          <w:szCs w:val="22"/>
          <w:lang w:val="en-US"/>
        </w:rPr>
        <w:br w:type="page"/>
      </w:r>
    </w:p>
    <w:p w14:paraId="4D1AF51A" w14:textId="77777777" w:rsidR="00455B2D" w:rsidRPr="00455B2D" w:rsidRDefault="00455B2D" w:rsidP="00D354E6">
      <w:pPr>
        <w:widowControl w:val="0"/>
        <w:autoSpaceDE w:val="0"/>
        <w:autoSpaceDN w:val="0"/>
        <w:adjustRightInd w:val="0"/>
        <w:spacing w:before="253" w:line="240" w:lineRule="auto"/>
        <w:ind w:right="176"/>
        <w:jc w:val="both"/>
        <w:rPr>
          <w:rFonts w:cstheme="minorHAnsi"/>
          <w:b/>
          <w:bCs/>
          <w:sz w:val="22"/>
          <w:szCs w:val="22"/>
          <w:lang w:val="en-US"/>
        </w:rPr>
      </w:pPr>
      <w:r w:rsidRPr="00455B2D">
        <w:rPr>
          <w:rFonts w:cstheme="minorHAnsi"/>
          <w:b/>
          <w:bCs/>
          <w:sz w:val="22"/>
          <w:szCs w:val="22"/>
          <w:lang w:val="en-US"/>
        </w:rPr>
        <w:lastRenderedPageBreak/>
        <w:t>Q4: Do you agree with ESMA’s proposals for the specification of the criteria for establishing and assessing the effectiveness of investment firms’ order execution policies? Please also state the reasons for your answer.</w:t>
      </w:r>
    </w:p>
    <w:p w14:paraId="1E39D09F" w14:textId="77777777" w:rsidR="00455B2D" w:rsidRPr="00455B2D" w:rsidRDefault="00455B2D" w:rsidP="00455B2D">
      <w:pPr>
        <w:rPr>
          <w:rFonts w:cstheme="minorHAnsi"/>
          <w:sz w:val="22"/>
          <w:szCs w:val="22"/>
          <w:lang w:val="en-US"/>
        </w:rPr>
      </w:pPr>
    </w:p>
    <w:p w14:paraId="1A6FB9FC" w14:textId="0F1F1CF6" w:rsidR="00455B2D" w:rsidRPr="00455B2D" w:rsidRDefault="00455B2D" w:rsidP="00455B2D">
      <w:pPr>
        <w:rPr>
          <w:rFonts w:cstheme="minorHAnsi"/>
          <w:sz w:val="22"/>
          <w:szCs w:val="22"/>
          <w:lang w:val="en-US"/>
        </w:rPr>
      </w:pPr>
      <w:r w:rsidRPr="00455B2D">
        <w:rPr>
          <w:rFonts w:cstheme="minorHAnsi"/>
          <w:sz w:val="22"/>
          <w:szCs w:val="22"/>
          <w:lang w:val="en-US"/>
        </w:rPr>
        <w:t xml:space="preserve">Recital 16 states that both the </w:t>
      </w:r>
      <w:r w:rsidRPr="00A84128">
        <w:rPr>
          <w:rFonts w:cstheme="minorHAnsi"/>
          <w:sz w:val="22"/>
          <w:szCs w:val="22"/>
          <w:lang w:val="en-US"/>
        </w:rPr>
        <w:t>‘</w:t>
      </w:r>
      <w:r w:rsidRPr="00455B2D">
        <w:rPr>
          <w:rFonts w:cstheme="minorHAnsi"/>
          <w:i/>
          <w:iCs/>
          <w:sz w:val="22"/>
          <w:szCs w:val="22"/>
          <w:lang w:val="en-US"/>
        </w:rPr>
        <w:t>compliance function</w:t>
      </w:r>
      <w:r w:rsidRPr="00455B2D">
        <w:rPr>
          <w:rFonts w:cstheme="minorHAnsi"/>
          <w:sz w:val="22"/>
          <w:szCs w:val="22"/>
          <w:lang w:val="en-US"/>
        </w:rPr>
        <w:t>’ and ‘</w:t>
      </w:r>
      <w:r w:rsidRPr="00455B2D">
        <w:rPr>
          <w:rFonts w:cstheme="minorHAnsi"/>
          <w:i/>
          <w:iCs/>
          <w:sz w:val="22"/>
          <w:szCs w:val="22"/>
          <w:lang w:val="en-US"/>
        </w:rPr>
        <w:t>senior management</w:t>
      </w:r>
      <w:r w:rsidRPr="00455B2D">
        <w:rPr>
          <w:rFonts w:cstheme="minorHAnsi"/>
          <w:sz w:val="22"/>
          <w:szCs w:val="22"/>
          <w:lang w:val="en-US"/>
        </w:rPr>
        <w:t xml:space="preserve">’ should be involved in decisions when determining the </w:t>
      </w:r>
      <w:r w:rsidR="00C83905" w:rsidRPr="00C952D1">
        <w:rPr>
          <w:rFonts w:cstheme="minorHAnsi"/>
          <w:sz w:val="22"/>
          <w:szCs w:val="22"/>
          <w:lang w:val="en-US"/>
        </w:rPr>
        <w:t>order</w:t>
      </w:r>
      <w:r w:rsidRPr="00C952D1">
        <w:rPr>
          <w:rFonts w:cstheme="minorHAnsi"/>
          <w:sz w:val="22"/>
          <w:szCs w:val="22"/>
          <w:lang w:val="en-US"/>
        </w:rPr>
        <w:t xml:space="preserve"> execution policy.</w:t>
      </w:r>
      <w:r w:rsidRPr="00455B2D">
        <w:rPr>
          <w:rFonts w:cstheme="minorHAnsi"/>
          <w:sz w:val="22"/>
          <w:szCs w:val="22"/>
          <w:lang w:val="en-US"/>
        </w:rPr>
        <w:t xml:space="preserve"> This would contradict the requirements for the ‘</w:t>
      </w:r>
      <w:r w:rsidRPr="00455B2D">
        <w:rPr>
          <w:rFonts w:cstheme="minorHAnsi"/>
          <w:i/>
          <w:iCs/>
          <w:sz w:val="22"/>
          <w:szCs w:val="22"/>
          <w:lang w:val="en-US"/>
        </w:rPr>
        <w:t xml:space="preserve">lines of </w:t>
      </w:r>
      <w:r w:rsidR="00B85906" w:rsidRPr="00455B2D">
        <w:rPr>
          <w:rFonts w:cstheme="minorHAnsi"/>
          <w:i/>
          <w:iCs/>
          <w:sz w:val="22"/>
          <w:szCs w:val="22"/>
          <w:lang w:val="en-US"/>
        </w:rPr>
        <w:t>defense</w:t>
      </w:r>
      <w:r w:rsidRPr="00455B2D">
        <w:rPr>
          <w:rFonts w:cstheme="minorHAnsi"/>
          <w:sz w:val="22"/>
          <w:szCs w:val="22"/>
          <w:lang w:val="en-US"/>
        </w:rPr>
        <w:t>’ for the compliance function. The role of the compliance function is limited to advising on the establishment and review of such principles and the associated processes and subsequent monitoring. It should also be possible to delegate the decision-making function by senior management to employees with sufficient knowledge. Recital 16 should be amended accordingly. Art</w:t>
      </w:r>
      <w:r w:rsidR="00556F35">
        <w:rPr>
          <w:rFonts w:cstheme="minorHAnsi"/>
          <w:sz w:val="22"/>
          <w:szCs w:val="22"/>
          <w:lang w:val="en-US"/>
        </w:rPr>
        <w:t>icle</w:t>
      </w:r>
      <w:r w:rsidRPr="00455B2D">
        <w:rPr>
          <w:rFonts w:cstheme="minorHAnsi"/>
          <w:sz w:val="22"/>
          <w:szCs w:val="22"/>
          <w:lang w:val="en-US"/>
        </w:rPr>
        <w:t xml:space="preserve"> 10 (6) and Art</w:t>
      </w:r>
      <w:r w:rsidR="00556F35">
        <w:rPr>
          <w:rFonts w:cstheme="minorHAnsi"/>
          <w:sz w:val="22"/>
          <w:szCs w:val="22"/>
          <w:lang w:val="en-US"/>
        </w:rPr>
        <w:t>icle</w:t>
      </w:r>
      <w:r w:rsidRPr="00455B2D">
        <w:rPr>
          <w:rFonts w:cstheme="minorHAnsi"/>
          <w:sz w:val="22"/>
          <w:szCs w:val="22"/>
          <w:lang w:val="en-US"/>
        </w:rPr>
        <w:t xml:space="preserve"> 9 (7) of the Directive 2017/593 provide a good starting point for an appropriate formulation: senior management and the compliance function do not have a ‘decision-making’ role, but are obliged to carry out ‘oversight’, albeit of a qualitatively different nature. </w:t>
      </w:r>
    </w:p>
    <w:p w14:paraId="43DAF195" w14:textId="33228BA2" w:rsidR="00455B2D" w:rsidRPr="00D354E6" w:rsidRDefault="00455B2D" w:rsidP="00455B2D">
      <w:pPr>
        <w:rPr>
          <w:rFonts w:cstheme="minorHAnsi"/>
          <w:sz w:val="22"/>
          <w:szCs w:val="22"/>
          <w:lang w:val="en-US"/>
        </w:rPr>
      </w:pPr>
    </w:p>
    <w:p w14:paraId="6CF9A34F" w14:textId="14E7A9FD" w:rsidR="00455B2D" w:rsidRPr="00D354E6" w:rsidRDefault="00455B2D" w:rsidP="00455B2D">
      <w:pPr>
        <w:rPr>
          <w:sz w:val="22"/>
          <w:szCs w:val="22"/>
          <w:lang w:val="en-US"/>
        </w:rPr>
      </w:pPr>
      <w:r w:rsidRPr="00D354E6">
        <w:rPr>
          <w:sz w:val="22"/>
          <w:szCs w:val="22"/>
          <w:lang w:val="en-US"/>
        </w:rPr>
        <w:t>With regard to Art</w:t>
      </w:r>
      <w:r w:rsidR="00556F35">
        <w:rPr>
          <w:rFonts w:cstheme="minorHAnsi"/>
          <w:sz w:val="22"/>
          <w:szCs w:val="22"/>
          <w:lang w:val="en-US"/>
        </w:rPr>
        <w:t>icle</w:t>
      </w:r>
      <w:r w:rsidRPr="00D354E6">
        <w:rPr>
          <w:sz w:val="22"/>
          <w:szCs w:val="22"/>
          <w:lang w:val="en-US"/>
        </w:rPr>
        <w:t xml:space="preserve"> 5 we propose the following amendments:</w:t>
      </w:r>
    </w:p>
    <w:p w14:paraId="4F5389D0" w14:textId="0660D16D" w:rsidR="00455B2D" w:rsidRPr="00D354E6" w:rsidRDefault="00455B2D" w:rsidP="00455B2D">
      <w:pPr>
        <w:rPr>
          <w:rFonts w:cstheme="minorHAnsi"/>
          <w:sz w:val="22"/>
          <w:szCs w:val="22"/>
          <w:lang w:val="en-US"/>
        </w:rPr>
      </w:pPr>
    </w:p>
    <w:p w14:paraId="4B4EFB65" w14:textId="5C509A8E" w:rsidR="00455B2D" w:rsidRPr="00D354E6" w:rsidRDefault="00C937AE" w:rsidP="00455B2D">
      <w:pPr>
        <w:rPr>
          <w:rFonts w:cstheme="minorHAnsi"/>
          <w:sz w:val="22"/>
          <w:szCs w:val="22"/>
          <w:lang w:val="en-US"/>
        </w:rPr>
      </w:pPr>
      <w:r w:rsidRPr="00D354E6">
        <w:rPr>
          <w:rFonts w:cstheme="minorHAnsi"/>
          <w:sz w:val="22"/>
          <w:szCs w:val="22"/>
          <w:lang w:val="en-US"/>
        </w:rPr>
        <w:t>Article 5(2)(d) and Article 5(2)(f) are to be deleted. There is no basis for the two paragraphs in Article 27(10) of MiFID II, nor do the contents correspond to the provisions of Article 27(1)</w:t>
      </w:r>
      <w:r w:rsidR="0043598E">
        <w:rPr>
          <w:rFonts w:cstheme="minorHAnsi"/>
          <w:sz w:val="22"/>
          <w:szCs w:val="22"/>
          <w:lang w:val="en-US"/>
        </w:rPr>
        <w:t xml:space="preserve"> and </w:t>
      </w:r>
      <w:r w:rsidRPr="00D354E6">
        <w:rPr>
          <w:rFonts w:cstheme="minorHAnsi"/>
          <w:sz w:val="22"/>
          <w:szCs w:val="22"/>
          <w:lang w:val="en-US"/>
        </w:rPr>
        <w:t>(4) of MiFID II. Pursuant to Article 27(1)</w:t>
      </w:r>
      <w:r w:rsidR="0043598E">
        <w:rPr>
          <w:rFonts w:cstheme="minorHAnsi"/>
          <w:sz w:val="22"/>
          <w:szCs w:val="22"/>
          <w:lang w:val="en-US"/>
        </w:rPr>
        <w:t xml:space="preserve"> and </w:t>
      </w:r>
      <w:r w:rsidRPr="00D354E6">
        <w:rPr>
          <w:rFonts w:cstheme="minorHAnsi"/>
          <w:sz w:val="22"/>
          <w:szCs w:val="22"/>
          <w:lang w:val="en-US"/>
        </w:rPr>
        <w:t xml:space="preserve">(4) MiFID II, investment firms are obliged to take sufficient steps in the sense of </w:t>
      </w:r>
      <w:r w:rsidR="00B85906" w:rsidRPr="00D354E6">
        <w:rPr>
          <w:rFonts w:cstheme="minorHAnsi"/>
          <w:sz w:val="22"/>
          <w:szCs w:val="22"/>
          <w:lang w:val="en-US"/>
        </w:rPr>
        <w:t>organizational</w:t>
      </w:r>
      <w:r w:rsidRPr="00D354E6">
        <w:rPr>
          <w:rFonts w:cstheme="minorHAnsi"/>
          <w:sz w:val="22"/>
          <w:szCs w:val="22"/>
          <w:lang w:val="en-US"/>
        </w:rPr>
        <w:t xml:space="preserve"> precautions to ensure that clients generally receive the best possible result when executing</w:t>
      </w:r>
      <w:r w:rsidR="0043598E">
        <w:rPr>
          <w:rFonts w:cstheme="minorHAnsi"/>
          <w:sz w:val="22"/>
          <w:szCs w:val="22"/>
          <w:lang w:val="en-US"/>
        </w:rPr>
        <w:t xml:space="preserve"> client</w:t>
      </w:r>
      <w:r w:rsidRPr="00D354E6">
        <w:rPr>
          <w:rFonts w:cstheme="minorHAnsi"/>
          <w:sz w:val="22"/>
          <w:szCs w:val="22"/>
          <w:lang w:val="en-US"/>
        </w:rPr>
        <w:t xml:space="preserve"> orders. However, there is no </w:t>
      </w:r>
      <w:r w:rsidR="00331517">
        <w:rPr>
          <w:rFonts w:cstheme="minorHAnsi"/>
          <w:sz w:val="22"/>
          <w:szCs w:val="22"/>
          <w:lang w:val="en-US"/>
        </w:rPr>
        <w:t>legal basis,</w:t>
      </w:r>
      <w:r w:rsidR="00411FF3">
        <w:rPr>
          <w:rFonts w:cstheme="minorHAnsi"/>
          <w:sz w:val="22"/>
          <w:szCs w:val="22"/>
          <w:lang w:val="en-US"/>
        </w:rPr>
        <w:t xml:space="preserve"> </w:t>
      </w:r>
      <w:r w:rsidR="00331517">
        <w:rPr>
          <w:rFonts w:cstheme="minorHAnsi"/>
          <w:sz w:val="22"/>
          <w:szCs w:val="22"/>
          <w:lang w:val="en-US"/>
        </w:rPr>
        <w:t xml:space="preserve">which requires </w:t>
      </w:r>
      <w:r w:rsidRPr="00D354E6">
        <w:rPr>
          <w:rFonts w:cstheme="minorHAnsi"/>
          <w:sz w:val="22"/>
          <w:szCs w:val="22"/>
          <w:lang w:val="en-US"/>
        </w:rPr>
        <w:t>investment firms</w:t>
      </w:r>
      <w:r w:rsidR="00331517">
        <w:rPr>
          <w:rFonts w:cstheme="minorHAnsi"/>
          <w:sz w:val="22"/>
          <w:szCs w:val="22"/>
          <w:lang w:val="en-US"/>
        </w:rPr>
        <w:t xml:space="preserve"> to</w:t>
      </w:r>
      <w:r w:rsidRPr="00D354E6">
        <w:rPr>
          <w:rFonts w:cstheme="minorHAnsi"/>
          <w:sz w:val="22"/>
          <w:szCs w:val="22"/>
          <w:lang w:val="en-US"/>
        </w:rPr>
        <w:t xml:space="preserve"> achieve the best possible result </w:t>
      </w:r>
      <w:r w:rsidR="00331517">
        <w:rPr>
          <w:rFonts w:cstheme="minorHAnsi"/>
          <w:sz w:val="22"/>
          <w:szCs w:val="22"/>
          <w:lang w:val="en-US"/>
        </w:rPr>
        <w:t>for e</w:t>
      </w:r>
      <w:r w:rsidR="00252F25">
        <w:rPr>
          <w:rFonts w:cstheme="minorHAnsi"/>
          <w:sz w:val="22"/>
          <w:szCs w:val="22"/>
          <w:lang w:val="en-US"/>
        </w:rPr>
        <w:t>ach</w:t>
      </w:r>
      <w:r w:rsidR="00331517">
        <w:rPr>
          <w:rFonts w:cstheme="minorHAnsi"/>
          <w:sz w:val="22"/>
          <w:szCs w:val="22"/>
          <w:lang w:val="en-US"/>
        </w:rPr>
        <w:t xml:space="preserve"> </w:t>
      </w:r>
      <w:r w:rsidR="00C83905">
        <w:rPr>
          <w:rFonts w:cstheme="minorHAnsi"/>
          <w:sz w:val="22"/>
          <w:szCs w:val="22"/>
          <w:lang w:val="en-US"/>
        </w:rPr>
        <w:t>individual</w:t>
      </w:r>
      <w:r w:rsidR="0043598E">
        <w:rPr>
          <w:rFonts w:cstheme="minorHAnsi"/>
          <w:sz w:val="22"/>
          <w:szCs w:val="22"/>
          <w:lang w:val="en-US"/>
        </w:rPr>
        <w:t xml:space="preserve"> client </w:t>
      </w:r>
      <w:r w:rsidRPr="00D354E6">
        <w:rPr>
          <w:rFonts w:cstheme="minorHAnsi"/>
          <w:sz w:val="22"/>
          <w:szCs w:val="22"/>
          <w:lang w:val="en-US"/>
        </w:rPr>
        <w:t>order. The order-by-order check implied by Article 5(2)(d) and Article 5(2)(f) is specifically not required. Such an obligation would not be proportionate, as its implementation could only be achieved by</w:t>
      </w:r>
      <w:r w:rsidR="00331517">
        <w:rPr>
          <w:rFonts w:cstheme="minorHAnsi"/>
          <w:sz w:val="22"/>
          <w:szCs w:val="22"/>
          <w:lang w:val="en-US"/>
        </w:rPr>
        <w:t xml:space="preserve"> highly</w:t>
      </w:r>
      <w:r w:rsidRPr="00D354E6">
        <w:rPr>
          <w:rFonts w:cstheme="minorHAnsi"/>
          <w:sz w:val="22"/>
          <w:szCs w:val="22"/>
          <w:lang w:val="en-US"/>
        </w:rPr>
        <w:t xml:space="preserve"> complex systems. However, investment firms are of course free to offer their clients such a service and to price it accordingly if necessary.</w:t>
      </w:r>
    </w:p>
    <w:p w14:paraId="1E4C2CB2" w14:textId="5224BA9D" w:rsidR="00455B2D" w:rsidRPr="00D354E6" w:rsidRDefault="00455B2D" w:rsidP="00455B2D">
      <w:pPr>
        <w:rPr>
          <w:rFonts w:cstheme="minorHAnsi"/>
          <w:sz w:val="22"/>
          <w:szCs w:val="22"/>
          <w:lang w:val="en-US"/>
        </w:rPr>
      </w:pPr>
    </w:p>
    <w:p w14:paraId="33CF0930" w14:textId="0A63A847" w:rsidR="00C937AE" w:rsidRPr="00D354E6" w:rsidRDefault="00C937AE" w:rsidP="00C937AE">
      <w:pPr>
        <w:rPr>
          <w:rFonts w:cstheme="minorHAnsi"/>
          <w:sz w:val="22"/>
          <w:szCs w:val="22"/>
          <w:lang w:val="en-US"/>
        </w:rPr>
      </w:pPr>
      <w:r w:rsidRPr="00D354E6">
        <w:rPr>
          <w:rFonts w:cstheme="minorHAnsi"/>
          <w:sz w:val="22"/>
          <w:szCs w:val="22"/>
          <w:lang w:val="en-US"/>
        </w:rPr>
        <w:t>With regard to Art</w:t>
      </w:r>
      <w:r w:rsidR="00556F35">
        <w:rPr>
          <w:rFonts w:cstheme="minorHAnsi"/>
          <w:sz w:val="22"/>
          <w:szCs w:val="22"/>
          <w:lang w:val="en-US"/>
        </w:rPr>
        <w:t>icle</w:t>
      </w:r>
      <w:r w:rsidRPr="00D354E6">
        <w:rPr>
          <w:rFonts w:cstheme="minorHAnsi"/>
          <w:sz w:val="22"/>
          <w:szCs w:val="22"/>
          <w:lang w:val="en-US"/>
        </w:rPr>
        <w:t xml:space="preserve"> 6 we propose the following amendments:</w:t>
      </w:r>
    </w:p>
    <w:p w14:paraId="66180588" w14:textId="7EB82EE5" w:rsidR="00455B2D" w:rsidRPr="00D354E6" w:rsidRDefault="00455B2D" w:rsidP="00455B2D">
      <w:pPr>
        <w:rPr>
          <w:rFonts w:cstheme="minorHAnsi"/>
          <w:sz w:val="22"/>
          <w:szCs w:val="22"/>
          <w:lang w:val="en-US"/>
        </w:rPr>
      </w:pPr>
    </w:p>
    <w:p w14:paraId="43C909EE" w14:textId="347372D3" w:rsidR="00C937AE" w:rsidRPr="00D354E6" w:rsidRDefault="00C937AE" w:rsidP="00C937AE">
      <w:pPr>
        <w:rPr>
          <w:rFonts w:cstheme="minorHAnsi"/>
          <w:sz w:val="22"/>
          <w:szCs w:val="22"/>
          <w:lang w:val="en-US"/>
        </w:rPr>
      </w:pPr>
      <w:r w:rsidRPr="00C937AE">
        <w:rPr>
          <w:rFonts w:cstheme="minorHAnsi"/>
          <w:sz w:val="22"/>
          <w:szCs w:val="22"/>
          <w:lang w:val="en-US"/>
        </w:rPr>
        <w:t xml:space="preserve">Investment firms will be charged for </w:t>
      </w:r>
      <w:r w:rsidR="0043598E">
        <w:rPr>
          <w:rFonts w:cstheme="minorHAnsi"/>
          <w:sz w:val="22"/>
          <w:szCs w:val="22"/>
          <w:lang w:val="en-US"/>
        </w:rPr>
        <w:t>retrieving</w:t>
      </w:r>
      <w:r w:rsidR="0043598E" w:rsidRPr="00C937AE">
        <w:rPr>
          <w:rFonts w:cstheme="minorHAnsi"/>
          <w:sz w:val="22"/>
          <w:szCs w:val="22"/>
          <w:lang w:val="en-US"/>
        </w:rPr>
        <w:t xml:space="preserve"> </w:t>
      </w:r>
      <w:r w:rsidRPr="00C937AE">
        <w:rPr>
          <w:rFonts w:cstheme="minorHAnsi"/>
          <w:sz w:val="22"/>
          <w:szCs w:val="22"/>
          <w:lang w:val="en-US"/>
        </w:rPr>
        <w:t xml:space="preserve">data from a consolidated tape provider (CTP). Furthermore, it is to be expected that there will be a CTP for each asset class, meaning that costs and requirements for the technical connection will arise not just once but multiple times. Consequently, </w:t>
      </w:r>
      <w:r w:rsidR="00C83905">
        <w:rPr>
          <w:rFonts w:cstheme="minorHAnsi"/>
          <w:sz w:val="22"/>
          <w:szCs w:val="22"/>
          <w:lang w:val="en-US"/>
        </w:rPr>
        <w:t>there is no</w:t>
      </w:r>
      <w:r w:rsidR="0059320A">
        <w:rPr>
          <w:rFonts w:cstheme="minorHAnsi"/>
          <w:sz w:val="22"/>
          <w:szCs w:val="22"/>
          <w:lang w:val="en-US"/>
        </w:rPr>
        <w:t xml:space="preserve"> </w:t>
      </w:r>
      <w:r w:rsidR="001107F5">
        <w:rPr>
          <w:rFonts w:cstheme="minorHAnsi"/>
          <w:sz w:val="22"/>
          <w:szCs w:val="22"/>
          <w:lang w:val="en-US"/>
        </w:rPr>
        <w:t xml:space="preserve">obligation </w:t>
      </w:r>
      <w:r w:rsidR="0059320A">
        <w:rPr>
          <w:rFonts w:cstheme="minorHAnsi"/>
          <w:sz w:val="22"/>
          <w:szCs w:val="22"/>
          <w:lang w:val="en-US"/>
        </w:rPr>
        <w:t>to connect to and accept data from a CTP</w:t>
      </w:r>
      <w:r w:rsidRPr="00C937AE">
        <w:rPr>
          <w:rFonts w:cstheme="minorHAnsi"/>
          <w:sz w:val="22"/>
          <w:szCs w:val="22"/>
          <w:lang w:val="en-US"/>
        </w:rPr>
        <w:t xml:space="preserve"> at Level 1. </w:t>
      </w:r>
      <w:r w:rsidR="001107F5">
        <w:rPr>
          <w:rFonts w:cstheme="minorHAnsi"/>
          <w:sz w:val="22"/>
          <w:szCs w:val="22"/>
          <w:lang w:val="en-US"/>
        </w:rPr>
        <w:t>Contrarily</w:t>
      </w:r>
      <w:r w:rsidRPr="00C937AE">
        <w:rPr>
          <w:rFonts w:cstheme="minorHAnsi"/>
          <w:sz w:val="22"/>
          <w:szCs w:val="22"/>
          <w:lang w:val="en-US"/>
        </w:rPr>
        <w:t xml:space="preserve">, recital 11 and Article 6(5)(a) and (b) would oblige investment firms to accept CT data as soon as </w:t>
      </w:r>
      <w:r w:rsidR="0059320A">
        <w:rPr>
          <w:rFonts w:cstheme="minorHAnsi"/>
          <w:sz w:val="22"/>
          <w:szCs w:val="22"/>
          <w:lang w:val="en-US"/>
        </w:rPr>
        <w:t xml:space="preserve">a CTP </w:t>
      </w:r>
      <w:r w:rsidRPr="00C937AE">
        <w:rPr>
          <w:rFonts w:cstheme="minorHAnsi"/>
          <w:sz w:val="22"/>
          <w:szCs w:val="22"/>
          <w:lang w:val="en-US"/>
        </w:rPr>
        <w:t>becomes available, incurring costs for them. There is no basis for such an obligation. Recital 11 and Article 6(5)(a) and (b) should therefore be deleted.</w:t>
      </w:r>
    </w:p>
    <w:p w14:paraId="2724D580" w14:textId="77777777" w:rsidR="00C937AE" w:rsidRPr="00D354E6" w:rsidRDefault="00C937AE" w:rsidP="00C937AE">
      <w:pPr>
        <w:rPr>
          <w:rFonts w:cstheme="minorHAnsi"/>
          <w:sz w:val="22"/>
          <w:szCs w:val="22"/>
          <w:lang w:val="en-US"/>
        </w:rPr>
      </w:pPr>
    </w:p>
    <w:p w14:paraId="7B8D19C1" w14:textId="0354B245" w:rsidR="00C937AE" w:rsidRPr="00D354E6" w:rsidRDefault="00C937AE" w:rsidP="00C937AE">
      <w:pPr>
        <w:rPr>
          <w:rFonts w:cstheme="minorHAnsi"/>
          <w:sz w:val="22"/>
          <w:szCs w:val="22"/>
          <w:lang w:val="en-US"/>
        </w:rPr>
      </w:pPr>
      <w:r w:rsidRPr="00D3300C">
        <w:rPr>
          <w:rFonts w:cstheme="minorHAnsi"/>
          <w:sz w:val="22"/>
          <w:szCs w:val="22"/>
          <w:lang w:val="en-US"/>
        </w:rPr>
        <w:t xml:space="preserve">The provisions </w:t>
      </w:r>
      <w:r w:rsidR="009C5159" w:rsidRPr="00D3300C">
        <w:rPr>
          <w:rFonts w:cstheme="minorHAnsi"/>
          <w:sz w:val="22"/>
          <w:szCs w:val="22"/>
          <w:lang w:val="en-US"/>
        </w:rPr>
        <w:t xml:space="preserve">made </w:t>
      </w:r>
      <w:r w:rsidRPr="00D3300C">
        <w:rPr>
          <w:rFonts w:cstheme="minorHAnsi"/>
          <w:sz w:val="22"/>
          <w:szCs w:val="22"/>
          <w:lang w:val="en-US"/>
        </w:rPr>
        <w:t>in Article 6 do not appear to be covered by Article 27(10)(b)</w:t>
      </w:r>
      <w:r w:rsidR="0059320A" w:rsidRPr="00D3300C">
        <w:rPr>
          <w:rFonts w:cstheme="minorHAnsi"/>
          <w:sz w:val="22"/>
          <w:szCs w:val="22"/>
          <w:lang w:val="en-US"/>
        </w:rPr>
        <w:t xml:space="preserve"> of MiFID II</w:t>
      </w:r>
      <w:r w:rsidRPr="00D3300C">
        <w:rPr>
          <w:rFonts w:cstheme="minorHAnsi"/>
          <w:sz w:val="22"/>
          <w:szCs w:val="22"/>
          <w:lang w:val="en-US"/>
        </w:rPr>
        <w:t xml:space="preserve">. </w:t>
      </w:r>
      <w:r w:rsidR="00F854D6" w:rsidRPr="00D3300C">
        <w:rPr>
          <w:rFonts w:cstheme="minorHAnsi"/>
          <w:sz w:val="22"/>
          <w:szCs w:val="22"/>
          <w:lang w:val="en-US"/>
        </w:rPr>
        <w:t>It</w:t>
      </w:r>
      <w:r w:rsidRPr="00D3300C">
        <w:rPr>
          <w:rFonts w:cstheme="minorHAnsi"/>
          <w:sz w:val="22"/>
          <w:szCs w:val="22"/>
          <w:lang w:val="en-US"/>
        </w:rPr>
        <w:t xml:space="preserve"> merely states that ‘</w:t>
      </w:r>
      <w:r w:rsidRPr="00D3300C">
        <w:rPr>
          <w:rFonts w:cstheme="minorHAnsi"/>
          <w:i/>
          <w:iCs/>
          <w:sz w:val="22"/>
          <w:szCs w:val="22"/>
          <w:lang w:val="en-US"/>
        </w:rPr>
        <w:t>the frequency of assessing and updating the order execution policy’</w:t>
      </w:r>
      <w:r w:rsidRPr="00D3300C">
        <w:rPr>
          <w:rFonts w:cstheme="minorHAnsi"/>
          <w:sz w:val="22"/>
          <w:szCs w:val="22"/>
          <w:lang w:val="en-US"/>
        </w:rPr>
        <w:t xml:space="preserve"> should be regulated at Level 2.</w:t>
      </w:r>
      <w:r w:rsidRPr="00C937AE">
        <w:rPr>
          <w:rFonts w:cstheme="minorHAnsi"/>
          <w:sz w:val="22"/>
          <w:szCs w:val="22"/>
          <w:lang w:val="en-US"/>
        </w:rPr>
        <w:t xml:space="preserve"> According to the draft RTS, a </w:t>
      </w:r>
      <w:r w:rsidRPr="00C937AE">
        <w:rPr>
          <w:rFonts w:cstheme="minorHAnsi"/>
          <w:sz w:val="22"/>
          <w:szCs w:val="22"/>
          <w:lang w:val="en-US"/>
        </w:rPr>
        <w:lastRenderedPageBreak/>
        <w:t xml:space="preserve">distinction must be made between monitoring and assessing. </w:t>
      </w:r>
      <w:r w:rsidR="00F854D6">
        <w:rPr>
          <w:rFonts w:cstheme="minorHAnsi"/>
          <w:sz w:val="22"/>
          <w:szCs w:val="22"/>
          <w:lang w:val="en-US"/>
        </w:rPr>
        <w:t>S</w:t>
      </w:r>
      <w:r w:rsidRPr="00C937AE">
        <w:rPr>
          <w:rFonts w:cstheme="minorHAnsi"/>
          <w:sz w:val="22"/>
          <w:szCs w:val="22"/>
          <w:lang w:val="en-US"/>
        </w:rPr>
        <w:t xml:space="preserve">ince </w:t>
      </w:r>
      <w:r w:rsidR="0059320A">
        <w:rPr>
          <w:rFonts w:cstheme="minorHAnsi"/>
          <w:sz w:val="22"/>
          <w:szCs w:val="22"/>
          <w:lang w:val="en-US"/>
        </w:rPr>
        <w:t xml:space="preserve">there is no requirement </w:t>
      </w:r>
      <w:r w:rsidRPr="00C937AE">
        <w:rPr>
          <w:rFonts w:cstheme="minorHAnsi"/>
          <w:sz w:val="22"/>
          <w:szCs w:val="22"/>
          <w:lang w:val="en-US"/>
        </w:rPr>
        <w:t xml:space="preserve">for such a distinction at Level 1 in this area, we suggest that the current </w:t>
      </w:r>
      <w:r w:rsidR="0059320A">
        <w:rPr>
          <w:rFonts w:cstheme="minorHAnsi"/>
          <w:sz w:val="22"/>
          <w:szCs w:val="22"/>
          <w:lang w:val="en-US"/>
        </w:rPr>
        <w:t xml:space="preserve">rules and </w:t>
      </w:r>
      <w:r w:rsidRPr="00C937AE">
        <w:rPr>
          <w:rFonts w:cstheme="minorHAnsi"/>
          <w:sz w:val="22"/>
          <w:szCs w:val="22"/>
          <w:lang w:val="en-US"/>
        </w:rPr>
        <w:t>practice</w:t>
      </w:r>
      <w:r w:rsidR="0059320A">
        <w:rPr>
          <w:rFonts w:cstheme="minorHAnsi"/>
          <w:sz w:val="22"/>
          <w:szCs w:val="22"/>
          <w:lang w:val="en-US"/>
        </w:rPr>
        <w:t>s</w:t>
      </w:r>
      <w:r w:rsidRPr="00C937AE">
        <w:rPr>
          <w:rFonts w:cstheme="minorHAnsi"/>
          <w:sz w:val="22"/>
          <w:szCs w:val="22"/>
          <w:lang w:val="en-US"/>
        </w:rPr>
        <w:t xml:space="preserve"> should be retained. </w:t>
      </w:r>
      <w:r w:rsidR="0059320A">
        <w:rPr>
          <w:rFonts w:cstheme="minorHAnsi"/>
          <w:sz w:val="22"/>
          <w:szCs w:val="22"/>
          <w:lang w:val="en-US"/>
        </w:rPr>
        <w:t>Under these</w:t>
      </w:r>
      <w:r w:rsidRPr="00C937AE">
        <w:rPr>
          <w:rFonts w:cstheme="minorHAnsi"/>
          <w:sz w:val="22"/>
          <w:szCs w:val="22"/>
          <w:lang w:val="en-US"/>
        </w:rPr>
        <w:t xml:space="preserve">, investment firms are obliged </w:t>
      </w:r>
      <w:r w:rsidRPr="00C952D1">
        <w:rPr>
          <w:rFonts w:cstheme="minorHAnsi"/>
          <w:sz w:val="22"/>
          <w:szCs w:val="22"/>
          <w:lang w:val="en-US"/>
        </w:rPr>
        <w:t>to monitor</w:t>
      </w:r>
      <w:r w:rsidR="0059320A" w:rsidRPr="00C952D1">
        <w:rPr>
          <w:rFonts w:cstheme="minorHAnsi"/>
          <w:sz w:val="22"/>
          <w:szCs w:val="22"/>
          <w:lang w:val="en-US"/>
        </w:rPr>
        <w:t xml:space="preserve"> their </w:t>
      </w:r>
      <w:r w:rsidR="00331517" w:rsidRPr="00C952D1">
        <w:rPr>
          <w:rFonts w:cstheme="minorHAnsi"/>
          <w:sz w:val="22"/>
          <w:szCs w:val="22"/>
          <w:lang w:val="en-US"/>
        </w:rPr>
        <w:t>order</w:t>
      </w:r>
      <w:r w:rsidR="0059320A" w:rsidRPr="00C952D1">
        <w:rPr>
          <w:rFonts w:cstheme="minorHAnsi"/>
          <w:sz w:val="22"/>
          <w:szCs w:val="22"/>
          <w:lang w:val="en-US"/>
        </w:rPr>
        <w:t xml:space="preserve"> execution policies</w:t>
      </w:r>
      <w:r w:rsidRPr="00C952D1">
        <w:rPr>
          <w:rFonts w:cstheme="minorHAnsi"/>
          <w:sz w:val="22"/>
          <w:szCs w:val="22"/>
          <w:lang w:val="en-US"/>
        </w:rPr>
        <w:t>,</w:t>
      </w:r>
      <w:r w:rsidRPr="00C937AE">
        <w:rPr>
          <w:rFonts w:cstheme="minorHAnsi"/>
          <w:sz w:val="22"/>
          <w:szCs w:val="22"/>
          <w:lang w:val="en-US"/>
        </w:rPr>
        <w:t xml:space="preserve"> without there being any detailed provisions in the RTS regarding the frequency or the processes. </w:t>
      </w:r>
      <w:r w:rsidR="00F854D6">
        <w:rPr>
          <w:rFonts w:cstheme="minorHAnsi"/>
          <w:sz w:val="22"/>
          <w:szCs w:val="22"/>
          <w:lang w:val="en-US"/>
        </w:rPr>
        <w:t>Therefore</w:t>
      </w:r>
      <w:r w:rsidR="00C952D1">
        <w:rPr>
          <w:rFonts w:cstheme="minorHAnsi"/>
          <w:sz w:val="22"/>
          <w:szCs w:val="22"/>
          <w:lang w:val="en-US"/>
        </w:rPr>
        <w:t>,</w:t>
      </w:r>
      <w:r w:rsidR="0059320A">
        <w:rPr>
          <w:rFonts w:cstheme="minorHAnsi"/>
          <w:sz w:val="22"/>
          <w:szCs w:val="22"/>
          <w:lang w:val="en-US"/>
        </w:rPr>
        <w:t xml:space="preserve"> </w:t>
      </w:r>
      <w:r w:rsidRPr="00C937AE">
        <w:rPr>
          <w:rFonts w:cstheme="minorHAnsi"/>
          <w:sz w:val="22"/>
          <w:szCs w:val="22"/>
          <w:lang w:val="en-US"/>
        </w:rPr>
        <w:t xml:space="preserve">investment firms should </w:t>
      </w:r>
      <w:r w:rsidR="0059320A">
        <w:rPr>
          <w:rFonts w:cstheme="minorHAnsi"/>
          <w:sz w:val="22"/>
          <w:szCs w:val="22"/>
          <w:lang w:val="en-US"/>
        </w:rPr>
        <w:t>continue to</w:t>
      </w:r>
      <w:r w:rsidRPr="00C937AE">
        <w:rPr>
          <w:rFonts w:cstheme="minorHAnsi"/>
          <w:sz w:val="22"/>
          <w:szCs w:val="22"/>
          <w:lang w:val="en-US"/>
        </w:rPr>
        <w:t xml:space="preserve"> be able to determine how they </w:t>
      </w:r>
      <w:r w:rsidR="00B85906" w:rsidRPr="00C937AE">
        <w:rPr>
          <w:rFonts w:cstheme="minorHAnsi"/>
          <w:sz w:val="22"/>
          <w:szCs w:val="22"/>
          <w:lang w:val="en-US"/>
        </w:rPr>
        <w:t>organize</w:t>
      </w:r>
      <w:r w:rsidRPr="00C937AE">
        <w:rPr>
          <w:rFonts w:cstheme="minorHAnsi"/>
          <w:sz w:val="22"/>
          <w:szCs w:val="22"/>
          <w:lang w:val="en-US"/>
        </w:rPr>
        <w:t xml:space="preserve"> the monitoring, both in terms of content and frequency, depending on their business model and volume. A uniform regulation for all investment firms is neither intended </w:t>
      </w:r>
      <w:r w:rsidR="0059320A" w:rsidRPr="00C937AE">
        <w:rPr>
          <w:rFonts w:cstheme="minorHAnsi"/>
          <w:sz w:val="22"/>
          <w:szCs w:val="22"/>
          <w:lang w:val="en-US"/>
        </w:rPr>
        <w:t>at Level 1</w:t>
      </w:r>
      <w:r w:rsidR="00F854D6">
        <w:rPr>
          <w:rFonts w:cstheme="minorHAnsi"/>
          <w:sz w:val="22"/>
          <w:szCs w:val="22"/>
          <w:lang w:val="en-US"/>
        </w:rPr>
        <w:t xml:space="preserve"> </w:t>
      </w:r>
      <w:r w:rsidRPr="00C937AE">
        <w:rPr>
          <w:rFonts w:cstheme="minorHAnsi"/>
          <w:sz w:val="22"/>
          <w:szCs w:val="22"/>
          <w:lang w:val="en-US"/>
        </w:rPr>
        <w:t>nor necessary. It would only increase the administrative burden.</w:t>
      </w:r>
    </w:p>
    <w:p w14:paraId="106743DE" w14:textId="77777777" w:rsidR="00C937AE" w:rsidRPr="00D354E6" w:rsidRDefault="00C937AE" w:rsidP="00C937AE">
      <w:pPr>
        <w:rPr>
          <w:rFonts w:cstheme="minorHAnsi"/>
          <w:sz w:val="22"/>
          <w:szCs w:val="22"/>
          <w:lang w:val="en-US"/>
        </w:rPr>
      </w:pPr>
    </w:p>
    <w:p w14:paraId="2575B0A3" w14:textId="0716214E" w:rsidR="00C937AE" w:rsidRPr="00C937AE" w:rsidRDefault="00C937AE" w:rsidP="00C937AE">
      <w:pPr>
        <w:rPr>
          <w:rFonts w:cstheme="minorHAnsi"/>
          <w:sz w:val="22"/>
          <w:szCs w:val="22"/>
          <w:lang w:val="en-US"/>
        </w:rPr>
      </w:pPr>
      <w:r w:rsidRPr="00C937AE">
        <w:rPr>
          <w:rFonts w:cstheme="minorHAnsi"/>
          <w:sz w:val="22"/>
          <w:szCs w:val="22"/>
          <w:lang w:val="en-US"/>
        </w:rPr>
        <w:t xml:space="preserve">Furthermore, there is no distinction between </w:t>
      </w:r>
      <w:r w:rsidRPr="00D3300C">
        <w:rPr>
          <w:rFonts w:cstheme="minorHAnsi"/>
          <w:sz w:val="22"/>
          <w:szCs w:val="22"/>
          <w:lang w:val="en-US"/>
        </w:rPr>
        <w:t>own execution and forwarding of execution to a broker.</w:t>
      </w:r>
      <w:r w:rsidRPr="00C937AE">
        <w:rPr>
          <w:rFonts w:cstheme="minorHAnsi"/>
          <w:sz w:val="22"/>
          <w:szCs w:val="22"/>
          <w:lang w:val="en-US"/>
        </w:rPr>
        <w:t xml:space="preserve"> Comprehensive monitoring as provided for in Article 6 can only be required and implemented in the case of own order execution. The requirements should be limited to this constellation by means of a corresponding clarification. In the case of an order being forwarded to a broker who then executes the order on the basis of its own</w:t>
      </w:r>
      <w:r w:rsidR="00C83905">
        <w:rPr>
          <w:rFonts w:cstheme="minorHAnsi"/>
          <w:sz w:val="22"/>
          <w:szCs w:val="22"/>
          <w:lang w:val="en-US"/>
        </w:rPr>
        <w:t xml:space="preserve"> order</w:t>
      </w:r>
      <w:r w:rsidRPr="00C937AE">
        <w:rPr>
          <w:rFonts w:cstheme="minorHAnsi"/>
          <w:sz w:val="22"/>
          <w:szCs w:val="22"/>
          <w:lang w:val="en-US"/>
        </w:rPr>
        <w:t xml:space="preserve"> execution policy, there should be no obligation for extensive monitoring. These cases are already conclusively regulated by Art</w:t>
      </w:r>
      <w:r w:rsidR="00556F35">
        <w:rPr>
          <w:rFonts w:cstheme="minorHAnsi"/>
          <w:sz w:val="22"/>
          <w:szCs w:val="22"/>
          <w:lang w:val="en-US"/>
        </w:rPr>
        <w:t>icle</w:t>
      </w:r>
      <w:r w:rsidRPr="00C937AE">
        <w:rPr>
          <w:rFonts w:cstheme="minorHAnsi"/>
          <w:sz w:val="22"/>
          <w:szCs w:val="22"/>
          <w:lang w:val="en-US"/>
        </w:rPr>
        <w:t xml:space="preserve"> 65 of the Implementing Regulation 2017/565.</w:t>
      </w:r>
    </w:p>
    <w:p w14:paraId="7AEBF34F" w14:textId="47C8E2F8" w:rsidR="00455B2D" w:rsidRPr="00D354E6" w:rsidRDefault="00455B2D" w:rsidP="00455B2D">
      <w:pPr>
        <w:rPr>
          <w:rFonts w:cstheme="minorHAnsi"/>
          <w:sz w:val="22"/>
          <w:szCs w:val="22"/>
          <w:lang w:val="en-US"/>
        </w:rPr>
      </w:pPr>
    </w:p>
    <w:p w14:paraId="1833BEAF" w14:textId="77777777" w:rsidR="00C937AE" w:rsidRPr="00D354E6" w:rsidRDefault="00C937AE" w:rsidP="00D354E6">
      <w:pPr>
        <w:widowControl w:val="0"/>
        <w:autoSpaceDE w:val="0"/>
        <w:autoSpaceDN w:val="0"/>
        <w:adjustRightInd w:val="0"/>
        <w:spacing w:before="253" w:line="240" w:lineRule="auto"/>
        <w:ind w:right="176"/>
        <w:jc w:val="both"/>
        <w:rPr>
          <w:rFonts w:cstheme="minorHAnsi"/>
          <w:b/>
          <w:bCs/>
          <w:color w:val="111111"/>
          <w:sz w:val="22"/>
          <w:szCs w:val="22"/>
          <w:lang w:val="en-US"/>
        </w:rPr>
      </w:pPr>
      <w:r w:rsidRPr="00D354E6">
        <w:rPr>
          <w:rFonts w:cstheme="minorHAnsi"/>
          <w:b/>
          <w:bCs/>
          <w:color w:val="111111"/>
          <w:sz w:val="22"/>
          <w:szCs w:val="22"/>
          <w:lang w:val="en-US"/>
        </w:rPr>
        <w:t>Q5: Do you agree with ESMA’s proposal that investment firms may rely on monitoring and assessments performed by third parties, such as independent data providers, as long as firms assess the processes of these third parties? Please also state the reasons for your answer.</w:t>
      </w:r>
    </w:p>
    <w:p w14:paraId="1426EDF5" w14:textId="77777777" w:rsidR="00C937AE" w:rsidRPr="00D354E6" w:rsidRDefault="00C937AE" w:rsidP="00C937AE">
      <w:pPr>
        <w:rPr>
          <w:rFonts w:cstheme="minorHAnsi"/>
          <w:sz w:val="22"/>
          <w:szCs w:val="22"/>
          <w:lang w:val="en-US"/>
        </w:rPr>
      </w:pPr>
    </w:p>
    <w:p w14:paraId="00B81FBC" w14:textId="6FE3E774" w:rsidR="00455B2D" w:rsidRPr="00D354E6" w:rsidRDefault="00C937AE" w:rsidP="00455B2D">
      <w:pPr>
        <w:rPr>
          <w:rFonts w:cstheme="minorHAnsi"/>
          <w:sz w:val="22"/>
          <w:szCs w:val="22"/>
          <w:lang w:val="en-US"/>
        </w:rPr>
      </w:pPr>
      <w:r w:rsidRPr="00D354E6">
        <w:rPr>
          <w:rFonts w:cstheme="minorHAnsi"/>
          <w:sz w:val="22"/>
          <w:szCs w:val="22"/>
          <w:lang w:val="en-US"/>
        </w:rPr>
        <w:t xml:space="preserve">Yes, we agree with ESMA's proposal that investment firms can rely on monitoring and assessment by third parties. This is already common practice and should remain an option. The necessary monitoring is guaranteed by the </w:t>
      </w:r>
      <w:r w:rsidR="00F854D6">
        <w:rPr>
          <w:rFonts w:cstheme="minorHAnsi"/>
          <w:sz w:val="22"/>
          <w:szCs w:val="22"/>
          <w:lang w:val="en-US"/>
        </w:rPr>
        <w:t xml:space="preserve">established </w:t>
      </w:r>
      <w:r w:rsidRPr="00D354E6">
        <w:rPr>
          <w:rFonts w:cstheme="minorHAnsi"/>
          <w:sz w:val="22"/>
          <w:szCs w:val="22"/>
          <w:lang w:val="en-US"/>
        </w:rPr>
        <w:t>outsourcing processes.</w:t>
      </w:r>
    </w:p>
    <w:p w14:paraId="591DD4DA" w14:textId="0A267280" w:rsidR="00455B2D" w:rsidRPr="00D354E6" w:rsidRDefault="00455B2D" w:rsidP="00455B2D">
      <w:pPr>
        <w:rPr>
          <w:rFonts w:cstheme="minorHAnsi"/>
          <w:sz w:val="22"/>
          <w:szCs w:val="22"/>
          <w:lang w:val="en-US"/>
        </w:rPr>
      </w:pPr>
    </w:p>
    <w:p w14:paraId="20F60DA3" w14:textId="768B7F7D" w:rsidR="00C937AE" w:rsidRPr="00D354E6" w:rsidRDefault="00C937AE" w:rsidP="00C937AE">
      <w:pPr>
        <w:rPr>
          <w:sz w:val="22"/>
          <w:szCs w:val="22"/>
          <w:lang w:val="en-US"/>
        </w:rPr>
      </w:pPr>
      <w:r w:rsidRPr="00D354E6">
        <w:rPr>
          <w:sz w:val="22"/>
          <w:szCs w:val="22"/>
          <w:lang w:val="en-US"/>
        </w:rPr>
        <w:t>With regard to Art</w:t>
      </w:r>
      <w:r w:rsidR="00556F35">
        <w:rPr>
          <w:rFonts w:cstheme="minorHAnsi"/>
          <w:sz w:val="22"/>
          <w:szCs w:val="22"/>
          <w:lang w:val="en-US"/>
        </w:rPr>
        <w:t>icle</w:t>
      </w:r>
      <w:r w:rsidRPr="00D354E6">
        <w:rPr>
          <w:sz w:val="22"/>
          <w:szCs w:val="22"/>
          <w:lang w:val="en-US"/>
        </w:rPr>
        <w:t xml:space="preserve"> 7 we propose the following amendments:</w:t>
      </w:r>
    </w:p>
    <w:p w14:paraId="00034EE7" w14:textId="6D73FDB0" w:rsidR="00C937AE" w:rsidRPr="00D354E6" w:rsidRDefault="00C937AE" w:rsidP="00455B2D">
      <w:pPr>
        <w:rPr>
          <w:rFonts w:cstheme="minorHAnsi"/>
          <w:sz w:val="22"/>
          <w:szCs w:val="22"/>
          <w:lang w:val="en-US"/>
        </w:rPr>
      </w:pPr>
    </w:p>
    <w:p w14:paraId="49E8BCE7" w14:textId="0D974A8A" w:rsidR="00C937AE" w:rsidRPr="00C937AE" w:rsidRDefault="00C937AE" w:rsidP="00C937AE">
      <w:pPr>
        <w:rPr>
          <w:rFonts w:cstheme="minorHAnsi"/>
          <w:sz w:val="22"/>
          <w:szCs w:val="22"/>
          <w:lang w:val="en-US"/>
        </w:rPr>
      </w:pPr>
      <w:r w:rsidRPr="00D3300C">
        <w:rPr>
          <w:rFonts w:cstheme="minorHAnsi"/>
          <w:sz w:val="22"/>
          <w:szCs w:val="22"/>
          <w:lang w:val="en-US"/>
        </w:rPr>
        <w:t>Art</w:t>
      </w:r>
      <w:r w:rsidR="00556F35" w:rsidRPr="00D3300C">
        <w:rPr>
          <w:rFonts w:cstheme="minorHAnsi"/>
          <w:sz w:val="22"/>
          <w:szCs w:val="22"/>
          <w:lang w:val="en-US"/>
        </w:rPr>
        <w:t>icle</w:t>
      </w:r>
      <w:r w:rsidRPr="00D3300C">
        <w:rPr>
          <w:rFonts w:cstheme="minorHAnsi"/>
          <w:sz w:val="22"/>
          <w:szCs w:val="22"/>
          <w:lang w:val="en-US"/>
        </w:rPr>
        <w:t xml:space="preserve"> 7(2)(e) should be deleted. The term ‘</w:t>
      </w:r>
      <w:r w:rsidRPr="00D3300C">
        <w:rPr>
          <w:rFonts w:cstheme="minorHAnsi"/>
          <w:i/>
          <w:iCs/>
          <w:sz w:val="22"/>
          <w:szCs w:val="22"/>
          <w:lang w:val="en-US"/>
        </w:rPr>
        <w:t>market developments</w:t>
      </w:r>
      <w:r w:rsidRPr="00D3300C">
        <w:rPr>
          <w:rFonts w:cstheme="minorHAnsi"/>
          <w:sz w:val="22"/>
          <w:szCs w:val="22"/>
          <w:lang w:val="en-US"/>
        </w:rPr>
        <w:t>’ used in this article is unclear. At</w:t>
      </w:r>
      <w:r w:rsidR="00AF79D3" w:rsidRPr="00D3300C">
        <w:rPr>
          <w:rFonts w:cstheme="minorHAnsi"/>
          <w:sz w:val="22"/>
          <w:szCs w:val="22"/>
          <w:lang w:val="en-US"/>
        </w:rPr>
        <w:t xml:space="preserve"> </w:t>
      </w:r>
      <w:r w:rsidR="00F854D6" w:rsidRPr="00D3300C">
        <w:rPr>
          <w:rFonts w:cstheme="minorHAnsi"/>
          <w:sz w:val="22"/>
          <w:szCs w:val="22"/>
          <w:lang w:val="en-US"/>
        </w:rPr>
        <w:t>most</w:t>
      </w:r>
      <w:r w:rsidRPr="00D3300C">
        <w:rPr>
          <w:rFonts w:cstheme="minorHAnsi"/>
          <w:sz w:val="22"/>
          <w:szCs w:val="22"/>
          <w:lang w:val="en-US"/>
        </w:rPr>
        <w:t>, it would include new execution venues and new functionalities. These aspects are already explicitly covered in the subsequent letters (f) and (g). Alternatively, Art</w:t>
      </w:r>
      <w:r w:rsidR="00556F35" w:rsidRPr="00D3300C">
        <w:rPr>
          <w:rFonts w:cstheme="minorHAnsi"/>
          <w:sz w:val="22"/>
          <w:szCs w:val="22"/>
          <w:lang w:val="en-US"/>
        </w:rPr>
        <w:t>icle</w:t>
      </w:r>
      <w:r w:rsidRPr="00D3300C">
        <w:rPr>
          <w:rFonts w:cstheme="minorHAnsi"/>
          <w:sz w:val="22"/>
          <w:szCs w:val="22"/>
          <w:lang w:val="en-US"/>
        </w:rPr>
        <w:t xml:space="preserve"> 7 (2)(e) could be limited to ‘other relevant market developments’ and </w:t>
      </w:r>
      <w:r w:rsidR="008A28A7" w:rsidRPr="00D3300C">
        <w:rPr>
          <w:rFonts w:cstheme="minorHAnsi"/>
          <w:sz w:val="22"/>
          <w:szCs w:val="22"/>
          <w:lang w:val="en-US"/>
        </w:rPr>
        <w:t xml:space="preserve">be made the </w:t>
      </w:r>
      <w:r w:rsidRPr="00D3300C">
        <w:rPr>
          <w:rFonts w:cstheme="minorHAnsi"/>
          <w:sz w:val="22"/>
          <w:szCs w:val="22"/>
          <w:lang w:val="en-US"/>
        </w:rPr>
        <w:t>last letter in th</w:t>
      </w:r>
      <w:r w:rsidR="008A28A7" w:rsidRPr="00D3300C">
        <w:rPr>
          <w:rFonts w:cstheme="minorHAnsi"/>
          <w:sz w:val="22"/>
          <w:szCs w:val="22"/>
          <w:lang w:val="en-US"/>
        </w:rPr>
        <w:t>is Article of the RTS</w:t>
      </w:r>
      <w:r w:rsidR="008A28A7">
        <w:rPr>
          <w:rFonts w:cstheme="minorHAnsi"/>
          <w:sz w:val="22"/>
          <w:szCs w:val="22"/>
          <w:lang w:val="en-US"/>
        </w:rPr>
        <w:t>.</w:t>
      </w:r>
    </w:p>
    <w:p w14:paraId="15D844A6" w14:textId="4EEF93D3" w:rsidR="00C937AE" w:rsidRDefault="00C937AE" w:rsidP="00455B2D">
      <w:pPr>
        <w:rPr>
          <w:rFonts w:cstheme="minorHAnsi"/>
          <w:sz w:val="22"/>
          <w:szCs w:val="22"/>
          <w:lang w:val="en-US"/>
        </w:rPr>
      </w:pPr>
    </w:p>
    <w:p w14:paraId="5806D7EC" w14:textId="6E0FCCDD" w:rsidR="00D354E6" w:rsidRDefault="00D354E6">
      <w:pPr>
        <w:spacing w:line="240" w:lineRule="auto"/>
        <w:rPr>
          <w:rFonts w:cstheme="minorHAnsi"/>
          <w:sz w:val="22"/>
          <w:szCs w:val="22"/>
          <w:lang w:val="en-US"/>
        </w:rPr>
      </w:pPr>
      <w:r>
        <w:rPr>
          <w:rFonts w:cstheme="minorHAnsi"/>
          <w:sz w:val="22"/>
          <w:szCs w:val="22"/>
          <w:lang w:val="en-US"/>
        </w:rPr>
        <w:br w:type="page"/>
      </w:r>
    </w:p>
    <w:p w14:paraId="5DB33EC7" w14:textId="77777777" w:rsidR="00C937AE" w:rsidRPr="00C937AE" w:rsidRDefault="00C937AE" w:rsidP="00D354E6">
      <w:pPr>
        <w:widowControl w:val="0"/>
        <w:autoSpaceDE w:val="0"/>
        <w:autoSpaceDN w:val="0"/>
        <w:adjustRightInd w:val="0"/>
        <w:spacing w:before="253" w:line="240" w:lineRule="auto"/>
        <w:ind w:right="176"/>
        <w:jc w:val="both"/>
        <w:rPr>
          <w:rFonts w:cstheme="minorHAnsi"/>
          <w:b/>
          <w:bCs/>
          <w:sz w:val="22"/>
          <w:szCs w:val="22"/>
          <w:lang w:val="en-US"/>
        </w:rPr>
      </w:pPr>
      <w:r w:rsidRPr="00C937AE">
        <w:rPr>
          <w:rFonts w:cstheme="minorHAnsi"/>
          <w:b/>
          <w:bCs/>
          <w:sz w:val="22"/>
          <w:szCs w:val="22"/>
          <w:lang w:val="en-US"/>
        </w:rPr>
        <w:lastRenderedPageBreak/>
        <w:t>Q6: Concerning the specific client instruction, should it be possible for an investment firm to pre-select an execution venue in the order screen, where the firm invites its clients to choose an executing venue out of multiple options? And if so, do you agree that only if the client chooses a different venue than the one pre-selected by the firm, the choice of execution venue does constitute a specific instruction? Please also state the reasons for your answer.</w:t>
      </w:r>
    </w:p>
    <w:p w14:paraId="407C4803" w14:textId="77777777" w:rsidR="00C937AE" w:rsidRPr="00C937AE" w:rsidRDefault="00C937AE" w:rsidP="00C937AE">
      <w:pPr>
        <w:rPr>
          <w:rFonts w:cstheme="minorHAnsi"/>
          <w:sz w:val="22"/>
          <w:szCs w:val="22"/>
          <w:lang w:val="en-US"/>
        </w:rPr>
      </w:pPr>
    </w:p>
    <w:p w14:paraId="4CC49968" w14:textId="2174B9F5" w:rsidR="00C937AE" w:rsidRPr="00D354E6" w:rsidRDefault="00C937AE" w:rsidP="00C937AE">
      <w:pPr>
        <w:rPr>
          <w:rFonts w:cstheme="minorHAnsi"/>
          <w:sz w:val="22"/>
          <w:szCs w:val="22"/>
          <w:lang w:val="en-US"/>
        </w:rPr>
      </w:pPr>
      <w:r w:rsidRPr="00D354E6">
        <w:rPr>
          <w:rFonts w:cstheme="minorHAnsi"/>
          <w:sz w:val="22"/>
          <w:szCs w:val="22"/>
          <w:lang w:val="en-US"/>
        </w:rPr>
        <w:t xml:space="preserve">Yes, it should be possible for an investment firm to pre-select an execution venue in the order form. We also agree that only if the client selects an execution venue other than the one pre-selected by the investment firm does the client's selection constitute a specific instruction. </w:t>
      </w:r>
    </w:p>
    <w:p w14:paraId="2D3E02F9" w14:textId="77777777" w:rsidR="00C937AE" w:rsidRPr="00D354E6" w:rsidRDefault="00C937AE" w:rsidP="00C937AE">
      <w:pPr>
        <w:rPr>
          <w:rFonts w:cstheme="minorHAnsi"/>
          <w:sz w:val="22"/>
          <w:szCs w:val="22"/>
          <w:lang w:val="en-US"/>
        </w:rPr>
      </w:pPr>
    </w:p>
    <w:p w14:paraId="3F04DC47" w14:textId="101CA27E" w:rsidR="00C937AE" w:rsidRPr="00D354E6" w:rsidRDefault="00C937AE" w:rsidP="00C937AE">
      <w:pPr>
        <w:rPr>
          <w:rFonts w:cstheme="minorHAnsi"/>
          <w:sz w:val="22"/>
          <w:szCs w:val="22"/>
          <w:lang w:val="en-US"/>
        </w:rPr>
      </w:pPr>
      <w:r w:rsidRPr="00D354E6">
        <w:rPr>
          <w:rFonts w:cstheme="minorHAnsi"/>
          <w:sz w:val="22"/>
          <w:szCs w:val="22"/>
          <w:lang w:val="en-US"/>
        </w:rPr>
        <w:t>At the same time, however, it must continue to be possible to accept client orders only on the basis of an instruction regarding the execution venue. Recital 102 of the Regulation (EU) 2017/565 continues to apply</w:t>
      </w:r>
      <w:r w:rsidR="009B43FD">
        <w:rPr>
          <w:rFonts w:cstheme="minorHAnsi"/>
          <w:sz w:val="22"/>
          <w:szCs w:val="22"/>
          <w:lang w:val="en-US"/>
        </w:rPr>
        <w:t>:</w:t>
      </w:r>
    </w:p>
    <w:p w14:paraId="3883771F" w14:textId="77777777" w:rsidR="00C937AE" w:rsidRPr="00D354E6" w:rsidRDefault="00C937AE" w:rsidP="00C937AE">
      <w:pPr>
        <w:rPr>
          <w:rFonts w:cstheme="minorHAnsi"/>
          <w:sz w:val="22"/>
          <w:szCs w:val="22"/>
          <w:lang w:val="en-US"/>
        </w:rPr>
      </w:pPr>
    </w:p>
    <w:p w14:paraId="267DA63F" w14:textId="457AD101" w:rsidR="00C937AE" w:rsidRPr="00D354E6" w:rsidRDefault="00C937AE" w:rsidP="00C937AE">
      <w:pPr>
        <w:rPr>
          <w:rFonts w:cstheme="minorHAnsi"/>
          <w:sz w:val="22"/>
          <w:szCs w:val="22"/>
          <w:lang w:val="en-US"/>
        </w:rPr>
      </w:pPr>
      <w:r w:rsidRPr="00D354E6">
        <w:rPr>
          <w:sz w:val="22"/>
          <w:szCs w:val="22"/>
          <w:lang w:val="en-US"/>
        </w:rPr>
        <w:t>„</w:t>
      </w:r>
      <w:r w:rsidRPr="00D354E6">
        <w:rPr>
          <w:i/>
          <w:iCs/>
          <w:sz w:val="22"/>
          <w:szCs w:val="22"/>
          <w:lang w:val="en-US"/>
        </w:rPr>
        <w:t>However, this should not prevent a firm inviting a client to choose between two or more specified trading venues, provided that those venues are consistent with the execution policy of the firm.”</w:t>
      </w:r>
    </w:p>
    <w:p w14:paraId="3D5F8B64" w14:textId="77777777" w:rsidR="00C937AE" w:rsidRPr="00D354E6" w:rsidRDefault="00C937AE" w:rsidP="00C937AE">
      <w:pPr>
        <w:rPr>
          <w:rFonts w:cstheme="minorHAnsi"/>
          <w:sz w:val="22"/>
          <w:szCs w:val="22"/>
          <w:lang w:val="en-US"/>
        </w:rPr>
      </w:pPr>
    </w:p>
    <w:p w14:paraId="15734044" w14:textId="77777777" w:rsidR="00C937AE" w:rsidRPr="00D354E6" w:rsidRDefault="00C937AE" w:rsidP="00C937AE">
      <w:pPr>
        <w:rPr>
          <w:rFonts w:cstheme="minorHAnsi"/>
          <w:sz w:val="22"/>
          <w:szCs w:val="22"/>
          <w:lang w:val="en-US"/>
        </w:rPr>
      </w:pPr>
      <w:r w:rsidRPr="00D354E6">
        <w:rPr>
          <w:rFonts w:cstheme="minorHAnsi"/>
          <w:sz w:val="22"/>
          <w:szCs w:val="22"/>
          <w:lang w:val="en-US"/>
        </w:rPr>
        <w:t>Article 8(4)(d) would violate this, which is why it should be deleted.</w:t>
      </w:r>
    </w:p>
    <w:p w14:paraId="01752861" w14:textId="48BB01CF" w:rsidR="00C937AE" w:rsidRPr="00D354E6" w:rsidRDefault="00C937AE" w:rsidP="00C937AE">
      <w:pPr>
        <w:rPr>
          <w:rFonts w:cstheme="minorHAnsi"/>
          <w:sz w:val="22"/>
          <w:szCs w:val="22"/>
          <w:lang w:val="en-US"/>
        </w:rPr>
      </w:pPr>
    </w:p>
    <w:p w14:paraId="5F957C15" w14:textId="2CD4BC1C" w:rsidR="00C937AE" w:rsidRPr="00D354E6" w:rsidRDefault="0059320A" w:rsidP="00C937AE">
      <w:pPr>
        <w:rPr>
          <w:rFonts w:cstheme="minorHAnsi"/>
          <w:sz w:val="22"/>
          <w:szCs w:val="22"/>
          <w:lang w:val="en-US"/>
        </w:rPr>
      </w:pPr>
      <w:r>
        <w:rPr>
          <w:rFonts w:cstheme="minorHAnsi"/>
          <w:sz w:val="22"/>
          <w:szCs w:val="22"/>
          <w:lang w:val="en-US"/>
        </w:rPr>
        <w:t>Also, t</w:t>
      </w:r>
      <w:r w:rsidR="00C937AE" w:rsidRPr="00D354E6">
        <w:rPr>
          <w:rFonts w:cstheme="minorHAnsi"/>
          <w:sz w:val="22"/>
          <w:szCs w:val="22"/>
          <w:lang w:val="en-US"/>
        </w:rPr>
        <w:t xml:space="preserve">he disclosure </w:t>
      </w:r>
      <w:r>
        <w:rPr>
          <w:rFonts w:cstheme="minorHAnsi"/>
          <w:sz w:val="22"/>
          <w:szCs w:val="22"/>
          <w:lang w:val="en-US"/>
        </w:rPr>
        <w:t xml:space="preserve">requirement </w:t>
      </w:r>
      <w:r w:rsidR="00C937AE" w:rsidRPr="00D354E6">
        <w:rPr>
          <w:rFonts w:cstheme="minorHAnsi"/>
          <w:sz w:val="22"/>
          <w:szCs w:val="22"/>
          <w:lang w:val="en-US"/>
        </w:rPr>
        <w:t>in Art</w:t>
      </w:r>
      <w:r>
        <w:rPr>
          <w:rFonts w:cstheme="minorHAnsi"/>
          <w:sz w:val="22"/>
          <w:szCs w:val="22"/>
          <w:lang w:val="en-US"/>
        </w:rPr>
        <w:t xml:space="preserve">icle </w:t>
      </w:r>
      <w:r w:rsidR="00C937AE" w:rsidRPr="00D354E6">
        <w:rPr>
          <w:rFonts w:cstheme="minorHAnsi"/>
          <w:sz w:val="22"/>
          <w:szCs w:val="22"/>
          <w:lang w:val="en-US"/>
        </w:rPr>
        <w:t>8 (4) (c) should be deleted. The concept of an informed investor should be used here in order to respect the client's right of self-determination. Such a disclosure would unnecessarily delay the execution process. A corresponding warning is included in the client information on the execution principles. This is sufficient.</w:t>
      </w:r>
    </w:p>
    <w:p w14:paraId="5941BBAF" w14:textId="586E5963" w:rsidR="00C937AE" w:rsidRPr="00D354E6" w:rsidRDefault="00C937AE" w:rsidP="00455B2D">
      <w:pPr>
        <w:rPr>
          <w:rFonts w:cstheme="minorHAnsi"/>
          <w:sz w:val="22"/>
          <w:szCs w:val="22"/>
          <w:lang w:val="en-US"/>
        </w:rPr>
      </w:pPr>
    </w:p>
    <w:p w14:paraId="37E0890E" w14:textId="77777777" w:rsidR="00C937AE" w:rsidRPr="00D354E6" w:rsidRDefault="00C937AE" w:rsidP="00D354E6">
      <w:pPr>
        <w:widowControl w:val="0"/>
        <w:autoSpaceDE w:val="0"/>
        <w:autoSpaceDN w:val="0"/>
        <w:adjustRightInd w:val="0"/>
        <w:spacing w:before="253" w:line="240" w:lineRule="auto"/>
        <w:ind w:right="176"/>
        <w:jc w:val="both"/>
        <w:rPr>
          <w:rFonts w:cstheme="minorHAnsi"/>
          <w:color w:val="auto"/>
          <w:sz w:val="22"/>
          <w:szCs w:val="22"/>
          <w:lang w:val="en-US"/>
        </w:rPr>
      </w:pPr>
      <w:r w:rsidRPr="00D354E6">
        <w:rPr>
          <w:rFonts w:cstheme="minorHAnsi"/>
          <w:b/>
          <w:bCs/>
          <w:color w:val="111111"/>
          <w:sz w:val="22"/>
          <w:szCs w:val="22"/>
          <w:lang w:val="en-US"/>
        </w:rPr>
        <w:t>Q7: Where an investment firm executes client orders by dealing on own account (including back-to-back trading), in light of the specificity of this execution model and since it is bound by the rules governing best execution, do you believe the current text is clear with regard to what kind of obligations investment firm applying such model</w:t>
      </w:r>
    </w:p>
    <w:p w14:paraId="1C68131E" w14:textId="3BF6A797" w:rsidR="00C937AE" w:rsidRPr="00D354E6" w:rsidRDefault="00C937AE" w:rsidP="00C937AE">
      <w:pPr>
        <w:rPr>
          <w:rFonts w:cstheme="minorHAnsi"/>
          <w:sz w:val="22"/>
          <w:szCs w:val="22"/>
          <w:lang w:val="en-US"/>
        </w:rPr>
      </w:pPr>
      <w:r w:rsidRPr="00D354E6">
        <w:rPr>
          <w:rFonts w:cstheme="minorHAnsi"/>
          <w:b/>
          <w:bCs/>
          <w:color w:val="111111"/>
          <w:sz w:val="22"/>
          <w:szCs w:val="22"/>
          <w:lang w:val="en-US"/>
        </w:rPr>
        <w:t>should comply with? Or do you believe it would be useful to provide in the RTS list and explanations of information that should be included in the order execution policy, such as related to the method and steps to be taken by the firm to establish the price of client transactions in back-to-back trading, or the methodology for the firm’s application of mark-ups or mark-downs in such order executions? Please also state the reasons for your answer.</w:t>
      </w:r>
    </w:p>
    <w:p w14:paraId="260C886C" w14:textId="1430C20A" w:rsidR="00C937AE" w:rsidRPr="00D354E6" w:rsidRDefault="00C937AE" w:rsidP="00455B2D">
      <w:pPr>
        <w:rPr>
          <w:rFonts w:cstheme="minorHAnsi"/>
          <w:sz w:val="22"/>
          <w:szCs w:val="22"/>
          <w:lang w:val="en-US"/>
        </w:rPr>
      </w:pPr>
    </w:p>
    <w:p w14:paraId="0637F3F2" w14:textId="77777777" w:rsidR="00C937AE" w:rsidRPr="00D354E6" w:rsidRDefault="00C937AE" w:rsidP="00C937AE">
      <w:pPr>
        <w:rPr>
          <w:rFonts w:cstheme="minorHAnsi"/>
          <w:sz w:val="22"/>
          <w:szCs w:val="22"/>
          <w:lang w:val="en-US"/>
        </w:rPr>
      </w:pPr>
      <w:r w:rsidRPr="00D354E6">
        <w:rPr>
          <w:rFonts w:cstheme="minorHAnsi"/>
          <w:sz w:val="22"/>
          <w:szCs w:val="22"/>
          <w:lang w:val="en-US"/>
        </w:rPr>
        <w:t xml:space="preserve">Yes, the current text is sufficiently clear. </w:t>
      </w:r>
    </w:p>
    <w:p w14:paraId="2B96346D" w14:textId="77777777" w:rsidR="00C937AE" w:rsidRPr="00D354E6" w:rsidRDefault="00C937AE" w:rsidP="00C937AE">
      <w:pPr>
        <w:rPr>
          <w:rFonts w:cstheme="minorHAnsi"/>
          <w:sz w:val="22"/>
          <w:szCs w:val="22"/>
          <w:lang w:val="en-US"/>
        </w:rPr>
      </w:pPr>
    </w:p>
    <w:p w14:paraId="2D90C875" w14:textId="6D7653AF" w:rsidR="00C937AE" w:rsidRPr="00D354E6" w:rsidRDefault="00C937AE" w:rsidP="00C937AE">
      <w:pPr>
        <w:rPr>
          <w:rFonts w:cstheme="minorHAnsi"/>
          <w:sz w:val="22"/>
          <w:szCs w:val="22"/>
          <w:lang w:val="en-US"/>
        </w:rPr>
      </w:pPr>
      <w:r w:rsidRPr="00D354E6">
        <w:rPr>
          <w:rFonts w:cstheme="minorHAnsi"/>
          <w:sz w:val="22"/>
          <w:szCs w:val="22"/>
          <w:lang w:val="en-US"/>
        </w:rPr>
        <w:lastRenderedPageBreak/>
        <w:t>Art</w:t>
      </w:r>
      <w:r w:rsidR="0059320A">
        <w:rPr>
          <w:rFonts w:cstheme="minorHAnsi"/>
          <w:sz w:val="22"/>
          <w:szCs w:val="22"/>
          <w:lang w:val="en-US"/>
        </w:rPr>
        <w:t>icle</w:t>
      </w:r>
      <w:r w:rsidRPr="00D354E6">
        <w:rPr>
          <w:rFonts w:cstheme="minorHAnsi"/>
          <w:sz w:val="22"/>
          <w:szCs w:val="22"/>
          <w:lang w:val="en-US"/>
        </w:rPr>
        <w:t xml:space="preserve"> 27 MiFID II in conjunction with Art</w:t>
      </w:r>
      <w:r w:rsidR="0059320A">
        <w:rPr>
          <w:rFonts w:cstheme="minorHAnsi"/>
          <w:sz w:val="22"/>
          <w:szCs w:val="22"/>
          <w:lang w:val="en-US"/>
        </w:rPr>
        <w:t>icle</w:t>
      </w:r>
      <w:r w:rsidRPr="00D354E6">
        <w:rPr>
          <w:rFonts w:cstheme="minorHAnsi"/>
          <w:sz w:val="22"/>
          <w:szCs w:val="22"/>
          <w:lang w:val="en-US"/>
        </w:rPr>
        <w:t xml:space="preserve"> 64 (4) MiFID II-DVO stipulates that investment firms shall verify the fairness of the price offered to the client by using market data that was used to determine the price of this product and, if possible, comparing it with similar or comparable products. ESMA itself has set out these rules in the form of a Q&amp;A [Questions and Answers </w:t>
      </w:r>
      <w:proofErr w:type="gramStart"/>
      <w:r w:rsidRPr="00D354E6">
        <w:rPr>
          <w:rFonts w:cstheme="minorHAnsi"/>
          <w:sz w:val="22"/>
          <w:szCs w:val="22"/>
          <w:lang w:val="en-US"/>
        </w:rPr>
        <w:t>On</w:t>
      </w:r>
      <w:proofErr w:type="gramEnd"/>
      <w:r w:rsidRPr="00D354E6">
        <w:rPr>
          <w:rFonts w:cstheme="minorHAnsi"/>
          <w:sz w:val="22"/>
          <w:szCs w:val="22"/>
          <w:lang w:val="en-US"/>
        </w:rPr>
        <w:t xml:space="preserve"> MiFID II and MiFIR investor protection and intermediaries topics (ESMA35-43-349), Best Execution, Question 2]. Such a fairness check must be implemented systematically through processes and procedures. In addition, the basis on which the pricing decision was made must be recorded. We suggest integrating these existing requirements into the new RTS. However, we do not consider it useful to disclose details in the </w:t>
      </w:r>
      <w:r w:rsidR="001B0D99">
        <w:rPr>
          <w:rFonts w:cstheme="minorHAnsi"/>
          <w:sz w:val="22"/>
          <w:szCs w:val="22"/>
          <w:lang w:val="en-US"/>
        </w:rPr>
        <w:t xml:space="preserve">order </w:t>
      </w:r>
      <w:r w:rsidRPr="00D354E6">
        <w:rPr>
          <w:rFonts w:cstheme="minorHAnsi"/>
          <w:sz w:val="22"/>
          <w:szCs w:val="22"/>
          <w:lang w:val="en-US"/>
        </w:rPr>
        <w:t xml:space="preserve">execution </w:t>
      </w:r>
      <w:r w:rsidR="001B0D99">
        <w:rPr>
          <w:rFonts w:cstheme="minorHAnsi"/>
          <w:sz w:val="22"/>
          <w:szCs w:val="22"/>
          <w:lang w:val="en-US"/>
        </w:rPr>
        <w:t>polic</w:t>
      </w:r>
      <w:r w:rsidR="00127AB5">
        <w:rPr>
          <w:rFonts w:cstheme="minorHAnsi"/>
          <w:sz w:val="22"/>
          <w:szCs w:val="22"/>
          <w:lang w:val="en-US"/>
        </w:rPr>
        <w:t>y</w:t>
      </w:r>
      <w:r w:rsidRPr="00D354E6">
        <w:rPr>
          <w:rFonts w:cstheme="minorHAnsi"/>
          <w:sz w:val="22"/>
          <w:szCs w:val="22"/>
          <w:lang w:val="en-US"/>
        </w:rPr>
        <w:t>.</w:t>
      </w:r>
    </w:p>
    <w:p w14:paraId="41E97C74" w14:textId="487EEA27" w:rsidR="00C937AE" w:rsidRPr="00D354E6" w:rsidRDefault="00C937AE" w:rsidP="00455B2D">
      <w:pPr>
        <w:rPr>
          <w:rFonts w:cstheme="minorHAnsi"/>
          <w:sz w:val="22"/>
          <w:szCs w:val="22"/>
          <w:lang w:val="en-US"/>
        </w:rPr>
      </w:pPr>
    </w:p>
    <w:p w14:paraId="47E9B402" w14:textId="20F11ACF" w:rsidR="00C937AE" w:rsidRPr="00D354E6" w:rsidRDefault="00C937AE" w:rsidP="00D354E6">
      <w:pPr>
        <w:widowControl w:val="0"/>
        <w:autoSpaceDE w:val="0"/>
        <w:autoSpaceDN w:val="0"/>
        <w:adjustRightInd w:val="0"/>
        <w:spacing w:before="253" w:line="240" w:lineRule="auto"/>
        <w:ind w:right="176"/>
        <w:jc w:val="both"/>
        <w:rPr>
          <w:rFonts w:cstheme="minorHAnsi"/>
          <w:b/>
          <w:iCs/>
          <w:sz w:val="22"/>
          <w:szCs w:val="22"/>
          <w:lang w:val="en-US"/>
        </w:rPr>
      </w:pPr>
      <w:r w:rsidRPr="00D354E6">
        <w:rPr>
          <w:b/>
          <w:iCs/>
          <w:color w:val="101010"/>
          <w:sz w:val="22"/>
          <w:szCs w:val="22"/>
          <w:lang w:val="en-US"/>
        </w:rPr>
        <w:t>Q8: Are there any additional comments that you would like to raise and/or information that you would like to provide (for example, relevant information in relation to any expected costs and benefits arising from the proposals)?</w:t>
      </w:r>
    </w:p>
    <w:p w14:paraId="1F620560" w14:textId="6EEC962C" w:rsidR="00C937AE" w:rsidRPr="00D354E6" w:rsidRDefault="00C937AE" w:rsidP="00455B2D">
      <w:pPr>
        <w:rPr>
          <w:rFonts w:cstheme="minorHAnsi"/>
          <w:sz w:val="22"/>
          <w:szCs w:val="22"/>
          <w:lang w:val="en-US"/>
        </w:rPr>
      </w:pPr>
    </w:p>
    <w:p w14:paraId="054A0901" w14:textId="73C368DC" w:rsidR="00C937AE" w:rsidRPr="00D354E6" w:rsidRDefault="00C937AE" w:rsidP="00455B2D">
      <w:pPr>
        <w:rPr>
          <w:rFonts w:cstheme="minorHAnsi"/>
          <w:sz w:val="22"/>
          <w:szCs w:val="22"/>
          <w:lang w:val="en-US"/>
        </w:rPr>
      </w:pPr>
      <w:r w:rsidRPr="00D354E6">
        <w:rPr>
          <w:rFonts w:cstheme="minorHAnsi"/>
          <w:sz w:val="22"/>
          <w:szCs w:val="22"/>
          <w:lang w:val="en-US"/>
        </w:rPr>
        <w:t xml:space="preserve">Depending on the scope and level of detail of the technical changes and adjustments to be made, an implementation period of at least 12 to 18 months </w:t>
      </w:r>
      <w:r w:rsidR="0059320A">
        <w:rPr>
          <w:rFonts w:cstheme="minorHAnsi"/>
          <w:sz w:val="22"/>
          <w:szCs w:val="22"/>
          <w:lang w:val="en-US"/>
        </w:rPr>
        <w:t>is necessary</w:t>
      </w:r>
      <w:r w:rsidRPr="00D354E6">
        <w:rPr>
          <w:rFonts w:cstheme="minorHAnsi"/>
          <w:sz w:val="22"/>
          <w:szCs w:val="22"/>
          <w:lang w:val="en-US"/>
        </w:rPr>
        <w:t>.</w:t>
      </w:r>
    </w:p>
    <w:p w14:paraId="21C97044" w14:textId="171F727C" w:rsidR="00C937AE" w:rsidRPr="00D354E6" w:rsidRDefault="00C937AE" w:rsidP="00455B2D">
      <w:pPr>
        <w:rPr>
          <w:rFonts w:cstheme="minorHAnsi"/>
          <w:sz w:val="22"/>
          <w:szCs w:val="22"/>
          <w:lang w:val="en-US"/>
        </w:rPr>
      </w:pPr>
    </w:p>
    <w:p w14:paraId="2C77CDDF" w14:textId="26A751E0" w:rsidR="00C937AE" w:rsidRPr="00D354E6" w:rsidRDefault="00C937AE" w:rsidP="00455B2D">
      <w:pPr>
        <w:rPr>
          <w:rFonts w:cstheme="minorHAnsi"/>
          <w:sz w:val="22"/>
          <w:szCs w:val="22"/>
          <w:lang w:val="en-US"/>
        </w:rPr>
      </w:pPr>
    </w:p>
    <w:p w14:paraId="7BFCD67D" w14:textId="5C97EAE5" w:rsidR="00C937AE" w:rsidRPr="00D354E6" w:rsidRDefault="00C937AE" w:rsidP="00455B2D">
      <w:pPr>
        <w:rPr>
          <w:rFonts w:cstheme="minorHAnsi"/>
          <w:sz w:val="22"/>
          <w:szCs w:val="22"/>
          <w:lang w:val="en-US"/>
        </w:rPr>
      </w:pPr>
    </w:p>
    <w:p w14:paraId="4B1B28D6" w14:textId="77777777" w:rsidR="00C937AE" w:rsidRPr="00D354E6" w:rsidRDefault="00C937AE" w:rsidP="00455B2D">
      <w:pPr>
        <w:rPr>
          <w:rFonts w:cstheme="minorHAnsi"/>
          <w:sz w:val="22"/>
          <w:szCs w:val="22"/>
          <w:lang w:val="en-US"/>
        </w:rPr>
      </w:pPr>
    </w:p>
    <w:p w14:paraId="7BCEC2C1" w14:textId="2560F308" w:rsidR="00455B2D" w:rsidRPr="00D354E6" w:rsidRDefault="00455B2D" w:rsidP="00455B2D">
      <w:pPr>
        <w:rPr>
          <w:rFonts w:cstheme="minorHAnsi"/>
          <w:sz w:val="22"/>
          <w:szCs w:val="22"/>
          <w:lang w:val="en-US"/>
        </w:rPr>
      </w:pPr>
    </w:p>
    <w:p w14:paraId="135844C3" w14:textId="77777777" w:rsidR="00455B2D" w:rsidRPr="00D354E6" w:rsidRDefault="00455B2D" w:rsidP="00455B2D">
      <w:pPr>
        <w:rPr>
          <w:rFonts w:cstheme="minorHAnsi"/>
          <w:sz w:val="22"/>
          <w:szCs w:val="22"/>
          <w:lang w:val="en-US"/>
        </w:rPr>
      </w:pPr>
    </w:p>
    <w:p w14:paraId="055A295A" w14:textId="77777777" w:rsidR="00CE68DA" w:rsidRPr="00D354E6" w:rsidRDefault="00CE68DA" w:rsidP="006F4DAF">
      <w:pPr>
        <w:pStyle w:val="DKFlietext"/>
        <w:rPr>
          <w:sz w:val="22"/>
          <w:szCs w:val="22"/>
          <w:lang w:val="en-US"/>
        </w:rPr>
      </w:pPr>
    </w:p>
    <w:p w14:paraId="6EF10F19" w14:textId="77777777" w:rsidR="00D51EDB" w:rsidRPr="00D354E6" w:rsidRDefault="00D51EDB" w:rsidP="00D51EDB">
      <w:pPr>
        <w:rPr>
          <w:sz w:val="22"/>
          <w:szCs w:val="22"/>
          <w:lang w:val="en-US"/>
        </w:rPr>
      </w:pPr>
    </w:p>
    <w:sectPr w:rsidR="00D51EDB" w:rsidRPr="00D354E6" w:rsidSect="00331517">
      <w:headerReference w:type="default" r:id="rId8"/>
      <w:footerReference w:type="default" r:id="rId9"/>
      <w:headerReference w:type="first" r:id="rId10"/>
      <w:type w:val="continuous"/>
      <w:pgSz w:w="11906" w:h="16838" w:code="9"/>
      <w:pgMar w:top="2325" w:right="1418"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3E102" w14:textId="77777777" w:rsidR="0074229C" w:rsidRDefault="0074229C">
      <w:r>
        <w:separator/>
      </w:r>
    </w:p>
  </w:endnote>
  <w:endnote w:type="continuationSeparator" w:id="0">
    <w:p w14:paraId="64CB10CC" w14:textId="77777777" w:rsidR="0074229C" w:rsidRDefault="00742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881986"/>
      <w:docPartObj>
        <w:docPartGallery w:val="Page Numbers (Bottom of Page)"/>
        <w:docPartUnique/>
      </w:docPartObj>
    </w:sdtPr>
    <w:sdtEndPr/>
    <w:sdtContent>
      <w:p w14:paraId="7879431C" w14:textId="18FA139F" w:rsidR="00CD02DB" w:rsidRDefault="00CD02DB">
        <w:pPr>
          <w:pStyle w:val="Fuzeile"/>
          <w:jc w:val="center"/>
        </w:pPr>
        <w:r>
          <w:fldChar w:fldCharType="begin"/>
        </w:r>
        <w:r>
          <w:instrText>PAGE   \* MERGEFORMAT</w:instrText>
        </w:r>
        <w:r>
          <w:fldChar w:fldCharType="separate"/>
        </w:r>
        <w:r>
          <w:t>2</w:t>
        </w:r>
        <w:r>
          <w:fldChar w:fldCharType="end"/>
        </w:r>
      </w:p>
    </w:sdtContent>
  </w:sdt>
  <w:p w14:paraId="427D7FBB" w14:textId="77777777" w:rsidR="00CD02DB" w:rsidRDefault="00CD02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E8811" w14:textId="77777777" w:rsidR="0074229C" w:rsidRDefault="0074229C">
      <w:r>
        <w:separator/>
      </w:r>
    </w:p>
  </w:footnote>
  <w:footnote w:type="continuationSeparator" w:id="0">
    <w:p w14:paraId="37774AA0" w14:textId="77777777" w:rsidR="0074229C" w:rsidRDefault="00742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387C" w14:textId="680DB6C6" w:rsidR="00716D83" w:rsidRDefault="004202AB" w:rsidP="006F4DAF">
    <w:pPr>
      <w:pStyle w:val="DKSeitenzahl"/>
      <w:rPr>
        <w:lang w:val="en-GB"/>
      </w:rPr>
    </w:pPr>
    <w:r w:rsidRPr="00455B2D">
      <w:rPr>
        <w:lang w:val="en-US"/>
      </w:rPr>
      <w:t>Page</w:t>
    </w:r>
    <w:r w:rsidR="00716D83" w:rsidRPr="00455B2D">
      <w:rPr>
        <w:lang w:val="en-US"/>
      </w:rPr>
      <w:t xml:space="preserve"> </w:t>
    </w:r>
    <w:r w:rsidR="00716D83" w:rsidRPr="006F4DAF">
      <w:fldChar w:fldCharType="begin"/>
    </w:r>
    <w:r w:rsidR="00716D83" w:rsidRPr="00455B2D">
      <w:rPr>
        <w:lang w:val="en-US"/>
      </w:rPr>
      <w:instrText xml:space="preserve"> PAGE </w:instrText>
    </w:r>
    <w:r w:rsidR="00716D83" w:rsidRPr="006F4DAF">
      <w:fldChar w:fldCharType="separate"/>
    </w:r>
    <w:r w:rsidR="00716D83" w:rsidRPr="00455B2D">
      <w:rPr>
        <w:lang w:val="en-US"/>
      </w:rPr>
      <w:t>2</w:t>
    </w:r>
    <w:r w:rsidR="00716D83" w:rsidRPr="006F4DAF">
      <w:fldChar w:fldCharType="end"/>
    </w:r>
    <w:r w:rsidR="00716D83" w:rsidRPr="00455B2D">
      <w:rPr>
        <w:lang w:val="en-US"/>
      </w:rPr>
      <w:t xml:space="preserve"> </w:t>
    </w:r>
    <w:r w:rsidRPr="00455B2D">
      <w:rPr>
        <w:lang w:val="en-US"/>
      </w:rPr>
      <w:t>of</w:t>
    </w:r>
    <w:r w:rsidR="00716D83" w:rsidRPr="00455B2D">
      <w:rPr>
        <w:lang w:val="en-US"/>
      </w:rPr>
      <w:t xml:space="preserve"> </w:t>
    </w:r>
    <w:r w:rsidR="00716D83">
      <w:fldChar w:fldCharType="begin"/>
    </w:r>
    <w:r w:rsidR="00716D83" w:rsidRPr="00455B2D">
      <w:rPr>
        <w:lang w:val="en-US"/>
      </w:rPr>
      <w:instrText xml:space="preserve"> NUMPAGES </w:instrText>
    </w:r>
    <w:r w:rsidR="00716D83">
      <w:fldChar w:fldCharType="separate"/>
    </w:r>
    <w:r w:rsidR="00716D83" w:rsidRPr="00455B2D">
      <w:rPr>
        <w:lang w:val="en-US"/>
      </w:rPr>
      <w:t>2</w:t>
    </w:r>
    <w:r w:rsidR="00716D83">
      <w:fldChar w:fldCharType="end"/>
    </w:r>
    <w:r w:rsidR="00A279BF" w:rsidRPr="00455B2D">
      <w:rPr>
        <w:lang w:val="en-US"/>
      </w:rPr>
      <w:br/>
    </w:r>
    <w:r w:rsidRPr="00455B2D">
      <w:rPr>
        <w:lang w:val="en-US"/>
      </w:rPr>
      <w:t>Comments</w:t>
    </w:r>
    <w:r w:rsidR="00A279BF" w:rsidRPr="00455B2D">
      <w:rPr>
        <w:lang w:val="en-US"/>
      </w:rPr>
      <w:t xml:space="preserve"> </w:t>
    </w:r>
    <w:r w:rsidR="00A279BF">
      <w:fldChar w:fldCharType="begin"/>
    </w:r>
    <w:r w:rsidR="00A279BF" w:rsidRPr="00455B2D">
      <w:rPr>
        <w:lang w:val="en-US"/>
      </w:rPr>
      <w:instrText xml:space="preserve"> STYLEREF  "Überschrift 2"  \* MERGEFORMAT </w:instrText>
    </w:r>
    <w:r w:rsidR="00A279BF">
      <w:fldChar w:fldCharType="separate"/>
    </w:r>
    <w:r w:rsidR="00A84128">
      <w:rPr>
        <w:noProof/>
        <w:lang w:val="en-US"/>
      </w:rPr>
      <w:t>on ESMA Consultation Paper</w:t>
    </w:r>
    <w:r w:rsidR="00A84128">
      <w:rPr>
        <w:noProof/>
        <w:lang w:val="en-US"/>
      </w:rPr>
      <w:br/>
      <w:t>(ESMA35-335435667-5891)</w:t>
    </w:r>
    <w:r w:rsidR="00A84128">
      <w:rPr>
        <w:noProof/>
        <w:lang w:val="en-US"/>
      </w:rPr>
      <w:br/>
      <w:t>Technical Standards specifying the criteria for establishing and assessing the effectiveness of investment firms’ order execution policies</w:t>
    </w:r>
    <w:r w:rsidR="00A279BF">
      <w:fldChar w:fldCharType="end"/>
    </w:r>
    <w:r w:rsidR="00A279BF" w:rsidRPr="00455B2D">
      <w:rPr>
        <w:lang w:val="en-US"/>
      </w:rPr>
      <w:t xml:space="preserve"> </w:t>
    </w:r>
    <w:r w:rsidR="00FC1F6B" w:rsidRPr="00455B2D">
      <w:rPr>
        <w:lang w:val="en-US"/>
      </w:rPr>
      <w:t>dated</w:t>
    </w:r>
    <w:r w:rsidR="00A279BF" w:rsidRPr="00455B2D">
      <w:rPr>
        <w:lang w:val="en-US"/>
      </w:rPr>
      <w:t xml:space="preserve"> </w:t>
    </w:r>
    <w:r w:rsidR="00C2312D">
      <w:rPr>
        <w:lang w:val="en-GB"/>
      </w:rPr>
      <w:fldChar w:fldCharType="begin"/>
    </w:r>
    <w:r w:rsidR="00C2312D">
      <w:rPr>
        <w:lang w:val="en-GB"/>
      </w:rPr>
      <w:instrText xml:space="preserve"> DATE  \@ "MMMM dd, yyyy"  \* MERGEFORMAT </w:instrText>
    </w:r>
    <w:r w:rsidR="00C2312D">
      <w:rPr>
        <w:lang w:val="en-GB"/>
      </w:rPr>
      <w:fldChar w:fldCharType="separate"/>
    </w:r>
    <w:r w:rsidR="00A84128">
      <w:rPr>
        <w:noProof/>
        <w:lang w:val="en-GB"/>
      </w:rPr>
      <w:t>October 16, 2024</w:t>
    </w:r>
    <w:r w:rsidR="00C2312D">
      <w:rPr>
        <w:lang w:val="en-GB"/>
      </w:rPr>
      <w:fldChar w:fldCharType="end"/>
    </w:r>
  </w:p>
  <w:p w14:paraId="1FFAF586" w14:textId="07FE76C4" w:rsidR="00455B2D" w:rsidRDefault="00455B2D" w:rsidP="00455B2D">
    <w:pPr>
      <w:pStyle w:val="Kopfzeile"/>
      <w:rPr>
        <w:lang w:val="en-GB"/>
      </w:rPr>
    </w:pPr>
  </w:p>
  <w:p w14:paraId="481EEBBC" w14:textId="77777777" w:rsidR="00455B2D" w:rsidRPr="00455B2D" w:rsidRDefault="00455B2D" w:rsidP="00455B2D">
    <w:pPr>
      <w:pStyle w:val="Kopfzeil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1C4E" w14:textId="77777777" w:rsidR="00503FD0" w:rsidRDefault="00FF2CBE">
    <w:pPr>
      <w:pStyle w:val="Kopfzeile"/>
    </w:pPr>
    <w:r>
      <w:rPr>
        <w:noProof/>
      </w:rPr>
      <w:drawing>
        <wp:inline distT="0" distB="0" distL="0" distR="0" wp14:anchorId="0CAF4858" wp14:editId="3B7713FD">
          <wp:extent cx="6478270" cy="741519"/>
          <wp:effectExtent l="0" t="0" r="0" b="190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78270" cy="741519"/>
                  </a:xfrm>
                  <a:prstGeom prst="rect">
                    <a:avLst/>
                  </a:prstGeom>
                  <a:noFill/>
                  <a:ln>
                    <a:noFill/>
                  </a:ln>
                </pic:spPr>
              </pic:pic>
            </a:graphicData>
          </a:graphic>
        </wp:inline>
      </w:drawing>
    </w:r>
  </w:p>
  <w:p w14:paraId="6ECCB26D" w14:textId="77777777" w:rsidR="00E372A4" w:rsidRPr="0078370D" w:rsidRDefault="00E372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2E0D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ECC6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26D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5A62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60DF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14DB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CE2F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CEE3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A23E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B260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924E5"/>
    <w:multiLevelType w:val="hybridMultilevel"/>
    <w:tmpl w:val="91B65E08"/>
    <w:lvl w:ilvl="0" w:tplc="AEA0C03A">
      <w:start w:val="1"/>
      <w:numFmt w:val="bullet"/>
      <w:lvlText w:val="-"/>
      <w:lvlJc w:val="left"/>
      <w:pPr>
        <w:tabs>
          <w:tab w:val="num" w:pos="851"/>
        </w:tabs>
        <w:ind w:left="851" w:hanging="851"/>
      </w:pPr>
      <w:rPr>
        <w:rFonts w:ascii="Verdana" w:hAnsi="Verdana" w:hint="default"/>
        <w:color w:val="800033"/>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051654B2"/>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8C17CAE"/>
    <w:multiLevelType w:val="hybridMultilevel"/>
    <w:tmpl w:val="E4A086CE"/>
    <w:lvl w:ilvl="0" w:tplc="C8863DF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D4705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BDB300E"/>
    <w:multiLevelType w:val="multilevel"/>
    <w:tmpl w:val="8F8C8F1E"/>
    <w:numStyleLink w:val="111111"/>
  </w:abstractNum>
  <w:abstractNum w:abstractNumId="15" w15:restartNumberingAfterBreak="0">
    <w:nsid w:val="35A255A7"/>
    <w:multiLevelType w:val="multilevel"/>
    <w:tmpl w:val="8F8C8F1E"/>
    <w:styleLink w:val="111111"/>
    <w:lvl w:ilvl="0">
      <w:start w:val="1"/>
      <w:numFmt w:val="decimal"/>
      <w:lvlText w:val="%1."/>
      <w:lvlJc w:val="left"/>
      <w:pPr>
        <w:tabs>
          <w:tab w:val="num" w:pos="851"/>
        </w:tabs>
        <w:ind w:left="851" w:hanging="851"/>
      </w:pPr>
      <w:rPr>
        <w:rFonts w:ascii="Verdana" w:hAnsi="Verdana" w:hint="default"/>
        <w:color w:val="000000"/>
        <w:sz w:val="24"/>
        <w:szCs w:val="24"/>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D790282"/>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7357AA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F007F1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0691BC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23179B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82A08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DA417E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FBA3FC3"/>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6743D42"/>
    <w:multiLevelType w:val="multilevel"/>
    <w:tmpl w:val="8F8C8F1E"/>
    <w:numStyleLink w:val="111111"/>
  </w:abstractNum>
  <w:abstractNum w:abstractNumId="25" w15:restartNumberingAfterBreak="0">
    <w:nsid w:val="7672536A"/>
    <w:multiLevelType w:val="hybridMultilevel"/>
    <w:tmpl w:val="C3BEF946"/>
    <w:lvl w:ilvl="0" w:tplc="CAC8DB04">
      <w:start w:val="1"/>
      <w:numFmt w:val="bullet"/>
      <w:lvlText w:val=""/>
      <w:lvlJc w:val="left"/>
      <w:pPr>
        <w:tabs>
          <w:tab w:val="num" w:pos="0"/>
        </w:tabs>
        <w:ind w:left="0" w:firstLine="0"/>
      </w:pPr>
      <w:rPr>
        <w:rFonts w:ascii="Wingdings" w:hAnsi="Wingdings" w:hint="default"/>
        <w:color w:val="8000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0"/>
  </w:num>
  <w:num w:numId="13">
    <w:abstractNumId w:val="17"/>
  </w:num>
  <w:num w:numId="14">
    <w:abstractNumId w:val="11"/>
  </w:num>
  <w:num w:numId="15">
    <w:abstractNumId w:val="15"/>
  </w:num>
  <w:num w:numId="16">
    <w:abstractNumId w:val="14"/>
  </w:num>
  <w:num w:numId="17">
    <w:abstractNumId w:val="24"/>
  </w:num>
  <w:num w:numId="18">
    <w:abstractNumId w:val="21"/>
  </w:num>
  <w:num w:numId="19">
    <w:abstractNumId w:val="25"/>
  </w:num>
  <w:num w:numId="20">
    <w:abstractNumId w:val="22"/>
  </w:num>
  <w:num w:numId="21">
    <w:abstractNumId w:val="19"/>
  </w:num>
  <w:num w:numId="22">
    <w:abstractNumId w:val="13"/>
  </w:num>
  <w:num w:numId="23">
    <w:abstractNumId w:val="18"/>
  </w:num>
  <w:num w:numId="24">
    <w:abstractNumId w:val="16"/>
  </w:num>
  <w:num w:numId="25">
    <w:abstractNumId w:val="2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09"/>
  <w:autoHyphenation/>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B2D"/>
    <w:rsid w:val="000062B8"/>
    <w:rsid w:val="000064FA"/>
    <w:rsid w:val="00030C59"/>
    <w:rsid w:val="00034B0D"/>
    <w:rsid w:val="0004146D"/>
    <w:rsid w:val="000434E7"/>
    <w:rsid w:val="0005469F"/>
    <w:rsid w:val="00064B84"/>
    <w:rsid w:val="00066540"/>
    <w:rsid w:val="00066654"/>
    <w:rsid w:val="000673DA"/>
    <w:rsid w:val="00081753"/>
    <w:rsid w:val="00081FF2"/>
    <w:rsid w:val="00091253"/>
    <w:rsid w:val="0009466A"/>
    <w:rsid w:val="000A44FE"/>
    <w:rsid w:val="000A5562"/>
    <w:rsid w:val="000A7CC0"/>
    <w:rsid w:val="000B2B6C"/>
    <w:rsid w:val="000B4299"/>
    <w:rsid w:val="000B48C3"/>
    <w:rsid w:val="000B51EC"/>
    <w:rsid w:val="000B5287"/>
    <w:rsid w:val="000B799E"/>
    <w:rsid w:val="000C4CB9"/>
    <w:rsid w:val="00102E2B"/>
    <w:rsid w:val="001107F5"/>
    <w:rsid w:val="00116BD9"/>
    <w:rsid w:val="001232AE"/>
    <w:rsid w:val="00127AB5"/>
    <w:rsid w:val="00144111"/>
    <w:rsid w:val="00154F08"/>
    <w:rsid w:val="00157862"/>
    <w:rsid w:val="00160D76"/>
    <w:rsid w:val="00170117"/>
    <w:rsid w:val="00175026"/>
    <w:rsid w:val="00180914"/>
    <w:rsid w:val="00180BA7"/>
    <w:rsid w:val="001931F4"/>
    <w:rsid w:val="001A7626"/>
    <w:rsid w:val="001B0C84"/>
    <w:rsid w:val="001B0D99"/>
    <w:rsid w:val="001B4798"/>
    <w:rsid w:val="001C1626"/>
    <w:rsid w:val="001C16A2"/>
    <w:rsid w:val="001C5BF7"/>
    <w:rsid w:val="0020283F"/>
    <w:rsid w:val="00206153"/>
    <w:rsid w:val="0021223F"/>
    <w:rsid w:val="00222D25"/>
    <w:rsid w:val="00224775"/>
    <w:rsid w:val="00226EBC"/>
    <w:rsid w:val="00231560"/>
    <w:rsid w:val="00232FA4"/>
    <w:rsid w:val="00252F25"/>
    <w:rsid w:val="0028445F"/>
    <w:rsid w:val="00297444"/>
    <w:rsid w:val="002B4800"/>
    <w:rsid w:val="002C2D38"/>
    <w:rsid w:val="002D2499"/>
    <w:rsid w:val="002D431D"/>
    <w:rsid w:val="002D52E3"/>
    <w:rsid w:val="002E531F"/>
    <w:rsid w:val="002E6D73"/>
    <w:rsid w:val="002F2B86"/>
    <w:rsid w:val="003111B9"/>
    <w:rsid w:val="0031758A"/>
    <w:rsid w:val="00324B88"/>
    <w:rsid w:val="00325F52"/>
    <w:rsid w:val="00331517"/>
    <w:rsid w:val="00355B3B"/>
    <w:rsid w:val="003614F4"/>
    <w:rsid w:val="00381D80"/>
    <w:rsid w:val="003847EA"/>
    <w:rsid w:val="003952B8"/>
    <w:rsid w:val="00397CDC"/>
    <w:rsid w:val="003A0D7B"/>
    <w:rsid w:val="003B4CCC"/>
    <w:rsid w:val="003B629B"/>
    <w:rsid w:val="003E01EE"/>
    <w:rsid w:val="003F46D0"/>
    <w:rsid w:val="00406FD2"/>
    <w:rsid w:val="00407920"/>
    <w:rsid w:val="00411FF3"/>
    <w:rsid w:val="004157E8"/>
    <w:rsid w:val="004202AB"/>
    <w:rsid w:val="0043598E"/>
    <w:rsid w:val="00442122"/>
    <w:rsid w:val="004423E5"/>
    <w:rsid w:val="00446887"/>
    <w:rsid w:val="00455B2D"/>
    <w:rsid w:val="00461422"/>
    <w:rsid w:val="00472896"/>
    <w:rsid w:val="00483830"/>
    <w:rsid w:val="00495ADC"/>
    <w:rsid w:val="004A0516"/>
    <w:rsid w:val="004B68D4"/>
    <w:rsid w:val="004C423E"/>
    <w:rsid w:val="004E3531"/>
    <w:rsid w:val="00503FD0"/>
    <w:rsid w:val="0050651E"/>
    <w:rsid w:val="00506614"/>
    <w:rsid w:val="00513D82"/>
    <w:rsid w:val="00520E99"/>
    <w:rsid w:val="005229AA"/>
    <w:rsid w:val="00540310"/>
    <w:rsid w:val="00542E18"/>
    <w:rsid w:val="00556F35"/>
    <w:rsid w:val="00574433"/>
    <w:rsid w:val="00576668"/>
    <w:rsid w:val="0059320A"/>
    <w:rsid w:val="005A53F4"/>
    <w:rsid w:val="005D4354"/>
    <w:rsid w:val="005D50FA"/>
    <w:rsid w:val="005E63DD"/>
    <w:rsid w:val="005E75AD"/>
    <w:rsid w:val="005F70EE"/>
    <w:rsid w:val="00604BB5"/>
    <w:rsid w:val="00624B72"/>
    <w:rsid w:val="00624B9B"/>
    <w:rsid w:val="0063518B"/>
    <w:rsid w:val="006359F7"/>
    <w:rsid w:val="0064617D"/>
    <w:rsid w:val="00657DF9"/>
    <w:rsid w:val="00661275"/>
    <w:rsid w:val="00661A75"/>
    <w:rsid w:val="00667185"/>
    <w:rsid w:val="00677F4D"/>
    <w:rsid w:val="006A2E70"/>
    <w:rsid w:val="006A692B"/>
    <w:rsid w:val="006A72B5"/>
    <w:rsid w:val="006B166E"/>
    <w:rsid w:val="006B1766"/>
    <w:rsid w:val="006B34E2"/>
    <w:rsid w:val="006B5554"/>
    <w:rsid w:val="006C5D60"/>
    <w:rsid w:val="006D090D"/>
    <w:rsid w:val="006D25E3"/>
    <w:rsid w:val="006D283E"/>
    <w:rsid w:val="006E1B9B"/>
    <w:rsid w:val="006F4DAF"/>
    <w:rsid w:val="00702881"/>
    <w:rsid w:val="00716D83"/>
    <w:rsid w:val="00724218"/>
    <w:rsid w:val="00725556"/>
    <w:rsid w:val="00733CD3"/>
    <w:rsid w:val="0074229C"/>
    <w:rsid w:val="00743EF3"/>
    <w:rsid w:val="00744DA6"/>
    <w:rsid w:val="00753A54"/>
    <w:rsid w:val="007671C4"/>
    <w:rsid w:val="007762AE"/>
    <w:rsid w:val="00776710"/>
    <w:rsid w:val="0078370D"/>
    <w:rsid w:val="007861A5"/>
    <w:rsid w:val="007A01F9"/>
    <w:rsid w:val="007A4069"/>
    <w:rsid w:val="007B2BB0"/>
    <w:rsid w:val="007C3151"/>
    <w:rsid w:val="007C3FCF"/>
    <w:rsid w:val="007D2D46"/>
    <w:rsid w:val="007E2949"/>
    <w:rsid w:val="007F3AD4"/>
    <w:rsid w:val="0080115D"/>
    <w:rsid w:val="00804D4D"/>
    <w:rsid w:val="00813F50"/>
    <w:rsid w:val="0081538A"/>
    <w:rsid w:val="00842D7B"/>
    <w:rsid w:val="0084623B"/>
    <w:rsid w:val="00851E9C"/>
    <w:rsid w:val="00854AC8"/>
    <w:rsid w:val="00861393"/>
    <w:rsid w:val="00883BCB"/>
    <w:rsid w:val="00884D52"/>
    <w:rsid w:val="008874F6"/>
    <w:rsid w:val="008A05B7"/>
    <w:rsid w:val="008A09DA"/>
    <w:rsid w:val="008A28A7"/>
    <w:rsid w:val="008C0C9A"/>
    <w:rsid w:val="008C4BC9"/>
    <w:rsid w:val="008E42A2"/>
    <w:rsid w:val="008F317B"/>
    <w:rsid w:val="008F370C"/>
    <w:rsid w:val="00903A71"/>
    <w:rsid w:val="00930473"/>
    <w:rsid w:val="00933F67"/>
    <w:rsid w:val="00940739"/>
    <w:rsid w:val="00942DCF"/>
    <w:rsid w:val="0095324D"/>
    <w:rsid w:val="00955A0C"/>
    <w:rsid w:val="00961004"/>
    <w:rsid w:val="00964CE9"/>
    <w:rsid w:val="00973C90"/>
    <w:rsid w:val="00981D53"/>
    <w:rsid w:val="0099193F"/>
    <w:rsid w:val="009B20F9"/>
    <w:rsid w:val="009B43FD"/>
    <w:rsid w:val="009B52E6"/>
    <w:rsid w:val="009B6FDB"/>
    <w:rsid w:val="009C5159"/>
    <w:rsid w:val="009C52DB"/>
    <w:rsid w:val="009E130E"/>
    <w:rsid w:val="00A003D0"/>
    <w:rsid w:val="00A0192B"/>
    <w:rsid w:val="00A01BE9"/>
    <w:rsid w:val="00A0387E"/>
    <w:rsid w:val="00A279BF"/>
    <w:rsid w:val="00A43F2B"/>
    <w:rsid w:val="00A612DD"/>
    <w:rsid w:val="00A61E20"/>
    <w:rsid w:val="00A773BA"/>
    <w:rsid w:val="00A82498"/>
    <w:rsid w:val="00A84128"/>
    <w:rsid w:val="00A90222"/>
    <w:rsid w:val="00A97BC8"/>
    <w:rsid w:val="00AA567E"/>
    <w:rsid w:val="00AB0DA2"/>
    <w:rsid w:val="00AB1547"/>
    <w:rsid w:val="00AB2C4E"/>
    <w:rsid w:val="00AD11A9"/>
    <w:rsid w:val="00AD15D0"/>
    <w:rsid w:val="00AD6E88"/>
    <w:rsid w:val="00AE426E"/>
    <w:rsid w:val="00AE5A6C"/>
    <w:rsid w:val="00AF79D3"/>
    <w:rsid w:val="00B1243E"/>
    <w:rsid w:val="00B160BF"/>
    <w:rsid w:val="00B17D1F"/>
    <w:rsid w:val="00B22128"/>
    <w:rsid w:val="00B309E2"/>
    <w:rsid w:val="00B31C16"/>
    <w:rsid w:val="00B37DA4"/>
    <w:rsid w:val="00B44DE4"/>
    <w:rsid w:val="00B461CD"/>
    <w:rsid w:val="00B52E07"/>
    <w:rsid w:val="00B5350B"/>
    <w:rsid w:val="00B56C86"/>
    <w:rsid w:val="00B85906"/>
    <w:rsid w:val="00B90025"/>
    <w:rsid w:val="00B9734B"/>
    <w:rsid w:val="00B97B3B"/>
    <w:rsid w:val="00BA1AA2"/>
    <w:rsid w:val="00BA4A4E"/>
    <w:rsid w:val="00BB05A9"/>
    <w:rsid w:val="00BC4220"/>
    <w:rsid w:val="00BD0676"/>
    <w:rsid w:val="00BD0C97"/>
    <w:rsid w:val="00BD5091"/>
    <w:rsid w:val="00BE3A89"/>
    <w:rsid w:val="00BF3C26"/>
    <w:rsid w:val="00C02EE6"/>
    <w:rsid w:val="00C03FED"/>
    <w:rsid w:val="00C2312D"/>
    <w:rsid w:val="00C67E7D"/>
    <w:rsid w:val="00C752F1"/>
    <w:rsid w:val="00C810F3"/>
    <w:rsid w:val="00C83905"/>
    <w:rsid w:val="00C85A90"/>
    <w:rsid w:val="00C918E7"/>
    <w:rsid w:val="00C937AE"/>
    <w:rsid w:val="00C951D8"/>
    <w:rsid w:val="00C952D1"/>
    <w:rsid w:val="00C975F2"/>
    <w:rsid w:val="00CA246F"/>
    <w:rsid w:val="00CC289D"/>
    <w:rsid w:val="00CC31A1"/>
    <w:rsid w:val="00CC4D58"/>
    <w:rsid w:val="00CD02DB"/>
    <w:rsid w:val="00CD38FC"/>
    <w:rsid w:val="00CE215B"/>
    <w:rsid w:val="00CE68DA"/>
    <w:rsid w:val="00CE6EDF"/>
    <w:rsid w:val="00CF01ED"/>
    <w:rsid w:val="00D028F9"/>
    <w:rsid w:val="00D1004A"/>
    <w:rsid w:val="00D11A65"/>
    <w:rsid w:val="00D15DA3"/>
    <w:rsid w:val="00D16CC7"/>
    <w:rsid w:val="00D23DF2"/>
    <w:rsid w:val="00D3300C"/>
    <w:rsid w:val="00D354E6"/>
    <w:rsid w:val="00D35C1B"/>
    <w:rsid w:val="00D50435"/>
    <w:rsid w:val="00D509D0"/>
    <w:rsid w:val="00D50DC7"/>
    <w:rsid w:val="00D51EDB"/>
    <w:rsid w:val="00D53D2F"/>
    <w:rsid w:val="00D555A5"/>
    <w:rsid w:val="00D5770D"/>
    <w:rsid w:val="00D57EFD"/>
    <w:rsid w:val="00D74088"/>
    <w:rsid w:val="00D931F7"/>
    <w:rsid w:val="00DA3E81"/>
    <w:rsid w:val="00DA4580"/>
    <w:rsid w:val="00DC244F"/>
    <w:rsid w:val="00DC28C2"/>
    <w:rsid w:val="00DD15DA"/>
    <w:rsid w:val="00DD3B62"/>
    <w:rsid w:val="00DD3B94"/>
    <w:rsid w:val="00DD7AD4"/>
    <w:rsid w:val="00DF11C9"/>
    <w:rsid w:val="00DF5C87"/>
    <w:rsid w:val="00E00784"/>
    <w:rsid w:val="00E120BC"/>
    <w:rsid w:val="00E14859"/>
    <w:rsid w:val="00E372A4"/>
    <w:rsid w:val="00E37AEB"/>
    <w:rsid w:val="00E41235"/>
    <w:rsid w:val="00E564C7"/>
    <w:rsid w:val="00E8276A"/>
    <w:rsid w:val="00E8480E"/>
    <w:rsid w:val="00EB77F6"/>
    <w:rsid w:val="00EE7813"/>
    <w:rsid w:val="00EF3B53"/>
    <w:rsid w:val="00EF3BC4"/>
    <w:rsid w:val="00F0514A"/>
    <w:rsid w:val="00F27041"/>
    <w:rsid w:val="00F34E99"/>
    <w:rsid w:val="00F45A5A"/>
    <w:rsid w:val="00F47B88"/>
    <w:rsid w:val="00F57F71"/>
    <w:rsid w:val="00F61ADC"/>
    <w:rsid w:val="00F65660"/>
    <w:rsid w:val="00F71B8E"/>
    <w:rsid w:val="00F854D6"/>
    <w:rsid w:val="00F8656D"/>
    <w:rsid w:val="00F87331"/>
    <w:rsid w:val="00FB0A94"/>
    <w:rsid w:val="00FC0F11"/>
    <w:rsid w:val="00FC1F6B"/>
    <w:rsid w:val="00FD04C3"/>
    <w:rsid w:val="00FD54FE"/>
    <w:rsid w:val="00FF2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928DAEB"/>
  <w15:chartTrackingRefBased/>
  <w15:docId w15:val="{72E7C3AD-6940-4433-8687-3DCC8B42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locked="1"/>
    <w:lsdException w:name="Emphasis"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locked="1"/>
    <w:lsdException w:name="No List" w:semiHidden="1" w:unhideWhenUsed="1"/>
    <w:lsdException w:name="Outline List 1" w:locked="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232AE"/>
    <w:pPr>
      <w:spacing w:line="280" w:lineRule="exact"/>
    </w:pPr>
    <w:rPr>
      <w:rFonts w:ascii="Verdana" w:hAnsi="Verdana"/>
      <w:color w:val="000000"/>
      <w:sz w:val="18"/>
      <w:szCs w:val="24"/>
    </w:rPr>
  </w:style>
  <w:style w:type="paragraph" w:styleId="berschrift1">
    <w:name w:val="heading 1"/>
    <w:basedOn w:val="StandardDKFarbe"/>
    <w:next w:val="Standard"/>
    <w:rsid w:val="003B629B"/>
    <w:pPr>
      <w:keepNext/>
      <w:spacing w:line="240" w:lineRule="auto"/>
      <w:outlineLvl w:val="0"/>
    </w:pPr>
    <w:rPr>
      <w:rFonts w:cs="Arial"/>
      <w:b/>
      <w:bCs w:val="0"/>
      <w:color w:val="333333"/>
      <w:sz w:val="48"/>
      <w:szCs w:val="28"/>
    </w:rPr>
  </w:style>
  <w:style w:type="paragraph" w:styleId="berschrift2">
    <w:name w:val="heading 2"/>
    <w:basedOn w:val="StandardDKFarbe"/>
    <w:next w:val="Standard"/>
    <w:rsid w:val="00A90222"/>
    <w:pPr>
      <w:keepNext/>
      <w:spacing w:after="480" w:line="360" w:lineRule="exact"/>
      <w:outlineLvl w:val="1"/>
    </w:pPr>
    <w:rPr>
      <w:rFonts w:cs="Arial"/>
      <w:bCs w:val="0"/>
      <w:iCs/>
      <w:color w:val="auto"/>
      <w:sz w:val="28"/>
    </w:rPr>
  </w:style>
  <w:style w:type="paragraph" w:styleId="berschrift3">
    <w:name w:val="heading 3"/>
    <w:basedOn w:val="Standard"/>
    <w:next w:val="Standard"/>
    <w:rsid w:val="00297444"/>
    <w:pPr>
      <w:keepNext/>
      <w:spacing w:line="480" w:lineRule="auto"/>
      <w:outlineLvl w:val="2"/>
    </w:pPr>
    <w:rPr>
      <w:rFonts w:cs="Arial"/>
      <w:b/>
      <w:bCs/>
      <w:sz w:val="20"/>
      <w:szCs w:val="20"/>
    </w:rPr>
  </w:style>
  <w:style w:type="paragraph" w:styleId="berschrift4">
    <w:name w:val="heading 4"/>
    <w:basedOn w:val="Standard"/>
    <w:next w:val="Standard"/>
    <w:rsid w:val="00297444"/>
    <w:pPr>
      <w:keepNext/>
      <w:spacing w:line="240" w:lineRule="auto"/>
      <w:outlineLvl w:val="3"/>
    </w:pPr>
    <w:rPr>
      <w:b/>
      <w:bCs/>
      <w:szCs w:val="18"/>
    </w:rPr>
  </w:style>
  <w:style w:type="paragraph" w:styleId="berschrift5">
    <w:name w:val="heading 5"/>
    <w:basedOn w:val="Standard"/>
    <w:next w:val="Standard"/>
    <w:locked/>
    <w:rsid w:val="00CE6EDF"/>
    <w:pPr>
      <w:spacing w:before="240" w:after="60"/>
      <w:outlineLvl w:val="4"/>
    </w:pPr>
    <w:rPr>
      <w:b/>
      <w:bCs/>
      <w:i/>
      <w:iCs/>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ocked/>
    <w:rsid w:val="00D51EDB"/>
    <w:pPr>
      <w:spacing w:line="240" w:lineRule="auto"/>
    </w:pPr>
  </w:style>
  <w:style w:type="paragraph" w:styleId="Fuzeile">
    <w:name w:val="footer"/>
    <w:basedOn w:val="Standard"/>
    <w:link w:val="FuzeileZchn"/>
    <w:uiPriority w:val="99"/>
    <w:locked/>
    <w:rsid w:val="00CA246F"/>
  </w:style>
  <w:style w:type="paragraph" w:customStyle="1" w:styleId="DKUnterzeichner">
    <w:name w:val="DK_Unterzeichner"/>
    <w:basedOn w:val="DKFlietext"/>
    <w:rsid w:val="00F87331"/>
    <w:pPr>
      <w:tabs>
        <w:tab w:val="left" w:pos="3402"/>
      </w:tabs>
      <w:spacing w:line="840" w:lineRule="exact"/>
    </w:pPr>
  </w:style>
  <w:style w:type="paragraph" w:customStyle="1" w:styleId="DKFederfhrer">
    <w:name w:val="DK_Federführer"/>
    <w:basedOn w:val="StandardDKFarbe"/>
    <w:rsid w:val="00854AC8"/>
    <w:pPr>
      <w:spacing w:line="240" w:lineRule="exact"/>
    </w:pPr>
    <w:rPr>
      <w:color w:val="3E5A6A"/>
      <w:sz w:val="14"/>
    </w:rPr>
  </w:style>
  <w:style w:type="character" w:styleId="Hyperlink">
    <w:name w:val="Hyperlink"/>
    <w:locked/>
    <w:rsid w:val="00CE6EDF"/>
    <w:rPr>
      <w:color w:val="0000FF"/>
      <w:u w:val="single"/>
    </w:rPr>
  </w:style>
  <w:style w:type="paragraph" w:styleId="Dokumentstruktur">
    <w:name w:val="Document Map"/>
    <w:basedOn w:val="Standard"/>
    <w:semiHidden/>
    <w:locked/>
    <w:rsid w:val="00CE6EDF"/>
    <w:pPr>
      <w:shd w:val="clear" w:color="auto" w:fill="000080"/>
    </w:pPr>
    <w:rPr>
      <w:rFonts w:ascii="Tahoma" w:hAnsi="Tahoma" w:cs="Tahoma"/>
      <w:sz w:val="20"/>
      <w:szCs w:val="20"/>
    </w:rPr>
  </w:style>
  <w:style w:type="paragraph" w:customStyle="1" w:styleId="DKAbsenderzeile">
    <w:name w:val="DK_Absenderzeile"/>
    <w:basedOn w:val="Standard"/>
    <w:rsid w:val="00E37AEB"/>
    <w:pPr>
      <w:spacing w:line="200" w:lineRule="exact"/>
    </w:pPr>
    <w:rPr>
      <w:color w:val="333333"/>
      <w:sz w:val="14"/>
      <w:szCs w:val="14"/>
    </w:rPr>
  </w:style>
  <w:style w:type="paragraph" w:styleId="Datum">
    <w:name w:val="Date"/>
    <w:aliases w:val="DK_Datum"/>
    <w:basedOn w:val="Standard"/>
    <w:next w:val="Standard"/>
    <w:rsid w:val="00297444"/>
    <w:pPr>
      <w:framePr w:w="2268" w:h="510" w:hRule="exact" w:wrap="around" w:hAnchor="page" w:x="8495" w:y="5762" w:anchorLock="1"/>
    </w:pPr>
  </w:style>
  <w:style w:type="paragraph" w:customStyle="1" w:styleId="DKMarginalspalte">
    <w:name w:val="DK_Marginalspalte"/>
    <w:basedOn w:val="StandardDKFarbe"/>
    <w:qFormat/>
    <w:rsid w:val="00FC0F11"/>
    <w:pPr>
      <w:tabs>
        <w:tab w:val="left" w:pos="851"/>
      </w:tabs>
      <w:spacing w:line="240" w:lineRule="exact"/>
    </w:pPr>
    <w:rPr>
      <w:sz w:val="14"/>
      <w:szCs w:val="14"/>
    </w:rPr>
  </w:style>
  <w:style w:type="paragraph" w:styleId="Titel">
    <w:name w:val="Title"/>
    <w:basedOn w:val="Standard"/>
    <w:rsid w:val="00297444"/>
    <w:pPr>
      <w:spacing w:line="440" w:lineRule="exact"/>
      <w:outlineLvl w:val="0"/>
    </w:pPr>
    <w:rPr>
      <w:rFonts w:ascii="Arial" w:hAnsi="Arial" w:cs="Arial"/>
      <w:bCs/>
      <w:color w:val="800033"/>
      <w:kern w:val="28"/>
      <w:sz w:val="40"/>
      <w:szCs w:val="40"/>
    </w:rPr>
  </w:style>
  <w:style w:type="paragraph" w:customStyle="1" w:styleId="DKFlietext">
    <w:name w:val="DK_Fließtext"/>
    <w:basedOn w:val="Standard"/>
    <w:qFormat/>
    <w:rsid w:val="00222D25"/>
  </w:style>
  <w:style w:type="numbering" w:styleId="111111">
    <w:name w:val="Outline List 2"/>
    <w:basedOn w:val="KeineListe"/>
    <w:rsid w:val="00297444"/>
    <w:pPr>
      <w:numPr>
        <w:numId w:val="15"/>
      </w:numPr>
    </w:pPr>
  </w:style>
  <w:style w:type="paragraph" w:customStyle="1" w:styleId="DKBetreff">
    <w:name w:val="DK_Betreff"/>
    <w:basedOn w:val="Standard"/>
    <w:next w:val="DKFlietext"/>
    <w:rsid w:val="00F34E99"/>
    <w:pPr>
      <w:keepLines/>
      <w:suppressAutoHyphens/>
      <w:spacing w:before="560" w:after="560"/>
    </w:pPr>
    <w:rPr>
      <w:b/>
      <w:szCs w:val="18"/>
    </w:rPr>
  </w:style>
  <w:style w:type="table" w:styleId="Tabellenraster">
    <w:name w:val="Table Grid"/>
    <w:basedOn w:val="NormaleTabelle"/>
    <w:locked/>
    <w:rsid w:val="00144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KPosition">
    <w:name w:val="DK_Position"/>
    <w:basedOn w:val="NormaleTabelle"/>
    <w:uiPriority w:val="99"/>
    <w:rsid w:val="00144111"/>
    <w:rPr>
      <w:rFonts w:ascii="Verdana" w:hAnsi="Verdana"/>
      <w:sz w:val="18"/>
    </w:rPr>
    <w:tblPr>
      <w:tblCellMar>
        <w:left w:w="0" w:type="dxa"/>
        <w:right w:w="0" w:type="dxa"/>
      </w:tblCellMar>
    </w:tblPr>
    <w:tcPr>
      <w:shd w:val="clear" w:color="auto" w:fill="auto"/>
    </w:tcPr>
  </w:style>
  <w:style w:type="paragraph" w:customStyle="1" w:styleId="DKSeitenzahl">
    <w:name w:val="DK_Seitenzahl"/>
    <w:basedOn w:val="Kopfzeile"/>
    <w:next w:val="Kopfzeile"/>
    <w:rsid w:val="00A279BF"/>
    <w:pPr>
      <w:spacing w:before="688" w:line="240" w:lineRule="exact"/>
    </w:pPr>
    <w:rPr>
      <w:color w:val="3E5A6A"/>
      <w:sz w:val="14"/>
      <w:szCs w:val="14"/>
    </w:rPr>
  </w:style>
  <w:style w:type="character" w:styleId="Fett">
    <w:name w:val="Strong"/>
    <w:basedOn w:val="Absatz-Standardschriftart"/>
    <w:locked/>
    <w:rsid w:val="006C5D60"/>
    <w:rPr>
      <w:b/>
      <w:bCs/>
    </w:rPr>
  </w:style>
  <w:style w:type="paragraph" w:customStyle="1" w:styleId="StandardDKFarbe">
    <w:name w:val="Standard_DK_Farbe"/>
    <w:basedOn w:val="Standard"/>
    <w:next w:val="Standard"/>
    <w:rsid w:val="00854AC8"/>
    <w:rPr>
      <w:bCs/>
      <w:color w:val="2C404C"/>
    </w:rPr>
  </w:style>
  <w:style w:type="paragraph" w:customStyle="1" w:styleId="DKFlietextFarbeoTrennung">
    <w:name w:val="DK_Fließtext_Farbe_oTrennung"/>
    <w:basedOn w:val="DKFlietext"/>
    <w:rsid w:val="003F46D0"/>
    <w:pPr>
      <w:framePr w:wrap="around" w:vAnchor="page" w:hAnchor="text" w:y="2382"/>
      <w:suppressAutoHyphens/>
      <w:suppressOverlap/>
    </w:pPr>
    <w:rPr>
      <w:color w:val="2C404C"/>
    </w:rPr>
  </w:style>
  <w:style w:type="paragraph" w:styleId="Listenabsatz">
    <w:name w:val="List Paragraph"/>
    <w:basedOn w:val="Standard"/>
    <w:uiPriority w:val="34"/>
    <w:qFormat/>
    <w:rsid w:val="00455B2D"/>
    <w:pPr>
      <w:ind w:left="720"/>
      <w:contextualSpacing/>
    </w:pPr>
  </w:style>
  <w:style w:type="paragraph" w:styleId="berarbeitung">
    <w:name w:val="Revision"/>
    <w:hidden/>
    <w:uiPriority w:val="99"/>
    <w:semiHidden/>
    <w:rsid w:val="0043598E"/>
    <w:rPr>
      <w:rFonts w:ascii="Verdana" w:hAnsi="Verdana"/>
      <w:color w:val="000000"/>
      <w:sz w:val="18"/>
      <w:szCs w:val="24"/>
    </w:rPr>
  </w:style>
  <w:style w:type="character" w:styleId="Kommentarzeichen">
    <w:name w:val="annotation reference"/>
    <w:basedOn w:val="Absatz-Standardschriftart"/>
    <w:locked/>
    <w:rsid w:val="0043598E"/>
    <w:rPr>
      <w:sz w:val="16"/>
      <w:szCs w:val="16"/>
    </w:rPr>
  </w:style>
  <w:style w:type="paragraph" w:styleId="Kommentartext">
    <w:name w:val="annotation text"/>
    <w:basedOn w:val="Standard"/>
    <w:link w:val="KommentartextZchn"/>
    <w:locked/>
    <w:rsid w:val="0043598E"/>
    <w:pPr>
      <w:spacing w:line="240" w:lineRule="auto"/>
    </w:pPr>
    <w:rPr>
      <w:sz w:val="20"/>
      <w:szCs w:val="20"/>
    </w:rPr>
  </w:style>
  <w:style w:type="character" w:customStyle="1" w:styleId="KommentartextZchn">
    <w:name w:val="Kommentartext Zchn"/>
    <w:basedOn w:val="Absatz-Standardschriftart"/>
    <w:link w:val="Kommentartext"/>
    <w:rsid w:val="0043598E"/>
    <w:rPr>
      <w:rFonts w:ascii="Verdana" w:hAnsi="Verdana"/>
      <w:color w:val="000000"/>
    </w:rPr>
  </w:style>
  <w:style w:type="paragraph" w:styleId="Kommentarthema">
    <w:name w:val="annotation subject"/>
    <w:basedOn w:val="Kommentartext"/>
    <w:next w:val="Kommentartext"/>
    <w:link w:val="KommentarthemaZchn"/>
    <w:locked/>
    <w:rsid w:val="0043598E"/>
    <w:rPr>
      <w:b/>
      <w:bCs/>
    </w:rPr>
  </w:style>
  <w:style w:type="character" w:customStyle="1" w:styleId="KommentarthemaZchn">
    <w:name w:val="Kommentarthema Zchn"/>
    <w:basedOn w:val="KommentartextZchn"/>
    <w:link w:val="Kommentarthema"/>
    <w:rsid w:val="0043598E"/>
    <w:rPr>
      <w:rFonts w:ascii="Verdana" w:hAnsi="Verdana"/>
      <w:b/>
      <w:bCs/>
      <w:color w:val="000000"/>
    </w:rPr>
  </w:style>
  <w:style w:type="character" w:customStyle="1" w:styleId="FuzeileZchn">
    <w:name w:val="Fußzeile Zchn"/>
    <w:basedOn w:val="Absatz-Standardschriftart"/>
    <w:link w:val="Fuzeile"/>
    <w:uiPriority w:val="99"/>
    <w:rsid w:val="00CD02DB"/>
    <w:rPr>
      <w:rFonts w:ascii="Verdana" w:hAnsi="Verdana"/>
      <w:color w:val="0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0737">
      <w:bodyDiv w:val="1"/>
      <w:marLeft w:val="0"/>
      <w:marRight w:val="0"/>
      <w:marTop w:val="0"/>
      <w:marBottom w:val="0"/>
      <w:divBdr>
        <w:top w:val="none" w:sz="0" w:space="0" w:color="auto"/>
        <w:left w:val="none" w:sz="0" w:space="0" w:color="auto"/>
        <w:bottom w:val="none" w:sz="0" w:space="0" w:color="auto"/>
        <w:right w:val="none" w:sz="0" w:space="0" w:color="auto"/>
      </w:divBdr>
    </w:div>
    <w:div w:id="205223491">
      <w:bodyDiv w:val="1"/>
      <w:marLeft w:val="0"/>
      <w:marRight w:val="0"/>
      <w:marTop w:val="0"/>
      <w:marBottom w:val="0"/>
      <w:divBdr>
        <w:top w:val="none" w:sz="0" w:space="0" w:color="auto"/>
        <w:left w:val="none" w:sz="0" w:space="0" w:color="auto"/>
        <w:bottom w:val="none" w:sz="0" w:space="0" w:color="auto"/>
        <w:right w:val="none" w:sz="0" w:space="0" w:color="auto"/>
      </w:divBdr>
    </w:div>
    <w:div w:id="214122432">
      <w:bodyDiv w:val="1"/>
      <w:marLeft w:val="0"/>
      <w:marRight w:val="0"/>
      <w:marTop w:val="0"/>
      <w:marBottom w:val="0"/>
      <w:divBdr>
        <w:top w:val="none" w:sz="0" w:space="0" w:color="auto"/>
        <w:left w:val="none" w:sz="0" w:space="0" w:color="auto"/>
        <w:bottom w:val="none" w:sz="0" w:space="0" w:color="auto"/>
        <w:right w:val="none" w:sz="0" w:space="0" w:color="auto"/>
      </w:divBdr>
    </w:div>
    <w:div w:id="675232099">
      <w:bodyDiv w:val="1"/>
      <w:marLeft w:val="0"/>
      <w:marRight w:val="0"/>
      <w:marTop w:val="0"/>
      <w:marBottom w:val="0"/>
      <w:divBdr>
        <w:top w:val="none" w:sz="0" w:space="0" w:color="auto"/>
        <w:left w:val="none" w:sz="0" w:space="0" w:color="auto"/>
        <w:bottom w:val="none" w:sz="0" w:space="0" w:color="auto"/>
        <w:right w:val="none" w:sz="0" w:space="0" w:color="auto"/>
      </w:divBdr>
    </w:div>
    <w:div w:id="1142188888">
      <w:bodyDiv w:val="1"/>
      <w:marLeft w:val="0"/>
      <w:marRight w:val="0"/>
      <w:marTop w:val="0"/>
      <w:marBottom w:val="0"/>
      <w:divBdr>
        <w:top w:val="none" w:sz="0" w:space="0" w:color="auto"/>
        <w:left w:val="none" w:sz="0" w:space="0" w:color="auto"/>
        <w:bottom w:val="none" w:sz="0" w:space="0" w:color="auto"/>
        <w:right w:val="none" w:sz="0" w:space="0" w:color="auto"/>
      </w:divBdr>
    </w:div>
    <w:div w:id="1316950373">
      <w:bodyDiv w:val="1"/>
      <w:marLeft w:val="0"/>
      <w:marRight w:val="0"/>
      <w:marTop w:val="0"/>
      <w:marBottom w:val="0"/>
      <w:divBdr>
        <w:top w:val="none" w:sz="0" w:space="0" w:color="auto"/>
        <w:left w:val="none" w:sz="0" w:space="0" w:color="auto"/>
        <w:bottom w:val="none" w:sz="0" w:space="0" w:color="auto"/>
        <w:right w:val="none" w:sz="0" w:space="0" w:color="auto"/>
      </w:divBdr>
    </w:div>
    <w:div w:id="1418214882">
      <w:bodyDiv w:val="1"/>
      <w:marLeft w:val="0"/>
      <w:marRight w:val="0"/>
      <w:marTop w:val="0"/>
      <w:marBottom w:val="0"/>
      <w:divBdr>
        <w:top w:val="none" w:sz="0" w:space="0" w:color="auto"/>
        <w:left w:val="none" w:sz="0" w:space="0" w:color="auto"/>
        <w:bottom w:val="none" w:sz="0" w:space="0" w:color="auto"/>
        <w:right w:val="none" w:sz="0" w:space="0" w:color="auto"/>
      </w:divBdr>
    </w:div>
    <w:div w:id="1837259801">
      <w:bodyDiv w:val="1"/>
      <w:marLeft w:val="0"/>
      <w:marRight w:val="0"/>
      <w:marTop w:val="0"/>
      <w:marBottom w:val="0"/>
      <w:divBdr>
        <w:top w:val="none" w:sz="0" w:space="0" w:color="auto"/>
        <w:left w:val="none" w:sz="0" w:space="0" w:color="auto"/>
        <w:bottom w:val="none" w:sz="0" w:space="0" w:color="auto"/>
        <w:right w:val="none" w:sz="0" w:space="0" w:color="auto"/>
      </w:divBdr>
    </w:div>
    <w:div w:id="2049140506">
      <w:bodyDiv w:val="1"/>
      <w:marLeft w:val="0"/>
      <w:marRight w:val="0"/>
      <w:marTop w:val="0"/>
      <w:marBottom w:val="0"/>
      <w:divBdr>
        <w:top w:val="none" w:sz="0" w:space="0" w:color="auto"/>
        <w:left w:val="none" w:sz="0" w:space="0" w:color="auto"/>
        <w:bottom w:val="none" w:sz="0" w:space="0" w:color="auto"/>
        <w:right w:val="none" w:sz="0" w:space="0" w:color="auto"/>
      </w:divBdr>
    </w:div>
    <w:div w:id="212199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Vorlagen\DK\DK_Stellungnahme_EN_Office-2013.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45E43-5017-4BBD-8CC1-9FE3E77A443B}">
  <ds:schemaRefs>
    <ds:schemaRef ds:uri="http://schemas.openxmlformats.org/officeDocument/2006/bibliography"/>
  </ds:schemaRefs>
</ds:datastoreItem>
</file>

<file path=docMetadata/LabelInfo.xml><?xml version="1.0" encoding="utf-8"?>
<clbl:labelList xmlns:clbl="http://schemas.microsoft.com/office/2020/mipLabelMetadata">
  <clbl:label id="{5d668d60-77bb-41df-b987-a21842cdaf23}" enabled="1" method="Standard" siteId="{e5db5ea2-140b-4fe1-8373-08944c29a6a2}" removed="0"/>
</clbl:labelList>
</file>

<file path=docProps/app.xml><?xml version="1.0" encoding="utf-8"?>
<Properties xmlns="http://schemas.openxmlformats.org/officeDocument/2006/extended-properties" xmlns:vt="http://schemas.openxmlformats.org/officeDocument/2006/docPropsVTypes">
  <Template>DK_Stellungnahme_EN_Office-2013.dotx</Template>
  <TotalTime>0</TotalTime>
  <Pages>7</Pages>
  <Words>2378</Words>
  <Characters>12871</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DK Comments</vt:lpstr>
    </vt:vector>
  </TitlesOfParts>
  <Company>Bundesverband deutscher Banken e. V.</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 Comments</dc:title>
  <dc:subject/>
  <dc:creator>Lund, Iris</dc:creator>
  <cp:keywords/>
  <dc:description>überarbeitet im Februar 2024</dc:description>
  <cp:lastModifiedBy>Pullen, Michael</cp:lastModifiedBy>
  <cp:revision>5</cp:revision>
  <cp:lastPrinted>2024-02-16T14:37:00Z</cp:lastPrinted>
  <dcterms:created xsi:type="dcterms:W3CDTF">2024-10-14T16:40:00Z</dcterms:created>
  <dcterms:modified xsi:type="dcterms:W3CDTF">2024-10-16T11:37:00Z</dcterms:modified>
</cp:coreProperties>
</file>