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AC6C65D" w:rsidR="00FD7A8D" w:rsidRPr="00F716D4" w:rsidRDefault="00F87468" w:rsidP="00E70E2E">
      <w:pPr>
        <w:pStyle w:val="Subtitle"/>
      </w:pPr>
      <w:r w:rsidRPr="00F716D4">
        <w:t xml:space="preserve">on the Consultation Paper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8E033"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2D36A3">
        <w:t>3</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4473B01F" w:rsidR="00E70E2E" w:rsidRDefault="00E70E2E" w:rsidP="00E70E2E">
      <w:pPr>
        <w:rPr>
          <w:b/>
        </w:rPr>
      </w:pPr>
      <w:r w:rsidRPr="005B6B12">
        <w:t xml:space="preserve">ESMA will consider all comments </w:t>
      </w:r>
      <w:r w:rsidRPr="009E1C55">
        <w:t xml:space="preserve">received by </w:t>
      </w:r>
      <w:r w:rsidR="000E669A" w:rsidRPr="000E669A">
        <w:rPr>
          <w:b/>
          <w:color w:val="FF0000"/>
        </w:rPr>
        <w:t>30</w:t>
      </w:r>
      <w:r w:rsidR="009E1C55" w:rsidRPr="000E669A">
        <w:rPr>
          <w:b/>
          <w:color w:val="FF0000"/>
        </w:rPr>
        <w:t xml:space="preserve"> September </w:t>
      </w:r>
      <w:r w:rsidR="005A775C" w:rsidRPr="000E669A">
        <w:rPr>
          <w:b/>
          <w:color w:val="FF0000"/>
        </w:rPr>
        <w:t>202</w:t>
      </w:r>
      <w:r w:rsidR="004934BA" w:rsidRPr="000E669A">
        <w:rPr>
          <w:b/>
          <w:color w:val="FF0000"/>
        </w:rPr>
        <w:t>4</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E57EB">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5B5D551C" w:rsidR="00C2682A" w:rsidRPr="00104E00" w:rsidRDefault="00E239EE" w:rsidP="00104E00">
                <w:pPr>
                  <w:jc w:val="left"/>
                  <w:rPr>
                    <w:rStyle w:val="PlaceholderText"/>
                  </w:rPr>
                </w:pPr>
                <w:r>
                  <w:rPr>
                    <w:rStyle w:val="PlaceholderText"/>
                  </w:rPr>
                  <w:t>Cboe Europe BV</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C7348E8" w:rsidR="00C2682A" w:rsidRPr="00104E00" w:rsidRDefault="009B0568"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239EE">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16770D29" w:rsidR="00C2682A" w:rsidRPr="00104E00" w:rsidRDefault="001878C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0A846DAD" w:rsidR="00C2682A" w:rsidRPr="00104E00" w:rsidRDefault="00E239EE" w:rsidP="00104E00">
                <w:pPr>
                  <w:jc w:val="left"/>
                </w:pPr>
                <w:r>
                  <w:t>Netherlands</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1" w:name="_Hlk124780170"/>
    </w:p>
    <w:p w14:paraId="05D4196B" w14:textId="117DA791" w:rsidR="00B25E0D" w:rsidRPr="00B25E0D" w:rsidRDefault="00FA4100" w:rsidP="00FA4100">
      <w:pPr>
        <w:pStyle w:val="Heading1"/>
        <w:numPr>
          <w:ilvl w:val="0"/>
          <w:numId w:val="0"/>
        </w:numPr>
        <w:ind w:left="709"/>
      </w:pPr>
      <w:r>
        <w:t xml:space="preserve">2.1 </w:t>
      </w:r>
      <w:r w:rsidR="002D36A3">
        <w:t>CDR 2017/56</w:t>
      </w:r>
      <w:r w:rsidR="005D4F78">
        <w:t>7</w:t>
      </w:r>
    </w:p>
    <w:bookmarkEnd w:id="10"/>
    <w:bookmarkEnd w:id="11"/>
    <w:p w14:paraId="5DA4D64B" w14:textId="75257578" w:rsidR="00CC59BB" w:rsidRDefault="005D4F78" w:rsidP="007C5BD5">
      <w:pPr>
        <w:pStyle w:val="Questionstyle"/>
      </w:pPr>
      <w:r w:rsidRPr="005D4F78">
        <w:t>Should the use of alternative data to perform the calculations (i.e. as described under Option 2 above) be feasible, what would be the costs and the benefits of such a change for different categories of market participants, including in relation to the change and run costs of reporting systems, data quality assurance and other relevant aspects? Do you have other comments on this potential change, e.g. on specific issues, challenges or alternatives that could be considered by ESMA in its assessment?</w:t>
      </w:r>
    </w:p>
    <w:p w14:paraId="17BDD96F" w14:textId="03B46972" w:rsidR="00CC59BB" w:rsidRDefault="00CC59BB" w:rsidP="00C54034">
      <w:pPr>
        <w:spacing w:after="0"/>
      </w:pPr>
      <w:r>
        <w:t>&lt;ESMA_QUESTION</w:t>
      </w:r>
      <w:r w:rsidR="005D4F78">
        <w:t>_CP3_</w:t>
      </w:r>
      <w:r>
        <w:t>1&gt;</w:t>
      </w:r>
    </w:p>
    <w:p w14:paraId="7EDDE640" w14:textId="77777777" w:rsidR="0053530D" w:rsidRPr="00050A2B" w:rsidRDefault="0053530D" w:rsidP="0053530D">
      <w:pPr>
        <w:rPr>
          <w:rFonts w:eastAsia="MS Mincho"/>
          <w:szCs w:val="22"/>
          <w:lang w:eastAsia="ja-JP"/>
        </w:rPr>
      </w:pPr>
      <w:permStart w:id="124340805" w:edGrp="everyone"/>
      <w:r w:rsidRPr="00050A2B">
        <w:rPr>
          <w:rFonts w:eastAsia="MS Mincho"/>
          <w:szCs w:val="22"/>
          <w:lang w:eastAsia="ja-JP"/>
        </w:rPr>
        <w:t>Dear Sirs/Madams,</w:t>
      </w:r>
    </w:p>
    <w:p w14:paraId="21D70E87" w14:textId="77777777" w:rsidR="0053530D" w:rsidRPr="00050A2B" w:rsidRDefault="0053530D" w:rsidP="0053530D">
      <w:pPr>
        <w:rPr>
          <w:rFonts w:eastAsia="MS Mincho"/>
          <w:szCs w:val="22"/>
          <w:lang w:eastAsia="ja-JP"/>
        </w:rPr>
      </w:pPr>
      <w:r w:rsidRPr="00050A2B">
        <w:rPr>
          <w:rFonts w:eastAsia="MS Mincho"/>
          <w:szCs w:val="22"/>
          <w:lang w:eastAsia="ja-JP"/>
        </w:rPr>
        <w:t>We are writing in response to the third public consultation package related to the MiFIR Review (</w:t>
      </w:r>
      <w:r w:rsidRPr="00050A2B">
        <w:rPr>
          <w:rFonts w:eastAsia="MS Mincho"/>
          <w:b/>
          <w:bCs/>
          <w:szCs w:val="22"/>
          <w:lang w:eastAsia="ja-JP"/>
        </w:rPr>
        <w:t>CP</w:t>
      </w:r>
      <w:r w:rsidRPr="00050A2B">
        <w:rPr>
          <w:rFonts w:eastAsia="MS Mincho"/>
          <w:szCs w:val="22"/>
          <w:lang w:eastAsia="ja-JP"/>
        </w:rPr>
        <w:t xml:space="preserve">). </w:t>
      </w:r>
    </w:p>
    <w:p w14:paraId="52550C76" w14:textId="77777777" w:rsidR="0053530D" w:rsidRPr="00050A2B" w:rsidRDefault="0053530D" w:rsidP="0053530D">
      <w:pPr>
        <w:rPr>
          <w:rFonts w:eastAsia="MS Mincho"/>
          <w:szCs w:val="22"/>
          <w:lang w:eastAsia="ja-JP"/>
        </w:rPr>
      </w:pPr>
      <w:r w:rsidRPr="00050A2B">
        <w:rPr>
          <w:rFonts w:eastAsia="MS Mincho"/>
          <w:szCs w:val="22"/>
          <w:lang w:eastAsia="ja-JP"/>
        </w:rPr>
        <w:t xml:space="preserve">Cboe Europe B.V. (Cboe) is glad to share its views on the CP to support regulatory certainty and alignment between level 1 and level 2 acts following the MiFIR Review. Upon careful review, Cboe would like to offer the following comments and observations. </w:t>
      </w:r>
    </w:p>
    <w:p w14:paraId="23CBE648" w14:textId="77777777" w:rsidR="0053530D" w:rsidRPr="00606B06" w:rsidRDefault="0053530D" w:rsidP="0053530D">
      <w:pPr>
        <w:rPr>
          <w:rFonts w:eastAsia="MS Mincho"/>
          <w:szCs w:val="22"/>
          <w:lang w:eastAsia="ja-JP"/>
        </w:rPr>
      </w:pPr>
      <w:r w:rsidRPr="00050A2B">
        <w:rPr>
          <w:rFonts w:eastAsia="MS Mincho"/>
          <w:szCs w:val="22"/>
          <w:lang w:eastAsia="ja-JP"/>
        </w:rPr>
        <w:t>Appreciating the opportunity to provide feedback on the proposal regarding the regulatory technical standards amendments related to the use of alternative data for performing transparency calculations, Cboe is supportive of the possibility to shift and use transaction data reported under Article 26 MiFIR in conjunction with reference data (per RTS 23). Cboe considers that this approach would allow for the discontinuation of separate reporting to ESMA’s Financial Instruments Transparency System (</w:t>
      </w:r>
      <w:r w:rsidRPr="00050A2B">
        <w:rPr>
          <w:rFonts w:eastAsia="MS Mincho"/>
          <w:b/>
          <w:bCs/>
          <w:szCs w:val="22"/>
          <w:lang w:eastAsia="ja-JP"/>
        </w:rPr>
        <w:t>FITRS</w:t>
      </w:r>
      <w:r w:rsidRPr="00050A2B">
        <w:rPr>
          <w:rFonts w:eastAsia="MS Mincho"/>
          <w:szCs w:val="22"/>
          <w:lang w:eastAsia="ja-JP"/>
        </w:rPr>
        <w:t>) and the Double Volume Cap (</w:t>
      </w:r>
      <w:r w:rsidRPr="00050A2B">
        <w:rPr>
          <w:rFonts w:eastAsia="MS Mincho"/>
          <w:b/>
          <w:bCs/>
          <w:szCs w:val="22"/>
          <w:lang w:eastAsia="ja-JP"/>
        </w:rPr>
        <w:t>DVCAP</w:t>
      </w:r>
      <w:r w:rsidRPr="00050A2B">
        <w:rPr>
          <w:rFonts w:eastAsia="MS Mincho"/>
          <w:szCs w:val="22"/>
          <w:lang w:eastAsia="ja-JP"/>
        </w:rPr>
        <w:t xml:space="preserve">) system, allowing for significant reductions </w:t>
      </w:r>
      <w:proofErr w:type="spellStart"/>
      <w:r w:rsidRPr="00050A2B">
        <w:rPr>
          <w:rFonts w:eastAsia="MS Mincho"/>
          <w:szCs w:val="22"/>
          <w:lang w:eastAsia="ja-JP"/>
        </w:rPr>
        <w:t>tsmso</w:t>
      </w:r>
      <w:proofErr w:type="spellEnd"/>
      <w:r w:rsidRPr="00050A2B">
        <w:rPr>
          <w:rFonts w:eastAsia="MS Mincho"/>
          <w:szCs w:val="22"/>
          <w:lang w:eastAsia="ja-JP"/>
        </w:rPr>
        <w:t xml:space="preserve"> the operational burden on market participants, including Cboe. Cboe believes that by eliminating the need to report to FITRS and DVCAP separately, the industry could instead shift its focus on simplifying their reporting processes, with indirect advantages </w:t>
      </w:r>
      <w:r>
        <w:rPr>
          <w:rFonts w:eastAsia="MS Mincho"/>
          <w:szCs w:val="22"/>
          <w:lang w:eastAsia="ja-JP"/>
        </w:rPr>
        <w:t xml:space="preserve">to be </w:t>
      </w:r>
      <w:r w:rsidRPr="00050A2B">
        <w:rPr>
          <w:rFonts w:eastAsia="MS Mincho"/>
          <w:szCs w:val="22"/>
          <w:lang w:eastAsia="ja-JP"/>
        </w:rPr>
        <w:t xml:space="preserve">obtained from the possibility of reducing the costs and resources needed to support and maintain these systems. </w:t>
      </w:r>
      <w:r w:rsidRPr="00606B06">
        <w:rPr>
          <w:rFonts w:eastAsia="MS Mincho"/>
          <w:szCs w:val="22"/>
          <w:lang w:eastAsia="ja-JP"/>
        </w:rPr>
        <w:t xml:space="preserve">As to the </w:t>
      </w:r>
      <w:r>
        <w:rPr>
          <w:rFonts w:eastAsia="MS Mincho"/>
          <w:szCs w:val="22"/>
          <w:lang w:eastAsia="ja-JP"/>
        </w:rPr>
        <w:t>O</w:t>
      </w:r>
      <w:r w:rsidRPr="00606B06">
        <w:rPr>
          <w:rFonts w:eastAsia="MS Mincho"/>
          <w:szCs w:val="22"/>
          <w:lang w:eastAsia="ja-JP"/>
        </w:rPr>
        <w:t>ptions presented, Cboe is providing the following considerations:</w:t>
      </w:r>
    </w:p>
    <w:p w14:paraId="604E22B5" w14:textId="77777777" w:rsidR="0053530D" w:rsidRPr="00606B06" w:rsidRDefault="0053530D" w:rsidP="0053530D">
      <w:pPr>
        <w:rPr>
          <w:rFonts w:eastAsia="MS Mincho"/>
          <w:szCs w:val="22"/>
          <w:lang w:eastAsia="ja-JP"/>
        </w:rPr>
      </w:pPr>
      <w:r w:rsidRPr="00606B06">
        <w:rPr>
          <w:rFonts w:eastAsia="MS Mincho"/>
          <w:szCs w:val="22"/>
          <w:lang w:eastAsia="ja-JP"/>
        </w:rPr>
        <w:t xml:space="preserve"> - Cboe does not support Option </w:t>
      </w:r>
      <w:r w:rsidRPr="001505B6">
        <w:rPr>
          <w:rFonts w:eastAsia="MS Mincho"/>
          <w:szCs w:val="22"/>
          <w:lang w:eastAsia="ja-JP"/>
        </w:rPr>
        <w:t>1</w:t>
      </w:r>
      <w:r w:rsidRPr="00606B06">
        <w:rPr>
          <w:rFonts w:eastAsia="MS Mincho"/>
          <w:szCs w:val="22"/>
          <w:lang w:eastAsia="ja-JP"/>
        </w:rPr>
        <w:t xml:space="preserve"> (</w:t>
      </w:r>
      <w:r w:rsidRPr="001505B6">
        <w:rPr>
          <w:rFonts w:eastAsia="MS Mincho"/>
          <w:szCs w:val="22"/>
          <w:lang w:eastAsia="ja-JP"/>
        </w:rPr>
        <w:t>to retain the collection of quantitative data in FITRS and DVCAP)</w:t>
      </w:r>
      <w:r w:rsidRPr="00606B06">
        <w:rPr>
          <w:rFonts w:eastAsia="MS Mincho"/>
          <w:szCs w:val="22"/>
          <w:lang w:eastAsia="ja-JP"/>
        </w:rPr>
        <w:t>, as it does not introduce any improvements to the current framework for transparency calculations;</w:t>
      </w:r>
    </w:p>
    <w:p w14:paraId="30966FB1" w14:textId="77777777" w:rsidR="0053530D" w:rsidRDefault="0053530D" w:rsidP="0053530D">
      <w:pPr>
        <w:spacing w:after="0" w:line="279" w:lineRule="auto"/>
        <w:rPr>
          <w:rFonts w:eastAsia="MS Mincho"/>
          <w:szCs w:val="22"/>
          <w:lang w:eastAsia="ja-JP"/>
        </w:rPr>
      </w:pPr>
      <w:r w:rsidRPr="00606B06">
        <w:rPr>
          <w:rFonts w:eastAsia="MS Mincho"/>
          <w:szCs w:val="22"/>
          <w:lang w:eastAsia="ja-JP"/>
        </w:rPr>
        <w:t xml:space="preserve"> - As to Option </w:t>
      </w:r>
      <w:r w:rsidRPr="001505B6">
        <w:rPr>
          <w:rFonts w:eastAsia="MS Mincho"/>
          <w:szCs w:val="22"/>
          <w:lang w:eastAsia="ja-JP"/>
        </w:rPr>
        <w:t>2</w:t>
      </w:r>
      <w:r w:rsidRPr="00606B06">
        <w:rPr>
          <w:rFonts w:eastAsia="MS Mincho"/>
          <w:szCs w:val="22"/>
          <w:lang w:eastAsia="ja-JP"/>
        </w:rPr>
        <w:t>, w</w:t>
      </w:r>
      <w:r>
        <w:rPr>
          <w:rFonts w:eastAsia="MS Mincho"/>
          <w:szCs w:val="22"/>
          <w:lang w:eastAsia="ja-JP"/>
        </w:rPr>
        <w:t>hereby ESMA would aim to</w:t>
      </w:r>
      <w:r w:rsidRPr="00606B06">
        <w:rPr>
          <w:rFonts w:eastAsia="MS Mincho"/>
          <w:szCs w:val="22"/>
          <w:lang w:eastAsia="ja-JP"/>
        </w:rPr>
        <w:t xml:space="preserve"> </w:t>
      </w:r>
      <w:r>
        <w:rPr>
          <w:rFonts w:eastAsia="MS Mincho"/>
          <w:szCs w:val="22"/>
          <w:lang w:eastAsia="ja-JP"/>
        </w:rPr>
        <w:t xml:space="preserve">utilise </w:t>
      </w:r>
      <w:r w:rsidRPr="00E010EA">
        <w:rPr>
          <w:rFonts w:eastAsia="MS Mincho"/>
          <w:szCs w:val="22"/>
          <w:lang w:eastAsia="ja-JP"/>
        </w:rPr>
        <w:t xml:space="preserve">transaction data reported per Article 26 MiFIR </w:t>
      </w:r>
      <w:r w:rsidRPr="11C0A1A4">
        <w:rPr>
          <w:rFonts w:eastAsia="MS Mincho"/>
          <w:szCs w:val="22"/>
          <w:lang w:eastAsia="ja-JP"/>
        </w:rPr>
        <w:t xml:space="preserve">to </w:t>
      </w:r>
      <w:r w:rsidRPr="00E010EA">
        <w:rPr>
          <w:rFonts w:eastAsia="MS Mincho"/>
          <w:szCs w:val="22"/>
          <w:lang w:eastAsia="ja-JP"/>
        </w:rPr>
        <w:t xml:space="preserve">perform </w:t>
      </w:r>
      <w:r w:rsidRPr="11C0A1A4">
        <w:rPr>
          <w:rFonts w:eastAsia="MS Mincho"/>
          <w:szCs w:val="22"/>
          <w:lang w:eastAsia="ja-JP"/>
        </w:rPr>
        <w:t xml:space="preserve">transparency </w:t>
      </w:r>
      <w:r w:rsidRPr="00E010EA">
        <w:rPr>
          <w:rFonts w:eastAsia="MS Mincho"/>
          <w:szCs w:val="22"/>
          <w:lang w:eastAsia="ja-JP"/>
        </w:rPr>
        <w:t>calculations</w:t>
      </w:r>
      <w:r w:rsidRPr="00606B06">
        <w:rPr>
          <w:rFonts w:eastAsia="MS Mincho"/>
          <w:szCs w:val="22"/>
          <w:lang w:eastAsia="ja-JP"/>
        </w:rPr>
        <w:t xml:space="preserve">, Cboe </w:t>
      </w:r>
      <w:r>
        <w:rPr>
          <w:rFonts w:eastAsia="MS Mincho"/>
          <w:szCs w:val="22"/>
          <w:lang w:eastAsia="ja-JP"/>
        </w:rPr>
        <w:t xml:space="preserve">in principle is supportive </w:t>
      </w:r>
      <w:r w:rsidRPr="00606B06">
        <w:rPr>
          <w:rFonts w:eastAsia="MS Mincho"/>
          <w:szCs w:val="22"/>
          <w:lang w:eastAsia="ja-JP"/>
        </w:rPr>
        <w:t xml:space="preserve"> </w:t>
      </w:r>
      <w:r>
        <w:rPr>
          <w:rFonts w:eastAsia="MS Mincho"/>
          <w:szCs w:val="22"/>
          <w:lang w:eastAsia="ja-JP"/>
        </w:rPr>
        <w:t xml:space="preserve">of this </w:t>
      </w:r>
      <w:r w:rsidRPr="00606B06">
        <w:rPr>
          <w:rFonts w:eastAsia="MS Mincho"/>
          <w:szCs w:val="22"/>
          <w:lang w:eastAsia="ja-JP"/>
        </w:rPr>
        <w:t>approach.</w:t>
      </w:r>
      <w:r w:rsidRPr="00EC1AF8">
        <w:rPr>
          <w:rFonts w:eastAsia="MS Mincho"/>
          <w:szCs w:val="22"/>
          <w:lang w:eastAsia="ja-JP"/>
        </w:rPr>
        <w:t xml:space="preserve"> </w:t>
      </w:r>
      <w:r w:rsidRPr="00050A2B">
        <w:rPr>
          <w:rFonts w:eastAsia="MS Mincho"/>
          <w:szCs w:val="22"/>
          <w:lang w:eastAsia="ja-JP"/>
        </w:rPr>
        <w:t xml:space="preserve">From a technical/engineering dataset standpoint, Cboe notes a number of implications related to </w:t>
      </w:r>
      <w:r>
        <w:rPr>
          <w:rFonts w:eastAsia="MS Mincho"/>
          <w:szCs w:val="22"/>
          <w:lang w:eastAsia="ja-JP"/>
        </w:rPr>
        <w:t xml:space="preserve">this </w:t>
      </w:r>
      <w:r w:rsidRPr="00050A2B">
        <w:rPr>
          <w:rFonts w:eastAsia="MS Mincho"/>
          <w:szCs w:val="22"/>
          <w:lang w:eastAsia="ja-JP"/>
        </w:rPr>
        <w:t>Option</w:t>
      </w:r>
      <w:r>
        <w:rPr>
          <w:rFonts w:eastAsia="MS Mincho"/>
          <w:szCs w:val="22"/>
          <w:lang w:eastAsia="ja-JP"/>
        </w:rPr>
        <w:t>:</w:t>
      </w:r>
      <w:r w:rsidRPr="00050A2B">
        <w:rPr>
          <w:rFonts w:eastAsia="MS Mincho"/>
          <w:szCs w:val="22"/>
          <w:lang w:eastAsia="ja-JP"/>
        </w:rPr>
        <w:t xml:space="preserve"> </w:t>
      </w:r>
    </w:p>
    <w:p w14:paraId="1647AF65" w14:textId="77777777" w:rsidR="0053530D" w:rsidRDefault="0053530D" w:rsidP="0053530D">
      <w:pPr>
        <w:spacing w:after="0" w:line="279" w:lineRule="auto"/>
        <w:ind w:left="284" w:hanging="284"/>
        <w:rPr>
          <w:rFonts w:eastAsia="MS Mincho"/>
          <w:szCs w:val="22"/>
          <w:lang w:eastAsia="ja-JP"/>
        </w:rPr>
      </w:pPr>
      <w:r>
        <w:rPr>
          <w:rFonts w:eastAsia="MS Mincho"/>
          <w:szCs w:val="22"/>
          <w:lang w:eastAsia="ja-JP"/>
        </w:rPr>
        <w:t>(</w:t>
      </w:r>
      <w:proofErr w:type="spellStart"/>
      <w:r>
        <w:rPr>
          <w:rFonts w:eastAsia="MS Mincho"/>
          <w:szCs w:val="22"/>
          <w:lang w:eastAsia="ja-JP"/>
        </w:rPr>
        <w:t>i</w:t>
      </w:r>
      <w:proofErr w:type="spellEnd"/>
      <w:r>
        <w:rPr>
          <w:rFonts w:eastAsia="MS Mincho"/>
          <w:szCs w:val="22"/>
          <w:lang w:eastAsia="ja-JP"/>
        </w:rPr>
        <w:t>) a</w:t>
      </w:r>
      <w:r w:rsidRPr="00050A2B">
        <w:rPr>
          <w:rFonts w:eastAsia="MS Mincho"/>
          <w:szCs w:val="22"/>
          <w:lang w:eastAsia="ja-JP"/>
        </w:rPr>
        <w:t>dopting this model might slightly reduce the regulatory reporting process but might require the provision of more granular information to specify which trades are non-price forming. Per se, this would not represent a substantive challenge, as it would require few additional data sets and considerations</w:t>
      </w:r>
      <w:r>
        <w:rPr>
          <w:rFonts w:eastAsia="MS Mincho"/>
          <w:szCs w:val="22"/>
          <w:lang w:eastAsia="ja-JP"/>
        </w:rPr>
        <w:t xml:space="preserve">; </w:t>
      </w:r>
    </w:p>
    <w:p w14:paraId="57208437" w14:textId="77777777" w:rsidR="0053530D" w:rsidRPr="00050A2B" w:rsidRDefault="0053530D" w:rsidP="0053530D">
      <w:pPr>
        <w:spacing w:line="279" w:lineRule="auto"/>
        <w:ind w:left="284" w:hanging="284"/>
        <w:rPr>
          <w:rFonts w:eastAsia="MS Mincho"/>
          <w:szCs w:val="22"/>
          <w:lang w:eastAsia="ja-JP"/>
        </w:rPr>
      </w:pPr>
      <w:r>
        <w:rPr>
          <w:rFonts w:eastAsia="MS Mincho"/>
          <w:szCs w:val="22"/>
          <w:lang w:eastAsia="ja-JP"/>
        </w:rPr>
        <w:t>(ii)</w:t>
      </w:r>
      <w:r w:rsidRPr="00050A2B">
        <w:rPr>
          <w:rFonts w:eastAsia="MS Mincho"/>
          <w:szCs w:val="22"/>
          <w:lang w:eastAsia="ja-JP"/>
        </w:rPr>
        <w:t xml:space="preserve"> </w:t>
      </w:r>
      <w:r>
        <w:rPr>
          <w:rFonts w:eastAsia="MS Mincho"/>
          <w:szCs w:val="22"/>
          <w:lang w:eastAsia="ja-JP"/>
        </w:rPr>
        <w:t>g</w:t>
      </w:r>
      <w:r w:rsidRPr="00050A2B">
        <w:rPr>
          <w:rFonts w:eastAsia="MS Mincho"/>
          <w:szCs w:val="22"/>
          <w:lang w:eastAsia="ja-JP"/>
        </w:rPr>
        <w:t xml:space="preserve">iven that many market participants are already grouping transactions based on existing </w:t>
      </w:r>
      <w:r>
        <w:rPr>
          <w:rFonts w:eastAsia="MS Mincho"/>
          <w:szCs w:val="22"/>
          <w:lang w:eastAsia="ja-JP"/>
        </w:rPr>
        <w:t xml:space="preserve">(DVCAP/FITRS) </w:t>
      </w:r>
      <w:r w:rsidRPr="00050A2B">
        <w:rPr>
          <w:rFonts w:eastAsia="MS Mincho"/>
          <w:szCs w:val="22"/>
          <w:lang w:eastAsia="ja-JP"/>
        </w:rPr>
        <w:t>flags, this adjustment would likely not represent a significant technical challenge.</w:t>
      </w:r>
    </w:p>
    <w:p w14:paraId="157D199C" w14:textId="77777777" w:rsidR="0053530D" w:rsidRPr="00050A2B" w:rsidRDefault="0053530D" w:rsidP="0053530D">
      <w:pPr>
        <w:spacing w:before="240" w:after="240"/>
        <w:contextualSpacing/>
        <w:rPr>
          <w:rFonts w:eastAsia="MS Mincho"/>
          <w:szCs w:val="22"/>
          <w:lang w:eastAsia="ja-JP"/>
        </w:rPr>
      </w:pPr>
      <w:r w:rsidRPr="00EC1AF8">
        <w:rPr>
          <w:rFonts w:eastAsia="MS Mincho"/>
          <w:szCs w:val="22"/>
          <w:lang w:eastAsia="ja-JP"/>
        </w:rPr>
        <w:t xml:space="preserve"> - Finally, Cboe notes that</w:t>
      </w:r>
      <w:r>
        <w:rPr>
          <w:rFonts w:eastAsia="MS Mincho"/>
          <w:szCs w:val="22"/>
          <w:lang w:eastAsia="ja-JP"/>
        </w:rPr>
        <w:t xml:space="preserve"> a third</w:t>
      </w:r>
      <w:r w:rsidRPr="00EC1AF8">
        <w:rPr>
          <w:rFonts w:eastAsia="MS Mincho"/>
          <w:szCs w:val="22"/>
          <w:lang w:eastAsia="ja-JP"/>
        </w:rPr>
        <w:t xml:space="preserve"> Option </w:t>
      </w:r>
      <w:r>
        <w:rPr>
          <w:rFonts w:eastAsia="MS Mincho"/>
          <w:szCs w:val="22"/>
          <w:lang w:eastAsia="ja-JP"/>
        </w:rPr>
        <w:t xml:space="preserve">is presented </w:t>
      </w:r>
      <w:r w:rsidRPr="00050A2B">
        <w:rPr>
          <w:rFonts w:eastAsia="MS Mincho"/>
          <w:szCs w:val="22"/>
          <w:lang w:eastAsia="ja-JP"/>
        </w:rPr>
        <w:t xml:space="preserve">per paragraph 4.5.3. CP, which would instead involve a greater increase in reporting complexity – notably, at least ten (10) additional fields might also be considered for inclusion. </w:t>
      </w:r>
    </w:p>
    <w:p w14:paraId="7B4C3129" w14:textId="77777777" w:rsidR="0053530D" w:rsidRPr="00050A2B" w:rsidRDefault="0053530D" w:rsidP="0053530D">
      <w:pPr>
        <w:spacing w:line="279" w:lineRule="auto"/>
        <w:contextualSpacing/>
        <w:rPr>
          <w:rFonts w:eastAsia="MS Mincho"/>
          <w:szCs w:val="22"/>
          <w:lang w:eastAsia="ja-JP"/>
        </w:rPr>
      </w:pPr>
      <w:r w:rsidRPr="00050A2B">
        <w:rPr>
          <w:rFonts w:eastAsia="MS Mincho"/>
          <w:szCs w:val="22"/>
          <w:lang w:eastAsia="ja-JP"/>
        </w:rPr>
        <w:t xml:space="preserve">Cboe notes that the </w:t>
      </w:r>
      <w:r>
        <w:rPr>
          <w:rFonts w:eastAsia="MS Mincho"/>
          <w:szCs w:val="22"/>
          <w:lang w:eastAsia="ja-JP"/>
        </w:rPr>
        <w:t xml:space="preserve">latter </w:t>
      </w:r>
      <w:r w:rsidRPr="00050A2B">
        <w:rPr>
          <w:rFonts w:eastAsia="MS Mincho"/>
          <w:szCs w:val="22"/>
          <w:lang w:eastAsia="ja-JP"/>
        </w:rPr>
        <w:t xml:space="preserve">approach would also increase the amount of data provided to ESMA - although from a technical perspective, the splitting of transactions by ‘waiver type’ may be a relatively straightforward process. So, while this </w:t>
      </w:r>
      <w:r>
        <w:rPr>
          <w:rFonts w:eastAsia="MS Mincho"/>
          <w:szCs w:val="22"/>
          <w:lang w:eastAsia="ja-JP"/>
        </w:rPr>
        <w:t xml:space="preserve">model </w:t>
      </w:r>
      <w:r w:rsidRPr="00050A2B">
        <w:rPr>
          <w:rFonts w:eastAsia="MS Mincho"/>
          <w:szCs w:val="22"/>
          <w:lang w:eastAsia="ja-JP"/>
        </w:rPr>
        <w:t>would add further burden, the impact on technical development would not be excessive. However, Cboe is mindful of the likelihood that there might be a certain amount of overlap with any ad hoc reporting (compared to the ones currently required) as a result of the increased data set</w:t>
      </w:r>
      <w:r>
        <w:rPr>
          <w:rFonts w:eastAsia="MS Mincho"/>
          <w:szCs w:val="22"/>
          <w:lang w:eastAsia="ja-JP"/>
        </w:rPr>
        <w:t xml:space="preserve"> as well as of the fact that a great degree of a</w:t>
      </w:r>
      <w:r w:rsidRPr="00050A2B">
        <w:rPr>
          <w:rFonts w:eastAsia="MS Mincho"/>
          <w:szCs w:val="22"/>
          <w:lang w:eastAsia="ja-JP"/>
        </w:rPr>
        <w:t xml:space="preserve">ccuracy </w:t>
      </w:r>
      <w:r>
        <w:rPr>
          <w:rFonts w:eastAsia="MS Mincho"/>
          <w:szCs w:val="22"/>
          <w:lang w:eastAsia="ja-JP"/>
        </w:rPr>
        <w:t xml:space="preserve">needs to be guaranteed to the </w:t>
      </w:r>
      <w:r w:rsidRPr="00050A2B">
        <w:rPr>
          <w:rFonts w:eastAsia="MS Mincho"/>
          <w:szCs w:val="22"/>
          <w:lang w:eastAsia="ja-JP"/>
        </w:rPr>
        <w:t>transaction reporting</w:t>
      </w:r>
      <w:r>
        <w:rPr>
          <w:rFonts w:eastAsia="MS Mincho"/>
          <w:szCs w:val="22"/>
          <w:lang w:eastAsia="ja-JP"/>
        </w:rPr>
        <w:t xml:space="preserve"> process (i.e. in the data inputted into ESMA’s system) to ensure correct final calculation</w:t>
      </w:r>
      <w:r w:rsidRPr="00050A2B">
        <w:rPr>
          <w:rFonts w:eastAsia="MS Mincho"/>
          <w:szCs w:val="22"/>
          <w:lang w:eastAsia="ja-JP"/>
        </w:rPr>
        <w:t xml:space="preserve">. Cboe considers it worth questioning whether this increased granularity would reduce the need for ad hoc reports or if the additional data set submitted would serve different purposes. </w:t>
      </w:r>
      <w:r>
        <w:rPr>
          <w:rFonts w:eastAsia="MS Mincho"/>
          <w:szCs w:val="22"/>
          <w:lang w:eastAsia="ja-JP"/>
        </w:rPr>
        <w:t xml:space="preserve">In particular, </w:t>
      </w:r>
      <w:r w:rsidRPr="00050A2B">
        <w:rPr>
          <w:rFonts w:eastAsia="MS Mincho"/>
          <w:szCs w:val="22"/>
          <w:lang w:eastAsia="ja-JP"/>
        </w:rPr>
        <w:t>Cboe’s concern is that, by providing more detailed information, ESMA might be prompted to request more ad hoc explanations and to have follow-up queries, ultimately increasing the burden of reporting entities.</w:t>
      </w:r>
      <w:r w:rsidRPr="00A6008B">
        <w:rPr>
          <w:rFonts w:eastAsia="MS Mincho"/>
          <w:szCs w:val="22"/>
          <w:lang w:eastAsia="ja-JP"/>
        </w:rPr>
        <w:t xml:space="preserve"> </w:t>
      </w:r>
    </w:p>
    <w:p w14:paraId="3506FAA4" w14:textId="77777777" w:rsidR="0053530D" w:rsidRPr="00050A2B" w:rsidRDefault="0053530D" w:rsidP="0053530D">
      <w:pPr>
        <w:spacing w:line="279" w:lineRule="auto"/>
        <w:contextualSpacing/>
        <w:rPr>
          <w:rFonts w:eastAsia="MS Mincho"/>
          <w:szCs w:val="22"/>
          <w:lang w:eastAsia="ja-JP"/>
        </w:rPr>
      </w:pPr>
    </w:p>
    <w:p w14:paraId="67CA2C15" w14:textId="77777777" w:rsidR="0053530D" w:rsidRPr="00F35072" w:rsidRDefault="0053530D" w:rsidP="0053530D">
      <w:pPr>
        <w:rPr>
          <w:rFonts w:eastAsia="MS Mincho"/>
          <w:szCs w:val="22"/>
          <w:u w:val="single"/>
          <w:lang w:eastAsia="ja-JP"/>
        </w:rPr>
      </w:pPr>
      <w:r w:rsidRPr="00050A2B">
        <w:rPr>
          <w:rFonts w:eastAsia="MS Mincho"/>
          <w:szCs w:val="22"/>
          <w:lang w:eastAsia="ja-JP"/>
        </w:rPr>
        <w:t xml:space="preserve">All in all, </w:t>
      </w:r>
      <w:r>
        <w:rPr>
          <w:rFonts w:eastAsia="MS Mincho"/>
          <w:szCs w:val="22"/>
          <w:lang w:eastAsia="ja-JP"/>
        </w:rPr>
        <w:t xml:space="preserve">for the purposes of enhancing transparency calculations, </w:t>
      </w:r>
      <w:r w:rsidRPr="00050A2B">
        <w:rPr>
          <w:rFonts w:eastAsia="MS Mincho"/>
          <w:szCs w:val="22"/>
          <w:lang w:eastAsia="ja-JP"/>
        </w:rPr>
        <w:t xml:space="preserve">Cboe would be supportive of </w:t>
      </w:r>
      <w:r>
        <w:rPr>
          <w:rFonts w:eastAsia="MS Mincho"/>
          <w:szCs w:val="22"/>
          <w:lang w:eastAsia="ja-JP"/>
        </w:rPr>
        <w:t>O</w:t>
      </w:r>
      <w:r w:rsidRPr="00050A2B">
        <w:rPr>
          <w:rFonts w:eastAsia="MS Mincho"/>
          <w:szCs w:val="22"/>
          <w:lang w:eastAsia="ja-JP"/>
        </w:rPr>
        <w:t xml:space="preserve">ption </w:t>
      </w:r>
      <w:r>
        <w:rPr>
          <w:rFonts w:eastAsia="MS Mincho"/>
          <w:szCs w:val="22"/>
          <w:lang w:eastAsia="ja-JP"/>
        </w:rPr>
        <w:t>2</w:t>
      </w:r>
      <w:r w:rsidRPr="00050A2B">
        <w:rPr>
          <w:rFonts w:eastAsia="MS Mincho"/>
          <w:szCs w:val="22"/>
          <w:lang w:eastAsia="ja-JP"/>
        </w:rPr>
        <w:t xml:space="preserve"> because it involves less reporting complexity than</w:t>
      </w:r>
      <w:r>
        <w:rPr>
          <w:rFonts w:eastAsia="MS Mincho"/>
          <w:szCs w:val="22"/>
          <w:lang w:eastAsia="ja-JP"/>
        </w:rPr>
        <w:t xml:space="preserve"> the third</w:t>
      </w:r>
      <w:r w:rsidRPr="00050A2B">
        <w:rPr>
          <w:rFonts w:eastAsia="MS Mincho"/>
          <w:szCs w:val="22"/>
          <w:lang w:eastAsia="ja-JP"/>
        </w:rPr>
        <w:t xml:space="preserve"> option</w:t>
      </w:r>
      <w:r>
        <w:rPr>
          <w:rFonts w:eastAsia="MS Mincho"/>
          <w:szCs w:val="22"/>
          <w:lang w:eastAsia="ja-JP"/>
        </w:rPr>
        <w:t xml:space="preserve"> and seems less invasive</w:t>
      </w:r>
      <w:r w:rsidRPr="00050A2B">
        <w:rPr>
          <w:rFonts w:eastAsia="MS Mincho"/>
          <w:szCs w:val="22"/>
          <w:lang w:eastAsia="ja-JP"/>
        </w:rPr>
        <w:t>.</w:t>
      </w:r>
    </w:p>
    <w:p w14:paraId="694B3729" w14:textId="36ABFB8B" w:rsidR="00CC59BB" w:rsidRDefault="00CC59BB" w:rsidP="00C54034">
      <w:pPr>
        <w:spacing w:after="0"/>
      </w:pPr>
    </w:p>
    <w:permEnd w:id="124340805"/>
    <w:p w14:paraId="059016CF" w14:textId="50B402D2" w:rsidR="00CC59BB" w:rsidRDefault="00CC59BB" w:rsidP="00C54034">
      <w:pPr>
        <w:spacing w:after="0"/>
      </w:pPr>
      <w:r>
        <w:t>&lt;ESMA_QUESTION</w:t>
      </w:r>
      <w:r w:rsidR="005D4F78">
        <w:t>_CP3_</w:t>
      </w:r>
      <w:r>
        <w:t>1&gt;</w:t>
      </w:r>
    </w:p>
    <w:p w14:paraId="0445A411" w14:textId="628C6B54" w:rsidR="00B25E0D" w:rsidRDefault="00B25E0D" w:rsidP="00F716D4"/>
    <w:p w14:paraId="213BEB10" w14:textId="5228E258" w:rsidR="00CC59BB" w:rsidRDefault="005D4F78" w:rsidP="007C5BD5">
      <w:pPr>
        <w:pStyle w:val="Questionstyle"/>
      </w:pPr>
      <w:r w:rsidRPr="005D4F78">
        <w:t>Do you agree with the proposal on the start day of application of the transparency calculations? Please explain</w:t>
      </w:r>
      <w:r w:rsidR="00FA4100">
        <w:t>.</w:t>
      </w:r>
    </w:p>
    <w:p w14:paraId="12B58AF3" w14:textId="4F74BC2B" w:rsidR="00CC59BB" w:rsidRDefault="00CC59BB" w:rsidP="00C54034">
      <w:pPr>
        <w:spacing w:after="0"/>
      </w:pPr>
      <w:r>
        <w:t>&lt;ESMA_QUESTION</w:t>
      </w:r>
      <w:r w:rsidR="005D4F78">
        <w:t>_CP3_</w:t>
      </w:r>
      <w:r>
        <w:t>2&gt;</w:t>
      </w:r>
    </w:p>
    <w:p w14:paraId="42281977" w14:textId="77777777" w:rsidR="000C459D" w:rsidRPr="00050A2B" w:rsidRDefault="000C459D" w:rsidP="000C459D">
      <w:pPr>
        <w:spacing w:before="240" w:after="240" w:line="279" w:lineRule="auto"/>
        <w:rPr>
          <w:rFonts w:eastAsia="Calibri" w:cs="Calibri"/>
          <w:szCs w:val="22"/>
          <w:lang w:eastAsia="ja-JP"/>
        </w:rPr>
      </w:pPr>
      <w:permStart w:id="1947404220" w:edGrp="everyone"/>
      <w:r w:rsidRPr="00050A2B">
        <w:rPr>
          <w:rFonts w:eastAsia="Calibri" w:cs="Calibri"/>
          <w:szCs w:val="22"/>
          <w:lang w:eastAsia="ja-JP"/>
        </w:rPr>
        <w:t>Cboe supports ESMA’s proposal regarding the start day of application of the transparency calculations, as it may bring clarity and consistency to the calculation process.  Specifically, Cboe agrees that the use of the date of the trading venue of the initial public offering (IPO) and the inclusion of field 6b from Table 3 of the Annex of RTS 23 ("</w:t>
      </w:r>
      <w:r w:rsidRPr="34FC3B84">
        <w:rPr>
          <w:rFonts w:eastAsia="Calibri" w:cs="Calibri"/>
          <w:i/>
          <w:iCs/>
          <w:szCs w:val="22"/>
          <w:lang w:eastAsia="ja-JP"/>
        </w:rPr>
        <w:t>Venue of admission to trading</w:t>
      </w:r>
      <w:r w:rsidRPr="00050A2B">
        <w:rPr>
          <w:rFonts w:eastAsia="Calibri" w:cs="Calibri"/>
          <w:szCs w:val="22"/>
          <w:lang w:eastAsia="ja-JP"/>
        </w:rPr>
        <w:t>") to clarify the start date of the relevant calculations makes sense. Cboe notes that this approach provides more legal certainty and addresses the issue of inconsistent or poor-quality data reported for the current field 11 ("</w:t>
      </w:r>
      <w:r w:rsidRPr="34FC3B84">
        <w:rPr>
          <w:rFonts w:eastAsia="Calibri" w:cs="Calibri"/>
          <w:i/>
          <w:iCs/>
          <w:szCs w:val="22"/>
          <w:lang w:eastAsia="ja-JP"/>
        </w:rPr>
        <w:t>Date and time of admission to trading or date of first trade</w:t>
      </w:r>
      <w:r w:rsidRPr="00050A2B">
        <w:rPr>
          <w:rFonts w:eastAsia="Calibri" w:cs="Calibri"/>
          <w:szCs w:val="22"/>
          <w:lang w:eastAsia="ja-JP"/>
        </w:rPr>
        <w:t xml:space="preserve">") and it deems that, by leveraging both fields, the proposed approach should enhance accuracy and reliability in determining when the transparency calculations apply, especially for </w:t>
      </w:r>
      <w:r w:rsidRPr="653B8A47">
        <w:rPr>
          <w:rFonts w:eastAsia="Calibri" w:cs="Calibri"/>
          <w:szCs w:val="22"/>
          <w:lang w:eastAsia="ja-JP"/>
        </w:rPr>
        <w:t>instruments</w:t>
      </w:r>
      <w:r w:rsidRPr="22BE7056">
        <w:rPr>
          <w:rFonts w:eastAsia="Calibri" w:cs="Calibri"/>
          <w:szCs w:val="22"/>
          <w:lang w:eastAsia="ja-JP"/>
        </w:rPr>
        <w:t xml:space="preserve"> traded on multiple venues</w:t>
      </w:r>
      <w:r w:rsidRPr="00050A2B">
        <w:rPr>
          <w:rFonts w:eastAsia="Calibri" w:cs="Calibri"/>
          <w:szCs w:val="22"/>
          <w:lang w:eastAsia="ja-JP"/>
        </w:rPr>
        <w:t>.</w:t>
      </w:r>
    </w:p>
    <w:p w14:paraId="1765BFBA" w14:textId="77777777" w:rsidR="000C459D" w:rsidRPr="00050A2B" w:rsidRDefault="000C459D" w:rsidP="000C459D">
      <w:pPr>
        <w:spacing w:before="240" w:after="240" w:line="279" w:lineRule="auto"/>
        <w:rPr>
          <w:rFonts w:eastAsia="Calibri" w:cs="Calibri"/>
          <w:szCs w:val="22"/>
          <w:lang w:eastAsia="ja-JP"/>
        </w:rPr>
      </w:pPr>
      <w:r w:rsidRPr="00050A2B">
        <w:rPr>
          <w:rFonts w:eastAsia="Calibri" w:cs="Calibri"/>
          <w:szCs w:val="22"/>
          <w:lang w:eastAsia="ja-JP"/>
        </w:rPr>
        <w:t xml:space="preserve">Regarding the inclusion of the additional RTS 23 field (6b), Cboe has assessed that this should not significantly increase its reporting burden. Relevant current reporting processes already involve copying data from the RCA MIC’s reference data, and Cboe anticipates that this would continue under the new framework. </w:t>
      </w:r>
    </w:p>
    <w:p w14:paraId="3578FFB6" w14:textId="77777777" w:rsidR="000C459D" w:rsidRPr="00050A2B" w:rsidRDefault="000C459D" w:rsidP="000C459D">
      <w:pPr>
        <w:spacing w:before="240" w:after="240" w:line="279" w:lineRule="auto"/>
        <w:rPr>
          <w:rFonts w:eastAsia="Calibri" w:cs="Calibri"/>
          <w:szCs w:val="22"/>
          <w:lang w:eastAsia="ja-JP"/>
        </w:rPr>
      </w:pPr>
      <w:r w:rsidRPr="00050A2B">
        <w:rPr>
          <w:rFonts w:eastAsia="Calibri" w:cs="Calibri"/>
          <w:szCs w:val="22"/>
          <w:lang w:eastAsia="ja-JP"/>
        </w:rPr>
        <w:t>Finally, Cboe would like to stress that the incorporation of field 6b will require technical development work for the industry to adopt. Although this change is not expected to pose major challenges, it does imply operational adjustments. For this reason, Cboe advocates for ESMA and the European Commission to provide sufficient time for the industry to implement this change, and in any case no less than 3 months.</w:t>
      </w:r>
    </w:p>
    <w:p w14:paraId="59A0405A" w14:textId="3FFC03BC" w:rsidR="00CC59BB" w:rsidRDefault="00CC59BB" w:rsidP="00C54034">
      <w:pPr>
        <w:spacing w:after="0"/>
      </w:pPr>
    </w:p>
    <w:permEnd w:id="1947404220"/>
    <w:p w14:paraId="73D19FBF" w14:textId="2437B5B9" w:rsidR="00CC59BB" w:rsidRDefault="00CC59BB" w:rsidP="00C54034">
      <w:pPr>
        <w:spacing w:after="0"/>
      </w:pPr>
      <w:r>
        <w:t>&lt;ESMA_QUESTION</w:t>
      </w:r>
      <w:r w:rsidR="005D4F78">
        <w:t>_CP3_</w:t>
      </w:r>
      <w:r>
        <w:t>2&gt;</w:t>
      </w:r>
    </w:p>
    <w:p w14:paraId="4BEA6789" w14:textId="77777777" w:rsidR="00CC59BB" w:rsidRDefault="00CC59BB" w:rsidP="00F716D4"/>
    <w:p w14:paraId="2253A079" w14:textId="77777777" w:rsidR="005D4F78" w:rsidRDefault="005D4F78" w:rsidP="00F716D4"/>
    <w:p w14:paraId="1BAB9E7F" w14:textId="77777777" w:rsidR="005D4F78" w:rsidRDefault="005D4F78" w:rsidP="00F716D4"/>
    <w:p w14:paraId="7C87420C" w14:textId="77777777" w:rsidR="005D4F78" w:rsidRDefault="005D4F78" w:rsidP="00F716D4"/>
    <w:p w14:paraId="7A92C410" w14:textId="4B812FCB" w:rsidR="00CC59BB" w:rsidRDefault="005D4F78" w:rsidP="007C5BD5">
      <w:pPr>
        <w:pStyle w:val="Questionstyle"/>
      </w:pPr>
      <w:r w:rsidRPr="005D4F78">
        <w:t>Do you agree with the proposal on the denominator of the (i) ADT, (ii) ADNTE and (iii) for specifying daily traded parameter? Please explain</w:t>
      </w:r>
      <w:r w:rsidR="00FA4100">
        <w:t>.</w:t>
      </w:r>
    </w:p>
    <w:p w14:paraId="6B789D16" w14:textId="151F7A08" w:rsidR="00CC59BB" w:rsidRDefault="00CC59BB" w:rsidP="00C54034">
      <w:pPr>
        <w:spacing w:after="0"/>
      </w:pPr>
      <w:r>
        <w:t>&lt;ESMA_QUESTION</w:t>
      </w:r>
      <w:r w:rsidR="005D4F78">
        <w:t>_CP3_</w:t>
      </w:r>
      <w:r>
        <w:t>3&gt;</w:t>
      </w:r>
    </w:p>
    <w:p w14:paraId="301C3BD0" w14:textId="77777777" w:rsidR="00F57BFE" w:rsidRPr="00050A2B" w:rsidRDefault="00F57BFE" w:rsidP="00F57BFE">
      <w:pPr>
        <w:spacing w:before="240" w:after="0" w:line="279" w:lineRule="auto"/>
        <w:rPr>
          <w:rFonts w:eastAsia="Calibri" w:cs="Calibri"/>
          <w:szCs w:val="22"/>
          <w:lang w:eastAsia="ja-JP"/>
        </w:rPr>
      </w:pPr>
      <w:permStart w:id="2005885194" w:edGrp="everyone"/>
      <w:r w:rsidRPr="00050A2B">
        <w:rPr>
          <w:rFonts w:eastAsia="Calibri" w:cs="Calibri"/>
          <w:szCs w:val="22"/>
          <w:lang w:eastAsia="ja-JP"/>
        </w:rPr>
        <w:t xml:space="preserve">Cboe agrees with the proposal and welcomes the clarification that ESMA is introducing concerning the calculation of the denominator for ADT, ADNTE, and the daily traded parameter. </w:t>
      </w:r>
    </w:p>
    <w:p w14:paraId="462F5F1F" w14:textId="77777777" w:rsidR="00F57BFE" w:rsidRPr="00050A2B" w:rsidRDefault="00F57BFE" w:rsidP="00F57BFE">
      <w:pPr>
        <w:spacing w:after="0"/>
        <w:rPr>
          <w:rFonts w:eastAsia="Calibri" w:cs="Calibri"/>
          <w:szCs w:val="22"/>
          <w:lang w:eastAsia="ja-JP"/>
        </w:rPr>
      </w:pPr>
      <w:r w:rsidRPr="00050A2B">
        <w:rPr>
          <w:rFonts w:eastAsia="Calibri" w:cs="Calibri"/>
          <w:szCs w:val="22"/>
          <w:lang w:eastAsia="ja-JP"/>
        </w:rPr>
        <w:t>Cboe notes that clarification that the denominator should be "</w:t>
      </w:r>
      <w:r w:rsidRPr="00050A2B">
        <w:rPr>
          <w:rFonts w:eastAsia="Calibri" w:cs="Calibri"/>
          <w:i/>
          <w:szCs w:val="22"/>
          <w:lang w:eastAsia="ja-JP"/>
        </w:rPr>
        <w:t>the number of days on which the instrument was available for trading on the most relevant market in terms of liquidity (MRMTL) as defined in Article 4 of RTS 1 and where such market was open</w:t>
      </w:r>
      <w:r w:rsidRPr="00050A2B">
        <w:rPr>
          <w:rFonts w:eastAsia="Calibri" w:cs="Calibri"/>
          <w:szCs w:val="22"/>
          <w:lang w:eastAsia="ja-JP"/>
        </w:rPr>
        <w:t xml:space="preserve">" provides legal certainty and, as such, is appreciated. Moreover, this approach creates consistency with other transparency and liquidity assessments, simplifying the process and ensuring that market participants are working with a common framework for these calculations (e.g. the logic used for the calculation of the post-trade large-in-scale (LIS) thresholds). </w:t>
      </w:r>
    </w:p>
    <w:p w14:paraId="0D2F37D3" w14:textId="76262311" w:rsidR="00CC59BB" w:rsidRDefault="00CC59BB" w:rsidP="00C54034">
      <w:pPr>
        <w:spacing w:after="0"/>
      </w:pPr>
    </w:p>
    <w:permEnd w:id="2005885194"/>
    <w:p w14:paraId="677D639B" w14:textId="5AF79809" w:rsidR="00CC59BB" w:rsidRDefault="00CC59BB" w:rsidP="00C54034">
      <w:pPr>
        <w:spacing w:after="0"/>
      </w:pPr>
      <w:r>
        <w:t>&lt;ESMA_QUESTION</w:t>
      </w:r>
      <w:r w:rsidR="005D4F78">
        <w:t>_CP3_</w:t>
      </w:r>
      <w:r>
        <w:t>3&gt;</w:t>
      </w:r>
    </w:p>
    <w:p w14:paraId="506315DD" w14:textId="77777777" w:rsidR="00CC59BB" w:rsidRDefault="00CC59BB" w:rsidP="00F716D4"/>
    <w:p w14:paraId="044A8FFD" w14:textId="41775C76" w:rsidR="00CC59BB" w:rsidRDefault="005D4F78" w:rsidP="007C5BD5">
      <w:pPr>
        <w:pStyle w:val="Questionstyle"/>
      </w:pPr>
      <w:r w:rsidRPr="005D4F78">
        <w:t>Do you agree with the proposal on the liquidity determination for shares? Please explain</w:t>
      </w:r>
      <w:r w:rsidR="00FA4100">
        <w:t>.</w:t>
      </w:r>
    </w:p>
    <w:p w14:paraId="3B828213" w14:textId="2C9D497F" w:rsidR="00CC59BB" w:rsidRDefault="00CC59BB" w:rsidP="00C54034">
      <w:pPr>
        <w:spacing w:after="0"/>
      </w:pPr>
      <w:r>
        <w:t>&lt;ESMA_QUESTION</w:t>
      </w:r>
      <w:r w:rsidR="005D4F78">
        <w:t>_CP3_</w:t>
      </w:r>
      <w:r>
        <w:t>4&gt;</w:t>
      </w:r>
    </w:p>
    <w:p w14:paraId="7CE70517" w14:textId="77777777" w:rsidR="00134A77" w:rsidRPr="00050A2B" w:rsidRDefault="00134A77" w:rsidP="00134A77">
      <w:pPr>
        <w:spacing w:after="240" w:line="279" w:lineRule="auto"/>
        <w:rPr>
          <w:rFonts w:eastAsia="Calibri" w:cs="Calibri"/>
          <w:b/>
          <w:szCs w:val="22"/>
          <w:lang w:eastAsia="ja-JP"/>
        </w:rPr>
      </w:pPr>
      <w:permStart w:id="1235513680" w:edGrp="everyone"/>
      <w:r w:rsidRPr="00050A2B">
        <w:rPr>
          <w:rFonts w:eastAsia="Calibri" w:cs="Calibri"/>
          <w:szCs w:val="22"/>
          <w:lang w:eastAsia="ja-JP"/>
        </w:rPr>
        <w:t>Cboe agrees with the proposed amendments on the liquidity determination for shares.</w:t>
      </w:r>
    </w:p>
    <w:p w14:paraId="45BB353F" w14:textId="77777777" w:rsidR="00134A77" w:rsidRPr="00050A2B" w:rsidRDefault="00134A77" w:rsidP="00134A77">
      <w:pPr>
        <w:spacing w:before="240" w:after="240" w:line="279" w:lineRule="auto"/>
        <w:rPr>
          <w:rFonts w:eastAsia="Calibri" w:cs="Calibri"/>
          <w:szCs w:val="22"/>
          <w:lang w:eastAsia="ja-JP"/>
        </w:rPr>
      </w:pPr>
      <w:r w:rsidRPr="00050A2B">
        <w:rPr>
          <w:rFonts w:eastAsia="Calibri" w:cs="Calibri"/>
          <w:szCs w:val="22"/>
          <w:lang w:eastAsia="ja-JP"/>
        </w:rPr>
        <w:t xml:space="preserve">Based on ESMA’s intentions to shift from the current free-float based threshold to a market capitalisation-based approach, Cboe notes that the revised threshold of EUR 100,000,000 market capitalisation for determining a liquid market is in line with the existing methodology used for shares traded on MTFs, as defined in </w:t>
      </w:r>
      <w:hyperlink r:id="rId24" w:history="1">
        <w:r w:rsidRPr="00050A2B">
          <w:rPr>
            <w:rFonts w:eastAsia="Calibri" w:cs="Calibri"/>
            <w:szCs w:val="22"/>
            <w:u w:val="single"/>
            <w:lang w:eastAsia="ja-JP"/>
          </w:rPr>
          <w:t>Commission Delegated Regulation (EU) 2017/567</w:t>
        </w:r>
      </w:hyperlink>
      <w:r w:rsidRPr="00050A2B">
        <w:rPr>
          <w:rFonts w:eastAsia="Calibri" w:cs="Calibri"/>
          <w:szCs w:val="22"/>
          <w:lang w:eastAsia="ja-JP"/>
        </w:rPr>
        <w:t>. Valuing consistency across trading venues, Cboe appreciates the simplifications to the regulatory framework and ESMA’s efforts to ensure coherence in the assessment of liquidity for shares. Finally, Cboe anticipates no significant changes to reporting obligations – as the current reporting workflow are maintain per ESMA continuous provision of liquidity flag, as based on this revised methodology.</w:t>
      </w:r>
    </w:p>
    <w:p w14:paraId="18C4F057" w14:textId="50D455A9" w:rsidR="00CC59BB" w:rsidRDefault="00CC59BB" w:rsidP="00C54034">
      <w:pPr>
        <w:spacing w:after="0"/>
      </w:pPr>
    </w:p>
    <w:permEnd w:id="1235513680"/>
    <w:p w14:paraId="5645007D" w14:textId="4E2E9AE4" w:rsidR="00CC59BB" w:rsidRDefault="00CC59BB" w:rsidP="00C54034">
      <w:pPr>
        <w:spacing w:after="0"/>
      </w:pPr>
      <w:r>
        <w:t>&lt;ESMA_QUESTION</w:t>
      </w:r>
      <w:r w:rsidR="005D4F78">
        <w:t>_CP3_</w:t>
      </w:r>
      <w:r>
        <w:t>4&gt;</w:t>
      </w:r>
    </w:p>
    <w:p w14:paraId="6A5562F7" w14:textId="7B74717E" w:rsidR="00BB1973" w:rsidRDefault="00BB1973" w:rsidP="00F716D4"/>
    <w:p w14:paraId="51E3550B" w14:textId="5B5E3F69" w:rsidR="00CC59BB" w:rsidRDefault="005D4F78" w:rsidP="007C5BD5">
      <w:pPr>
        <w:pStyle w:val="Questionstyle"/>
      </w:pPr>
      <w:r w:rsidRPr="005D4F78">
        <w:t>Do you agree with the proposal on the liquidity determination for other similar financial instruments? Please explain</w:t>
      </w:r>
      <w:r w:rsidR="00FA4100">
        <w:t>.</w:t>
      </w:r>
    </w:p>
    <w:p w14:paraId="19426988" w14:textId="240AE797" w:rsidR="00CC59BB" w:rsidRDefault="00CC59BB" w:rsidP="00C54034">
      <w:pPr>
        <w:spacing w:after="0"/>
      </w:pPr>
      <w:r>
        <w:t>&lt;ESMA_QUESTION</w:t>
      </w:r>
      <w:r w:rsidR="005D4F78">
        <w:t>_CP3_</w:t>
      </w:r>
      <w:r>
        <w:t>5&gt;</w:t>
      </w:r>
    </w:p>
    <w:p w14:paraId="0159133C" w14:textId="77777777" w:rsidR="000213A4" w:rsidRPr="00050A2B" w:rsidRDefault="000213A4" w:rsidP="000213A4">
      <w:pPr>
        <w:spacing w:before="240" w:after="240" w:line="279" w:lineRule="auto"/>
        <w:rPr>
          <w:rFonts w:eastAsia="Calibri" w:cs="Calibri"/>
          <w:szCs w:val="22"/>
          <w:lang w:eastAsia="ja-JP"/>
        </w:rPr>
      </w:pPr>
      <w:permStart w:id="864513806" w:edGrp="everyone"/>
      <w:r w:rsidRPr="00050A2B">
        <w:rPr>
          <w:rFonts w:eastAsia="Calibri" w:cs="Calibri"/>
          <w:szCs w:val="22"/>
          <w:lang w:eastAsia="ja-JP"/>
        </w:rPr>
        <w:t>Cboe supports ESMA’s proposal to explicitly classify "other similar financial instruments" as illiquid for the entirety of their trading life. Cboe considers this a formalisation of current practices already applicable in the industry: these instruments are deemed to be illiquid in the greatest majority of cases throughout their trading life. Cboe considers this approach helpful for maintaining regulatory and market consistency. In particular, the addition of an explicit article in the legal framework provides clarity and ensures both market participants and regulators are consistent in their interpretation of legal provisions, by so removing any ambiguity regarding their liquidity status.</w:t>
      </w:r>
    </w:p>
    <w:p w14:paraId="51438E9B" w14:textId="77777777" w:rsidR="000213A4" w:rsidRPr="00050A2B" w:rsidRDefault="000213A4" w:rsidP="000213A4">
      <w:pPr>
        <w:rPr>
          <w:rFonts w:eastAsia="Calibri" w:cs="Calibri"/>
          <w:b/>
          <w:szCs w:val="22"/>
          <w:lang w:eastAsia="ja-JP"/>
        </w:rPr>
      </w:pPr>
      <w:r w:rsidRPr="00050A2B">
        <w:rPr>
          <w:rFonts w:eastAsia="Calibri" w:cs="Calibri"/>
          <w:szCs w:val="22"/>
          <w:lang w:eastAsia="ja-JP"/>
        </w:rPr>
        <w:t xml:space="preserve">Cboe has also considered whether ESMA's decision to clearly define these instruments as illiquid may serve a broader purpose of collecting data for market development monitoring purposes and for future evaluation. On this, Cboe notes that a data-driven approach could be useful both to gain further insight into the market and the trading patterns of these instruments as well as to have data on which to base any confirmation (or reconsiderations) of this determination. </w:t>
      </w:r>
    </w:p>
    <w:p w14:paraId="23D7346A" w14:textId="521B6E08" w:rsidR="00CC59BB" w:rsidRDefault="00CC59BB" w:rsidP="00C54034">
      <w:pPr>
        <w:spacing w:after="0"/>
      </w:pPr>
    </w:p>
    <w:permEnd w:id="864513806"/>
    <w:p w14:paraId="12028E38" w14:textId="6BDCBF5F" w:rsidR="00CC59BB" w:rsidRDefault="00CC59BB" w:rsidP="00C54034">
      <w:pPr>
        <w:spacing w:after="0"/>
      </w:pPr>
      <w:r>
        <w:t>&lt;ESMA_QUESTION</w:t>
      </w:r>
      <w:r w:rsidR="005D4F78">
        <w:t>_CP3_</w:t>
      </w:r>
      <w:r>
        <w:t>5&gt;</w:t>
      </w:r>
    </w:p>
    <w:p w14:paraId="0716A74E" w14:textId="12CDEECF" w:rsidR="00CC59BB" w:rsidRDefault="00CC59BB" w:rsidP="00F716D4"/>
    <w:p w14:paraId="0B1D0E37" w14:textId="69EF334F" w:rsidR="00CC59BB" w:rsidRDefault="005D4F78" w:rsidP="007C5BD5">
      <w:pPr>
        <w:pStyle w:val="Questionstyle"/>
      </w:pPr>
      <w:r w:rsidRPr="005D4F78">
        <w:t>Do you agree with the proposal to remove the field “holdings exceeding 5% of total voting rights” from the legal text but keeping it in the XML schema of the reporting without being obliged to report such information? Pease explain</w:t>
      </w:r>
      <w:r w:rsidR="00BB1973">
        <w:t>.</w:t>
      </w:r>
    </w:p>
    <w:p w14:paraId="74B71444" w14:textId="25506F03" w:rsidR="00CC59BB" w:rsidRDefault="00CC59BB" w:rsidP="00C54034">
      <w:pPr>
        <w:spacing w:after="0"/>
      </w:pPr>
      <w:r>
        <w:t>&lt;ESMA_QUESTION</w:t>
      </w:r>
      <w:r w:rsidR="005D4F78">
        <w:t>_CP3_</w:t>
      </w:r>
      <w:r>
        <w:t>6&gt;</w:t>
      </w:r>
    </w:p>
    <w:p w14:paraId="0D10FD0F" w14:textId="77777777" w:rsidR="00BE7AC9" w:rsidRPr="00050A2B" w:rsidRDefault="00BE7AC9" w:rsidP="00BE7AC9">
      <w:pPr>
        <w:spacing w:before="240" w:after="240" w:line="279" w:lineRule="auto"/>
        <w:rPr>
          <w:rFonts w:eastAsia="Calibri" w:cs="Calibri"/>
          <w:szCs w:val="22"/>
          <w:lang w:eastAsia="ja-JP"/>
        </w:rPr>
      </w:pPr>
      <w:permStart w:id="1293775397" w:edGrp="everyone"/>
      <w:r w:rsidRPr="00050A2B">
        <w:rPr>
          <w:rFonts w:eastAsia="Calibri" w:cs="Calibri"/>
          <w:szCs w:val="22"/>
          <w:lang w:eastAsia="ja-JP"/>
        </w:rPr>
        <w:t>Cboe understands ESMA’s intention to decommission this field, as it relates to "</w:t>
      </w:r>
      <w:r w:rsidRPr="34FC3B84">
        <w:rPr>
          <w:rFonts w:eastAsia="Calibri" w:cs="Calibri"/>
          <w:i/>
          <w:iCs/>
          <w:szCs w:val="22"/>
          <w:lang w:eastAsia="ja-JP"/>
        </w:rPr>
        <w:t>holdings exceeding 5% of total voting rights</w:t>
      </w:r>
      <w:r w:rsidRPr="00050A2B">
        <w:rPr>
          <w:rFonts w:eastAsia="Calibri" w:cs="Calibri"/>
          <w:szCs w:val="22"/>
          <w:lang w:eastAsia="ja-JP"/>
        </w:rPr>
        <w:t>", and in this context, is supportive of the proposal to remove the obligation to report this information while retaining the XML schema field. However, Cboe would like to offer the following considerations.</w:t>
      </w:r>
    </w:p>
    <w:p w14:paraId="5FC8DACD" w14:textId="77777777" w:rsidR="00BE7AC9" w:rsidRPr="00050A2B" w:rsidRDefault="00BE7AC9" w:rsidP="00BE7AC9">
      <w:pPr>
        <w:rPr>
          <w:rFonts w:eastAsia="MS Mincho"/>
          <w:szCs w:val="22"/>
          <w:lang w:eastAsia="ja-JP"/>
        </w:rPr>
      </w:pPr>
      <w:r w:rsidRPr="00050A2B">
        <w:rPr>
          <w:rFonts w:eastAsia="Calibri" w:cs="Calibri"/>
          <w:szCs w:val="22"/>
          <w:lang w:eastAsia="ja-JP"/>
        </w:rPr>
        <w:t>Cboe acknowledges that keeping the field in the XML schema (while not requiring its use) could help reduce implementation costs for such changes. Specifically, by retaining the schema structure, market participants would not need to make significant adjustments to existing technical infrastructures or reporting workflows – which would allow for a smoother transition and avoid the burden of altering XML mappings or database structures for reporting purposes. Based on feedbacks internally obtained, however, from a technical standpoint, Cboe has determined that full removal would offer greater clarity and ease of implementation – although concretely there is little difference between the two options. Therefore, to avoid any potential confusion, Cboe would rather suggest to delete the field altogether.</w:t>
      </w:r>
      <w:r w:rsidRPr="00050A2B">
        <w:rPr>
          <w:rFonts w:eastAsia="Aptos" w:cs="Aptos"/>
          <w:szCs w:val="22"/>
          <w:lang w:eastAsia="ja-JP"/>
        </w:rPr>
        <w:t xml:space="preserve"> </w:t>
      </w:r>
    </w:p>
    <w:p w14:paraId="2E916F10" w14:textId="6219A663" w:rsidR="00CC59BB" w:rsidRDefault="00CC59BB" w:rsidP="00C54034">
      <w:pPr>
        <w:spacing w:after="0"/>
      </w:pPr>
    </w:p>
    <w:permEnd w:id="1293775397"/>
    <w:p w14:paraId="1C5E841E" w14:textId="62C9D449" w:rsidR="00CC59BB" w:rsidRDefault="00CC59BB" w:rsidP="00C54034">
      <w:pPr>
        <w:spacing w:after="0"/>
      </w:pPr>
      <w:r>
        <w:t>&lt;ESMA_QUESTION</w:t>
      </w:r>
      <w:r w:rsidR="005D4F78">
        <w:t>_CP3_</w:t>
      </w:r>
      <w:r>
        <w:t>6&gt;</w:t>
      </w:r>
    </w:p>
    <w:p w14:paraId="70FF3B6D" w14:textId="45071471" w:rsidR="00CC59BB" w:rsidRDefault="00CC59BB" w:rsidP="00F716D4"/>
    <w:p w14:paraId="73754F59" w14:textId="77777777" w:rsidR="005D4F78" w:rsidRDefault="005D4F78" w:rsidP="00F716D4"/>
    <w:p w14:paraId="0F496581" w14:textId="77777777" w:rsidR="005D4F78" w:rsidRDefault="005D4F78" w:rsidP="00F716D4"/>
    <w:p w14:paraId="41F5D217" w14:textId="77777777" w:rsidR="005D4F78" w:rsidRDefault="005D4F78" w:rsidP="00F716D4"/>
    <w:p w14:paraId="4C686F76" w14:textId="77777777" w:rsidR="005D4F78" w:rsidRDefault="005D4F78" w:rsidP="00F716D4"/>
    <w:p w14:paraId="65E8C5DB" w14:textId="3055066F" w:rsidR="005D4F78" w:rsidRDefault="005D4F78">
      <w:pPr>
        <w:spacing w:after="0" w:line="240" w:lineRule="auto"/>
        <w:jc w:val="left"/>
      </w:pPr>
      <w:r>
        <w:br w:type="page"/>
      </w:r>
    </w:p>
    <w:p w14:paraId="082CF5C0" w14:textId="77777777" w:rsidR="005D4F78" w:rsidRPr="00B25E0D" w:rsidRDefault="005D4F78" w:rsidP="005D4F78">
      <w:pPr>
        <w:pStyle w:val="Heading1"/>
        <w:numPr>
          <w:ilvl w:val="0"/>
          <w:numId w:val="0"/>
        </w:numPr>
        <w:ind w:left="709"/>
      </w:pPr>
      <w:r>
        <w:t>2.2 RTS 1</w:t>
      </w:r>
    </w:p>
    <w:p w14:paraId="0A97BE36" w14:textId="54209F8A" w:rsidR="00CC59BB" w:rsidRDefault="005D4F78" w:rsidP="007C5BD5">
      <w:pPr>
        <w:pStyle w:val="Questionstyle"/>
      </w:pPr>
      <w:r w:rsidRPr="005D4F78">
        <w:t>Do you in general agree with the content of the proposed Tables 1a and 1b? Please specify (i) which fields you consider as not necessary (ii) any amendments that you consider necessary to the columns “Description and details to be published”, “Type of execution or publication venue”, “Type of trading system” to ensure that the information to be provided is clear and unambiguous (iii) the instruments and the circumstances when it is necessary to report the field price with a price notation different from “MONE” – Monetary value</w:t>
      </w:r>
      <w:r w:rsidR="00BB1973">
        <w:t>.</w:t>
      </w:r>
    </w:p>
    <w:p w14:paraId="7A68C999" w14:textId="398287EA" w:rsidR="00CC59BB" w:rsidRDefault="00CC59BB" w:rsidP="00C54034">
      <w:pPr>
        <w:spacing w:after="0"/>
      </w:pPr>
      <w:r>
        <w:t>&lt;ESMA_QUESTION</w:t>
      </w:r>
      <w:r w:rsidR="005D4F78">
        <w:t>_CP3_</w:t>
      </w:r>
      <w:r>
        <w:t>7&gt;</w:t>
      </w:r>
    </w:p>
    <w:p w14:paraId="330DE917" w14:textId="77777777" w:rsidR="002913F2" w:rsidRPr="00050A2B" w:rsidRDefault="002913F2" w:rsidP="002913F2">
      <w:pPr>
        <w:spacing w:before="240" w:after="240"/>
        <w:rPr>
          <w:rFonts w:eastAsia="Aptos" w:cs="Aptos"/>
          <w:szCs w:val="22"/>
          <w:lang w:eastAsia="ja-JP"/>
        </w:rPr>
      </w:pPr>
      <w:permStart w:id="1076438526" w:edGrp="everyone"/>
      <w:r w:rsidRPr="34FC3B84">
        <w:rPr>
          <w:rFonts w:eastAsia="Aptos" w:cs="Aptos"/>
          <w:szCs w:val="22"/>
          <w:lang w:eastAsia="ja-JP"/>
        </w:rPr>
        <w:t xml:space="preserve">Cboe notes that the list of fields aims to provide the necessary pre-trade transparency while considering the specificities of different trading systems. </w:t>
      </w:r>
    </w:p>
    <w:p w14:paraId="37B3F0F8" w14:textId="77777777" w:rsidR="002913F2" w:rsidRPr="00050A2B" w:rsidRDefault="002913F2" w:rsidP="002913F2">
      <w:pPr>
        <w:spacing w:before="240" w:after="240"/>
        <w:rPr>
          <w:rFonts w:eastAsia="Aptos" w:cs="Aptos"/>
          <w:szCs w:val="22"/>
          <w:lang w:eastAsia="ja-JP"/>
        </w:rPr>
      </w:pPr>
      <w:r w:rsidRPr="00050A2B">
        <w:rPr>
          <w:rFonts w:eastAsia="Aptos" w:cs="Aptos"/>
          <w:szCs w:val="22"/>
          <w:lang w:eastAsia="ja-JP"/>
        </w:rPr>
        <w:t>Cboe</w:t>
      </w:r>
      <w:r w:rsidRPr="299B323F">
        <w:rPr>
          <w:rFonts w:eastAsia="Aptos" w:cs="Aptos"/>
          <w:szCs w:val="22"/>
          <w:lang w:eastAsia="ja-JP"/>
        </w:rPr>
        <w:t xml:space="preserve"> has concerns regarding  table 1b field 4 (Price) and field 7 (Quantity) on pages 39 and 40  of the CP in conjunction with figure 3 on page 35 of the CP</w:t>
      </w:r>
      <w:r w:rsidRPr="00050A2B">
        <w:rPr>
          <w:rFonts w:eastAsia="Aptos" w:cs="Aptos"/>
          <w:szCs w:val="22"/>
          <w:lang w:eastAsia="ja-JP"/>
        </w:rPr>
        <w:t xml:space="preserve">. </w:t>
      </w:r>
      <w:r w:rsidRPr="299B323F">
        <w:rPr>
          <w:rFonts w:eastAsia="Aptos" w:cs="Aptos"/>
          <w:szCs w:val="22"/>
          <w:lang w:eastAsia="ja-JP"/>
        </w:rPr>
        <w:t>Field 4 (Price) in table 1b has the following sentence included: “</w:t>
      </w:r>
      <w:r w:rsidRPr="653B8A47">
        <w:rPr>
          <w:rFonts w:ascii="Aptos" w:eastAsia="Aptos" w:hAnsi="Aptos" w:cs="Aptos"/>
          <w:i/>
          <w:iCs/>
          <w:szCs w:val="22"/>
        </w:rPr>
        <w:t>For auction trading system, the price at which the auction trading system would best satisfy its trading algorithm or the best bid and ask prices when the trading algorithm pending the identification of two matching orders satisfying the trading algorithm</w:t>
      </w:r>
      <w:r w:rsidRPr="299B323F">
        <w:rPr>
          <w:rFonts w:ascii="Aptos" w:eastAsia="Aptos" w:hAnsi="Aptos" w:cs="Aptos"/>
          <w:szCs w:val="22"/>
        </w:rPr>
        <w:t>.”</w:t>
      </w:r>
      <w:r w:rsidRPr="299B323F">
        <w:rPr>
          <w:rFonts w:eastAsia="Aptos" w:cs="Aptos"/>
          <w:szCs w:val="22"/>
          <w:lang w:eastAsia="ja-JP"/>
        </w:rPr>
        <w:t xml:space="preserve"> Cboe notes that:</w:t>
      </w:r>
    </w:p>
    <w:p w14:paraId="0D303D3A" w14:textId="77777777" w:rsidR="002913F2" w:rsidRPr="00050A2B" w:rsidRDefault="002913F2" w:rsidP="002913F2">
      <w:pPr>
        <w:pStyle w:val="ListParagraph"/>
        <w:numPr>
          <w:ilvl w:val="0"/>
          <w:numId w:val="38"/>
        </w:numPr>
        <w:spacing w:before="240" w:after="240" w:line="278" w:lineRule="auto"/>
        <w:rPr>
          <w:rFonts w:eastAsia="Aptos" w:cs="Aptos"/>
          <w:szCs w:val="22"/>
          <w:lang w:eastAsia="ja-JP"/>
        </w:rPr>
      </w:pPr>
      <w:r w:rsidRPr="34FC3B84">
        <w:rPr>
          <w:rFonts w:eastAsia="Aptos" w:cs="Aptos"/>
          <w:szCs w:val="22"/>
          <w:lang w:eastAsia="ja-JP"/>
        </w:rPr>
        <w:t>There is no definition of "auction trading system” in field 4 (Price) or field 7 (Quantity) of table 1b. There is a definition of “periodic auction trading system” in table 1a. Cboe notes that it is this latter term and definition that should be used to ensure clarity and regulatory certainty.</w:t>
      </w:r>
    </w:p>
    <w:p w14:paraId="0EA99977" w14:textId="77777777" w:rsidR="002913F2" w:rsidRPr="00050A2B" w:rsidRDefault="002913F2" w:rsidP="002913F2">
      <w:pPr>
        <w:pStyle w:val="ListParagraph"/>
        <w:numPr>
          <w:ilvl w:val="0"/>
          <w:numId w:val="38"/>
        </w:numPr>
        <w:spacing w:before="240" w:after="240" w:line="278" w:lineRule="auto"/>
        <w:rPr>
          <w:i/>
          <w:iCs/>
          <w:szCs w:val="22"/>
        </w:rPr>
      </w:pPr>
      <w:r w:rsidRPr="653B8A47">
        <w:rPr>
          <w:rFonts w:eastAsia="Aptos" w:cs="Aptos"/>
          <w:szCs w:val="22"/>
          <w:lang w:eastAsia="ja-JP"/>
        </w:rPr>
        <w:t xml:space="preserve">Table 1a states the following regarding pre-trade transparency for the periodic auction trading system: </w:t>
      </w:r>
      <w:r w:rsidRPr="653B8A47">
        <w:rPr>
          <w:rFonts w:eastAsia="Aptos" w:cs="Aptos"/>
          <w:i/>
          <w:iCs/>
          <w:szCs w:val="22"/>
          <w:lang w:eastAsia="ja-JP"/>
        </w:rPr>
        <w:t>“</w:t>
      </w:r>
      <w:r w:rsidRPr="653B8A47">
        <w:rPr>
          <w:i/>
          <w:iCs/>
        </w:rPr>
        <w:t>T</w:t>
      </w:r>
      <w:r w:rsidRPr="653B8A47">
        <w:rPr>
          <w:i/>
          <w:iCs/>
          <w:szCs w:val="22"/>
        </w:rPr>
        <w:t>he price at which the auction trading system would best satisfy its trading algorithm in respect of shares, depositary receipts, ETFs, certificates and other similar financial instruments traded on the trading system and the volume that would potentially be executable at that price by participants in that system”. This is consistent with the ESMA opinion on frequent batch auctions which requires a trading venue to make public the indicative price and volume.”</w:t>
      </w:r>
    </w:p>
    <w:p w14:paraId="1B7110F9" w14:textId="77777777" w:rsidR="002913F2" w:rsidRPr="00050A2B" w:rsidRDefault="002913F2" w:rsidP="002913F2">
      <w:pPr>
        <w:pStyle w:val="ListParagraph"/>
        <w:numPr>
          <w:ilvl w:val="0"/>
          <w:numId w:val="38"/>
        </w:numPr>
        <w:spacing w:before="240" w:after="240" w:line="278" w:lineRule="auto"/>
      </w:pPr>
      <w:r>
        <w:t>This pre-trade transparency description in table 1a is different from the description in field 4 (Price) of table 1b which seems to suggest that best bid and ask prices must be displayed. The same ambiguity is in field 7 (Quantity) which mentions: “</w:t>
      </w:r>
      <w:r w:rsidRPr="653B8A47">
        <w:rPr>
          <w:i/>
          <w:iCs/>
        </w:rPr>
        <w:t>For auction trading system the aggregated quantity for each side attached to the price that would best satisfying the trading algorithm. When the system is pending the identification of two matching orders satisfying the trading algorithm, the aggregated quantity the respective side at the best price of each side</w:t>
      </w:r>
      <w:r>
        <w:t>.”</w:t>
      </w:r>
    </w:p>
    <w:p w14:paraId="5BA4D069" w14:textId="77777777" w:rsidR="002913F2" w:rsidRPr="00050A2B" w:rsidRDefault="002913F2" w:rsidP="002913F2">
      <w:pPr>
        <w:pStyle w:val="ListParagraph"/>
        <w:numPr>
          <w:ilvl w:val="0"/>
          <w:numId w:val="38"/>
        </w:numPr>
        <w:spacing w:before="240" w:after="240" w:line="278" w:lineRule="auto"/>
      </w:pPr>
      <w:r>
        <w:t>Figure 3 on page 35 shows bid volume, bid price, ask price and ask volume.</w:t>
      </w:r>
    </w:p>
    <w:p w14:paraId="5CDC2F93" w14:textId="77777777" w:rsidR="002913F2" w:rsidRPr="00050A2B" w:rsidRDefault="002913F2" w:rsidP="002913F2">
      <w:pPr>
        <w:pStyle w:val="ListParagraph"/>
        <w:numPr>
          <w:ilvl w:val="0"/>
          <w:numId w:val="38"/>
        </w:numPr>
        <w:spacing w:before="240" w:after="240" w:line="278" w:lineRule="auto"/>
      </w:pPr>
      <w:r>
        <w:t>Taken together, these additions suggest that in this CP ESMA appears to be introducing a new pre-trade transparency regime for periodic auction trading systems in table 1b which is different from table 1a and its opinion on frequent batch auctions. This goes significantly beyond the scope of the mandate that was provided in level 1.</w:t>
      </w:r>
    </w:p>
    <w:p w14:paraId="0619F5AB" w14:textId="77777777" w:rsidR="002913F2" w:rsidRPr="00050A2B" w:rsidRDefault="002913F2" w:rsidP="002913F2">
      <w:pPr>
        <w:spacing w:before="240" w:after="240"/>
      </w:pPr>
      <w:r>
        <w:t>Accordingly,  the text relating to bids and offers on both fields 4 and 7 should be deleted (i.e. “W</w:t>
      </w:r>
      <w:r w:rsidRPr="34FC3B84">
        <w:rPr>
          <w:i/>
          <w:iCs/>
        </w:rPr>
        <w:t>hen the system is pending the identification of two matching orders satisfying the trading algorithm, the aggregated quantity the respective side at the best price of each side</w:t>
      </w:r>
      <w:r>
        <w:t>.”). The introduction of this phrasing would otherwise profoundly impact the current functioning of pre-trade transparency mechanisms set by MiFIR (and the related review).</w:t>
      </w:r>
    </w:p>
    <w:p w14:paraId="2CF25DBD" w14:textId="77777777" w:rsidR="002913F2" w:rsidRPr="00050A2B" w:rsidRDefault="002913F2" w:rsidP="002913F2">
      <w:pPr>
        <w:spacing w:before="240" w:after="240"/>
      </w:pPr>
      <w:r>
        <w:t xml:space="preserve">Cboe continues to support the interpretation already provided by ESMA opinion on frequent batch auctions, which requires a trading venue to make public indicative price and volume. </w:t>
      </w:r>
    </w:p>
    <w:p w14:paraId="210AE453" w14:textId="19CB9B34" w:rsidR="00CC59BB" w:rsidRDefault="00CC59BB" w:rsidP="00C54034">
      <w:pPr>
        <w:spacing w:after="0"/>
      </w:pPr>
    </w:p>
    <w:permEnd w:id="1076438526"/>
    <w:p w14:paraId="39E613CD" w14:textId="52CF41AA" w:rsidR="00CC59BB" w:rsidRDefault="00CC59BB" w:rsidP="00C54034">
      <w:pPr>
        <w:spacing w:after="0"/>
      </w:pPr>
      <w:r>
        <w:t>&lt;ESMA_QUESTION</w:t>
      </w:r>
      <w:r w:rsidR="005D4F78">
        <w:t>_CP3_</w:t>
      </w:r>
      <w:r>
        <w:t>7&gt;</w:t>
      </w:r>
    </w:p>
    <w:p w14:paraId="0A5D9CD2" w14:textId="77777777" w:rsidR="005D4F78" w:rsidRDefault="005D4F78" w:rsidP="00C54034">
      <w:pPr>
        <w:spacing w:after="0"/>
      </w:pPr>
    </w:p>
    <w:p w14:paraId="70C05E2C" w14:textId="24D079CE" w:rsidR="00CC59BB" w:rsidRDefault="005D4F78" w:rsidP="007C5BD5">
      <w:pPr>
        <w:pStyle w:val="Questionstyle"/>
      </w:pPr>
      <w:r w:rsidRPr="005D4F78">
        <w:t>Do you agree with the proposed amendments to Article 4? Please explain</w:t>
      </w:r>
      <w:r w:rsidR="00CC59BB" w:rsidRPr="00185ADA">
        <w:t>.</w:t>
      </w:r>
    </w:p>
    <w:p w14:paraId="1EE9A5FD" w14:textId="2F246EBD" w:rsidR="00CC59BB" w:rsidRDefault="00CC59BB" w:rsidP="00C54034">
      <w:pPr>
        <w:spacing w:after="0"/>
      </w:pPr>
      <w:r>
        <w:t>&lt;ESMA_QUESTION</w:t>
      </w:r>
      <w:r w:rsidR="005D4F78">
        <w:t>_CP3_</w:t>
      </w:r>
      <w:r>
        <w:t>8&gt;</w:t>
      </w:r>
    </w:p>
    <w:p w14:paraId="2DAA0082" w14:textId="77777777" w:rsidR="00CB1A21" w:rsidRPr="00050A2B" w:rsidRDefault="00CB1A21" w:rsidP="00CB1A21">
      <w:pPr>
        <w:spacing w:after="0"/>
        <w:rPr>
          <w:rFonts w:eastAsia="Aptos" w:cs="Aptos"/>
          <w:szCs w:val="22"/>
          <w:lang w:eastAsia="ja-JP"/>
        </w:rPr>
      </w:pPr>
      <w:permStart w:id="1516253385" w:edGrp="everyone"/>
      <w:r w:rsidRPr="00050A2B">
        <w:rPr>
          <w:rFonts w:eastAsia="Aptos" w:cs="Aptos"/>
          <w:szCs w:val="22"/>
          <w:lang w:eastAsia="ja-JP"/>
        </w:rPr>
        <w:t>Cboe supports the proposed amendments to Article 4 of RTS 1 as these will improve the accuracy, efficiency, and reliability of most relevant market in terms of liquidity (</w:t>
      </w:r>
      <w:r w:rsidRPr="00050A2B">
        <w:rPr>
          <w:rFonts w:eastAsia="Aptos" w:cs="Aptos"/>
          <w:b/>
          <w:szCs w:val="22"/>
          <w:lang w:eastAsia="ja-JP"/>
        </w:rPr>
        <w:t>MRMTL</w:t>
      </w:r>
      <w:r w:rsidRPr="00050A2B">
        <w:rPr>
          <w:rFonts w:eastAsia="Aptos" w:cs="Aptos"/>
          <w:szCs w:val="22"/>
          <w:lang w:eastAsia="ja-JP"/>
        </w:rPr>
        <w:t xml:space="preserve">) determinations, also simplifying interactions between market participants and NCAs. </w:t>
      </w:r>
    </w:p>
    <w:p w14:paraId="6DE23B96" w14:textId="77777777" w:rsidR="00CB1A21" w:rsidRPr="00050A2B" w:rsidRDefault="00CB1A21" w:rsidP="00CB1A21">
      <w:pPr>
        <w:spacing w:after="0"/>
        <w:rPr>
          <w:rFonts w:eastAsia="Aptos" w:cs="Aptos"/>
          <w:szCs w:val="22"/>
          <w:lang w:eastAsia="ja-JP"/>
        </w:rPr>
      </w:pPr>
      <w:r w:rsidRPr="00050A2B">
        <w:rPr>
          <w:rFonts w:eastAsia="Aptos" w:cs="Aptos"/>
          <w:szCs w:val="22"/>
          <w:lang w:eastAsia="ja-JP"/>
        </w:rPr>
        <w:t>Cboe considers the proposed refinements to the methodology, particularly the focus on regulated markets as the primary source for determining the MRMTL until sufficient trading data becomes available, to be very relevant. Selecting as MRMTL the market where an instrument first completed its initial public offering (</w:t>
      </w:r>
      <w:r w:rsidRPr="00050A2B">
        <w:rPr>
          <w:rFonts w:eastAsia="Aptos" w:cs="Aptos"/>
          <w:b/>
          <w:szCs w:val="22"/>
          <w:lang w:eastAsia="ja-JP"/>
        </w:rPr>
        <w:t>IPO</w:t>
      </w:r>
      <w:r w:rsidRPr="00050A2B">
        <w:rPr>
          <w:rFonts w:eastAsia="Aptos" w:cs="Aptos"/>
          <w:szCs w:val="22"/>
          <w:lang w:eastAsia="ja-JP"/>
        </w:rPr>
        <w:t>) is a practical option to ensure that the issue of inaccurate or incomplete data submissions to the FIRDS system is addressed, minimising any incorrect MRMTL determinations.</w:t>
      </w:r>
    </w:p>
    <w:p w14:paraId="1B14EAD2" w14:textId="77777777" w:rsidR="00CB1A21" w:rsidRPr="00050A2B" w:rsidRDefault="00CB1A21" w:rsidP="00CB1A21">
      <w:pPr>
        <w:spacing w:after="0"/>
        <w:rPr>
          <w:rFonts w:eastAsia="Aptos" w:cs="Aptos"/>
          <w:szCs w:val="22"/>
          <w:lang w:eastAsia="ja-JP"/>
        </w:rPr>
      </w:pPr>
      <w:r w:rsidRPr="00050A2B">
        <w:rPr>
          <w:rFonts w:eastAsia="Aptos" w:cs="Aptos"/>
          <w:szCs w:val="22"/>
          <w:lang w:eastAsia="ja-JP"/>
        </w:rPr>
        <w:t xml:space="preserve">Cboe considers that the addition of a field in FIRDS reporting to confirm the venue where the IPO occurred is simple yet logical improvement and Cboe is hopeful that this approach will help to avoid errors in MRMTL determination and will facilitate better tracking of financial instruments' trading activity from their IPO. </w:t>
      </w:r>
    </w:p>
    <w:p w14:paraId="0C81418D" w14:textId="77777777" w:rsidR="00CB1A21" w:rsidRPr="00050A2B" w:rsidRDefault="00CB1A21" w:rsidP="00CB1A21">
      <w:pPr>
        <w:spacing w:after="0"/>
        <w:rPr>
          <w:rFonts w:eastAsia="Aptos" w:cs="Aptos"/>
          <w:szCs w:val="22"/>
          <w:lang w:eastAsia="ja-JP"/>
        </w:rPr>
      </w:pPr>
    </w:p>
    <w:p w14:paraId="55BC67BB" w14:textId="77777777" w:rsidR="00CB1A21" w:rsidRPr="00050A2B" w:rsidRDefault="00CB1A21" w:rsidP="00CB1A21">
      <w:pPr>
        <w:spacing w:after="0"/>
        <w:rPr>
          <w:rFonts w:eastAsia="Aptos" w:cs="Aptos"/>
          <w:szCs w:val="22"/>
          <w:lang w:eastAsia="ja-JP"/>
        </w:rPr>
      </w:pPr>
      <w:r w:rsidRPr="00050A2B">
        <w:rPr>
          <w:rFonts w:eastAsia="Aptos" w:cs="Aptos"/>
          <w:szCs w:val="22"/>
          <w:lang w:eastAsia="ja-JP"/>
        </w:rPr>
        <w:t>Cboe also agrees with the proposal to simplify the determination process for newly traded instruments, especially those without sufficient trading activity, by not performing assessments based on turnover for instruments admitted to trading or first traded in December. As this approach should streamline the process, Cboe considers it a welcome alteration to reduce unnecessary complexities in the evaluation of new financial instruments’ liquidity parameters.</w:t>
      </w:r>
    </w:p>
    <w:p w14:paraId="37E462E6" w14:textId="77777777" w:rsidR="00CB1A21" w:rsidRPr="00050A2B" w:rsidRDefault="00CB1A21" w:rsidP="00CB1A21">
      <w:pPr>
        <w:spacing w:after="0"/>
        <w:rPr>
          <w:rFonts w:eastAsia="Aptos" w:cs="Aptos"/>
          <w:szCs w:val="22"/>
          <w:lang w:eastAsia="ja-JP"/>
        </w:rPr>
      </w:pPr>
      <w:r w:rsidRPr="00050A2B">
        <w:rPr>
          <w:rFonts w:eastAsia="Aptos" w:cs="Aptos"/>
          <w:szCs w:val="22"/>
          <w:lang w:eastAsia="ja-JP"/>
        </w:rPr>
        <w:t>In short, Cboe notes that by addressing current data reporting methodology for new instruments as indicated, the MRMTL framework should result simplified.</w:t>
      </w:r>
    </w:p>
    <w:p w14:paraId="049192E3" w14:textId="2D3A3903" w:rsidR="00CC59BB" w:rsidRDefault="00CC59BB" w:rsidP="00C54034">
      <w:pPr>
        <w:spacing w:after="0"/>
      </w:pPr>
    </w:p>
    <w:permEnd w:id="1516253385"/>
    <w:p w14:paraId="5FBCB5E0" w14:textId="0DE97725" w:rsidR="00CC59BB" w:rsidRDefault="00CC59BB" w:rsidP="00C54034">
      <w:pPr>
        <w:spacing w:after="0"/>
      </w:pPr>
      <w:r>
        <w:t>&lt;ESMA_QUESTION</w:t>
      </w:r>
      <w:r w:rsidR="005D4F78">
        <w:t>_CP3_</w:t>
      </w:r>
      <w:r>
        <w:t>8&gt;</w:t>
      </w:r>
    </w:p>
    <w:p w14:paraId="659A410B" w14:textId="08A6DFDD" w:rsidR="00CC59BB" w:rsidRDefault="00CC59BB" w:rsidP="00F716D4"/>
    <w:p w14:paraId="69BE27B3" w14:textId="6AFD3CA5" w:rsidR="00CC59BB" w:rsidRDefault="005D4F78" w:rsidP="007C5BD5">
      <w:pPr>
        <w:pStyle w:val="Questionstyle"/>
      </w:pPr>
      <w:r w:rsidRPr="005D4F78">
        <w:t>Do you agree with the proposed amendment to Article 6 of RTS 1? Please explain</w:t>
      </w:r>
      <w:r>
        <w:t>.</w:t>
      </w:r>
    </w:p>
    <w:p w14:paraId="3F05DCAA" w14:textId="3878BAAE" w:rsidR="00CC59BB" w:rsidRDefault="00CC59BB" w:rsidP="00C54034">
      <w:pPr>
        <w:spacing w:after="0"/>
      </w:pPr>
      <w:r>
        <w:t>&lt;ESMA_QUESTION</w:t>
      </w:r>
      <w:r w:rsidR="005D4F78">
        <w:t>_CP3_</w:t>
      </w:r>
      <w:r>
        <w:t>9&gt;</w:t>
      </w:r>
    </w:p>
    <w:p w14:paraId="5BFCF158" w14:textId="77777777" w:rsidR="004B5CBE" w:rsidRPr="00050A2B" w:rsidRDefault="004B5CBE" w:rsidP="004B5CBE">
      <w:pPr>
        <w:spacing w:after="0"/>
        <w:rPr>
          <w:rFonts w:eastAsia="Aptos" w:cs="Aptos"/>
          <w:szCs w:val="22"/>
          <w:lang w:eastAsia="ja-JP"/>
        </w:rPr>
      </w:pPr>
      <w:permStart w:id="869493798" w:edGrp="everyone"/>
      <w:r w:rsidRPr="00050A2B">
        <w:rPr>
          <w:rFonts w:eastAsia="Aptos" w:cs="Aptos"/>
          <w:szCs w:val="22"/>
          <w:lang w:eastAsia="ja-JP"/>
        </w:rPr>
        <w:t>Cboe supports the proposed amendments to Article 6 of RTS 1, and particularly the changes concerning the limitation on the use of Article 6(j) for transactions equivalent to those in points (a) to (c), excluding transactions under the former points (d) to (</w:t>
      </w:r>
      <w:proofErr w:type="spellStart"/>
      <w:r w:rsidRPr="00050A2B">
        <w:rPr>
          <w:rFonts w:eastAsia="Aptos" w:cs="Aptos"/>
          <w:szCs w:val="22"/>
          <w:lang w:eastAsia="ja-JP"/>
        </w:rPr>
        <w:t>i</w:t>
      </w:r>
      <w:proofErr w:type="spellEnd"/>
      <w:r w:rsidRPr="00050A2B">
        <w:rPr>
          <w:rFonts w:eastAsia="Aptos" w:cs="Aptos"/>
          <w:szCs w:val="22"/>
          <w:lang w:eastAsia="ja-JP"/>
        </w:rPr>
        <w:t>). Cboe considers these to enhance regulatory clarity by limiting the scope of Article 6(j) and appropriately extending coverage under new point (k). Cboe agrees that these changes should improve the alignment of negotiated transactions with the broader regulatory framework and ensure a more efficient waiver system.</w:t>
      </w:r>
    </w:p>
    <w:p w14:paraId="11C3A45F" w14:textId="77777777" w:rsidR="004B5CBE" w:rsidRPr="00050A2B" w:rsidRDefault="004B5CBE" w:rsidP="004B5CBE">
      <w:pPr>
        <w:spacing w:after="0"/>
        <w:rPr>
          <w:rFonts w:eastAsia="Aptos" w:cs="Aptos"/>
          <w:szCs w:val="22"/>
          <w:lang w:eastAsia="ja-JP"/>
        </w:rPr>
      </w:pPr>
      <w:r w:rsidRPr="00050A2B">
        <w:rPr>
          <w:rFonts w:eastAsia="Aptos" w:cs="Aptos"/>
          <w:szCs w:val="22"/>
          <w:lang w:eastAsia="ja-JP"/>
        </w:rPr>
        <w:t>The extension of the scope for possible transactions under the new point (k), as referenced in Article 2(5) of RTS 22, provides a more comprehensive framework compared to the former points (d) to (</w:t>
      </w:r>
      <w:proofErr w:type="spellStart"/>
      <w:r w:rsidRPr="00050A2B">
        <w:rPr>
          <w:rFonts w:eastAsia="Aptos" w:cs="Aptos"/>
          <w:szCs w:val="22"/>
          <w:lang w:eastAsia="ja-JP"/>
        </w:rPr>
        <w:t>i</w:t>
      </w:r>
      <w:proofErr w:type="spellEnd"/>
      <w:r w:rsidRPr="00050A2B">
        <w:rPr>
          <w:rFonts w:eastAsia="Aptos" w:cs="Aptos"/>
          <w:szCs w:val="22"/>
          <w:lang w:eastAsia="ja-JP"/>
        </w:rPr>
        <w:t>). This change ensures that transactions previously addressed under points (d) to (</w:t>
      </w:r>
      <w:proofErr w:type="spellStart"/>
      <w:r w:rsidRPr="00050A2B">
        <w:rPr>
          <w:rFonts w:eastAsia="Aptos" w:cs="Aptos"/>
          <w:szCs w:val="22"/>
          <w:lang w:eastAsia="ja-JP"/>
        </w:rPr>
        <w:t>i</w:t>
      </w:r>
      <w:proofErr w:type="spellEnd"/>
      <w:r w:rsidRPr="00050A2B">
        <w:rPr>
          <w:rFonts w:eastAsia="Aptos" w:cs="Aptos"/>
          <w:szCs w:val="22"/>
          <w:lang w:eastAsia="ja-JP"/>
        </w:rPr>
        <w:t>) are adequately covered without redundancy.</w:t>
      </w:r>
    </w:p>
    <w:p w14:paraId="19859D77" w14:textId="77777777" w:rsidR="004B5CBE" w:rsidRPr="00050A2B" w:rsidRDefault="004B5CBE" w:rsidP="004B5CBE">
      <w:pPr>
        <w:spacing w:after="0"/>
        <w:rPr>
          <w:rFonts w:eastAsia="Aptos" w:cs="Aptos"/>
          <w:szCs w:val="22"/>
          <w:lang w:eastAsia="ja-JP"/>
        </w:rPr>
      </w:pPr>
      <w:r w:rsidRPr="00050A2B">
        <w:rPr>
          <w:rFonts w:eastAsia="Aptos" w:cs="Aptos"/>
          <w:szCs w:val="22"/>
          <w:lang w:eastAsia="ja-JP"/>
        </w:rPr>
        <w:t>Cboe has noted that the limited number of waivers received under Article 6(j) for transactions equivalent to those in points (d) to (</w:t>
      </w:r>
      <w:proofErr w:type="spellStart"/>
      <w:r w:rsidRPr="00050A2B">
        <w:rPr>
          <w:rFonts w:eastAsia="Aptos" w:cs="Aptos"/>
          <w:szCs w:val="22"/>
          <w:lang w:eastAsia="ja-JP"/>
        </w:rPr>
        <w:t>i</w:t>
      </w:r>
      <w:proofErr w:type="spellEnd"/>
      <w:r w:rsidRPr="00050A2B">
        <w:rPr>
          <w:rFonts w:eastAsia="Aptos" w:cs="Aptos"/>
          <w:szCs w:val="22"/>
          <w:lang w:eastAsia="ja-JP"/>
        </w:rPr>
        <w:t xml:space="preserve">)—only 3 since the application of MiFID II/MiFIR—demonstrates that the provision is underutilised. This suggests that the proposed limitation will have minimal impact on market participants and will streamline the regulatory framework.  </w:t>
      </w:r>
    </w:p>
    <w:p w14:paraId="5EEF290B" w14:textId="35F6A69D" w:rsidR="00CC59BB" w:rsidRDefault="004B5CBE" w:rsidP="004B5CBE">
      <w:pPr>
        <w:spacing w:after="0"/>
      </w:pPr>
      <w:r w:rsidRPr="00050A2B">
        <w:rPr>
          <w:rFonts w:eastAsia="Aptos" w:cs="Aptos"/>
          <w:szCs w:val="22"/>
          <w:lang w:eastAsia="ja-JP"/>
        </w:rPr>
        <w:t>With 65 waivers received overall for systems that formalise negotiated transactions subject to conditions other than the current market price, the proposal to streamline Article 6(j) may also be considered to reflect a pragmatic approach</w:t>
      </w:r>
    </w:p>
    <w:permEnd w:id="869493798"/>
    <w:p w14:paraId="1806692F" w14:textId="7E9C5A75" w:rsidR="00CC59BB" w:rsidRDefault="00CC59BB" w:rsidP="00C54034">
      <w:pPr>
        <w:spacing w:after="0"/>
      </w:pPr>
      <w:r>
        <w:t>&lt;ESMA_QUESTION</w:t>
      </w:r>
      <w:r w:rsidR="005D4F78">
        <w:t>_CP3_</w:t>
      </w:r>
      <w:r>
        <w:t>9&gt;</w:t>
      </w:r>
    </w:p>
    <w:p w14:paraId="5D61442C" w14:textId="7781388D" w:rsidR="00C05202" w:rsidRDefault="00C05202" w:rsidP="00F716D4"/>
    <w:p w14:paraId="50E9B48E" w14:textId="38F16495" w:rsidR="00CC59BB" w:rsidRDefault="005D4F78" w:rsidP="007C5BD5">
      <w:pPr>
        <w:pStyle w:val="Questionstyle"/>
      </w:pPr>
      <w:r w:rsidRPr="005D4F78">
        <w:t>Do you agree with the proposed amendments to Article 7 of RTS 1? Please explain</w:t>
      </w:r>
      <w:r>
        <w:t>.</w:t>
      </w:r>
    </w:p>
    <w:p w14:paraId="30C08F8B" w14:textId="7C0E3334" w:rsidR="00CC59BB" w:rsidRDefault="00CC59BB" w:rsidP="00C54034">
      <w:pPr>
        <w:spacing w:after="0"/>
      </w:pPr>
      <w:r>
        <w:t>&lt;ESMA_QUESTION</w:t>
      </w:r>
      <w:r w:rsidR="005D4F78">
        <w:t>_CP3_</w:t>
      </w:r>
      <w:r>
        <w:t>10&gt;</w:t>
      </w:r>
    </w:p>
    <w:p w14:paraId="274CA4D3" w14:textId="77777777" w:rsidR="00290484" w:rsidRPr="00050A2B" w:rsidRDefault="00290484" w:rsidP="00290484">
      <w:pPr>
        <w:spacing w:after="0"/>
        <w:rPr>
          <w:rFonts w:eastAsia="Aptos" w:cs="Aptos"/>
          <w:szCs w:val="22"/>
          <w:lang w:eastAsia="ja-JP"/>
        </w:rPr>
      </w:pPr>
      <w:permStart w:id="1673160559" w:edGrp="everyone"/>
      <w:r w:rsidRPr="00050A2B">
        <w:rPr>
          <w:rFonts w:eastAsia="Aptos" w:cs="Aptos"/>
          <w:szCs w:val="22"/>
          <w:lang w:eastAsia="ja-JP"/>
        </w:rPr>
        <w:t>Cboe supports the proposed amendments to Article 7 of RTS 1, particularly those related to the Large-in-Scale (LIS) waiver and the calculation of the average daily turnover (</w:t>
      </w:r>
      <w:r w:rsidRPr="00050A2B">
        <w:rPr>
          <w:rFonts w:eastAsia="Aptos" w:cs="Aptos"/>
          <w:b/>
          <w:szCs w:val="22"/>
          <w:lang w:eastAsia="ja-JP"/>
        </w:rPr>
        <w:t>ADT</w:t>
      </w:r>
      <w:r w:rsidRPr="00050A2B">
        <w:rPr>
          <w:rFonts w:eastAsia="Aptos" w:cs="Aptos"/>
          <w:szCs w:val="22"/>
          <w:lang w:eastAsia="ja-JP"/>
        </w:rPr>
        <w:t xml:space="preserve">). </w:t>
      </w:r>
    </w:p>
    <w:p w14:paraId="425C066C" w14:textId="77777777" w:rsidR="00290484" w:rsidRPr="00050A2B" w:rsidRDefault="00290484" w:rsidP="00290484">
      <w:pPr>
        <w:spacing w:after="0"/>
        <w:rPr>
          <w:rFonts w:eastAsia="Aptos" w:cs="Aptos"/>
          <w:szCs w:val="22"/>
          <w:lang w:eastAsia="ja-JP"/>
        </w:rPr>
      </w:pPr>
      <w:r w:rsidRPr="00050A2B">
        <w:rPr>
          <w:rFonts w:eastAsia="Aptos" w:cs="Aptos"/>
          <w:szCs w:val="22"/>
          <w:lang w:eastAsia="ja-JP"/>
        </w:rPr>
        <w:t xml:space="preserve">Cboe notes that these changes represent a pragmatic approach to simplifying the determination of thresholds for new financial instruments, while ensuring the regulation remains fit for purpose. Cboe also welcomes that these changes offer concrete improvements to the regulatory framework, including simplification of the average daily turnover calculation for newly traded instruments, clearer determination of the LIS threshold tied to IPO dates, and more accurate estimates for new instruments based on the trading history of similar instruments. </w:t>
      </w:r>
    </w:p>
    <w:p w14:paraId="5F6F39EB" w14:textId="77777777" w:rsidR="00290484" w:rsidRPr="00050A2B" w:rsidRDefault="00290484" w:rsidP="00290484">
      <w:pPr>
        <w:spacing w:after="0"/>
        <w:rPr>
          <w:rFonts w:eastAsia="Aptos" w:cs="Aptos"/>
          <w:szCs w:val="22"/>
          <w:lang w:eastAsia="ja-JP"/>
        </w:rPr>
      </w:pPr>
      <w:r w:rsidRPr="00050A2B">
        <w:rPr>
          <w:rFonts w:eastAsia="Aptos" w:cs="Aptos"/>
          <w:szCs w:val="22"/>
          <w:lang w:eastAsia="ja-JP"/>
        </w:rPr>
        <w:t xml:space="preserve">Cboe appreciates that the proposal simplifies the calculation of the ADT, particularly for newly admitted instruments. In cases where there is insufficient trading activity during the observation period, particularly for instruments admitted or first traded in December, the amendment </w:t>
      </w:r>
      <w:r w:rsidRPr="22BE7056">
        <w:rPr>
          <w:rFonts w:eastAsia="Aptos" w:cs="Aptos"/>
          <w:szCs w:val="22"/>
          <w:lang w:eastAsia="ja-JP"/>
        </w:rPr>
        <w:t xml:space="preserve">recognises </w:t>
      </w:r>
      <w:r w:rsidRPr="00050A2B">
        <w:rPr>
          <w:rFonts w:eastAsia="Aptos" w:cs="Aptos"/>
          <w:szCs w:val="22"/>
          <w:lang w:eastAsia="ja-JP"/>
        </w:rPr>
        <w:t xml:space="preserve">that it is </w:t>
      </w:r>
      <w:r w:rsidRPr="22BE7056">
        <w:rPr>
          <w:rFonts w:eastAsia="Aptos" w:cs="Aptos"/>
          <w:szCs w:val="22"/>
          <w:lang w:eastAsia="ja-JP"/>
        </w:rPr>
        <w:t xml:space="preserve">impractical </w:t>
      </w:r>
      <w:r w:rsidRPr="00050A2B">
        <w:rPr>
          <w:rFonts w:eastAsia="Aptos" w:cs="Aptos"/>
          <w:szCs w:val="22"/>
          <w:lang w:eastAsia="ja-JP"/>
        </w:rPr>
        <w:t xml:space="preserve">to perform </w:t>
      </w:r>
      <w:r w:rsidRPr="653B8A47">
        <w:rPr>
          <w:rFonts w:eastAsia="Aptos" w:cs="Aptos"/>
          <w:szCs w:val="22"/>
          <w:lang w:eastAsia="ja-JP"/>
        </w:rPr>
        <w:t>an</w:t>
      </w:r>
      <w:r w:rsidRPr="22BE7056">
        <w:rPr>
          <w:rFonts w:eastAsia="Aptos" w:cs="Aptos"/>
          <w:szCs w:val="22"/>
          <w:lang w:eastAsia="ja-JP"/>
        </w:rPr>
        <w:t xml:space="preserve"> </w:t>
      </w:r>
      <w:r w:rsidRPr="00050A2B">
        <w:rPr>
          <w:rFonts w:eastAsia="Aptos" w:cs="Aptos"/>
          <w:szCs w:val="22"/>
          <w:lang w:eastAsia="ja-JP"/>
        </w:rPr>
        <w:t xml:space="preserve">ADT calculation </w:t>
      </w:r>
      <w:r w:rsidRPr="22BE7056">
        <w:rPr>
          <w:rFonts w:eastAsia="Aptos" w:cs="Aptos"/>
          <w:szCs w:val="22"/>
          <w:lang w:eastAsia="ja-JP"/>
        </w:rPr>
        <w:t>as</w:t>
      </w:r>
      <w:r w:rsidRPr="00050A2B">
        <w:rPr>
          <w:rFonts w:eastAsia="Aptos" w:cs="Aptos"/>
          <w:szCs w:val="22"/>
          <w:lang w:eastAsia="ja-JP"/>
        </w:rPr>
        <w:t xml:space="preserve"> the trading data may not provide an accurate reflection of market activity due to limited observation periods.</w:t>
      </w:r>
    </w:p>
    <w:p w14:paraId="490DE0A9" w14:textId="77777777" w:rsidR="00290484" w:rsidRPr="00050A2B" w:rsidRDefault="00290484" w:rsidP="00290484">
      <w:pPr>
        <w:spacing w:after="0"/>
        <w:rPr>
          <w:rFonts w:eastAsia="Aptos" w:cs="Aptos"/>
          <w:szCs w:val="22"/>
          <w:lang w:eastAsia="ja-JP"/>
        </w:rPr>
      </w:pPr>
    </w:p>
    <w:p w14:paraId="347089A3" w14:textId="77777777" w:rsidR="00290484" w:rsidRPr="00050A2B" w:rsidRDefault="00290484" w:rsidP="00290484">
      <w:pPr>
        <w:spacing w:after="0"/>
        <w:rPr>
          <w:rFonts w:eastAsia="Aptos" w:cs="Aptos"/>
          <w:szCs w:val="22"/>
          <w:lang w:eastAsia="ja-JP"/>
        </w:rPr>
      </w:pPr>
      <w:r w:rsidRPr="00050A2B">
        <w:rPr>
          <w:rFonts w:eastAsia="Aptos" w:cs="Aptos"/>
          <w:szCs w:val="22"/>
          <w:lang w:eastAsia="ja-JP"/>
        </w:rPr>
        <w:t>As to the amendments to how the LIS threshold is determined for new instruments, Cboe considers the simplifications to the process appropriate. Cboe is particularly  supportive of the addition of wording to paragraph 6, which requires consideration of “</w:t>
      </w:r>
      <w:r w:rsidRPr="34FC3B84">
        <w:rPr>
          <w:rFonts w:eastAsia="Aptos" w:cs="Aptos"/>
          <w:i/>
          <w:iCs/>
          <w:szCs w:val="22"/>
          <w:lang w:eastAsia="ja-JP"/>
        </w:rPr>
        <w:t>other previous or similar financial instruments of the same issuer</w:t>
      </w:r>
      <w:r w:rsidRPr="00050A2B">
        <w:rPr>
          <w:rFonts w:eastAsia="Aptos" w:cs="Aptos"/>
          <w:szCs w:val="22"/>
          <w:lang w:eastAsia="ja-JP"/>
        </w:rPr>
        <w:t xml:space="preserve">” and introduces a more comprehensive method for estimating the LIS threshold for new instruments.  </w:t>
      </w:r>
    </w:p>
    <w:p w14:paraId="664F86CF" w14:textId="3F5B294F" w:rsidR="00CC59BB" w:rsidRDefault="00CC59BB" w:rsidP="00C54034">
      <w:pPr>
        <w:spacing w:after="0"/>
      </w:pPr>
    </w:p>
    <w:permEnd w:id="1673160559"/>
    <w:p w14:paraId="13F39FB3" w14:textId="7573AC92" w:rsidR="00CC59BB" w:rsidRDefault="00CC59BB" w:rsidP="00C54034">
      <w:pPr>
        <w:spacing w:after="0"/>
      </w:pPr>
      <w:r>
        <w:t>&lt;ESMA_QUESTION</w:t>
      </w:r>
      <w:r w:rsidR="005D4F78">
        <w:t>_CP3_</w:t>
      </w:r>
      <w:r>
        <w:t>10&gt;</w:t>
      </w:r>
    </w:p>
    <w:p w14:paraId="04424A1B" w14:textId="77777777" w:rsidR="00CC59BB" w:rsidRDefault="00CC59BB" w:rsidP="00F716D4"/>
    <w:p w14:paraId="7E21AA7F" w14:textId="0DD797D2" w:rsidR="00CC59BB" w:rsidRDefault="005D4F78" w:rsidP="007C5BD5">
      <w:pPr>
        <w:pStyle w:val="Questionstyle"/>
      </w:pPr>
      <w:r w:rsidRPr="005D4F78">
        <w:t>Do you agree with the proposed amendments to Article 8 of RTS 1? Please explai</w:t>
      </w:r>
      <w:r w:rsidR="00CC59BB" w:rsidRPr="00185ADA">
        <w:t>.</w:t>
      </w:r>
    </w:p>
    <w:p w14:paraId="6C96CF48" w14:textId="1666004E" w:rsidR="00CC59BB" w:rsidRDefault="00CC59BB" w:rsidP="00C54034">
      <w:pPr>
        <w:spacing w:after="0"/>
      </w:pPr>
      <w:r>
        <w:t>&lt;ESMA_QUESTION</w:t>
      </w:r>
      <w:r w:rsidR="005D4F78">
        <w:t>_CP3_</w:t>
      </w:r>
      <w:r>
        <w:t>11&gt;</w:t>
      </w:r>
    </w:p>
    <w:p w14:paraId="29C68A4C" w14:textId="77777777" w:rsidR="006361CC" w:rsidRPr="00050A2B" w:rsidRDefault="006361CC" w:rsidP="006361CC">
      <w:pPr>
        <w:spacing w:after="0"/>
        <w:rPr>
          <w:rFonts w:eastAsia="Aptos" w:cs="Aptos"/>
          <w:szCs w:val="22"/>
          <w:lang w:eastAsia="ja-JP"/>
        </w:rPr>
      </w:pPr>
      <w:permStart w:id="1628839836" w:edGrp="everyone"/>
      <w:r w:rsidRPr="00050A2B">
        <w:rPr>
          <w:rFonts w:eastAsia="Aptos" w:cs="Aptos"/>
          <w:szCs w:val="22"/>
          <w:lang w:eastAsia="ja-JP"/>
        </w:rPr>
        <w:t xml:space="preserve">Cboe fully supports the proposed amendments to Article 8 of RTS 1. The clarification regarding the treatment of iceberg orders – and specifically the confirmation that the execution of the hidden part of iceberg orders does not need insertion into the order book - is a positive development that will enhance the functioning of the Order Management Facility and further aligns the regulatory framework with ESMA' prior guidance. Cboe considers this approach to enhance efficiency by allowing these orders to be processed more fluidly, without unnecessary delays or procedural steps. </w:t>
      </w:r>
    </w:p>
    <w:p w14:paraId="709AF4D0" w14:textId="06E567AA" w:rsidR="00CC59BB" w:rsidRDefault="00CC59BB" w:rsidP="00C54034">
      <w:pPr>
        <w:spacing w:after="0"/>
      </w:pPr>
    </w:p>
    <w:permEnd w:id="1628839836"/>
    <w:p w14:paraId="03AED2EA" w14:textId="76C1695E" w:rsidR="00CC59BB" w:rsidRDefault="00CC59BB" w:rsidP="00C54034">
      <w:pPr>
        <w:spacing w:after="0"/>
      </w:pPr>
      <w:r>
        <w:t>&lt;ESMA_QUESTION</w:t>
      </w:r>
      <w:r w:rsidR="005D4F78">
        <w:t>_CP3_</w:t>
      </w:r>
      <w:r>
        <w:t>11&gt;</w:t>
      </w:r>
    </w:p>
    <w:p w14:paraId="64DE1E84" w14:textId="77777777" w:rsidR="00CC59BB" w:rsidRDefault="00CC59BB" w:rsidP="00F716D4"/>
    <w:p w14:paraId="3845A10B" w14:textId="1F192D41" w:rsidR="00CC59BB" w:rsidRDefault="005D4F78" w:rsidP="007C5BD5">
      <w:pPr>
        <w:pStyle w:val="Questionstyle"/>
      </w:pPr>
      <w:r w:rsidRPr="005D4F78">
        <w:t>How could ESMA take into account international best practices and competitiveness for the determination of the threshold up to which SIs have to be pre-trade transparent? Please explain</w:t>
      </w:r>
      <w:r w:rsidR="00CC59BB" w:rsidRPr="00185ADA">
        <w:t>.</w:t>
      </w:r>
    </w:p>
    <w:p w14:paraId="623FFCD5" w14:textId="5861FFC5" w:rsidR="00CC59BB" w:rsidRDefault="00CC59BB" w:rsidP="00C54034">
      <w:pPr>
        <w:spacing w:after="0"/>
      </w:pPr>
      <w:r>
        <w:t>&lt;ESMA_QUESTION</w:t>
      </w:r>
      <w:r w:rsidR="005D4F78">
        <w:t>_CP3_</w:t>
      </w:r>
      <w:r>
        <w:t>12&gt;</w:t>
      </w:r>
    </w:p>
    <w:p w14:paraId="645DC973" w14:textId="267BA6A7" w:rsidR="001346C0" w:rsidRPr="0003115E" w:rsidRDefault="001346C0" w:rsidP="001346C0">
      <w:pPr>
        <w:spacing w:before="240" w:after="240"/>
        <w:rPr>
          <w:rFonts w:eastAsia="Aptos" w:cs="Aptos"/>
          <w:szCs w:val="22"/>
          <w:lang w:eastAsia="ja-JP"/>
        </w:rPr>
      </w:pPr>
      <w:permStart w:id="1550012690" w:edGrp="everyone"/>
      <w:r w:rsidRPr="22BE7056">
        <w:rPr>
          <w:rFonts w:eastAsia="Aptos" w:cs="Aptos"/>
          <w:szCs w:val="22"/>
          <w:lang w:eastAsia="ja-JP"/>
        </w:rPr>
        <w:t>While Cboe has not identified a specific</w:t>
      </w:r>
      <w:r>
        <w:rPr>
          <w:rFonts w:eastAsia="Aptos" w:cs="Aptos"/>
          <w:szCs w:val="22"/>
          <w:lang w:eastAsia="ja-JP"/>
        </w:rPr>
        <w:t xml:space="preserve"> negative impact to</w:t>
      </w:r>
      <w:r w:rsidRPr="22BE7056">
        <w:rPr>
          <w:rFonts w:eastAsia="Aptos" w:cs="Aptos"/>
          <w:szCs w:val="22"/>
          <w:lang w:eastAsia="ja-JP"/>
        </w:rPr>
        <w:t xml:space="preserve"> competitiveness</w:t>
      </w:r>
      <w:r w:rsidRPr="653B8A47">
        <w:rPr>
          <w:rFonts w:eastAsia="Aptos" w:cs="Aptos"/>
          <w:szCs w:val="22"/>
          <w:lang w:eastAsia="ja-JP"/>
        </w:rPr>
        <w:t xml:space="preserve"> as a result of these changes, it is important to monitor the impact moving forward. </w:t>
      </w:r>
    </w:p>
    <w:p w14:paraId="4BD36F6A" w14:textId="3D46E8CD" w:rsidR="00CC59BB" w:rsidRDefault="00CC59BB" w:rsidP="00C54034">
      <w:pPr>
        <w:spacing w:after="0"/>
      </w:pPr>
    </w:p>
    <w:permEnd w:id="1550012690"/>
    <w:p w14:paraId="09660EE7" w14:textId="436A5A78" w:rsidR="00CC59BB" w:rsidRDefault="00CC59BB" w:rsidP="00C54034">
      <w:pPr>
        <w:spacing w:after="0"/>
      </w:pPr>
      <w:r>
        <w:t>&lt;ESMA_QUESTION</w:t>
      </w:r>
      <w:r w:rsidR="005D4F78">
        <w:t>_CP3_</w:t>
      </w:r>
      <w:r>
        <w:t>12&gt;</w:t>
      </w:r>
    </w:p>
    <w:p w14:paraId="3D3A2DC1" w14:textId="23E9E5AA" w:rsidR="00692ADF" w:rsidRDefault="00692ADF" w:rsidP="00692ADF">
      <w:pPr>
        <w:spacing w:after="0" w:line="240" w:lineRule="auto"/>
        <w:jc w:val="left"/>
      </w:pPr>
    </w:p>
    <w:p w14:paraId="2B0BD369" w14:textId="0B223D05" w:rsidR="00CC59BB" w:rsidRDefault="005D4F78" w:rsidP="007C5BD5">
      <w:pPr>
        <w:pStyle w:val="Questionstyle"/>
      </w:pPr>
      <w:r w:rsidRPr="005D4F78">
        <w:t>Do you agree with the new AVT buckets and related SMS? Would you set a higher SMS for the AVT bucket [0-10000) (e.g. 10,000)? Please explain</w:t>
      </w:r>
      <w:r>
        <w:t>.</w:t>
      </w:r>
    </w:p>
    <w:p w14:paraId="7FBA2F1E" w14:textId="22F57295" w:rsidR="00CC59BB" w:rsidRDefault="00CC59BB" w:rsidP="00C54034">
      <w:pPr>
        <w:spacing w:after="0"/>
      </w:pPr>
      <w:r>
        <w:t>&lt;ESMA_QUESTION</w:t>
      </w:r>
      <w:r w:rsidR="005D4F78">
        <w:t>_CP3_</w:t>
      </w:r>
      <w:r>
        <w:t>13&gt;</w:t>
      </w:r>
    </w:p>
    <w:p w14:paraId="67D1441D" w14:textId="77777777" w:rsidR="00075F6D" w:rsidRPr="00050A2B" w:rsidRDefault="00075F6D" w:rsidP="00075F6D">
      <w:pPr>
        <w:spacing w:before="240" w:after="240"/>
        <w:rPr>
          <w:rFonts w:eastAsia="Aptos" w:cs="Aptos"/>
          <w:szCs w:val="22"/>
          <w:lang w:eastAsia="ja-JP"/>
        </w:rPr>
      </w:pPr>
      <w:permStart w:id="1951602752" w:edGrp="everyone"/>
      <w:r w:rsidRPr="00050A2B">
        <w:rPr>
          <w:rFonts w:eastAsia="Aptos" w:cs="Aptos"/>
          <w:szCs w:val="22"/>
          <w:lang w:eastAsia="ja-JP"/>
        </w:rPr>
        <w:t>Cboe broadly agrees with the new Average Value of Transactions (</w:t>
      </w:r>
      <w:r w:rsidRPr="00050A2B">
        <w:rPr>
          <w:rFonts w:eastAsia="Aptos" w:cs="Aptos"/>
          <w:b/>
          <w:szCs w:val="22"/>
          <w:lang w:eastAsia="ja-JP"/>
        </w:rPr>
        <w:t>AVT</w:t>
      </w:r>
      <w:r w:rsidRPr="00050A2B">
        <w:rPr>
          <w:rFonts w:eastAsia="Aptos" w:cs="Aptos"/>
          <w:szCs w:val="22"/>
          <w:lang w:eastAsia="ja-JP"/>
        </w:rPr>
        <w:t>) buckets and the related Standard Market Size (</w:t>
      </w:r>
      <w:r w:rsidRPr="00050A2B">
        <w:rPr>
          <w:rFonts w:eastAsia="Aptos" w:cs="Aptos"/>
          <w:b/>
          <w:szCs w:val="22"/>
          <w:lang w:eastAsia="ja-JP"/>
        </w:rPr>
        <w:t>SMS</w:t>
      </w:r>
      <w:r w:rsidRPr="00050A2B">
        <w:rPr>
          <w:rFonts w:eastAsia="Aptos" w:cs="Aptos"/>
          <w:szCs w:val="22"/>
          <w:lang w:eastAsia="ja-JP"/>
        </w:rPr>
        <w:t xml:space="preserve">) levels proposed by ESMA as these adjustments appear well-calibrated to reflect the evolving nature of market activity, including both liquid and illiquid shares - as observed in the analysis of AVT across different execution venues provided by ESMA. </w:t>
      </w:r>
    </w:p>
    <w:p w14:paraId="622EF6C8" w14:textId="77777777" w:rsidR="00075F6D" w:rsidRPr="00050A2B" w:rsidRDefault="00075F6D" w:rsidP="00075F6D">
      <w:pPr>
        <w:rPr>
          <w:rFonts w:eastAsia="Aptos" w:cs="Aptos"/>
          <w:szCs w:val="22"/>
          <w:lang w:eastAsia="ja-JP"/>
        </w:rPr>
      </w:pPr>
      <w:r w:rsidRPr="00050A2B">
        <w:rPr>
          <w:rFonts w:eastAsia="Aptos" w:cs="Aptos"/>
          <w:szCs w:val="22"/>
          <w:lang w:eastAsia="ja-JP"/>
        </w:rPr>
        <w:t>Although the changes do not have a direct impact on its operations, Cboe supports the overall approach adopted by ESMA as it is oriented to enhancing market transparency by ensuring that pre-trade transparency requirements remain in line with market conditions. As such, Cboe considers it appropriate to adopt the new AVT buckets and related SMS as described in Figure 5 of the CP.</w:t>
      </w:r>
    </w:p>
    <w:p w14:paraId="24AE9925" w14:textId="2EFAD52F" w:rsidR="00CC59BB" w:rsidRDefault="00CC59BB" w:rsidP="00C54034">
      <w:pPr>
        <w:spacing w:after="0"/>
      </w:pPr>
    </w:p>
    <w:permEnd w:id="1951602752"/>
    <w:p w14:paraId="5935F509" w14:textId="63AAAC3B" w:rsidR="00CC59BB" w:rsidRDefault="00CC59BB" w:rsidP="00C54034">
      <w:pPr>
        <w:spacing w:after="0"/>
      </w:pPr>
      <w:r>
        <w:t>&lt;ESMA_QUESTION</w:t>
      </w:r>
      <w:r w:rsidR="005D4F78">
        <w:t>_CP3_</w:t>
      </w:r>
      <w:r>
        <w:t>13&gt;</w:t>
      </w:r>
    </w:p>
    <w:p w14:paraId="060636E2" w14:textId="77777777" w:rsidR="00CC59BB" w:rsidRDefault="00CC59BB" w:rsidP="00F716D4"/>
    <w:p w14:paraId="3774430F" w14:textId="32024F7C" w:rsidR="00CC59BB" w:rsidRDefault="005D4F78" w:rsidP="007C5BD5">
      <w:pPr>
        <w:pStyle w:val="Questionstyle"/>
      </w:pPr>
      <w:r w:rsidRPr="005D4F78">
        <w:t>Do you agree with ESMA’s proposal of the new threshold#1 for shares? Please explain</w:t>
      </w:r>
      <w:r>
        <w:t>.</w:t>
      </w:r>
    </w:p>
    <w:p w14:paraId="023D70D1" w14:textId="44F2F1C9" w:rsidR="00CC59BB" w:rsidRDefault="00CC59BB" w:rsidP="00C54034">
      <w:pPr>
        <w:spacing w:after="0"/>
      </w:pPr>
      <w:r>
        <w:t>&lt;ESMA_QUESTION</w:t>
      </w:r>
      <w:r w:rsidR="005D4F78">
        <w:t>_CP3_</w:t>
      </w:r>
      <w:r>
        <w:t>14&gt;</w:t>
      </w:r>
    </w:p>
    <w:p w14:paraId="252A16E1" w14:textId="77777777" w:rsidR="001802B6" w:rsidRPr="00050A2B" w:rsidRDefault="001802B6" w:rsidP="001802B6">
      <w:pPr>
        <w:spacing w:before="240" w:after="240"/>
        <w:rPr>
          <w:rFonts w:eastAsia="Aptos" w:cs="Aptos"/>
          <w:szCs w:val="22"/>
          <w:lang w:eastAsia="ja-JP"/>
        </w:rPr>
      </w:pPr>
      <w:permStart w:id="871322226" w:edGrp="everyone"/>
      <w:r w:rsidRPr="00050A2B">
        <w:rPr>
          <w:rFonts w:eastAsia="Aptos" w:cs="Aptos"/>
          <w:szCs w:val="22"/>
          <w:lang w:eastAsia="ja-JP"/>
        </w:rPr>
        <w:t xml:space="preserve">Cboe has no objections toward ESMA’s proposal for the new threshold #1 for shares. </w:t>
      </w:r>
    </w:p>
    <w:p w14:paraId="5ABC89CE" w14:textId="77777777" w:rsidR="001802B6" w:rsidRPr="00050A2B" w:rsidRDefault="001802B6" w:rsidP="001802B6">
      <w:pPr>
        <w:spacing w:before="240" w:after="240"/>
        <w:rPr>
          <w:rFonts w:eastAsia="Aptos" w:cs="Aptos"/>
          <w:szCs w:val="22"/>
          <w:lang w:eastAsia="ja-JP"/>
        </w:rPr>
      </w:pPr>
      <w:r w:rsidRPr="00050A2B">
        <w:rPr>
          <w:rFonts w:eastAsia="Aptos" w:cs="Aptos"/>
          <w:szCs w:val="22"/>
          <w:lang w:eastAsia="ja-JP"/>
        </w:rPr>
        <w:t>Given the analysis presented in the CP, Cboe considers this adjustment to be well calibrated to ensure that SI are subject to pre-trade transparency obligations for transactions up to an appropriate size that reflects market liquidity. Even though this change does not directly affect its operation, Cboe notes that it may have the potential of providing greater visibility into SI activity, benefiting the wider market and its participants by promoting better-informed trading decisions.</w:t>
      </w:r>
    </w:p>
    <w:p w14:paraId="0A1DB7A7" w14:textId="34B52A72" w:rsidR="00CC59BB" w:rsidRDefault="00CC59BB" w:rsidP="00C54034">
      <w:pPr>
        <w:spacing w:after="0"/>
      </w:pPr>
    </w:p>
    <w:permEnd w:id="871322226"/>
    <w:p w14:paraId="311B3E37" w14:textId="27886322" w:rsidR="00CC59BB" w:rsidRDefault="00CC59BB" w:rsidP="00C54034">
      <w:pPr>
        <w:spacing w:after="0"/>
      </w:pPr>
      <w:r>
        <w:t>&lt;ESMA_QUESTION</w:t>
      </w:r>
      <w:r w:rsidR="005D4F78">
        <w:t>_CP3_</w:t>
      </w:r>
      <w:r>
        <w:t>14&gt;</w:t>
      </w:r>
    </w:p>
    <w:p w14:paraId="7D2E8574" w14:textId="77777777" w:rsidR="00CC59BB" w:rsidRDefault="00CC59BB" w:rsidP="00F716D4"/>
    <w:p w14:paraId="7CC2C104" w14:textId="6593E945" w:rsidR="00CC59BB" w:rsidRDefault="005D4F78" w:rsidP="007C5BD5">
      <w:pPr>
        <w:pStyle w:val="Questionstyle"/>
      </w:pPr>
      <w:r w:rsidRPr="005D4F78">
        <w:t>Do you agree with ESMA’s proposal of the new threshold#2 for shares? Please explain</w:t>
      </w:r>
      <w:r>
        <w:t>.</w:t>
      </w:r>
    </w:p>
    <w:p w14:paraId="5673A113" w14:textId="2D650B84" w:rsidR="00CC59BB" w:rsidRDefault="00CC59BB" w:rsidP="00C54034">
      <w:pPr>
        <w:spacing w:after="0"/>
      </w:pPr>
      <w:r>
        <w:t>&lt;ESMA_QUESTION</w:t>
      </w:r>
      <w:r w:rsidR="005D4F78">
        <w:t>_CP3_</w:t>
      </w:r>
      <w:r>
        <w:t>15&gt;</w:t>
      </w:r>
    </w:p>
    <w:p w14:paraId="597AB957" w14:textId="77777777" w:rsidR="001F3A34" w:rsidRPr="00050A2B" w:rsidRDefault="001F3A34" w:rsidP="001F3A34">
      <w:pPr>
        <w:spacing w:before="240" w:after="240" w:line="279" w:lineRule="auto"/>
        <w:rPr>
          <w:rFonts w:eastAsia="Aptos" w:cs="Aptos"/>
          <w:szCs w:val="22"/>
          <w:lang w:eastAsia="ja-JP"/>
        </w:rPr>
      </w:pPr>
      <w:permStart w:id="1530005966" w:edGrp="everyone"/>
      <w:r w:rsidRPr="00050A2B">
        <w:rPr>
          <w:rFonts w:eastAsia="Aptos" w:cs="Aptos"/>
          <w:szCs w:val="22"/>
          <w:lang w:eastAsia="ja-JP"/>
        </w:rPr>
        <w:t>Cboe has no objections toward ESMA’s proposal for new threshold #2 for shares as it may contribute to greater market integrity by ensuring that quotes reflect realistic market prices and are available for a meaningful volume of shares.</w:t>
      </w:r>
    </w:p>
    <w:p w14:paraId="54251E70" w14:textId="77777777" w:rsidR="001F3A34" w:rsidRPr="00050A2B" w:rsidRDefault="001F3A34" w:rsidP="001F3A34">
      <w:pPr>
        <w:spacing w:before="240" w:after="240" w:line="279" w:lineRule="auto"/>
        <w:rPr>
          <w:rFonts w:eastAsia="Aptos" w:cs="Aptos"/>
          <w:szCs w:val="22"/>
          <w:lang w:eastAsia="ja-JP"/>
        </w:rPr>
      </w:pPr>
      <w:r w:rsidRPr="00050A2B">
        <w:rPr>
          <w:rFonts w:eastAsia="Aptos" w:cs="Aptos"/>
          <w:szCs w:val="22"/>
          <w:lang w:eastAsia="ja-JP"/>
        </w:rPr>
        <w:t>Even though this change does not directly affect its operation, Cboe notes (as per Q14) that it may have the potential of enhancing overall market transparency - this being a goal pursued by the broader objectives set by MiFIR.</w:t>
      </w:r>
    </w:p>
    <w:p w14:paraId="2CF74206" w14:textId="7E8F45EE" w:rsidR="00CC59BB" w:rsidRDefault="00CC59BB" w:rsidP="00C54034">
      <w:pPr>
        <w:spacing w:after="0"/>
      </w:pPr>
    </w:p>
    <w:permEnd w:id="1530005966"/>
    <w:p w14:paraId="24ACBE24" w14:textId="3E9A31DA" w:rsidR="00CC59BB" w:rsidRDefault="00CC59BB" w:rsidP="00C54034">
      <w:pPr>
        <w:spacing w:after="0"/>
      </w:pPr>
      <w:r>
        <w:t>&lt;ESMA_QUESTION</w:t>
      </w:r>
      <w:r w:rsidR="005D4F78">
        <w:t>_CP3_</w:t>
      </w:r>
      <w:r>
        <w:t>15&gt;</w:t>
      </w:r>
    </w:p>
    <w:p w14:paraId="746337AF" w14:textId="77777777" w:rsidR="00FA4100" w:rsidRDefault="00FA4100" w:rsidP="00C54034">
      <w:pPr>
        <w:spacing w:after="0"/>
      </w:pPr>
    </w:p>
    <w:p w14:paraId="3AA40BC9" w14:textId="44C4A3C2" w:rsidR="00CC59BB" w:rsidRDefault="005D4F78" w:rsidP="007C5BD5">
      <w:pPr>
        <w:pStyle w:val="Questionstyle"/>
      </w:pPr>
      <w:r w:rsidRPr="005D4F78">
        <w:t>Do you agree with the new AVT buckets and related SMS? Would you set a lower SMS for the AVT bucket [0-10000) (e.g. 5,000)? Please explain</w:t>
      </w:r>
      <w:r>
        <w:t>.</w:t>
      </w:r>
    </w:p>
    <w:p w14:paraId="426500DA" w14:textId="48597787" w:rsidR="00CC59BB" w:rsidRDefault="00CC59BB" w:rsidP="00C54034">
      <w:pPr>
        <w:spacing w:after="0"/>
      </w:pPr>
      <w:r>
        <w:t>&lt;ESMA_QUESTION</w:t>
      </w:r>
      <w:r w:rsidR="005D4F78">
        <w:t>_CP3_</w:t>
      </w:r>
      <w:r>
        <w:t>16&gt;</w:t>
      </w:r>
    </w:p>
    <w:p w14:paraId="1730514A" w14:textId="77777777" w:rsidR="00AC2448" w:rsidRPr="00050A2B" w:rsidRDefault="00AC2448" w:rsidP="00AC2448">
      <w:pPr>
        <w:spacing w:before="240" w:after="240"/>
        <w:rPr>
          <w:rFonts w:eastAsia="Aptos" w:cs="Aptos"/>
          <w:szCs w:val="22"/>
          <w:lang w:eastAsia="ja-JP"/>
        </w:rPr>
      </w:pPr>
      <w:permStart w:id="1731550419" w:edGrp="everyone"/>
      <w:r w:rsidRPr="00050A2B">
        <w:rPr>
          <w:rFonts w:eastAsia="Aptos" w:cs="Aptos"/>
          <w:szCs w:val="22"/>
          <w:lang w:eastAsia="ja-JP"/>
        </w:rPr>
        <w:t>Cboe broadly agrees with the proposal to introduce new AVT buckets and the related SMS. Cboe recognises the same transparency objectives as described in its answers to Q14 and Q15 above in respect of shares. As such, for the potential increase in the SMS for the AVT bucket [0-10,000), Cboe considers it appropriate to adopt the new AVT buckets set the described in Figure 6 of the CP.</w:t>
      </w:r>
    </w:p>
    <w:p w14:paraId="37DE7513" w14:textId="15632287" w:rsidR="00CC59BB" w:rsidRDefault="00CC59BB" w:rsidP="00C54034">
      <w:pPr>
        <w:spacing w:after="0"/>
      </w:pPr>
    </w:p>
    <w:permEnd w:id="1731550419"/>
    <w:p w14:paraId="6C3E377C" w14:textId="040D99B9" w:rsidR="00CC59BB" w:rsidRDefault="00CC59BB" w:rsidP="00C54034">
      <w:pPr>
        <w:spacing w:after="0"/>
      </w:pPr>
      <w:r>
        <w:t>&lt;ESMA_QUESTION</w:t>
      </w:r>
      <w:r w:rsidR="005D4F78">
        <w:t>_CP3_</w:t>
      </w:r>
      <w:r>
        <w:t>16&gt;</w:t>
      </w:r>
    </w:p>
    <w:p w14:paraId="29E38B3B" w14:textId="77777777" w:rsidR="00CC59BB" w:rsidRDefault="00CC59BB" w:rsidP="00F716D4"/>
    <w:p w14:paraId="5A94C218" w14:textId="77777777" w:rsidR="005D4F78" w:rsidRDefault="005D4F78" w:rsidP="00F716D4"/>
    <w:p w14:paraId="1141B94C" w14:textId="77777777" w:rsidR="005D4F78" w:rsidRDefault="005D4F78" w:rsidP="00F716D4"/>
    <w:p w14:paraId="19612197" w14:textId="03192E1F" w:rsidR="00CC59BB" w:rsidRDefault="005D4F78" w:rsidP="007C5BD5">
      <w:pPr>
        <w:pStyle w:val="Questionstyle"/>
      </w:pPr>
      <w:r w:rsidRPr="005D4F78">
        <w:t>Do you agree with ESMA’s proposal of the new threshold#1 for DRs? Please explain</w:t>
      </w:r>
      <w:r>
        <w:t>.</w:t>
      </w:r>
    </w:p>
    <w:p w14:paraId="3E525873" w14:textId="5B324935" w:rsidR="00CC59BB" w:rsidRDefault="00CC59BB" w:rsidP="00C54034">
      <w:pPr>
        <w:spacing w:after="0"/>
      </w:pPr>
      <w:r>
        <w:t>&lt;ESMA_QUESTION</w:t>
      </w:r>
      <w:r w:rsidR="005D4F78">
        <w:t>_CP3_</w:t>
      </w:r>
      <w:r>
        <w:t>17&gt;</w:t>
      </w:r>
    </w:p>
    <w:p w14:paraId="42744CF0" w14:textId="77777777" w:rsidR="004047CB" w:rsidRPr="00050A2B" w:rsidRDefault="004047CB" w:rsidP="004047CB">
      <w:pPr>
        <w:rPr>
          <w:rFonts w:eastAsia="Aptos" w:cs="Aptos"/>
          <w:szCs w:val="22"/>
          <w:lang w:eastAsia="ja-JP"/>
        </w:rPr>
      </w:pPr>
      <w:permStart w:id="1212295819" w:edGrp="everyone"/>
      <w:r w:rsidRPr="00050A2B">
        <w:rPr>
          <w:rFonts w:eastAsia="Aptos" w:cs="Aptos"/>
          <w:szCs w:val="22"/>
          <w:lang w:eastAsia="ja-JP"/>
        </w:rPr>
        <w:t>Cboe has no objections as to ESMA’s proposal to set Threshold #1 for DRs at two (2) times the SMS, especially considering that this provides consistency with the approach taken for shares and appears to be a well-informed choice based on the market conditions highlighted by ESMA under Table 8 and 9. Cboe believes that by establishing a higher threshold, market participants may benefit from more accurate price formation and a better alignment between liquidity and transparency obligations.</w:t>
      </w:r>
    </w:p>
    <w:p w14:paraId="78180F43" w14:textId="1C7EAB0A" w:rsidR="00CC59BB" w:rsidRDefault="00CC59BB" w:rsidP="00C54034">
      <w:pPr>
        <w:spacing w:after="0"/>
      </w:pPr>
    </w:p>
    <w:permEnd w:id="1212295819"/>
    <w:p w14:paraId="4E0E7539" w14:textId="3A512CAF" w:rsidR="00CC59BB" w:rsidRDefault="00CC59BB" w:rsidP="00C54034">
      <w:pPr>
        <w:spacing w:after="0"/>
      </w:pPr>
      <w:r>
        <w:t>&lt;ESMA_QUESTION</w:t>
      </w:r>
      <w:r w:rsidR="005D4F78">
        <w:t>_CP3_</w:t>
      </w:r>
      <w:r>
        <w:t>17&gt;</w:t>
      </w:r>
    </w:p>
    <w:p w14:paraId="7BFA240B" w14:textId="2354D4FE" w:rsidR="00692ADF" w:rsidRDefault="00692ADF" w:rsidP="00692ADF">
      <w:pPr>
        <w:spacing w:after="0" w:line="240" w:lineRule="auto"/>
        <w:jc w:val="left"/>
      </w:pPr>
    </w:p>
    <w:p w14:paraId="6311D425" w14:textId="2F2FD307" w:rsidR="00CC59BB" w:rsidRDefault="005D4F78" w:rsidP="007C5BD5">
      <w:pPr>
        <w:pStyle w:val="Questionstyle"/>
      </w:pPr>
      <w:r w:rsidRPr="005D4F78">
        <w:t>Do you agree with ESMA’s proposal of the new threshold#2 for DRs? Please explain</w:t>
      </w:r>
      <w:r w:rsidR="00C05202">
        <w:t>.</w:t>
      </w:r>
    </w:p>
    <w:p w14:paraId="3E0480CF" w14:textId="4E0DC190" w:rsidR="00CC59BB" w:rsidRDefault="00CC59BB" w:rsidP="00C54034">
      <w:pPr>
        <w:spacing w:after="0"/>
      </w:pPr>
      <w:r>
        <w:t>&lt;ESMA_QUESTION</w:t>
      </w:r>
      <w:r w:rsidR="005D4F78">
        <w:t>_CP3_</w:t>
      </w:r>
      <w:r>
        <w:t>18&gt;</w:t>
      </w:r>
    </w:p>
    <w:p w14:paraId="31013559" w14:textId="77777777" w:rsidR="00366550" w:rsidRPr="00050A2B" w:rsidRDefault="00366550" w:rsidP="00366550">
      <w:pPr>
        <w:rPr>
          <w:rFonts w:eastAsia="Aptos" w:cs="Aptos"/>
          <w:szCs w:val="22"/>
          <w:lang w:eastAsia="ja-JP"/>
        </w:rPr>
      </w:pPr>
      <w:permStart w:id="1367754514" w:edGrp="everyone"/>
      <w:r w:rsidRPr="00050A2B">
        <w:rPr>
          <w:rFonts w:eastAsia="Aptos" w:cs="Aptos"/>
          <w:szCs w:val="22"/>
          <w:lang w:eastAsia="ja-JP"/>
        </w:rPr>
        <w:t>Cboe agrees with the proposal to set Threshold #2 for DRs at 100% of the SMS as this ensures that SIs continue to provide firm quotes for sizes that are reflective of typical market activity.</w:t>
      </w:r>
    </w:p>
    <w:p w14:paraId="4DCE5838" w14:textId="4E2D0AB9" w:rsidR="00CC59BB" w:rsidRDefault="00CC59BB" w:rsidP="00C54034">
      <w:pPr>
        <w:spacing w:after="0"/>
      </w:pPr>
    </w:p>
    <w:permEnd w:id="1367754514"/>
    <w:p w14:paraId="001B4014" w14:textId="01A26F4F" w:rsidR="00CC59BB" w:rsidRDefault="00CC59BB" w:rsidP="00C54034">
      <w:pPr>
        <w:spacing w:after="0"/>
      </w:pPr>
      <w:r>
        <w:t>&lt;ESMA_QUESTION</w:t>
      </w:r>
      <w:r w:rsidR="005D4F78">
        <w:t>_CP3_</w:t>
      </w:r>
      <w:r>
        <w:t>18&gt;</w:t>
      </w:r>
    </w:p>
    <w:p w14:paraId="7CD11F2A" w14:textId="77777777" w:rsidR="00692ADF" w:rsidRDefault="00692ADF" w:rsidP="00C54034">
      <w:pPr>
        <w:spacing w:after="0"/>
      </w:pPr>
    </w:p>
    <w:p w14:paraId="36926459" w14:textId="3028F189" w:rsidR="00CC59BB" w:rsidRDefault="005D4F78" w:rsidP="007C5BD5">
      <w:pPr>
        <w:pStyle w:val="Questionstyle"/>
      </w:pPr>
      <w:r w:rsidRPr="005D4F78">
        <w:t>Do you agree with the new AVT buckets and related SMS? Please explain</w:t>
      </w:r>
      <w:r>
        <w:t>.</w:t>
      </w:r>
    </w:p>
    <w:p w14:paraId="29206BAC" w14:textId="1F06CCBA" w:rsidR="00CC59BB" w:rsidRDefault="00CC59BB" w:rsidP="00C54034">
      <w:pPr>
        <w:spacing w:after="0"/>
      </w:pPr>
      <w:r>
        <w:t>&lt;ESMA_QUESTION</w:t>
      </w:r>
      <w:r w:rsidR="005D4F78">
        <w:t>_CP3_</w:t>
      </w:r>
      <w:r>
        <w:t>19&gt;</w:t>
      </w:r>
    </w:p>
    <w:p w14:paraId="5BCF67F2" w14:textId="5EAD9867" w:rsidR="00CC59BB" w:rsidRDefault="00952E6A" w:rsidP="00C54034">
      <w:pPr>
        <w:spacing w:after="0"/>
      </w:pPr>
      <w:permStart w:id="1244420503" w:edGrp="everyone"/>
      <w:r w:rsidRPr="00050A2B">
        <w:rPr>
          <w:rFonts w:eastAsia="Aptos" w:cs="Aptos"/>
          <w:szCs w:val="22"/>
          <w:lang w:eastAsia="ja-JP"/>
        </w:rPr>
        <w:t>Please refer to the reply provided under Q16</w:t>
      </w:r>
    </w:p>
    <w:permEnd w:id="1244420503"/>
    <w:p w14:paraId="3ED38D2D" w14:textId="1398D0A5" w:rsidR="00CC59BB" w:rsidRDefault="00CC59BB" w:rsidP="00C54034">
      <w:pPr>
        <w:spacing w:after="0"/>
      </w:pPr>
      <w:r>
        <w:t>&lt;ESMA_QUESTION</w:t>
      </w:r>
      <w:r w:rsidR="005D4F78">
        <w:t>_CP3_</w:t>
      </w:r>
      <w:r>
        <w:t>19&gt;</w:t>
      </w:r>
    </w:p>
    <w:p w14:paraId="54DBBE27" w14:textId="48F30A10" w:rsidR="00CC59BB" w:rsidRDefault="00CC59BB" w:rsidP="00F716D4"/>
    <w:p w14:paraId="0D1AD0F6" w14:textId="20DA4018" w:rsidR="00CC59BB" w:rsidRDefault="005D4F78" w:rsidP="007C5BD5">
      <w:pPr>
        <w:pStyle w:val="Questionstyle"/>
      </w:pPr>
      <w:r w:rsidRPr="005D4F78">
        <w:t>Do you agree with ESMA’s proposal of the new threshold#1 for ETFs? Please explain</w:t>
      </w:r>
      <w:r w:rsidR="00C05202">
        <w:t>.</w:t>
      </w:r>
    </w:p>
    <w:p w14:paraId="58CF2B55" w14:textId="6E42F771" w:rsidR="00CC59BB" w:rsidRDefault="00CC59BB" w:rsidP="00C54034">
      <w:pPr>
        <w:spacing w:after="0"/>
      </w:pPr>
      <w:r>
        <w:t>&lt;ESMA_QUESTION</w:t>
      </w:r>
      <w:r w:rsidR="005D4F78">
        <w:t>_CP3_</w:t>
      </w:r>
      <w:r>
        <w:t>20&gt;</w:t>
      </w:r>
    </w:p>
    <w:p w14:paraId="1EBE3E0A" w14:textId="4351DD61" w:rsidR="00CC59BB" w:rsidRDefault="00952E6A" w:rsidP="00C54034">
      <w:pPr>
        <w:spacing w:after="0"/>
      </w:pPr>
      <w:permStart w:id="356003362" w:edGrp="everyone"/>
      <w:r w:rsidRPr="00050A2B">
        <w:rPr>
          <w:rFonts w:eastAsia="Aptos" w:cs="Aptos"/>
          <w:szCs w:val="22"/>
          <w:lang w:eastAsia="ja-JP"/>
        </w:rPr>
        <w:t>Please refer to the reply provided under Q1</w:t>
      </w:r>
      <w:r w:rsidR="00E43CDF">
        <w:rPr>
          <w:rFonts w:eastAsia="Aptos" w:cs="Aptos"/>
          <w:szCs w:val="22"/>
          <w:lang w:eastAsia="ja-JP"/>
        </w:rPr>
        <w:t>7</w:t>
      </w:r>
    </w:p>
    <w:permEnd w:id="356003362"/>
    <w:p w14:paraId="035EB72A" w14:textId="2EAD9BFC" w:rsidR="00CC59BB" w:rsidRDefault="00CC59BB" w:rsidP="00C54034">
      <w:pPr>
        <w:spacing w:after="0"/>
      </w:pPr>
      <w:r>
        <w:t>&lt;ESMA_QUESTION</w:t>
      </w:r>
      <w:r w:rsidR="005D4F78">
        <w:t>_CP3_</w:t>
      </w:r>
      <w:r>
        <w:t>20&gt;</w:t>
      </w:r>
    </w:p>
    <w:p w14:paraId="63A57C34" w14:textId="48CD184D" w:rsidR="00CC59BB" w:rsidRDefault="00CC59BB" w:rsidP="00F716D4"/>
    <w:p w14:paraId="5E9ACEB3" w14:textId="469B1208" w:rsidR="00CC59BB" w:rsidRDefault="005D4F78" w:rsidP="007C5BD5">
      <w:pPr>
        <w:pStyle w:val="Questionstyle"/>
      </w:pPr>
      <w:r w:rsidRPr="005D4F78">
        <w:t>Do you agree with ESMA’s proposal of the new threshold#2 for ETFs? Please explain</w:t>
      </w:r>
      <w:r w:rsidR="00C05202">
        <w:t>.</w:t>
      </w:r>
    </w:p>
    <w:p w14:paraId="73F893DF" w14:textId="74C717F0" w:rsidR="00CC59BB" w:rsidRDefault="00CC59BB" w:rsidP="00C54034">
      <w:pPr>
        <w:spacing w:after="0"/>
      </w:pPr>
      <w:r>
        <w:t>&lt;ESMA_QUESTION</w:t>
      </w:r>
      <w:r w:rsidR="005D4F78">
        <w:t>_CP3_</w:t>
      </w:r>
      <w:r>
        <w:t>21&gt;</w:t>
      </w:r>
    </w:p>
    <w:p w14:paraId="224DD2F7" w14:textId="7B0ACA16" w:rsidR="00CC59BB" w:rsidRDefault="00E43CDF" w:rsidP="00C54034">
      <w:pPr>
        <w:spacing w:after="0"/>
      </w:pPr>
      <w:permStart w:id="780153713" w:edGrp="everyone"/>
      <w:r w:rsidRPr="00050A2B">
        <w:rPr>
          <w:rFonts w:eastAsia="Aptos" w:cs="Aptos"/>
          <w:szCs w:val="22"/>
          <w:lang w:eastAsia="ja-JP"/>
        </w:rPr>
        <w:t>Please refer to the reply provided under Q1</w:t>
      </w:r>
      <w:r>
        <w:rPr>
          <w:rFonts w:eastAsia="Aptos" w:cs="Aptos"/>
          <w:szCs w:val="22"/>
          <w:lang w:eastAsia="ja-JP"/>
        </w:rPr>
        <w:t>8</w:t>
      </w:r>
    </w:p>
    <w:permEnd w:id="780153713"/>
    <w:p w14:paraId="1EA31870" w14:textId="150401B4" w:rsidR="00CC59BB" w:rsidRDefault="00CC59BB" w:rsidP="00C54034">
      <w:pPr>
        <w:spacing w:after="0"/>
      </w:pPr>
      <w:r>
        <w:t>&lt;ESMA_QUESTION</w:t>
      </w:r>
      <w:r w:rsidR="005D4F78">
        <w:t>_CP3_</w:t>
      </w:r>
      <w:r>
        <w:t>21&gt;</w:t>
      </w:r>
    </w:p>
    <w:p w14:paraId="2E6F99E7" w14:textId="0A700019" w:rsidR="00C05202" w:rsidRDefault="00C05202" w:rsidP="00F716D4"/>
    <w:p w14:paraId="3483DA98" w14:textId="7AEEC0B8" w:rsidR="00CC59BB" w:rsidRDefault="005D4F78" w:rsidP="007C5BD5">
      <w:pPr>
        <w:pStyle w:val="Questionstyle"/>
      </w:pPr>
      <w:r w:rsidRPr="005D4F78">
        <w:t>Do you agree with the proposed amendments to Article 11 of RTS 1? Please explain</w:t>
      </w:r>
      <w:r>
        <w:t>.</w:t>
      </w:r>
    </w:p>
    <w:p w14:paraId="4165C891" w14:textId="10437859" w:rsidR="00CC59BB" w:rsidRDefault="00CC59BB" w:rsidP="00C54034">
      <w:pPr>
        <w:spacing w:after="0"/>
      </w:pPr>
      <w:r>
        <w:t>&lt;ESMA_QUESTION</w:t>
      </w:r>
      <w:r w:rsidR="005D4F78">
        <w:t>_CP3_</w:t>
      </w:r>
      <w:r>
        <w:t>22&gt;</w:t>
      </w:r>
    </w:p>
    <w:p w14:paraId="7DD75B7C" w14:textId="77777777" w:rsidR="00121209" w:rsidRPr="00050A2B" w:rsidRDefault="00121209" w:rsidP="00121209">
      <w:pPr>
        <w:rPr>
          <w:rFonts w:eastAsia="Aptos" w:cs="Aptos"/>
          <w:b/>
          <w:szCs w:val="22"/>
          <w:highlight w:val="yellow"/>
          <w:lang w:eastAsia="ja-JP"/>
        </w:rPr>
      </w:pPr>
      <w:permStart w:id="1310265670" w:edGrp="everyone"/>
      <w:r w:rsidRPr="00050A2B">
        <w:rPr>
          <w:rFonts w:eastAsia="Aptos" w:cs="Aptos"/>
          <w:szCs w:val="22"/>
          <w:lang w:eastAsia="ja-JP"/>
        </w:rPr>
        <w:t xml:space="preserve">Cboe supports both the amendments to Article 11 and the introduction of Article 11a and Article 11b, as they contribute to the ongoing efforts to enhance market transparency - although it should be noted that these changes do not directly affect Cboe’s operations. </w:t>
      </w:r>
    </w:p>
    <w:p w14:paraId="78CC4A39" w14:textId="48805205" w:rsidR="00CC59BB" w:rsidRDefault="00CC59BB" w:rsidP="00C54034">
      <w:pPr>
        <w:spacing w:after="0"/>
      </w:pPr>
    </w:p>
    <w:permEnd w:id="1310265670"/>
    <w:p w14:paraId="50486DF5" w14:textId="70821199" w:rsidR="00CC59BB" w:rsidRDefault="00CC59BB" w:rsidP="00C54034">
      <w:pPr>
        <w:spacing w:after="0"/>
      </w:pPr>
      <w:r>
        <w:t>&lt;ESMA_QUESTION</w:t>
      </w:r>
      <w:r w:rsidR="005D4F78">
        <w:t>_CP3_</w:t>
      </w:r>
      <w:r>
        <w:t>22&gt;</w:t>
      </w:r>
    </w:p>
    <w:p w14:paraId="2DCDBF28" w14:textId="386CD270" w:rsidR="00CC59BB" w:rsidRDefault="005D4F78" w:rsidP="007C5BD5">
      <w:pPr>
        <w:pStyle w:val="Questionstyle"/>
      </w:pPr>
      <w:r w:rsidRPr="005D4F78">
        <w:t>Do you agree with the proposed new Article 11a of RTS 1? Please explain</w:t>
      </w:r>
      <w:r>
        <w:t>.</w:t>
      </w:r>
    </w:p>
    <w:p w14:paraId="492B30E1" w14:textId="55522286" w:rsidR="00CC59BB" w:rsidRDefault="00CC59BB" w:rsidP="00C54034">
      <w:pPr>
        <w:spacing w:after="0"/>
      </w:pPr>
      <w:r>
        <w:t>&lt;ESMA_QUESTION</w:t>
      </w:r>
      <w:r w:rsidR="005D4F78">
        <w:t>_CP3_</w:t>
      </w:r>
      <w:r>
        <w:t>23&gt;</w:t>
      </w:r>
    </w:p>
    <w:p w14:paraId="69065EA3" w14:textId="77777777" w:rsidR="002D50B9" w:rsidRPr="00050A2B" w:rsidRDefault="002D50B9" w:rsidP="002D50B9">
      <w:pPr>
        <w:spacing w:before="240" w:after="240"/>
        <w:rPr>
          <w:rFonts w:eastAsia="Aptos" w:cs="Aptos"/>
          <w:szCs w:val="22"/>
          <w:lang w:eastAsia="ja-JP"/>
        </w:rPr>
      </w:pPr>
      <w:permStart w:id="1711693936" w:edGrp="everyone"/>
      <w:r w:rsidRPr="00050A2B">
        <w:rPr>
          <w:rFonts w:eastAsia="Aptos" w:cs="Aptos"/>
          <w:szCs w:val="22"/>
          <w:lang w:eastAsia="ja-JP"/>
        </w:rPr>
        <w:t>Similarly, Cboe has no objection with the introduction of Article 11a as it considers the proposal to apply pre-trade transparency obligations for SIs when dealing in sizes up to twice the SMS to ensure that more data is made available to the market and quotes are consistently provided.</w:t>
      </w:r>
    </w:p>
    <w:p w14:paraId="18FF0F4B" w14:textId="30EC019B" w:rsidR="00CC59BB" w:rsidRDefault="00CC59BB" w:rsidP="00C54034">
      <w:pPr>
        <w:spacing w:after="0"/>
      </w:pPr>
    </w:p>
    <w:permEnd w:id="1711693936"/>
    <w:p w14:paraId="0BFA64C6" w14:textId="5BDBDBA1" w:rsidR="00CC59BB" w:rsidRDefault="00CC59BB" w:rsidP="00C54034">
      <w:pPr>
        <w:spacing w:after="0"/>
      </w:pPr>
      <w:r>
        <w:t>&lt;ESMA_QUESTION</w:t>
      </w:r>
      <w:r w:rsidR="005D4F78">
        <w:t>_CP3_</w:t>
      </w:r>
      <w:r>
        <w:t>23&gt;</w:t>
      </w:r>
    </w:p>
    <w:p w14:paraId="1FF8C012" w14:textId="19050DD2" w:rsidR="00CC59BB" w:rsidRDefault="00CC59BB" w:rsidP="00F716D4"/>
    <w:p w14:paraId="24ED3899" w14:textId="35DD18A1" w:rsidR="00CC59BB" w:rsidRDefault="005D4F78" w:rsidP="007C5BD5">
      <w:pPr>
        <w:pStyle w:val="Questionstyle"/>
      </w:pPr>
      <w:r w:rsidRPr="005D4F78">
        <w:t>Do you agree with the proposed new Article 11b of RTS 1? Please explain</w:t>
      </w:r>
      <w:r w:rsidR="00C05202">
        <w:t>.</w:t>
      </w:r>
    </w:p>
    <w:p w14:paraId="3BA1190E" w14:textId="4AC403BF" w:rsidR="00CC59BB" w:rsidRDefault="00CC59BB" w:rsidP="00C54034">
      <w:pPr>
        <w:spacing w:after="0"/>
      </w:pPr>
      <w:r>
        <w:t>&lt;ESMA_QUESTION</w:t>
      </w:r>
      <w:r w:rsidR="005D4F78">
        <w:t>_CP3_</w:t>
      </w:r>
      <w:r>
        <w:t>24&gt;</w:t>
      </w:r>
    </w:p>
    <w:p w14:paraId="24B2A96C" w14:textId="77777777" w:rsidR="00AE0542" w:rsidRPr="00050A2B" w:rsidRDefault="00AE0542" w:rsidP="00AE0542">
      <w:pPr>
        <w:rPr>
          <w:rFonts w:eastAsia="Aptos" w:cs="Aptos"/>
          <w:szCs w:val="22"/>
          <w:lang w:eastAsia="ja-JP"/>
        </w:rPr>
      </w:pPr>
      <w:permStart w:id="1126446852" w:edGrp="everyone"/>
      <w:r w:rsidRPr="00050A2B">
        <w:rPr>
          <w:rFonts w:eastAsia="Aptos" w:cs="Aptos"/>
          <w:szCs w:val="22"/>
          <w:lang w:eastAsia="ja-JP"/>
        </w:rPr>
        <w:t>Please refer to the reply provided under Q23.</w:t>
      </w:r>
    </w:p>
    <w:p w14:paraId="2E4AEEE6" w14:textId="1B83A737" w:rsidR="00CC59BB" w:rsidRDefault="00CC59BB" w:rsidP="00C54034">
      <w:pPr>
        <w:spacing w:after="0"/>
      </w:pPr>
    </w:p>
    <w:permEnd w:id="1126446852"/>
    <w:p w14:paraId="0BBBCBF8" w14:textId="4911690B" w:rsidR="00CC59BB" w:rsidRDefault="00CC59BB" w:rsidP="00C54034">
      <w:pPr>
        <w:spacing w:after="0"/>
      </w:pPr>
      <w:r>
        <w:t>&lt;ESMA_QUESTION</w:t>
      </w:r>
      <w:r w:rsidR="005D4F78">
        <w:t>_CP3_</w:t>
      </w:r>
      <w:r>
        <w:t>24&gt;</w:t>
      </w:r>
    </w:p>
    <w:p w14:paraId="3E8C977A" w14:textId="4421F2F7" w:rsidR="00CC59BB" w:rsidRDefault="00CC59BB" w:rsidP="00F716D4"/>
    <w:p w14:paraId="329BE782" w14:textId="764EF967" w:rsidR="00CC59BB" w:rsidRDefault="005D4F78" w:rsidP="007C5BD5">
      <w:pPr>
        <w:pStyle w:val="Questionstyle"/>
      </w:pPr>
      <w:r w:rsidRPr="005D4F78">
        <w:t>Do you agree with the proposed amendments to Article 12 of RTS 1? Please explain</w:t>
      </w:r>
      <w:r w:rsidR="00FA4100">
        <w:t>.</w:t>
      </w:r>
    </w:p>
    <w:p w14:paraId="220D24F2" w14:textId="2616DBF1" w:rsidR="00CC59BB" w:rsidRDefault="00CC59BB" w:rsidP="00C54034">
      <w:pPr>
        <w:spacing w:after="0"/>
      </w:pPr>
      <w:r>
        <w:t>&lt;ESMA_QUESTION</w:t>
      </w:r>
      <w:r w:rsidR="005D4F78">
        <w:t>_CP3_</w:t>
      </w:r>
      <w:r>
        <w:t>25&gt;</w:t>
      </w:r>
    </w:p>
    <w:p w14:paraId="3C4398EA" w14:textId="77777777" w:rsidR="00B8293F" w:rsidRPr="00050A2B" w:rsidRDefault="00B8293F" w:rsidP="00B8293F">
      <w:pPr>
        <w:spacing w:before="281" w:after="281"/>
        <w:rPr>
          <w:rFonts w:eastAsia="Aptos" w:cs="Aptos"/>
          <w:szCs w:val="22"/>
          <w:lang w:eastAsia="ja-JP"/>
        </w:rPr>
      </w:pPr>
      <w:permStart w:id="1428125549" w:edGrp="everyone"/>
      <w:r w:rsidRPr="00050A2B">
        <w:rPr>
          <w:rFonts w:eastAsia="Aptos" w:cs="Aptos"/>
          <w:szCs w:val="22"/>
          <w:lang w:eastAsia="ja-JP"/>
        </w:rPr>
        <w:t xml:space="preserve">Cboe supports the proposed amendments to Article 12 and Article 12a of RTS 1 as it believes they will improve the transparency and efficiency of post-trade reporting. However, as to Article 12a, Cboe notes that the supervisory/regulatory interests are not aligned with the practical necessities and interests of the industry – as such Cboe notes that other optional flags should be allowed – even if at this stage there is no desire or opportunity to coordinate them. </w:t>
      </w:r>
    </w:p>
    <w:p w14:paraId="084E2C12" w14:textId="77777777" w:rsidR="00B8293F" w:rsidRPr="00050A2B" w:rsidRDefault="00B8293F" w:rsidP="00B8293F">
      <w:pPr>
        <w:spacing w:before="281" w:after="281"/>
        <w:rPr>
          <w:rFonts w:eastAsia="Aptos" w:cs="Aptos"/>
          <w:szCs w:val="22"/>
          <w:lang w:eastAsia="ja-JP"/>
        </w:rPr>
      </w:pPr>
      <w:r w:rsidRPr="00050A2B">
        <w:rPr>
          <w:rFonts w:eastAsia="Aptos" w:cs="Aptos"/>
          <w:szCs w:val="22"/>
          <w:lang w:eastAsia="ja-JP"/>
        </w:rPr>
        <w:t>Cboe also appreciates the adjustments necessary to reflect changes in Article 20 MiFIR and the introduction of Designated Publishing Entities (</w:t>
      </w:r>
      <w:r w:rsidRPr="00050A2B">
        <w:rPr>
          <w:rFonts w:eastAsia="Aptos" w:cs="Aptos"/>
          <w:b/>
          <w:szCs w:val="22"/>
          <w:lang w:eastAsia="ja-JP"/>
        </w:rPr>
        <w:t>DPEs</w:t>
      </w:r>
      <w:r w:rsidRPr="00050A2B">
        <w:rPr>
          <w:rFonts w:eastAsia="Aptos" w:cs="Aptos"/>
          <w:szCs w:val="22"/>
          <w:lang w:eastAsia="ja-JP"/>
        </w:rPr>
        <w:t>) under Article 21a, which streamline the post-trade transparency framework and enhance the clarity of reporting responsibilities for trading venues like Cboe.</w:t>
      </w:r>
    </w:p>
    <w:p w14:paraId="39FD579A" w14:textId="77777777" w:rsidR="00B8293F" w:rsidRPr="00050A2B" w:rsidRDefault="00B8293F" w:rsidP="00B8293F">
      <w:pPr>
        <w:spacing w:before="240" w:after="240"/>
        <w:rPr>
          <w:rFonts w:eastAsia="Aptos" w:cs="Aptos"/>
          <w:szCs w:val="22"/>
          <w:lang w:eastAsia="ja-JP"/>
        </w:rPr>
      </w:pPr>
      <w:r w:rsidRPr="00050A2B">
        <w:rPr>
          <w:rFonts w:eastAsia="Aptos" w:cs="Aptos"/>
          <w:szCs w:val="22"/>
          <w:lang w:eastAsia="ja-JP"/>
        </w:rPr>
        <w:t>Another appreciated amendment noted by Cboe concerns the requirement for standardising the use of field names and order for the post-trade data file (per Table 3 of Annex I), which is now included within the proposed Level 2 requirements. This additional wording provides legal certainty as it fills the previously lacking provisions.</w:t>
      </w:r>
    </w:p>
    <w:p w14:paraId="4716771A" w14:textId="77777777" w:rsidR="00B8293F" w:rsidRPr="00050A2B" w:rsidRDefault="00B8293F" w:rsidP="00B8293F">
      <w:pPr>
        <w:spacing w:before="240" w:after="240"/>
        <w:rPr>
          <w:rFonts w:eastAsia="Aptos" w:cs="Aptos"/>
          <w:szCs w:val="22"/>
          <w:lang w:eastAsia="ja-JP"/>
        </w:rPr>
      </w:pPr>
      <w:r w:rsidRPr="00050A2B">
        <w:rPr>
          <w:rFonts w:eastAsia="Aptos" w:cs="Aptos"/>
          <w:szCs w:val="22"/>
          <w:lang w:eastAsia="ja-JP"/>
        </w:rPr>
        <w:t xml:space="preserve">However, ESMA is strongly invited to consider that the required changes to ensure compliance with the new field names and other changes will necessitate technical work. This will likely involve substantial updates to existing trade and reporting systems to meet ESMA’s expectations, as outlined in the CP. It should be noted that some of the changes require new or adapted input at order-entry level and this will impact the core </w:t>
      </w:r>
      <w:r>
        <w:rPr>
          <w:rFonts w:eastAsia="Aptos" w:cs="Aptos"/>
          <w:szCs w:val="22"/>
          <w:lang w:eastAsia="ja-JP"/>
        </w:rPr>
        <w:t>infrastructure</w:t>
      </w:r>
      <w:r w:rsidRPr="00050A2B">
        <w:rPr>
          <w:rFonts w:eastAsia="Aptos" w:cs="Aptos"/>
          <w:szCs w:val="22"/>
          <w:lang w:eastAsia="ja-JP"/>
        </w:rPr>
        <w:t xml:space="preserve"> (order handlers and matching engine). Also, it will impact downstream reporting systems, including order record keeping, regulatory feeds and market data feeds. Cboe notes that extended timelines are necessary to provide room for trading venues, APAs, and their participants and users to implement these changes (especially when considered along the other many amendments related to the Mifid/Mifir review that the industry is called to implement):</w:t>
      </w:r>
    </w:p>
    <w:p w14:paraId="43E3F736" w14:textId="77777777" w:rsidR="00B8293F" w:rsidRPr="00050A2B" w:rsidRDefault="00B8293F" w:rsidP="00B8293F">
      <w:pPr>
        <w:spacing w:before="240" w:after="240"/>
        <w:rPr>
          <w:rFonts w:eastAsia="Aptos" w:cs="Aptos"/>
          <w:szCs w:val="22"/>
          <w:lang w:eastAsia="ja-JP"/>
        </w:rPr>
      </w:pPr>
      <w:r w:rsidRPr="00050A2B">
        <w:rPr>
          <w:rFonts w:eastAsia="Aptos" w:cs="Aptos"/>
          <w:szCs w:val="22"/>
          <w:lang w:eastAsia="ja-JP"/>
        </w:rPr>
        <w:t>Given the technical complexity involved, Cboe stresses the importance of providing adequate understanding (in the form of reasonable timeframes) to ensure that the transition is as smooth as possible for all market participants.</w:t>
      </w:r>
    </w:p>
    <w:p w14:paraId="6D4F0CA9" w14:textId="030D9CC3" w:rsidR="00CC59BB" w:rsidRDefault="00CC59BB" w:rsidP="00C54034">
      <w:pPr>
        <w:spacing w:after="0"/>
      </w:pPr>
    </w:p>
    <w:permEnd w:id="1428125549"/>
    <w:p w14:paraId="0CA5AACE" w14:textId="6BBDACAE" w:rsidR="00CC59BB" w:rsidRDefault="00CC59BB" w:rsidP="00C54034">
      <w:pPr>
        <w:spacing w:after="0"/>
      </w:pPr>
      <w:r>
        <w:t>&lt;ESMA_QUESTION</w:t>
      </w:r>
      <w:r w:rsidR="005D4F78">
        <w:t>_CP3_</w:t>
      </w:r>
      <w:r>
        <w:t>25&gt;</w:t>
      </w:r>
    </w:p>
    <w:p w14:paraId="16356BB2" w14:textId="77777777" w:rsidR="00692ADF" w:rsidRDefault="00692ADF" w:rsidP="00C54034">
      <w:pPr>
        <w:spacing w:after="0"/>
      </w:pPr>
    </w:p>
    <w:p w14:paraId="051EC7E0" w14:textId="190EA725" w:rsidR="00CC59BB" w:rsidRDefault="005D4F78" w:rsidP="007C5BD5">
      <w:pPr>
        <w:pStyle w:val="Questionstyle"/>
      </w:pPr>
      <w:r w:rsidRPr="005D4F78">
        <w:t>Do you agree with the proposed amendments to Table 3 of Annex I of RTS 1? Please explain</w:t>
      </w:r>
      <w:r w:rsidR="00C05202">
        <w:t>.</w:t>
      </w:r>
    </w:p>
    <w:p w14:paraId="08E68E81" w14:textId="38259166" w:rsidR="00CC59BB" w:rsidRDefault="00CC59BB" w:rsidP="00C54034">
      <w:pPr>
        <w:spacing w:after="0"/>
      </w:pPr>
      <w:r>
        <w:t>&lt;ESMA_QUESTION</w:t>
      </w:r>
      <w:r w:rsidR="005D4F78">
        <w:t>_CP3_</w:t>
      </w:r>
      <w:r>
        <w:t>26&gt;</w:t>
      </w:r>
    </w:p>
    <w:p w14:paraId="4007123E" w14:textId="77777777" w:rsidR="002D21FE" w:rsidRPr="00050A2B" w:rsidRDefault="002D21FE" w:rsidP="002D21FE">
      <w:pPr>
        <w:spacing w:before="240" w:after="240"/>
        <w:rPr>
          <w:rFonts w:eastAsia="Aptos" w:cs="Aptos"/>
          <w:szCs w:val="22"/>
          <w:lang w:eastAsia="ja-JP"/>
        </w:rPr>
      </w:pPr>
      <w:permStart w:id="1672500431" w:edGrp="everyone"/>
      <w:r w:rsidRPr="00050A2B">
        <w:rPr>
          <w:rFonts w:eastAsia="Aptos" w:cs="Aptos"/>
          <w:szCs w:val="22"/>
          <w:lang w:eastAsia="ja-JP"/>
        </w:rPr>
        <w:t>In principle, Cboe agree with ESMA's approach through the amendments to Table 3 of Annex I of RTS 1. However, Cboe encourage ESMA to foster better alignment with Market Model Typology (MMT) standards, as leading market best practices. In this context, Cboe notes that both ESMA and MMT support the common interest of increasing market transparency and to foster more efficient markets. As it is known, MMT standards help market participants seamlessly integrate relevant regulatory requirements into market participants’ post-trade reporting systems.</w:t>
      </w:r>
    </w:p>
    <w:p w14:paraId="6A539F3A" w14:textId="77777777" w:rsidR="002D21FE" w:rsidRPr="00050A2B" w:rsidRDefault="002D21FE" w:rsidP="002D21FE">
      <w:pPr>
        <w:spacing w:before="240" w:after="240"/>
        <w:rPr>
          <w:rFonts w:eastAsia="Aptos" w:cs="Aptos"/>
          <w:szCs w:val="22"/>
          <w:lang w:eastAsia="ja-JP"/>
        </w:rPr>
      </w:pPr>
      <w:r w:rsidRPr="00050A2B">
        <w:rPr>
          <w:rFonts w:eastAsia="Aptos" w:cs="Aptos"/>
          <w:szCs w:val="22"/>
          <w:lang w:eastAsia="ja-JP"/>
        </w:rPr>
        <w:t>From this perspective, Cboe would like to raise the following points:</w:t>
      </w:r>
    </w:p>
    <w:p w14:paraId="25105195" w14:textId="77777777" w:rsidR="002D21FE" w:rsidRPr="00050A2B" w:rsidRDefault="002D21FE" w:rsidP="002D21FE">
      <w:pPr>
        <w:spacing w:before="240" w:after="240"/>
        <w:rPr>
          <w:rFonts w:eastAsia="Aptos" w:cs="Aptos"/>
          <w:szCs w:val="22"/>
          <w:lang w:eastAsia="ja-JP"/>
        </w:rPr>
      </w:pPr>
      <w:r w:rsidRPr="00050A2B">
        <w:rPr>
          <w:rFonts w:eastAsia="Aptos" w:cs="Aptos"/>
          <w:szCs w:val="22"/>
          <w:lang w:eastAsia="ja-JP"/>
        </w:rPr>
        <w:t xml:space="preserve"> - The introduction of Field 10 and other new data points raises concerns about potential inconsistencies with established MMT market standards, such as the lack of ‘dark book’ in field 10 and the practical implementation of new flagging system. These have not been included in the current proposal, whereas Cboe would like to encourage more consistency with Market Model Typology to avoid inefficient practices.  Clients expect trading venues and APAs to provide more granular information. This leads to the creation of separate data feeds: one Mifid-compliant feed</w:t>
      </w:r>
      <w:r>
        <w:rPr>
          <w:rFonts w:eastAsia="Aptos" w:cs="Aptos"/>
          <w:szCs w:val="22"/>
          <w:lang w:eastAsia="ja-JP"/>
        </w:rPr>
        <w:t>, which meets the regulatory</w:t>
      </w:r>
      <w:r w:rsidRPr="00050A2B">
        <w:rPr>
          <w:rFonts w:eastAsia="Aptos" w:cs="Aptos"/>
          <w:szCs w:val="22"/>
          <w:lang w:eastAsia="ja-JP"/>
        </w:rPr>
        <w:t xml:space="preserve"> </w:t>
      </w:r>
      <w:r>
        <w:rPr>
          <w:rFonts w:eastAsia="Aptos" w:cs="Aptos"/>
          <w:szCs w:val="22"/>
          <w:lang w:eastAsia="ja-JP"/>
        </w:rPr>
        <w:t xml:space="preserve">requirements but </w:t>
      </w:r>
      <w:r w:rsidRPr="00050A2B">
        <w:rPr>
          <w:rFonts w:eastAsia="Aptos" w:cs="Aptos"/>
          <w:szCs w:val="22"/>
          <w:lang w:eastAsia="ja-JP"/>
        </w:rPr>
        <w:t xml:space="preserve">for which there is little customer </w:t>
      </w:r>
      <w:r>
        <w:rPr>
          <w:rFonts w:eastAsia="Aptos" w:cs="Aptos"/>
          <w:szCs w:val="22"/>
          <w:lang w:eastAsia="ja-JP"/>
        </w:rPr>
        <w:t xml:space="preserve">interest </w:t>
      </w:r>
      <w:r w:rsidRPr="00050A2B">
        <w:rPr>
          <w:rFonts w:eastAsia="Aptos" w:cs="Aptos"/>
          <w:szCs w:val="22"/>
          <w:lang w:eastAsia="ja-JP"/>
        </w:rPr>
        <w:t xml:space="preserve">and </w:t>
      </w:r>
      <w:r>
        <w:rPr>
          <w:rFonts w:eastAsia="Aptos" w:cs="Aptos"/>
          <w:szCs w:val="22"/>
          <w:lang w:eastAsia="ja-JP"/>
        </w:rPr>
        <w:t>another</w:t>
      </w:r>
      <w:r w:rsidRPr="00050A2B">
        <w:rPr>
          <w:rFonts w:eastAsia="Aptos" w:cs="Aptos"/>
          <w:szCs w:val="22"/>
          <w:lang w:eastAsia="ja-JP"/>
        </w:rPr>
        <w:t xml:space="preserve"> one</w:t>
      </w:r>
      <w:r>
        <w:rPr>
          <w:rFonts w:eastAsia="Aptos" w:cs="Aptos"/>
          <w:szCs w:val="22"/>
          <w:lang w:eastAsia="ja-JP"/>
        </w:rPr>
        <w:t>, adjacent with</w:t>
      </w:r>
      <w:r w:rsidRPr="00050A2B">
        <w:rPr>
          <w:rFonts w:eastAsia="Aptos" w:cs="Aptos"/>
          <w:szCs w:val="22"/>
          <w:lang w:eastAsia="ja-JP"/>
        </w:rPr>
        <w:t xml:space="preserve"> MMT</w:t>
      </w:r>
      <w:r>
        <w:rPr>
          <w:rFonts w:eastAsia="Aptos" w:cs="Aptos"/>
          <w:szCs w:val="22"/>
          <w:lang w:eastAsia="ja-JP"/>
        </w:rPr>
        <w:t xml:space="preserve"> standards,</w:t>
      </w:r>
      <w:r w:rsidRPr="00050A2B">
        <w:rPr>
          <w:rFonts w:eastAsia="Aptos" w:cs="Aptos"/>
          <w:szCs w:val="22"/>
          <w:lang w:eastAsia="ja-JP"/>
        </w:rPr>
        <w:t xml:space="preserve"> which there is much customer demand</w:t>
      </w:r>
      <w:r>
        <w:rPr>
          <w:rFonts w:eastAsia="Aptos" w:cs="Aptos"/>
          <w:szCs w:val="22"/>
          <w:lang w:eastAsia="ja-JP"/>
        </w:rPr>
        <w:t xml:space="preserve"> for</w:t>
      </w:r>
      <w:r w:rsidRPr="00050A2B">
        <w:rPr>
          <w:rFonts w:eastAsia="Aptos" w:cs="Aptos"/>
          <w:szCs w:val="22"/>
          <w:lang w:eastAsia="ja-JP"/>
        </w:rPr>
        <w:t xml:space="preserve">. </w:t>
      </w:r>
    </w:p>
    <w:p w14:paraId="7E168EFA" w14:textId="77777777" w:rsidR="002D21FE" w:rsidRPr="00050A2B" w:rsidRDefault="002D21FE" w:rsidP="002D21FE">
      <w:pPr>
        <w:spacing w:before="240" w:after="240"/>
        <w:rPr>
          <w:rFonts w:eastAsia="Aptos" w:cs="Aptos"/>
          <w:szCs w:val="22"/>
          <w:lang w:eastAsia="ja-JP"/>
        </w:rPr>
      </w:pPr>
      <w:r w:rsidRPr="00050A2B">
        <w:rPr>
          <w:rFonts w:eastAsia="Aptos" w:cs="Aptos"/>
          <w:szCs w:val="22"/>
          <w:lang w:eastAsia="ja-JP"/>
        </w:rPr>
        <w:t xml:space="preserve"> - Regarding the proposal to report flags separated by commas when multiple flags apply to a transaction (Field 14), Cboe suggests that more clarity is provided to the industry on how this will work in practice.</w:t>
      </w:r>
    </w:p>
    <w:p w14:paraId="42780275" w14:textId="77777777" w:rsidR="002D21FE" w:rsidRPr="00050A2B" w:rsidRDefault="002D21FE" w:rsidP="002D21FE">
      <w:pPr>
        <w:spacing w:before="240" w:after="240"/>
        <w:rPr>
          <w:rFonts w:eastAsia="Aptos" w:cs="Aptos"/>
          <w:szCs w:val="22"/>
          <w:lang w:eastAsia="ja-JP"/>
        </w:rPr>
      </w:pPr>
      <w:r w:rsidRPr="00050A2B">
        <w:rPr>
          <w:rFonts w:eastAsia="Aptos" w:cs="Aptos"/>
          <w:szCs w:val="22"/>
          <w:lang w:eastAsia="ja-JP"/>
        </w:rPr>
        <w:t xml:space="preserve"> - Additionally, guidance should be provided on how to interpret and prioritize multiple flags in scenarios where a combination of flags may create ambiguity.</w:t>
      </w:r>
    </w:p>
    <w:p w14:paraId="1103233D" w14:textId="77777777" w:rsidR="002D21FE" w:rsidRPr="00050A2B" w:rsidRDefault="002D21FE" w:rsidP="002D21FE">
      <w:pPr>
        <w:spacing w:before="240" w:after="240"/>
        <w:rPr>
          <w:rFonts w:eastAsia="Aptos" w:cs="Aptos"/>
          <w:szCs w:val="22"/>
          <w:lang w:eastAsia="ja-JP"/>
        </w:rPr>
      </w:pPr>
      <w:r w:rsidRPr="00050A2B">
        <w:rPr>
          <w:rFonts w:eastAsia="Aptos" w:cs="Aptos"/>
          <w:szCs w:val="22"/>
          <w:lang w:eastAsia="ja-JP"/>
        </w:rPr>
        <w:t>As to the introduction of the new paragraph 1a in Article 20 MiFIR, which aligns the post-trade transparency framework for equity and non-equity instruments, Cboe notes that it provides a clearer and more streamlined process. Likewise, Cboe considers the proposal to standardise the use of field names to also be a positive step toward improving data aggregation and usage across the market.</w:t>
      </w:r>
    </w:p>
    <w:p w14:paraId="0FF5B233" w14:textId="17735EC3" w:rsidR="00CC59BB" w:rsidRDefault="00CC59BB" w:rsidP="00C54034">
      <w:pPr>
        <w:spacing w:after="0"/>
      </w:pPr>
    </w:p>
    <w:permEnd w:id="1672500431"/>
    <w:p w14:paraId="5FC1FF01" w14:textId="1EFA18A7" w:rsidR="00CC59BB" w:rsidRDefault="00CC59BB" w:rsidP="00C54034">
      <w:pPr>
        <w:spacing w:after="0"/>
      </w:pPr>
      <w:r>
        <w:t>&lt;ESMA_QUESTION</w:t>
      </w:r>
      <w:r w:rsidR="005D4F78">
        <w:t>_CP3_</w:t>
      </w:r>
      <w:r>
        <w:t>26&gt;</w:t>
      </w:r>
    </w:p>
    <w:p w14:paraId="67599B58" w14:textId="73A98038" w:rsidR="00157BC9" w:rsidRDefault="00157BC9" w:rsidP="00C54034">
      <w:pPr>
        <w:spacing w:after="0"/>
      </w:pPr>
    </w:p>
    <w:p w14:paraId="1D34A573" w14:textId="06ADA2A7" w:rsidR="00FA4100" w:rsidRDefault="005D4F78" w:rsidP="007C5BD5">
      <w:pPr>
        <w:pStyle w:val="Questionstyle"/>
      </w:pPr>
      <w:r w:rsidRPr="005D4F78">
        <w:t>Do you agree with the proposed amendments to Table 4 of Annex I of RTS 1? Please explain</w:t>
      </w:r>
      <w:r w:rsidR="00FA4100">
        <w:t>.</w:t>
      </w:r>
    </w:p>
    <w:p w14:paraId="07BBE19B" w14:textId="748DEC87" w:rsidR="00FA4100" w:rsidRDefault="00FA4100" w:rsidP="00FA4100">
      <w:pPr>
        <w:spacing w:after="0"/>
      </w:pPr>
      <w:r>
        <w:t>&lt;ESMA_QUESTION</w:t>
      </w:r>
      <w:r w:rsidR="005D4F78">
        <w:t>_CP3_</w:t>
      </w:r>
      <w:r>
        <w:t>2</w:t>
      </w:r>
      <w:r w:rsidR="00737DD9">
        <w:t>7</w:t>
      </w:r>
      <w:r>
        <w:t>&gt;</w:t>
      </w:r>
    </w:p>
    <w:p w14:paraId="3A203280" w14:textId="77777777" w:rsidR="000163DC" w:rsidRPr="00050A2B" w:rsidRDefault="000163DC" w:rsidP="000163DC">
      <w:pPr>
        <w:spacing w:before="240" w:after="240"/>
        <w:rPr>
          <w:rFonts w:eastAsia="Aptos" w:cs="Aptos"/>
          <w:szCs w:val="22"/>
          <w:lang w:eastAsia="ja-JP"/>
        </w:rPr>
      </w:pPr>
      <w:permStart w:id="1840853704" w:edGrp="everyone"/>
      <w:r w:rsidRPr="00050A2B">
        <w:rPr>
          <w:rFonts w:eastAsia="Aptos" w:cs="Aptos"/>
          <w:szCs w:val="22"/>
          <w:lang w:eastAsia="ja-JP"/>
        </w:rPr>
        <w:t xml:space="preserve">Cboe broadly agrees with the proposed amendments to Table 4 of Annex I of RTS 1 and welcomes ESMA’s approach to support and uniform its flag design with industry-led standards. </w:t>
      </w:r>
    </w:p>
    <w:p w14:paraId="003E3C29" w14:textId="77777777" w:rsidR="000163DC" w:rsidRPr="00050A2B" w:rsidRDefault="000163DC" w:rsidP="000163DC">
      <w:pPr>
        <w:spacing w:before="240" w:after="240"/>
        <w:rPr>
          <w:rFonts w:eastAsia="Aptos" w:cs="Aptos"/>
          <w:szCs w:val="22"/>
          <w:lang w:eastAsia="ja-JP"/>
        </w:rPr>
      </w:pPr>
      <w:r w:rsidRPr="00050A2B">
        <w:rPr>
          <w:rFonts w:eastAsia="Aptos" w:cs="Aptos"/>
          <w:szCs w:val="22"/>
          <w:lang w:eastAsia="ja-JP"/>
        </w:rPr>
        <w:t>Cboe considers the removal of outdated or redundant flags, combined with the alignment of the EU and UK regulatory frameworks, to be a welcome development that supports the post-trade transparency goals of MiFIR while simplifying compliance requirements.</w:t>
      </w:r>
    </w:p>
    <w:p w14:paraId="6E969455" w14:textId="77777777" w:rsidR="000163DC" w:rsidRPr="00050A2B" w:rsidRDefault="000163DC" w:rsidP="000163DC">
      <w:pPr>
        <w:spacing w:before="240" w:after="240"/>
        <w:rPr>
          <w:rFonts w:eastAsia="Aptos" w:cs="Aptos"/>
          <w:szCs w:val="22"/>
          <w:lang w:eastAsia="ja-JP"/>
        </w:rPr>
      </w:pPr>
      <w:r w:rsidRPr="00050A2B">
        <w:rPr>
          <w:rFonts w:eastAsia="Aptos" w:cs="Aptos"/>
          <w:szCs w:val="22"/>
          <w:lang w:eastAsia="ja-JP"/>
        </w:rPr>
        <w:t xml:space="preserve"> Cboe would also like to offer the following feedback in support of the revisions:</w:t>
      </w:r>
    </w:p>
    <w:p w14:paraId="21C57DDD" w14:textId="77777777" w:rsidR="000163DC" w:rsidRPr="00050A2B" w:rsidRDefault="000163DC" w:rsidP="000163DC">
      <w:pPr>
        <w:keepNext/>
        <w:keepLines/>
        <w:spacing w:before="281" w:after="281" w:line="279" w:lineRule="auto"/>
        <w:outlineLvl w:val="2"/>
        <w:rPr>
          <w:rFonts w:eastAsia="Aptos" w:cs="Aptos"/>
          <w:szCs w:val="22"/>
          <w:lang w:eastAsia="ja-JP"/>
        </w:rPr>
      </w:pPr>
      <w:r w:rsidRPr="00050A2B">
        <w:rPr>
          <w:rFonts w:eastAsia="Aptos" w:cs="Aptos"/>
          <w:szCs w:val="22"/>
          <w:lang w:eastAsia="ja-JP"/>
        </w:rPr>
        <w:t xml:space="preserve"> - The deletion of the reference to the consolidated tape provider (CTP) from Table 4, is a logical and welcomed adjustment, not only as it will be integrated into its own dedicated input/output RTS but also as it mirrors the changes made by the FCA in its Policy Statement PS23. Cboe notes that this change provides greater regulatory coherence and reduces complexities for market participants  operating across both jurisdictions. </w:t>
      </w:r>
    </w:p>
    <w:p w14:paraId="307A4840" w14:textId="77777777" w:rsidR="000163DC" w:rsidRPr="00050A2B" w:rsidRDefault="000163DC" w:rsidP="000163DC">
      <w:pPr>
        <w:keepNext/>
        <w:keepLines/>
        <w:spacing w:before="281" w:after="281" w:line="279" w:lineRule="auto"/>
        <w:outlineLvl w:val="2"/>
        <w:rPr>
          <w:rFonts w:eastAsia="Aptos" w:cs="Aptos"/>
          <w:szCs w:val="22"/>
          <w:lang w:eastAsia="ja-JP"/>
        </w:rPr>
      </w:pPr>
      <w:r w:rsidRPr="00050A2B">
        <w:rPr>
          <w:rFonts w:eastAsia="Aptos" w:cs="Aptos"/>
          <w:szCs w:val="22"/>
          <w:lang w:eastAsia="ja-JP"/>
        </w:rPr>
        <w:t xml:space="preserve"> - Cboe support the deletion of the 'DUPL' flag, as the new provisions in Article 20 MiFIR ensure that each individual transaction is made public only once through a single APA. The removal of this flag, again, is a welcome simplification;</w:t>
      </w:r>
    </w:p>
    <w:p w14:paraId="5E32853B" w14:textId="77777777" w:rsidR="000163DC" w:rsidRPr="00050A2B" w:rsidRDefault="000163DC" w:rsidP="000163DC">
      <w:pPr>
        <w:keepNext/>
        <w:keepLines/>
        <w:spacing w:before="281" w:after="281" w:line="279" w:lineRule="auto"/>
        <w:outlineLvl w:val="2"/>
        <w:rPr>
          <w:rFonts w:eastAsia="Aptos" w:cs="Aptos"/>
          <w:szCs w:val="22"/>
          <w:lang w:eastAsia="ja-JP"/>
        </w:rPr>
      </w:pPr>
      <w:r w:rsidRPr="00050A2B">
        <w:rPr>
          <w:rFonts w:eastAsia="Aptos" w:cs="Aptos"/>
          <w:szCs w:val="22"/>
          <w:lang w:eastAsia="ja-JP"/>
        </w:rPr>
        <w:t>- Cboe support the deletion of the 'SIZE,' 'ILQD,' 'RPRI,' and 'ACTX' flags, which likewise indeed were rarely used; and</w:t>
      </w:r>
    </w:p>
    <w:p w14:paraId="532E1B4C" w14:textId="77777777" w:rsidR="000163DC" w:rsidRPr="00050A2B" w:rsidRDefault="000163DC" w:rsidP="000163DC">
      <w:pPr>
        <w:keepNext/>
        <w:keepLines/>
        <w:spacing w:before="281" w:after="281" w:line="279" w:lineRule="auto"/>
        <w:outlineLvl w:val="2"/>
        <w:rPr>
          <w:rFonts w:eastAsia="Aptos" w:cs="Aptos"/>
          <w:szCs w:val="22"/>
          <w:lang w:eastAsia="ja-JP"/>
        </w:rPr>
      </w:pPr>
      <w:r w:rsidRPr="00050A2B">
        <w:rPr>
          <w:rFonts w:eastAsia="Aptos" w:cs="Aptos"/>
          <w:szCs w:val="22"/>
          <w:lang w:eastAsia="ja-JP"/>
        </w:rPr>
        <w:t xml:space="preserve"> - The removal of the ACTX flag is consistent with the revision of RTS 2 – as such reference is further made to the reply to Q60.</w:t>
      </w:r>
    </w:p>
    <w:p w14:paraId="4DCAACF5" w14:textId="1FE89EC8" w:rsidR="00FA4100" w:rsidRDefault="00FA4100" w:rsidP="00FA4100">
      <w:pPr>
        <w:spacing w:after="0"/>
      </w:pPr>
    </w:p>
    <w:permEnd w:id="1840853704"/>
    <w:p w14:paraId="735A0EF0" w14:textId="3FB82A1F" w:rsidR="00FA4100" w:rsidRDefault="00FA4100" w:rsidP="00FA4100">
      <w:pPr>
        <w:spacing w:after="0"/>
      </w:pPr>
      <w:r>
        <w:t>&lt;ESMA_QUESTION</w:t>
      </w:r>
      <w:r w:rsidR="005D4F78">
        <w:t>_CP3_</w:t>
      </w:r>
      <w:r>
        <w:t>2</w:t>
      </w:r>
      <w:r w:rsidR="00737DD9">
        <w:t>7</w:t>
      </w:r>
      <w:r>
        <w:t>&gt;</w:t>
      </w:r>
    </w:p>
    <w:p w14:paraId="65817743" w14:textId="77777777" w:rsidR="00FA4100" w:rsidRDefault="00FA4100" w:rsidP="00C54034">
      <w:pPr>
        <w:spacing w:after="0"/>
      </w:pPr>
    </w:p>
    <w:p w14:paraId="2642CDA4" w14:textId="3BD2F1A1" w:rsidR="00FA4100" w:rsidRDefault="005D4F78" w:rsidP="007C5BD5">
      <w:pPr>
        <w:pStyle w:val="Questionstyle"/>
      </w:pPr>
      <w:r w:rsidRPr="005D4F78">
        <w:t>Would you consider that the SIZE, ILQD, RPRI flags could be removed? Please, explain</w:t>
      </w:r>
      <w:r w:rsidR="00FA4100">
        <w:t>.</w:t>
      </w:r>
    </w:p>
    <w:p w14:paraId="6BD7C393" w14:textId="5E95EBF8" w:rsidR="00FA4100" w:rsidRDefault="00FA4100" w:rsidP="00FA4100">
      <w:pPr>
        <w:spacing w:after="0"/>
      </w:pPr>
      <w:r>
        <w:t>&lt;ESMA_QUESTION</w:t>
      </w:r>
      <w:r w:rsidR="005D4F78">
        <w:t>_CP3_</w:t>
      </w:r>
      <w:r>
        <w:t>2</w:t>
      </w:r>
      <w:r w:rsidR="00737DD9">
        <w:t>8</w:t>
      </w:r>
      <w:r>
        <w:t>&gt;</w:t>
      </w:r>
    </w:p>
    <w:p w14:paraId="4F76C4AE" w14:textId="772AA2C8" w:rsidR="00FA4100" w:rsidRDefault="00987B1E" w:rsidP="00A96893">
      <w:permStart w:id="636686123" w:edGrp="everyone"/>
      <w:r w:rsidRPr="00050A2B">
        <w:rPr>
          <w:rFonts w:eastAsia="Aptos" w:cs="Aptos"/>
          <w:szCs w:val="22"/>
          <w:lang w:eastAsia="ja-JP"/>
        </w:rPr>
        <w:t xml:space="preserve">Per the reply provided to Q27 above, Cboe </w:t>
      </w:r>
      <w:r>
        <w:rPr>
          <w:rFonts w:eastAsia="Aptos" w:cs="Aptos"/>
          <w:szCs w:val="22"/>
          <w:lang w:eastAsia="ja-JP"/>
        </w:rPr>
        <w:t xml:space="preserve">would </w:t>
      </w:r>
      <w:r w:rsidRPr="00050A2B">
        <w:rPr>
          <w:rFonts w:eastAsia="Aptos" w:cs="Aptos"/>
          <w:szCs w:val="22"/>
          <w:lang w:eastAsia="ja-JP"/>
        </w:rPr>
        <w:t>broadly support this initiative.</w:t>
      </w:r>
    </w:p>
    <w:permEnd w:id="636686123"/>
    <w:p w14:paraId="1A641ECE" w14:textId="31470DE2" w:rsidR="00FA4100" w:rsidRDefault="00FA4100" w:rsidP="00FA4100">
      <w:pPr>
        <w:spacing w:after="0"/>
      </w:pPr>
      <w:r>
        <w:t>&lt;ESMA_QUESTION</w:t>
      </w:r>
      <w:r w:rsidR="005D4F78">
        <w:t>_CP3_</w:t>
      </w:r>
      <w:r>
        <w:t>2</w:t>
      </w:r>
      <w:r w:rsidR="00737DD9">
        <w:t>8</w:t>
      </w:r>
      <w:r>
        <w:t>&gt;</w:t>
      </w:r>
    </w:p>
    <w:p w14:paraId="6CB66BAB" w14:textId="77777777" w:rsidR="00FA4100" w:rsidRDefault="00FA4100" w:rsidP="00C54034">
      <w:pPr>
        <w:spacing w:after="0"/>
      </w:pPr>
    </w:p>
    <w:p w14:paraId="58D9979E" w14:textId="77777777" w:rsidR="005D4F78" w:rsidRDefault="005D4F78" w:rsidP="00C54034">
      <w:pPr>
        <w:spacing w:after="0"/>
      </w:pPr>
    </w:p>
    <w:p w14:paraId="19F46DD0" w14:textId="0AF7656C" w:rsidR="00FA4100" w:rsidRDefault="005D4F78" w:rsidP="007C5BD5">
      <w:pPr>
        <w:pStyle w:val="Questionstyle"/>
      </w:pPr>
      <w:r w:rsidRPr="005D4F78">
        <w:t>Would you consider that the ACTX flag could be removed? Please, explain</w:t>
      </w:r>
      <w:r w:rsidR="00FA4100">
        <w:t>.</w:t>
      </w:r>
    </w:p>
    <w:p w14:paraId="51257258" w14:textId="41D8492E" w:rsidR="00FA4100" w:rsidRDefault="00FA4100" w:rsidP="00FA4100">
      <w:pPr>
        <w:spacing w:after="0"/>
      </w:pPr>
      <w:r>
        <w:t>&lt;ESMA_QUESTION</w:t>
      </w:r>
      <w:r w:rsidR="005D4F78">
        <w:t>_CP3_</w:t>
      </w:r>
      <w:r>
        <w:t>2</w:t>
      </w:r>
      <w:r w:rsidR="00737DD9">
        <w:t>9</w:t>
      </w:r>
      <w:r>
        <w:t>&gt;</w:t>
      </w:r>
    </w:p>
    <w:p w14:paraId="1C487CC4" w14:textId="77777777" w:rsidR="00A96893" w:rsidRPr="00050A2B" w:rsidRDefault="00A96893" w:rsidP="00A96893">
      <w:pPr>
        <w:rPr>
          <w:rFonts w:eastAsia="Aptos" w:cs="Aptos"/>
          <w:szCs w:val="22"/>
          <w:lang w:eastAsia="ja-JP"/>
        </w:rPr>
      </w:pPr>
      <w:permStart w:id="1539128939" w:edGrp="everyone"/>
      <w:r w:rsidRPr="00050A2B">
        <w:rPr>
          <w:rFonts w:eastAsia="Aptos" w:cs="Aptos"/>
          <w:szCs w:val="22"/>
          <w:lang w:eastAsia="ja-JP"/>
        </w:rPr>
        <w:t xml:space="preserve">Per the reply provided to Q27 above, Cboe </w:t>
      </w:r>
      <w:r>
        <w:rPr>
          <w:rFonts w:eastAsia="Aptos" w:cs="Aptos"/>
          <w:szCs w:val="22"/>
          <w:lang w:eastAsia="ja-JP"/>
        </w:rPr>
        <w:t xml:space="preserve">would </w:t>
      </w:r>
      <w:r w:rsidRPr="00050A2B">
        <w:rPr>
          <w:rFonts w:eastAsia="Aptos" w:cs="Aptos"/>
          <w:szCs w:val="22"/>
          <w:lang w:eastAsia="ja-JP"/>
        </w:rPr>
        <w:t>broadly support this initiative.</w:t>
      </w:r>
    </w:p>
    <w:p w14:paraId="24A07323" w14:textId="1A146A8E" w:rsidR="00FA4100" w:rsidRDefault="00FA4100" w:rsidP="00FA4100">
      <w:pPr>
        <w:spacing w:after="0"/>
      </w:pPr>
    </w:p>
    <w:permEnd w:id="1539128939"/>
    <w:p w14:paraId="3A6DBF09" w14:textId="38B698B2" w:rsidR="00FA4100" w:rsidRDefault="00FA4100" w:rsidP="00FA4100">
      <w:pPr>
        <w:spacing w:after="0"/>
      </w:pPr>
      <w:r>
        <w:t>&lt;ESMA_QUESTION</w:t>
      </w:r>
      <w:r w:rsidR="005D4F78">
        <w:t>_CP3_</w:t>
      </w:r>
      <w:r>
        <w:t>2</w:t>
      </w:r>
      <w:r w:rsidR="00737DD9">
        <w:t>9</w:t>
      </w:r>
      <w:r>
        <w:t>&gt;</w:t>
      </w:r>
    </w:p>
    <w:p w14:paraId="2C972B7E" w14:textId="77777777" w:rsidR="00FA4100" w:rsidRDefault="00FA4100" w:rsidP="00C54034">
      <w:pPr>
        <w:spacing w:after="0"/>
      </w:pPr>
    </w:p>
    <w:p w14:paraId="3B1A378E" w14:textId="547855B5" w:rsidR="00FA4100" w:rsidRDefault="005D4F78" w:rsidP="007C5BD5">
      <w:pPr>
        <w:pStyle w:val="Questionstyle"/>
      </w:pPr>
      <w:r w:rsidRPr="005D4F78">
        <w:t>Would you further reduce the maximum time for disclosing pre-trade transparency “as close to real-time as technically possible”? If so, what maximum limit would you suggest? Please explain</w:t>
      </w:r>
      <w:r w:rsidR="00FA4100">
        <w:t>.</w:t>
      </w:r>
    </w:p>
    <w:p w14:paraId="77D215FA" w14:textId="123D6053" w:rsidR="00FA4100" w:rsidRDefault="00FA4100" w:rsidP="00FA4100">
      <w:pPr>
        <w:spacing w:after="0"/>
      </w:pPr>
      <w:r>
        <w:t>&lt;ESMA_QUESTION</w:t>
      </w:r>
      <w:r w:rsidR="005D4F78">
        <w:t>_CP3_</w:t>
      </w:r>
      <w:r w:rsidR="00737DD9">
        <w:t>30</w:t>
      </w:r>
      <w:r>
        <w:t>&gt;</w:t>
      </w:r>
    </w:p>
    <w:p w14:paraId="3828A602" w14:textId="77777777" w:rsidR="00F11C69" w:rsidRPr="00050A2B" w:rsidRDefault="00F11C69" w:rsidP="00F11C69">
      <w:pPr>
        <w:spacing w:before="240" w:after="240" w:line="279" w:lineRule="auto"/>
        <w:rPr>
          <w:rFonts w:eastAsia="Aptos" w:cs="Aptos"/>
          <w:b/>
          <w:bCs/>
          <w:szCs w:val="22"/>
          <w:lang w:eastAsia="ja-JP"/>
        </w:rPr>
      </w:pPr>
      <w:permStart w:id="307052998" w:edGrp="everyone"/>
      <w:r w:rsidRPr="00050A2B">
        <w:rPr>
          <w:rFonts w:eastAsia="Aptos" w:cs="Aptos"/>
          <w:szCs w:val="22"/>
          <w:lang w:eastAsia="ja-JP"/>
        </w:rPr>
        <w:t xml:space="preserve">Cboe notes that modern trading infrastructures can achieve near-instantaneous processing and transmission of data. For this reason, Cboe considers that ESMA should </w:t>
      </w:r>
      <w:r>
        <w:rPr>
          <w:rFonts w:eastAsia="Aptos" w:cs="Aptos"/>
          <w:szCs w:val="22"/>
          <w:lang w:eastAsia="ja-JP"/>
        </w:rPr>
        <w:t>more rigorously require</w:t>
      </w:r>
      <w:r w:rsidRPr="00050A2B">
        <w:rPr>
          <w:rFonts w:eastAsia="Aptos" w:cs="Aptos"/>
          <w:szCs w:val="22"/>
          <w:lang w:eastAsia="ja-JP"/>
        </w:rPr>
        <w:t xml:space="preserve"> market participants to report trades as fast as technically possible, as set by the current rules.</w:t>
      </w:r>
      <w:r>
        <w:rPr>
          <w:rFonts w:eastAsia="Aptos" w:cs="Aptos"/>
          <w:szCs w:val="22"/>
          <w:lang w:eastAsia="ja-JP"/>
        </w:rPr>
        <w:t xml:space="preserve"> Cboe notes that the cu</w:t>
      </w:r>
      <w:r w:rsidRPr="34FC3B84">
        <w:rPr>
          <w:rFonts w:eastAsia="Aptos" w:cs="Aptos"/>
          <w:szCs w:val="22"/>
          <w:lang w:eastAsia="ja-JP"/>
        </w:rPr>
        <w:t xml:space="preserve">rrent </w:t>
      </w:r>
      <w:r>
        <w:rPr>
          <w:rFonts w:eastAsia="Aptos" w:cs="Aptos"/>
          <w:szCs w:val="22"/>
          <w:lang w:eastAsia="ja-JP"/>
        </w:rPr>
        <w:t>one min</w:t>
      </w:r>
      <w:r w:rsidRPr="34FC3B84">
        <w:rPr>
          <w:rFonts w:eastAsia="Aptos" w:cs="Aptos"/>
          <w:szCs w:val="22"/>
          <w:lang w:eastAsia="ja-JP"/>
        </w:rPr>
        <w:t>ute</w:t>
      </w:r>
      <w:r>
        <w:rPr>
          <w:rFonts w:eastAsia="Aptos" w:cs="Aptos"/>
          <w:szCs w:val="22"/>
          <w:lang w:eastAsia="ja-JP"/>
        </w:rPr>
        <w:t xml:space="preserve"> language was intended to capture manually reported trades, and one minute continues to be a reasonable </w:t>
      </w:r>
      <w:r w:rsidRPr="34FC3B84">
        <w:rPr>
          <w:rFonts w:eastAsia="Aptos" w:cs="Aptos"/>
          <w:szCs w:val="22"/>
          <w:lang w:eastAsia="ja-JP"/>
        </w:rPr>
        <w:t>time frame</w:t>
      </w:r>
      <w:r>
        <w:rPr>
          <w:rFonts w:eastAsia="Aptos" w:cs="Aptos"/>
          <w:szCs w:val="22"/>
          <w:lang w:eastAsia="ja-JP"/>
        </w:rPr>
        <w:t xml:space="preserve"> for these trades. However, for electronically executed business, any delay</w:t>
      </w:r>
      <w:r w:rsidRPr="34FC3B84">
        <w:rPr>
          <w:rFonts w:eastAsia="Aptos" w:cs="Aptos"/>
          <w:szCs w:val="22"/>
          <w:lang w:eastAsia="ja-JP"/>
        </w:rPr>
        <w:t xml:space="preserve"> or more than a few milliseconds should </w:t>
      </w:r>
      <w:r>
        <w:rPr>
          <w:rFonts w:eastAsia="Aptos" w:cs="Aptos"/>
          <w:szCs w:val="22"/>
          <w:lang w:eastAsia="ja-JP"/>
        </w:rPr>
        <w:t xml:space="preserve">be </w:t>
      </w:r>
      <w:r w:rsidRPr="00050A2B">
        <w:rPr>
          <w:rFonts w:eastAsia="Aptos" w:cs="Aptos"/>
          <w:szCs w:val="22"/>
          <w:lang w:eastAsia="ja-JP"/>
        </w:rPr>
        <w:t xml:space="preserve"> </w:t>
      </w:r>
      <w:r w:rsidRPr="34FC3B84">
        <w:rPr>
          <w:rFonts w:eastAsia="Aptos" w:cs="Aptos"/>
          <w:szCs w:val="22"/>
          <w:lang w:eastAsia="ja-JP"/>
        </w:rPr>
        <w:t>considered as failing to comply</w:t>
      </w:r>
      <w:r>
        <w:rPr>
          <w:rFonts w:eastAsia="Aptos" w:cs="Aptos"/>
          <w:szCs w:val="22"/>
          <w:lang w:eastAsia="ja-JP"/>
        </w:rPr>
        <w:t xml:space="preserve"> with the existing requirement. </w:t>
      </w:r>
      <w:r w:rsidRPr="00050A2B">
        <w:rPr>
          <w:rFonts w:eastAsia="Aptos" w:cs="Aptos"/>
          <w:szCs w:val="22"/>
          <w:lang w:eastAsia="ja-JP"/>
        </w:rPr>
        <w:t>On these grounds, Cboe does not consider it necessary to set any new or different time-limit: ESMA should maintain the adopted technology neutral approach and</w:t>
      </w:r>
      <w:r>
        <w:rPr>
          <w:rFonts w:eastAsia="Aptos" w:cs="Aptos"/>
          <w:szCs w:val="22"/>
          <w:lang w:eastAsia="ja-JP"/>
        </w:rPr>
        <w:t xml:space="preserve"> work with NCAs to</w:t>
      </w:r>
      <w:r w:rsidRPr="00050A2B">
        <w:rPr>
          <w:rFonts w:eastAsia="Aptos" w:cs="Aptos"/>
          <w:szCs w:val="22"/>
          <w:lang w:eastAsia="ja-JP"/>
        </w:rPr>
        <w:t xml:space="preserve"> ensure that this is enforced.</w:t>
      </w:r>
    </w:p>
    <w:p w14:paraId="51A21E64" w14:textId="09DB2BB6" w:rsidR="00FA4100" w:rsidRDefault="00FA4100" w:rsidP="00FA4100">
      <w:pPr>
        <w:spacing w:after="0"/>
      </w:pPr>
    </w:p>
    <w:permEnd w:id="307052998"/>
    <w:p w14:paraId="5374C4DC" w14:textId="72F8CD18" w:rsidR="00FA4100" w:rsidRDefault="00FA4100" w:rsidP="00FA4100">
      <w:pPr>
        <w:spacing w:after="0"/>
      </w:pPr>
      <w:r>
        <w:t>&lt;ESMA_QUESTION</w:t>
      </w:r>
      <w:r w:rsidR="005D4F78">
        <w:t>_CP3_</w:t>
      </w:r>
      <w:r w:rsidR="00737DD9">
        <w:t>30</w:t>
      </w:r>
      <w:r>
        <w:t>&gt;</w:t>
      </w:r>
    </w:p>
    <w:p w14:paraId="3A8F8E3D" w14:textId="77777777" w:rsidR="00FA4100" w:rsidRDefault="00FA4100" w:rsidP="00C54034">
      <w:pPr>
        <w:spacing w:after="0"/>
      </w:pPr>
    </w:p>
    <w:p w14:paraId="79891AB7" w14:textId="06286ADA" w:rsidR="00FA4100" w:rsidRDefault="005D4F78" w:rsidP="007C5BD5">
      <w:pPr>
        <w:pStyle w:val="Questionstyle"/>
      </w:pPr>
      <w:r w:rsidRPr="005D4F78">
        <w:t>Do you agree with the proposed amendments to Article 15 of RTS 1? If not, please explain</w:t>
      </w:r>
      <w:r>
        <w:t>.</w:t>
      </w:r>
    </w:p>
    <w:p w14:paraId="1BD2E774" w14:textId="4C9F11E5" w:rsidR="00FA4100" w:rsidRDefault="00FA4100" w:rsidP="00FA4100">
      <w:pPr>
        <w:spacing w:after="0"/>
      </w:pPr>
      <w:r>
        <w:t>&lt;ESMA_QUESTION</w:t>
      </w:r>
      <w:r w:rsidR="005D4F78">
        <w:t>_CP3_</w:t>
      </w:r>
      <w:r w:rsidR="00737DD9">
        <w:t>31</w:t>
      </w:r>
      <w:r>
        <w:t>&gt;</w:t>
      </w:r>
    </w:p>
    <w:p w14:paraId="3E1933D9" w14:textId="77777777" w:rsidR="00394F31" w:rsidRPr="00050A2B" w:rsidRDefault="00394F31" w:rsidP="00394F31">
      <w:pPr>
        <w:spacing w:before="240" w:after="240"/>
        <w:rPr>
          <w:rFonts w:eastAsia="Aptos" w:cs="Aptos"/>
          <w:szCs w:val="22"/>
          <w:lang w:eastAsia="ja-JP"/>
        </w:rPr>
      </w:pPr>
      <w:permStart w:id="884149456" w:edGrp="everyone"/>
      <w:r w:rsidRPr="00050A2B">
        <w:rPr>
          <w:rFonts w:eastAsia="Aptos" w:cs="Aptos"/>
          <w:szCs w:val="22"/>
          <w:lang w:eastAsia="ja-JP"/>
        </w:rPr>
        <w:t xml:space="preserve">Cboe broadly agrees with the proposed amendments to Article 15 of RTS 1, which reflect an update of the cross-reference to clarify that Designated Publication Entities (DPEs) are now responsible for the publication of post-trade transparency reports. Cboe considers this amendment to be sensible as it ensuring that the regulatory framework accurately reflects the current responsibilities of DPEs. However, Cboe would like to emphasise the importance of a single harmonised regime, implemented in the same manner across all National Competent Authorities (NCAs) within the European Union – a unified approach would reduce the risk of different interpretations and inconsistent application of the post-trade transparency rules. </w:t>
      </w:r>
    </w:p>
    <w:p w14:paraId="0506021E" w14:textId="5FDD0BC3" w:rsidR="00FA4100" w:rsidRDefault="00FA4100" w:rsidP="00FA4100">
      <w:pPr>
        <w:spacing w:after="0"/>
      </w:pPr>
    </w:p>
    <w:permEnd w:id="884149456"/>
    <w:p w14:paraId="528BFC7C" w14:textId="43741789" w:rsidR="00FA4100" w:rsidRDefault="00FA4100" w:rsidP="00FA4100">
      <w:pPr>
        <w:spacing w:after="0"/>
      </w:pPr>
      <w:r>
        <w:t>&lt;ESMA_QUESTION</w:t>
      </w:r>
      <w:r w:rsidR="005D4F78">
        <w:t>_CP3_</w:t>
      </w:r>
      <w:r w:rsidR="00737DD9">
        <w:t>31</w:t>
      </w:r>
      <w:r>
        <w:t>&gt;</w:t>
      </w:r>
    </w:p>
    <w:p w14:paraId="21A49323" w14:textId="77777777" w:rsidR="00FA4100" w:rsidRDefault="00FA4100" w:rsidP="00C54034">
      <w:pPr>
        <w:spacing w:after="0"/>
      </w:pPr>
    </w:p>
    <w:p w14:paraId="459FE465" w14:textId="695885F0" w:rsidR="00FA4100" w:rsidRDefault="005D4F78" w:rsidP="007C5BD5">
      <w:pPr>
        <w:pStyle w:val="Questionstyle"/>
      </w:pPr>
      <w:r w:rsidRPr="005D4F78">
        <w:t>Which option do you prefer: Option A (status quo), Option B (add layer for technical trades), Option C (add layer for technical trades and waivers)? Please explain</w:t>
      </w:r>
      <w:r w:rsidR="00FA4100">
        <w:t>.</w:t>
      </w:r>
    </w:p>
    <w:p w14:paraId="2209DF71" w14:textId="3DA36BAA" w:rsidR="00FA4100" w:rsidRDefault="00FA4100" w:rsidP="00FA4100">
      <w:pPr>
        <w:spacing w:after="0"/>
      </w:pPr>
      <w:r>
        <w:t>&lt;ESMA_QUESTION</w:t>
      </w:r>
      <w:r w:rsidR="005D4F78">
        <w:t>_CP3_</w:t>
      </w:r>
      <w:r w:rsidR="00737DD9">
        <w:t>32</w:t>
      </w:r>
      <w:r>
        <w:t>&gt;</w:t>
      </w:r>
    </w:p>
    <w:p w14:paraId="64F6B7DD" w14:textId="77777777" w:rsidR="00C7692A" w:rsidRPr="00050A2B" w:rsidRDefault="00C7692A" w:rsidP="00C7692A">
      <w:pPr>
        <w:rPr>
          <w:rFonts w:eastAsia="Aptos" w:cs="Aptos"/>
          <w:szCs w:val="22"/>
          <w:lang w:eastAsia="ja-JP"/>
        </w:rPr>
      </w:pPr>
      <w:permStart w:id="1310215157" w:edGrp="everyone"/>
      <w:r w:rsidRPr="00050A2B">
        <w:rPr>
          <w:rFonts w:eastAsia="Aptos" w:cs="Aptos"/>
          <w:szCs w:val="22"/>
          <w:lang w:eastAsia="ja-JP"/>
        </w:rPr>
        <w:t>As to the options presented regarding the transparency calculations outlined in Articles 17 to 20 of RTS 1 and the proposed changes to Annex IV, Cboe is providing the following considerations:</w:t>
      </w:r>
    </w:p>
    <w:p w14:paraId="67F8864E" w14:textId="77777777" w:rsidR="00C7692A" w:rsidRPr="00050A2B" w:rsidRDefault="00C7692A" w:rsidP="00C7692A">
      <w:pPr>
        <w:rPr>
          <w:rFonts w:eastAsia="Aptos" w:cs="Aptos"/>
          <w:szCs w:val="22"/>
          <w:lang w:eastAsia="ja-JP"/>
        </w:rPr>
      </w:pPr>
      <w:r w:rsidRPr="00050A2B">
        <w:rPr>
          <w:rFonts w:eastAsia="Aptos" w:cs="Aptos"/>
          <w:szCs w:val="22"/>
          <w:lang w:eastAsia="ja-JP"/>
        </w:rPr>
        <w:t xml:space="preserve"> - Cboe does not support Option A (</w:t>
      </w:r>
      <w:r w:rsidRPr="00050A2B">
        <w:rPr>
          <w:rFonts w:eastAsia="Aptos" w:cs="Aptos"/>
          <w:i/>
          <w:szCs w:val="22"/>
          <w:lang w:eastAsia="ja-JP"/>
        </w:rPr>
        <w:t>status quo</w:t>
      </w:r>
      <w:r w:rsidRPr="00050A2B">
        <w:rPr>
          <w:rFonts w:eastAsia="Aptos" w:cs="Aptos"/>
          <w:szCs w:val="22"/>
          <w:lang w:eastAsia="ja-JP"/>
        </w:rPr>
        <w:t>), as it does not introduce any improvements to the current framework for transparency calculations. As this approach would not address the identified gaps in data quality and the need for better differentiation between price-forming and non-price-forming transactions, Cboe considers that maintaining the existing framework would limit ESMA's ability to perform a thorough assessment of the data and to ensure market transparency;</w:t>
      </w:r>
    </w:p>
    <w:p w14:paraId="44454331" w14:textId="77777777" w:rsidR="00C7692A" w:rsidRPr="00050A2B" w:rsidRDefault="00C7692A" w:rsidP="00C7692A">
      <w:pPr>
        <w:spacing w:before="240" w:after="240" w:line="279" w:lineRule="auto"/>
        <w:rPr>
          <w:rFonts w:eastAsia="Aptos" w:cs="Aptos"/>
          <w:szCs w:val="22"/>
          <w:lang w:eastAsia="ja-JP"/>
        </w:rPr>
      </w:pPr>
      <w:r w:rsidRPr="00050A2B">
        <w:rPr>
          <w:rFonts w:eastAsia="Aptos" w:cs="Aptos"/>
          <w:szCs w:val="22"/>
          <w:lang w:eastAsia="ja-JP"/>
        </w:rPr>
        <w:t xml:space="preserve"> - As to Option B, which introduces a flag to identify non-price-forming transactions (NPFT), Cboe notes that this approach could potentially add value by allowing for more detailed analysis of transaction data. However, it is not entirely clear how this option would work in practice and whether it could lead to data duplications or overlap with existing fields. Although it is not overly burdensome, the model to be proposed to the industry would need to be carefully studied by ESMA to avoid the risk of redundancy and to ensure any additional flags integrate into the current reporting framework.</w:t>
      </w:r>
    </w:p>
    <w:p w14:paraId="302F7503" w14:textId="77777777" w:rsidR="00C7692A" w:rsidRPr="00050A2B" w:rsidRDefault="00C7692A" w:rsidP="00C7692A">
      <w:pPr>
        <w:spacing w:before="240" w:after="240" w:line="279" w:lineRule="auto"/>
        <w:rPr>
          <w:rFonts w:eastAsia="Aptos" w:cs="Aptos"/>
          <w:szCs w:val="22"/>
          <w:lang w:eastAsia="ja-JP"/>
        </w:rPr>
      </w:pPr>
      <w:r w:rsidRPr="00050A2B">
        <w:rPr>
          <w:rFonts w:eastAsia="Aptos" w:cs="Aptos"/>
          <w:szCs w:val="22"/>
          <w:lang w:eastAsia="ja-JP"/>
        </w:rPr>
        <w:t xml:space="preserve"> - Finally, Cboe notes that Option C brings the most comprehensive changes, adding the NPFT flag along with 21 additional data fields to capture turnover values for waivers. Whilst this option introduces substantial complexities -as it significantly expands the scope of data reporting, Cboe anticipate that it might improve ESMA’s ability to analyse waiver usage and transparency obligations and reduce the need for </w:t>
      </w:r>
      <w:r w:rsidRPr="00050A2B">
        <w:rPr>
          <w:rFonts w:eastAsia="Aptos" w:cs="Aptos"/>
          <w:i/>
          <w:szCs w:val="22"/>
          <w:lang w:eastAsia="ja-JP"/>
        </w:rPr>
        <w:t xml:space="preserve">ad hoc </w:t>
      </w:r>
      <w:r w:rsidRPr="00050A2B">
        <w:rPr>
          <w:rFonts w:eastAsia="Aptos" w:cs="Aptos"/>
          <w:szCs w:val="22"/>
          <w:lang w:eastAsia="ja-JP"/>
        </w:rPr>
        <w:t>queries. ESMA should be aware that the requirement to capture granular turnover data for waivers, as well as potential notional and other calculations, could impose a significant operational burden on trading venues and APAs. Despite the added complexity, this option provides the most complete dat</w:t>
      </w:r>
      <w:r w:rsidRPr="00050A2B">
        <w:rPr>
          <w:rFonts w:eastAsia="MS Mincho"/>
          <w:szCs w:val="22"/>
          <w:lang w:eastAsia="ja-JP"/>
        </w:rPr>
        <w:t>aset for ensuring transparency and enabling more accurate volume cap calculations.</w:t>
      </w:r>
    </w:p>
    <w:p w14:paraId="27A8AF23" w14:textId="77777777" w:rsidR="00C7692A" w:rsidRPr="00050A2B" w:rsidRDefault="00C7692A" w:rsidP="00C7692A">
      <w:pPr>
        <w:spacing w:before="240" w:after="240" w:line="279" w:lineRule="auto"/>
        <w:rPr>
          <w:rFonts w:eastAsia="Aptos" w:cs="Aptos"/>
          <w:szCs w:val="22"/>
          <w:lang w:eastAsia="ja-JP"/>
        </w:rPr>
      </w:pPr>
      <w:r w:rsidRPr="00050A2B">
        <w:rPr>
          <w:rFonts w:eastAsia="MS Mincho"/>
          <w:szCs w:val="22"/>
          <w:lang w:eastAsia="ja-JP"/>
        </w:rPr>
        <w:t xml:space="preserve">In light of the above – and considering all relevant trade-offs, Cboe supports Option C as the most </w:t>
      </w:r>
      <w:proofErr w:type="spellStart"/>
      <w:r w:rsidRPr="00050A2B">
        <w:rPr>
          <w:rFonts w:eastAsia="MS Mincho"/>
          <w:szCs w:val="22"/>
          <w:lang w:eastAsia="ja-JP"/>
        </w:rPr>
        <w:t>favorable</w:t>
      </w:r>
      <w:proofErr w:type="spellEnd"/>
      <w:r w:rsidRPr="00050A2B">
        <w:rPr>
          <w:rFonts w:eastAsia="MS Mincho"/>
          <w:szCs w:val="22"/>
          <w:lang w:eastAsia="ja-JP"/>
        </w:rPr>
        <w:t xml:space="preserve"> choice for improving data quality and ensuring effective transparency calculations, provided that adequate support is given to market participants for the operational adjustments required. </w:t>
      </w:r>
      <w:r w:rsidRPr="00050A2B">
        <w:rPr>
          <w:rFonts w:eastAsia="Aptos" w:cs="Aptos"/>
          <w:szCs w:val="22"/>
          <w:lang w:eastAsia="ja-JP"/>
        </w:rPr>
        <w:t>While</w:t>
      </w:r>
      <w:r w:rsidRPr="00050A2B">
        <w:rPr>
          <w:rFonts w:eastAsia="MS Mincho"/>
          <w:szCs w:val="22"/>
          <w:lang w:eastAsia="ja-JP"/>
        </w:rPr>
        <w:t xml:space="preserve"> Option B provides a step in the right direction by adding a layer for technical trades, its practical implementation remains unclear and could potentially result in data duplication. Option C instead offers the most comprehensive solution, adding valuable data fields and reducing the need for ad hoc queries, despite the significant complexity and operational challenges that will be required for implementation.</w:t>
      </w:r>
    </w:p>
    <w:p w14:paraId="6FCDC957" w14:textId="598F2E79" w:rsidR="00FA4100" w:rsidRDefault="00FA4100" w:rsidP="00FA4100">
      <w:pPr>
        <w:spacing w:after="0"/>
      </w:pPr>
    </w:p>
    <w:permEnd w:id="1310215157"/>
    <w:p w14:paraId="44B1FFE6" w14:textId="08FD85C4" w:rsidR="00FA4100" w:rsidRDefault="00FA4100" w:rsidP="00FA4100">
      <w:pPr>
        <w:spacing w:after="0"/>
      </w:pPr>
      <w:r>
        <w:t>&lt;ESMA_QUESTION</w:t>
      </w:r>
      <w:r w:rsidR="005D4F78">
        <w:t>_CP3_</w:t>
      </w:r>
      <w:r w:rsidR="00737DD9">
        <w:t>32</w:t>
      </w:r>
      <w:r>
        <w:t>&gt;</w:t>
      </w:r>
    </w:p>
    <w:p w14:paraId="72745F76" w14:textId="77777777" w:rsidR="00FA4100" w:rsidRDefault="00FA4100" w:rsidP="00C54034">
      <w:pPr>
        <w:spacing w:after="0"/>
      </w:pPr>
    </w:p>
    <w:p w14:paraId="3D16B195" w14:textId="4FD1D71D" w:rsidR="00FA4100" w:rsidRDefault="005D4F78" w:rsidP="007C5BD5">
      <w:pPr>
        <w:pStyle w:val="Questionstyle"/>
      </w:pPr>
      <w:r w:rsidRPr="005D4F78">
        <w:t>Do you agree with the proposed amendments to Annex IV of RTS 1 in relation to Option B and Option C? Please explain</w:t>
      </w:r>
      <w:r w:rsidR="00FA4100">
        <w:t>.</w:t>
      </w:r>
    </w:p>
    <w:p w14:paraId="2AA780BD" w14:textId="2DDB3611" w:rsidR="00FA4100" w:rsidRDefault="00FA4100" w:rsidP="00FA4100">
      <w:pPr>
        <w:spacing w:after="0"/>
      </w:pPr>
      <w:r>
        <w:t>&lt;ESMA_QUESTION</w:t>
      </w:r>
      <w:r w:rsidR="005D4F78">
        <w:t>_CP3_</w:t>
      </w:r>
      <w:r w:rsidR="00737DD9">
        <w:t>33</w:t>
      </w:r>
      <w:r>
        <w:t>&gt;</w:t>
      </w:r>
    </w:p>
    <w:p w14:paraId="757ECA1D" w14:textId="77777777" w:rsidR="001B43E2" w:rsidRPr="00050A2B" w:rsidRDefault="001B43E2" w:rsidP="001B43E2">
      <w:pPr>
        <w:spacing w:before="240" w:after="240" w:line="279" w:lineRule="auto"/>
        <w:rPr>
          <w:rFonts w:eastAsia="Aptos" w:cs="Aptos"/>
          <w:szCs w:val="22"/>
          <w:lang w:eastAsia="ja-JP"/>
        </w:rPr>
      </w:pPr>
      <w:permStart w:id="1461735347" w:edGrp="everyone"/>
      <w:r w:rsidRPr="00050A2B">
        <w:rPr>
          <w:rFonts w:eastAsia="Aptos" w:cs="Aptos"/>
          <w:szCs w:val="22"/>
          <w:lang w:eastAsia="ja-JP"/>
        </w:rPr>
        <w:t xml:space="preserve">Cboe generally support the initiative to introduce changes to the reporting framework through the proposed amendments to Annex IV under Options B and C – per the reply provided to Q32 above. The inclusion of additional layers in reporting—specifically the flagging of non-price forming transactions—would enhance the overall quality and granularity of the data. Cboe notes that this would be beneficial for transparency calculations, benefitting market participants and enabling regulators to perform more detailed and accurate assessments. </w:t>
      </w:r>
    </w:p>
    <w:p w14:paraId="1C1CC408" w14:textId="77777777" w:rsidR="001B43E2" w:rsidRPr="00050A2B" w:rsidRDefault="001B43E2" w:rsidP="001B43E2">
      <w:pPr>
        <w:spacing w:before="240" w:after="240" w:line="279" w:lineRule="auto"/>
        <w:rPr>
          <w:rFonts w:eastAsia="Aptos" w:cs="Aptos"/>
          <w:szCs w:val="22"/>
          <w:lang w:eastAsia="ja-JP"/>
        </w:rPr>
      </w:pPr>
      <w:r w:rsidRPr="00050A2B">
        <w:rPr>
          <w:rFonts w:eastAsia="Aptos" w:cs="Aptos"/>
          <w:szCs w:val="22"/>
          <w:lang w:eastAsia="ja-JP"/>
        </w:rPr>
        <w:t xml:space="preserve">Cboe further notes that additional improvements to the flagging mechanism could be achieved by the inclusion of other non-price forming flags, such as CLSE and BENC, to include even more comprehensive data coverage and contribute to a more consistent treatment of various technical trades during the performance of transparency calculations. </w:t>
      </w:r>
    </w:p>
    <w:p w14:paraId="16992660" w14:textId="77777777" w:rsidR="001B43E2" w:rsidRPr="00050A2B" w:rsidRDefault="001B43E2" w:rsidP="001B43E2">
      <w:pPr>
        <w:spacing w:before="240" w:after="240" w:line="279" w:lineRule="auto"/>
        <w:rPr>
          <w:rFonts w:eastAsia="Aptos" w:cs="Aptos"/>
          <w:szCs w:val="22"/>
          <w:lang w:eastAsia="ja-JP"/>
        </w:rPr>
      </w:pPr>
      <w:r w:rsidRPr="00050A2B">
        <w:rPr>
          <w:rFonts w:eastAsia="Aptos" w:cs="Aptos"/>
          <w:szCs w:val="22"/>
          <w:lang w:eastAsia="ja-JP"/>
        </w:rPr>
        <w:t>From a technical perspective, Cboe does not foresee insurmountable challenges in implementing the proposed changes. Cboe notes that currently, transactions should already be grouped by waiver types, so adding new waiver types and introducing a more granular grouping should present little difficulty. The key constraint in implementation would primarily depend on the “breadth” of the flags created in the architectural system within the matching engine. There is strong dependency if the necessary flag changes may be included within the scope of the flags existing at the core of the system of a trading venue. This will be critic</w:t>
      </w:r>
      <w:r w:rsidRPr="653B8A47">
        <w:rPr>
          <w:rFonts w:eastAsia="Aptos" w:cs="Aptos"/>
          <w:szCs w:val="22"/>
          <w:lang w:eastAsia="ja-JP"/>
        </w:rPr>
        <w:t xml:space="preserve">al to determine </w:t>
      </w:r>
      <w:r w:rsidRPr="00050A2B">
        <w:rPr>
          <w:rFonts w:eastAsia="Aptos" w:cs="Aptos"/>
          <w:szCs w:val="22"/>
          <w:lang w:eastAsia="ja-JP"/>
        </w:rPr>
        <w:t>if, these changes could be  integrated into existing data frameworks for reporting purposes.</w:t>
      </w:r>
    </w:p>
    <w:p w14:paraId="7702A3CE" w14:textId="7CE19785" w:rsidR="00FA4100" w:rsidRDefault="00FA4100" w:rsidP="00FA4100">
      <w:pPr>
        <w:spacing w:after="0"/>
      </w:pPr>
    </w:p>
    <w:permEnd w:id="1461735347"/>
    <w:p w14:paraId="3B530B2D" w14:textId="55E842A0" w:rsidR="00FA4100" w:rsidRDefault="00FA4100" w:rsidP="00FA4100">
      <w:pPr>
        <w:spacing w:after="0"/>
      </w:pPr>
      <w:r>
        <w:t>&lt;ESMA_QUESTION</w:t>
      </w:r>
      <w:r w:rsidR="005D4F78">
        <w:t>_CP3_</w:t>
      </w:r>
      <w:r w:rsidR="00737DD9">
        <w:t>33</w:t>
      </w:r>
      <w:r>
        <w:t>&gt;</w:t>
      </w:r>
    </w:p>
    <w:p w14:paraId="2BFF0314" w14:textId="77777777" w:rsidR="00FA4100" w:rsidRDefault="00FA4100" w:rsidP="00C54034">
      <w:pPr>
        <w:spacing w:after="0"/>
      </w:pPr>
    </w:p>
    <w:p w14:paraId="4A79DB36" w14:textId="0821E5F7" w:rsidR="00FA4100" w:rsidRDefault="005D4F78" w:rsidP="007C5BD5">
      <w:pPr>
        <w:pStyle w:val="Questionstyle"/>
      </w:pPr>
      <w:r w:rsidRPr="005D4F78">
        <w:t>Do you agree with the proposed amendments to Articles 16 to 19 of RTS 1? Please explain</w:t>
      </w:r>
      <w:r w:rsidR="00FA4100">
        <w:t>.</w:t>
      </w:r>
    </w:p>
    <w:p w14:paraId="3FDB778A" w14:textId="1850B609" w:rsidR="00FA4100" w:rsidRDefault="00FA4100" w:rsidP="00FA4100">
      <w:pPr>
        <w:spacing w:after="0"/>
      </w:pPr>
      <w:r>
        <w:t>&lt;ESMA_QUESTION</w:t>
      </w:r>
      <w:r w:rsidR="005D4F78">
        <w:t>_CP3_</w:t>
      </w:r>
      <w:r w:rsidR="00737DD9">
        <w:t>34</w:t>
      </w:r>
      <w:r>
        <w:t>&gt;</w:t>
      </w:r>
    </w:p>
    <w:p w14:paraId="4599705C" w14:textId="77777777" w:rsidR="00506A27" w:rsidRPr="00050A2B" w:rsidRDefault="00506A27" w:rsidP="00506A27">
      <w:pPr>
        <w:spacing w:after="0"/>
        <w:rPr>
          <w:rFonts w:eastAsia="Aptos" w:cs="Aptos"/>
          <w:szCs w:val="22"/>
          <w:lang w:eastAsia="ja-JP"/>
        </w:rPr>
      </w:pPr>
      <w:permStart w:id="526140180" w:edGrp="everyone"/>
      <w:r w:rsidRPr="00050A2B">
        <w:rPr>
          <w:rFonts w:eastAsia="Aptos" w:cs="Aptos"/>
          <w:szCs w:val="22"/>
          <w:lang w:eastAsia="ja-JP"/>
        </w:rPr>
        <w:t>Cboe broadly agrees with the proposed</w:t>
      </w:r>
      <w:r w:rsidRPr="34FC3B84">
        <w:rPr>
          <w:rFonts w:eastAsia="Aptos" w:cs="Aptos"/>
          <w:b/>
          <w:bCs/>
          <w:szCs w:val="22"/>
          <w:lang w:eastAsia="ja-JP"/>
        </w:rPr>
        <w:t xml:space="preserve"> </w:t>
      </w:r>
      <w:r w:rsidRPr="00050A2B">
        <w:rPr>
          <w:rFonts w:eastAsia="Aptos" w:cs="Aptos"/>
          <w:szCs w:val="22"/>
          <w:lang w:eastAsia="ja-JP"/>
        </w:rPr>
        <w:t>amendments to Articles 16, 17, and 18, as well as the removal of Article 19. Specifically:</w:t>
      </w:r>
    </w:p>
    <w:p w14:paraId="2A7850B7" w14:textId="77777777" w:rsidR="00506A27" w:rsidRPr="00050A2B" w:rsidRDefault="00506A27" w:rsidP="00506A27">
      <w:pPr>
        <w:spacing w:after="0"/>
        <w:rPr>
          <w:rFonts w:eastAsia="Aptos" w:cs="Aptos"/>
          <w:szCs w:val="22"/>
          <w:lang w:eastAsia="ja-JP"/>
        </w:rPr>
      </w:pPr>
      <w:r w:rsidRPr="00050A2B">
        <w:rPr>
          <w:rFonts w:eastAsia="Aptos" w:cs="Aptos"/>
          <w:szCs w:val="22"/>
          <w:lang w:eastAsia="ja-JP"/>
        </w:rPr>
        <w:t xml:space="preserve"> - As to Article 16, concerning trading day and daily trading hours: there are no changes proposed to this article, and Cboe considers the current provisions to be satisfactory and not to raise concerns.</w:t>
      </w:r>
    </w:p>
    <w:p w14:paraId="64BD4768" w14:textId="77777777" w:rsidR="00506A27" w:rsidRPr="00050A2B" w:rsidRDefault="00506A27" w:rsidP="00506A27">
      <w:pPr>
        <w:keepNext/>
        <w:keepLines/>
        <w:spacing w:after="0" w:line="279" w:lineRule="auto"/>
        <w:outlineLvl w:val="2"/>
        <w:rPr>
          <w:rFonts w:eastAsia="Aptos" w:cs="Aptos"/>
          <w:szCs w:val="22"/>
          <w:lang w:eastAsia="ja-JP"/>
        </w:rPr>
      </w:pPr>
      <w:r w:rsidRPr="00050A2B">
        <w:rPr>
          <w:rFonts w:eastAsia="Aptos" w:cs="Aptos"/>
          <w:szCs w:val="22"/>
          <w:lang w:eastAsia="ja-JP"/>
        </w:rPr>
        <w:t xml:space="preserve"> - As to Article 17, concerning the collection of data by national competent authorities for the application of transparency calculations,  Cboe notes that the proposed amendments appear to be minor clean-ups that reflect Level 1 changes introduced by the MiFIR review, which seem necessary for clarity and alignment. Cboe has no concerns about the proposed changes.</w:t>
      </w:r>
    </w:p>
    <w:p w14:paraId="4C695332" w14:textId="77777777" w:rsidR="00506A27" w:rsidRPr="00050A2B" w:rsidRDefault="00506A27" w:rsidP="00506A27">
      <w:pPr>
        <w:keepNext/>
        <w:keepLines/>
        <w:spacing w:after="0" w:line="279" w:lineRule="auto"/>
        <w:outlineLvl w:val="2"/>
        <w:rPr>
          <w:rFonts w:eastAsia="Aptos" w:cs="Aptos"/>
          <w:szCs w:val="22"/>
          <w:lang w:eastAsia="ja-JP"/>
        </w:rPr>
      </w:pPr>
      <w:r w:rsidRPr="00050A2B">
        <w:rPr>
          <w:rFonts w:eastAsia="Aptos" w:cs="Aptos"/>
          <w:szCs w:val="22"/>
          <w:lang w:eastAsia="ja-JP"/>
        </w:rPr>
        <w:t xml:space="preserve"> - As to Article 18, concerning references to competent authorities, Cboe finds the current wording of Article 18 appropriate and agrees that no amendments are needed.</w:t>
      </w:r>
    </w:p>
    <w:p w14:paraId="7FA98D03" w14:textId="77777777" w:rsidR="00506A27" w:rsidRPr="00050A2B" w:rsidRDefault="00506A27" w:rsidP="00506A27">
      <w:pPr>
        <w:keepNext/>
        <w:keepLines/>
        <w:spacing w:after="0" w:line="279" w:lineRule="auto"/>
        <w:outlineLvl w:val="2"/>
        <w:rPr>
          <w:rFonts w:eastAsia="Aptos" w:cs="Aptos"/>
          <w:szCs w:val="22"/>
          <w:lang w:eastAsia="ja-JP"/>
        </w:rPr>
      </w:pPr>
      <w:r w:rsidRPr="00050A2B">
        <w:rPr>
          <w:rFonts w:eastAsia="Aptos" w:cs="Aptos"/>
          <w:szCs w:val="22"/>
          <w:lang w:eastAsia="ja-JP"/>
        </w:rPr>
        <w:t xml:space="preserve"> - As to Article 19, which concerned transitional provisions, Cboe notes that the removal of the provision is appropriate as it had become obsolete and unnecessary.</w:t>
      </w:r>
    </w:p>
    <w:p w14:paraId="6185C990" w14:textId="4DAB744C" w:rsidR="00FA4100" w:rsidRDefault="00FA4100" w:rsidP="00FA4100">
      <w:pPr>
        <w:spacing w:after="0"/>
      </w:pPr>
    </w:p>
    <w:permEnd w:id="526140180"/>
    <w:p w14:paraId="649290BF" w14:textId="7EA8BD75" w:rsidR="00FA4100" w:rsidRDefault="00FA4100" w:rsidP="00FA4100">
      <w:pPr>
        <w:spacing w:after="0"/>
      </w:pPr>
      <w:r>
        <w:t>&lt;ESMA_QUESTION</w:t>
      </w:r>
      <w:r w:rsidR="005D4F78">
        <w:t>_CP3_</w:t>
      </w:r>
      <w:r w:rsidR="00737DD9">
        <w:t>34</w:t>
      </w:r>
      <w:r>
        <w:t>&gt;</w:t>
      </w:r>
    </w:p>
    <w:p w14:paraId="6853A49D" w14:textId="5B559923" w:rsidR="00FA4100" w:rsidRDefault="005D4F78" w:rsidP="007C5BD5">
      <w:pPr>
        <w:pStyle w:val="Questionstyle"/>
      </w:pPr>
      <w:r w:rsidRPr="005D4F78">
        <w:t>Do you agree with the proposed different application dates for the different provisions in Article 20 of RTS 1? Please explain</w:t>
      </w:r>
      <w:r w:rsidR="00FA4100">
        <w:t>.</w:t>
      </w:r>
    </w:p>
    <w:p w14:paraId="6BDEFCE4" w14:textId="06BF7B24" w:rsidR="00FA4100" w:rsidRDefault="00FA4100" w:rsidP="00FA4100">
      <w:pPr>
        <w:spacing w:after="0"/>
      </w:pPr>
      <w:r>
        <w:t>&lt;ESMA_QUESTION</w:t>
      </w:r>
      <w:r w:rsidR="005D4F78">
        <w:t>_CP3_</w:t>
      </w:r>
      <w:r w:rsidR="00737DD9">
        <w:t>35</w:t>
      </w:r>
      <w:r>
        <w:t>&gt;</w:t>
      </w:r>
    </w:p>
    <w:p w14:paraId="246CD3D1" w14:textId="77777777" w:rsidR="00D7004C" w:rsidRPr="00050A2B" w:rsidRDefault="00D7004C" w:rsidP="00D7004C">
      <w:pPr>
        <w:spacing w:before="240" w:after="240"/>
        <w:rPr>
          <w:rFonts w:eastAsia="Aptos" w:cs="Aptos"/>
          <w:szCs w:val="22"/>
          <w:lang w:eastAsia="ja-JP"/>
        </w:rPr>
      </w:pPr>
      <w:permStart w:id="657797640" w:edGrp="everyone"/>
      <w:r w:rsidRPr="00050A2B">
        <w:rPr>
          <w:rFonts w:eastAsia="Aptos" w:cs="Aptos"/>
          <w:szCs w:val="22"/>
          <w:lang w:eastAsia="ja-JP"/>
        </w:rPr>
        <w:t>Cboe would like to express its concerns regarding the proposal for different application dates for various provisions, as outlined in Article 20 of RTS 1. While Cboe acknowledges the need for flexibility in the implementation of new regulatory standards, the current approach presents several challenges for the industry, particularly in terms of clarity, coordination, and foreseeability.</w:t>
      </w:r>
    </w:p>
    <w:p w14:paraId="7E06C161" w14:textId="77777777" w:rsidR="00D7004C" w:rsidRPr="00050A2B" w:rsidRDefault="00D7004C" w:rsidP="00D7004C">
      <w:pPr>
        <w:rPr>
          <w:rFonts w:eastAsia="Aptos" w:cs="Aptos"/>
          <w:szCs w:val="22"/>
          <w:lang w:eastAsia="ja-JP"/>
        </w:rPr>
      </w:pPr>
      <w:r w:rsidRPr="00050A2B">
        <w:rPr>
          <w:rFonts w:eastAsia="Aptos" w:cs="Aptos"/>
          <w:szCs w:val="22"/>
          <w:lang w:eastAsia="ja-JP"/>
        </w:rPr>
        <w:t>Managing the different application dates proposed for various provisions presents complexities and difficulties for market participants, additional to the implementation challenges. Given that many of these provisions are interconnected, Cboe has concerns about the staggered implementation of different provisions, which creates ambiguity. Cboe would like to call for greater clarity and more simplicity, e.g. in the form of specific dates.  The addition of transitional periods and staggered implementation dates add unnecessary complexity and does not contribute to effectively manage the timely implementation of the new proposed rules.  Moreover, the proposed different application dates could lead to suboptimal outcomes, especially since the dates are not defined.</w:t>
      </w:r>
    </w:p>
    <w:p w14:paraId="643598E0" w14:textId="77777777" w:rsidR="00D7004C" w:rsidRPr="00050A2B" w:rsidRDefault="00D7004C" w:rsidP="00D7004C">
      <w:pPr>
        <w:numPr>
          <w:ilvl w:val="0"/>
          <w:numId w:val="40"/>
        </w:numPr>
        <w:spacing w:after="160" w:line="279" w:lineRule="auto"/>
        <w:contextualSpacing/>
        <w:rPr>
          <w:rFonts w:eastAsia="Aptos" w:cs="Aptos"/>
          <w:szCs w:val="22"/>
          <w:lang w:eastAsia="ja-JP"/>
        </w:rPr>
      </w:pPr>
      <w:r w:rsidRPr="00050A2B">
        <w:rPr>
          <w:rFonts w:eastAsia="Aptos" w:cs="Aptos"/>
          <w:szCs w:val="22"/>
          <w:lang w:eastAsia="ja-JP"/>
        </w:rPr>
        <w:t>Some changes take effect 20 days after publication in the Official Journal of the European Union. This date is not defined.</w:t>
      </w:r>
    </w:p>
    <w:p w14:paraId="7736C647" w14:textId="77777777" w:rsidR="00D7004C" w:rsidRPr="00050A2B" w:rsidRDefault="00D7004C" w:rsidP="00D7004C">
      <w:pPr>
        <w:numPr>
          <w:ilvl w:val="0"/>
          <w:numId w:val="41"/>
        </w:numPr>
        <w:spacing w:after="160" w:line="279" w:lineRule="auto"/>
        <w:contextualSpacing/>
        <w:rPr>
          <w:rFonts w:eastAsia="Aptos" w:cs="Aptos"/>
          <w:szCs w:val="22"/>
          <w:lang w:eastAsia="ja-JP"/>
        </w:rPr>
      </w:pPr>
      <w:r w:rsidRPr="00050A2B">
        <w:rPr>
          <w:rFonts w:eastAsia="Aptos" w:cs="Aptos"/>
          <w:szCs w:val="22"/>
          <w:lang w:eastAsia="ja-JP"/>
        </w:rPr>
        <w:t>Some changes take effect on 1 May 2025. This is clear.</w:t>
      </w:r>
    </w:p>
    <w:p w14:paraId="0B618A22" w14:textId="77777777" w:rsidR="00D7004C" w:rsidRPr="00050A2B" w:rsidRDefault="00D7004C" w:rsidP="00D7004C">
      <w:pPr>
        <w:numPr>
          <w:ilvl w:val="0"/>
          <w:numId w:val="41"/>
        </w:numPr>
        <w:spacing w:after="160" w:line="279" w:lineRule="auto"/>
        <w:contextualSpacing/>
        <w:rPr>
          <w:rFonts w:eastAsia="Aptos" w:cs="Aptos"/>
          <w:szCs w:val="22"/>
          <w:lang w:eastAsia="ja-JP"/>
        </w:rPr>
      </w:pPr>
      <w:r w:rsidRPr="00050A2B">
        <w:rPr>
          <w:rFonts w:eastAsia="Aptos" w:cs="Aptos"/>
          <w:szCs w:val="22"/>
          <w:lang w:eastAsia="ja-JP"/>
        </w:rPr>
        <w:t>Some changes take effect 18 months after entry into force of RTS 23. This date is not defined.</w:t>
      </w:r>
    </w:p>
    <w:p w14:paraId="37FCE30A" w14:textId="77777777" w:rsidR="00D7004C" w:rsidRPr="00050A2B" w:rsidRDefault="00D7004C" w:rsidP="00D7004C">
      <w:pPr>
        <w:rPr>
          <w:rFonts w:eastAsia="Aptos" w:cs="Aptos"/>
          <w:szCs w:val="22"/>
          <w:lang w:eastAsia="ja-JP"/>
        </w:rPr>
      </w:pPr>
      <w:r w:rsidRPr="00050A2B">
        <w:rPr>
          <w:rFonts w:eastAsia="Aptos" w:cs="Aptos"/>
          <w:szCs w:val="22"/>
          <w:lang w:eastAsia="ja-JP"/>
        </w:rPr>
        <w:t>Cboe would like to stress the necessity for the industry to obtain sufficient time to implement all relevant changes:</w:t>
      </w:r>
    </w:p>
    <w:p w14:paraId="7B9EC24F" w14:textId="77777777" w:rsidR="00D7004C" w:rsidRPr="00050A2B" w:rsidRDefault="00D7004C" w:rsidP="00D7004C">
      <w:pPr>
        <w:numPr>
          <w:ilvl w:val="0"/>
          <w:numId w:val="39"/>
        </w:numPr>
        <w:spacing w:after="160" w:line="279" w:lineRule="auto"/>
        <w:contextualSpacing/>
        <w:rPr>
          <w:rFonts w:eastAsia="Aptos" w:cs="Aptos"/>
          <w:szCs w:val="22"/>
          <w:lang w:eastAsia="ja-JP"/>
        </w:rPr>
      </w:pPr>
      <w:r w:rsidRPr="00050A2B">
        <w:rPr>
          <w:rFonts w:eastAsia="Aptos" w:cs="Aptos"/>
          <w:szCs w:val="22"/>
          <w:lang w:eastAsia="ja-JP"/>
        </w:rPr>
        <w:t>At least</w:t>
      </w:r>
      <w:r w:rsidRPr="00050A2B">
        <w:rPr>
          <w:rFonts w:eastAsia="Aptos" w:cs="Aptos"/>
          <w:b/>
          <w:szCs w:val="22"/>
          <w:lang w:eastAsia="ja-JP"/>
        </w:rPr>
        <w:t xml:space="preserve"> 6 months</w:t>
      </w:r>
      <w:r w:rsidRPr="00050A2B">
        <w:rPr>
          <w:rFonts w:eastAsia="Aptos" w:cs="Aptos"/>
          <w:szCs w:val="22"/>
          <w:lang w:eastAsia="ja-JP"/>
        </w:rPr>
        <w:t xml:space="preserve"> for trading venues and APAs , given their more complex infrastructure and system integration requirements; and</w:t>
      </w:r>
    </w:p>
    <w:p w14:paraId="14913C13" w14:textId="77777777" w:rsidR="00D7004C" w:rsidRPr="00050A2B" w:rsidRDefault="00D7004C" w:rsidP="00D7004C">
      <w:pPr>
        <w:numPr>
          <w:ilvl w:val="0"/>
          <w:numId w:val="39"/>
        </w:numPr>
        <w:spacing w:before="240" w:after="0" w:line="279" w:lineRule="auto"/>
        <w:contextualSpacing/>
        <w:rPr>
          <w:rFonts w:eastAsia="Aptos" w:cs="Aptos"/>
          <w:szCs w:val="22"/>
          <w:lang w:eastAsia="ja-JP"/>
        </w:rPr>
      </w:pPr>
      <w:r w:rsidRPr="00050A2B">
        <w:rPr>
          <w:rFonts w:eastAsia="Aptos" w:cs="Aptos"/>
          <w:szCs w:val="22"/>
          <w:lang w:eastAsia="ja-JP"/>
        </w:rPr>
        <w:t xml:space="preserve">An additional </w:t>
      </w:r>
      <w:r w:rsidRPr="00050A2B">
        <w:rPr>
          <w:rFonts w:eastAsia="Aptos" w:cs="Aptos"/>
          <w:b/>
          <w:szCs w:val="22"/>
          <w:lang w:eastAsia="ja-JP"/>
        </w:rPr>
        <w:t>3 months</w:t>
      </w:r>
      <w:r w:rsidRPr="00050A2B">
        <w:rPr>
          <w:rFonts w:eastAsia="Aptos" w:cs="Aptos"/>
          <w:szCs w:val="22"/>
          <w:lang w:eastAsia="ja-JP"/>
        </w:rPr>
        <w:t xml:space="preserve"> for participants and users to implement the changes on their end after the trading venues and APAs have completed their updates. This approach would also help participants to test their systems and ensure compliance.</w:t>
      </w:r>
    </w:p>
    <w:p w14:paraId="22BA639F" w14:textId="77777777" w:rsidR="00D7004C" w:rsidRPr="00050A2B" w:rsidRDefault="00D7004C" w:rsidP="00D7004C">
      <w:pPr>
        <w:rPr>
          <w:rFonts w:eastAsia="Aptos" w:cs="Aptos"/>
          <w:szCs w:val="22"/>
          <w:lang w:eastAsia="ja-JP"/>
        </w:rPr>
      </w:pPr>
      <w:r w:rsidRPr="00050A2B">
        <w:rPr>
          <w:rFonts w:eastAsia="Aptos" w:cs="Aptos"/>
          <w:szCs w:val="22"/>
          <w:lang w:eastAsia="ja-JP"/>
        </w:rPr>
        <w:t>It is crucial to ensure that the effective dates mentioned in various parts of this and other relevant CP a realistic timeframe for implementation, especially considering the scope of changes required.</w:t>
      </w:r>
    </w:p>
    <w:p w14:paraId="64989935" w14:textId="6AE66991" w:rsidR="00FA4100" w:rsidRDefault="00FA4100" w:rsidP="00FA4100">
      <w:pPr>
        <w:spacing w:after="0"/>
      </w:pPr>
    </w:p>
    <w:permEnd w:id="657797640"/>
    <w:p w14:paraId="4D3A7320" w14:textId="11962B4D" w:rsidR="00FA4100" w:rsidRDefault="00FA4100" w:rsidP="00FA4100">
      <w:pPr>
        <w:spacing w:after="0"/>
      </w:pPr>
      <w:r>
        <w:t>&lt;ESMA_QUESTION</w:t>
      </w:r>
      <w:r w:rsidR="005D4F78">
        <w:t>_CP3_</w:t>
      </w:r>
      <w:r w:rsidR="00737DD9">
        <w:t>35</w:t>
      </w:r>
      <w:r>
        <w:t>&gt;</w:t>
      </w:r>
    </w:p>
    <w:p w14:paraId="198FBE4F" w14:textId="77777777" w:rsidR="00FA4100" w:rsidRDefault="00FA4100" w:rsidP="00C54034">
      <w:pPr>
        <w:spacing w:after="0"/>
      </w:pPr>
    </w:p>
    <w:p w14:paraId="3223B317" w14:textId="77777777" w:rsidR="005D4F78" w:rsidRDefault="005D4F78" w:rsidP="00C54034">
      <w:pPr>
        <w:spacing w:after="0"/>
      </w:pPr>
    </w:p>
    <w:p w14:paraId="220BF01D" w14:textId="77777777" w:rsidR="005D4F78" w:rsidRDefault="005D4F78" w:rsidP="00C54034">
      <w:pPr>
        <w:spacing w:after="0"/>
      </w:pPr>
    </w:p>
    <w:p w14:paraId="15E63620" w14:textId="77777777" w:rsidR="005D4F78" w:rsidRDefault="005D4F78" w:rsidP="00C54034">
      <w:pPr>
        <w:spacing w:after="0"/>
      </w:pPr>
    </w:p>
    <w:p w14:paraId="7A15496D" w14:textId="77777777" w:rsidR="005D4F78" w:rsidRDefault="005D4F78" w:rsidP="00C54034">
      <w:pPr>
        <w:spacing w:after="0"/>
      </w:pPr>
    </w:p>
    <w:p w14:paraId="56748E95" w14:textId="77777777" w:rsidR="005D4F78" w:rsidRDefault="005D4F78" w:rsidP="00C54034">
      <w:pPr>
        <w:spacing w:after="0"/>
      </w:pPr>
    </w:p>
    <w:p w14:paraId="127096B4" w14:textId="77777777" w:rsidR="005D4F78" w:rsidRDefault="005D4F78" w:rsidP="00C54034">
      <w:pPr>
        <w:spacing w:after="0"/>
      </w:pPr>
    </w:p>
    <w:p w14:paraId="6328CB71" w14:textId="77777777" w:rsidR="005D4F78" w:rsidRDefault="005D4F78" w:rsidP="00C54034">
      <w:pPr>
        <w:spacing w:after="0"/>
      </w:pPr>
    </w:p>
    <w:p w14:paraId="52B0384C" w14:textId="77777777" w:rsidR="005D4F78" w:rsidRDefault="005D4F78" w:rsidP="00C54034">
      <w:pPr>
        <w:spacing w:after="0"/>
      </w:pPr>
    </w:p>
    <w:p w14:paraId="58695D10" w14:textId="77777777" w:rsidR="005D4F78" w:rsidRDefault="005D4F78" w:rsidP="00C54034">
      <w:pPr>
        <w:spacing w:after="0"/>
      </w:pPr>
    </w:p>
    <w:p w14:paraId="4B2797EF" w14:textId="77777777" w:rsidR="005D4F78" w:rsidRDefault="005D4F78" w:rsidP="00C54034">
      <w:pPr>
        <w:spacing w:after="0"/>
      </w:pPr>
    </w:p>
    <w:p w14:paraId="1AA93C0B" w14:textId="77777777" w:rsidR="005D4F78" w:rsidRDefault="005D4F78" w:rsidP="00C54034">
      <w:pPr>
        <w:spacing w:after="0"/>
      </w:pPr>
    </w:p>
    <w:p w14:paraId="388B9888" w14:textId="77777777" w:rsidR="005D4F78" w:rsidRDefault="005D4F78" w:rsidP="00C54034">
      <w:pPr>
        <w:spacing w:after="0"/>
      </w:pPr>
    </w:p>
    <w:p w14:paraId="3E0B541B" w14:textId="77777777" w:rsidR="005D4F78" w:rsidRDefault="005D4F78" w:rsidP="00C54034">
      <w:pPr>
        <w:spacing w:after="0"/>
      </w:pPr>
    </w:p>
    <w:p w14:paraId="3415A11F" w14:textId="3CD2F5BB" w:rsidR="005D4F78" w:rsidRDefault="005D4F78">
      <w:pPr>
        <w:spacing w:after="0" w:line="240" w:lineRule="auto"/>
        <w:jc w:val="left"/>
      </w:pPr>
      <w:r>
        <w:br w:type="page"/>
      </w:r>
    </w:p>
    <w:p w14:paraId="41CAA899" w14:textId="0B2D2A77" w:rsidR="007C5BD5" w:rsidRPr="00B25E0D" w:rsidRDefault="007C5BD5" w:rsidP="007C5BD5">
      <w:pPr>
        <w:pStyle w:val="Heading1"/>
        <w:numPr>
          <w:ilvl w:val="0"/>
          <w:numId w:val="0"/>
        </w:numPr>
        <w:ind w:left="709"/>
      </w:pPr>
      <w:r>
        <w:t>2.</w:t>
      </w:r>
      <w:r w:rsidR="001878C6">
        <w:t>3</w:t>
      </w:r>
      <w:r>
        <w:t xml:space="preserve"> Input / Output data RTS (equity CTP)</w:t>
      </w:r>
    </w:p>
    <w:p w14:paraId="608AA436" w14:textId="77777777" w:rsidR="007C5BD5" w:rsidRDefault="007C5BD5">
      <w:pPr>
        <w:spacing w:after="0" w:line="240" w:lineRule="auto"/>
        <w:jc w:val="left"/>
      </w:pPr>
    </w:p>
    <w:p w14:paraId="4DAA1309" w14:textId="14AAED23" w:rsidR="00FA4100" w:rsidRDefault="007C5BD5" w:rsidP="00EE57EB">
      <w:pPr>
        <w:pStyle w:val="Questionstyle"/>
        <w:numPr>
          <w:ilvl w:val="0"/>
          <w:numId w:val="37"/>
        </w:numPr>
      </w:pPr>
      <w:r w:rsidRPr="007C5BD5">
        <w:t>Do you agree with the proposal for the Data related to the status of individual financial instruments? If not, please explain</w:t>
      </w:r>
      <w:r w:rsidR="00FA4100">
        <w:t>.</w:t>
      </w:r>
    </w:p>
    <w:p w14:paraId="10A92E6B" w14:textId="42F29641" w:rsidR="00FA4100" w:rsidRDefault="00FA4100" w:rsidP="00FA4100">
      <w:pPr>
        <w:spacing w:after="0"/>
      </w:pPr>
      <w:r>
        <w:t>&lt;ESMA_QUESTION</w:t>
      </w:r>
      <w:r w:rsidR="005D4F78">
        <w:t>_CP3_</w:t>
      </w:r>
      <w:r w:rsidR="007C5BD5">
        <w:t>55</w:t>
      </w:r>
      <w:r>
        <w:t>&gt;</w:t>
      </w:r>
    </w:p>
    <w:p w14:paraId="6A9CACCA" w14:textId="77777777" w:rsidR="000949FF" w:rsidRDefault="000949FF" w:rsidP="000949FF">
      <w:pPr>
        <w:spacing w:after="0"/>
        <w:rPr>
          <w:lang w:val="en-US"/>
        </w:rPr>
      </w:pPr>
      <w:permStart w:id="1477078338" w:edGrp="everyone"/>
      <w:r w:rsidRPr="000949FF">
        <w:rPr>
          <w:lang w:val="en-US"/>
        </w:rPr>
        <w:t>Whilst generally supporting ESMA’s approach to defining data related to the status of individual financial instruments, Cboe believes several additional considerations need to be still made to further refine and ensure clarity and practicality to ESMA’s proposal for new RTSs. Cboe would like to offer its observations and recommendations below. </w:t>
      </w:r>
    </w:p>
    <w:p w14:paraId="2C722C99" w14:textId="77777777" w:rsidR="00AC04F8" w:rsidRDefault="00AC04F8" w:rsidP="004545BD">
      <w:pPr>
        <w:spacing w:after="0"/>
        <w:rPr>
          <w:lang w:val="en-US"/>
        </w:rPr>
      </w:pPr>
    </w:p>
    <w:p w14:paraId="179DA245" w14:textId="2ED7EB7F" w:rsidR="000949FF" w:rsidRPr="000949FF" w:rsidRDefault="000949FF" w:rsidP="004545BD">
      <w:pPr>
        <w:spacing w:after="0"/>
        <w:rPr>
          <w:lang w:val="en-US"/>
        </w:rPr>
      </w:pPr>
      <w:r w:rsidRPr="000949FF">
        <w:rPr>
          <w:lang w:val="en-US"/>
        </w:rPr>
        <w:t>Cboe doubts that the concept of tracking status at the level of “trading systems”, as introduced in the CP, will have practical value as it may not be meaningful to report system-level data separately from instrument-level data. Cboe’s concerns are two-fold: </w:t>
      </w:r>
    </w:p>
    <w:p w14:paraId="1566DF3A" w14:textId="77777777" w:rsidR="000949FF" w:rsidRPr="000949FF" w:rsidRDefault="000949FF" w:rsidP="000949FF">
      <w:pPr>
        <w:spacing w:after="0"/>
        <w:rPr>
          <w:lang w:val="en-US"/>
        </w:rPr>
      </w:pPr>
      <w:r w:rsidRPr="000949FF">
        <w:rPr>
          <w:lang w:val="en-US"/>
        </w:rPr>
        <w:t xml:space="preserve">- In its recitals, ESMA defines regulatory data as granular at the level of individual trading systems. However, this raises a question as to the definition and acceptance of the functioning of multiple </w:t>
      </w:r>
      <w:r w:rsidRPr="000949FF">
        <w:rPr>
          <w:i/>
          <w:iCs/>
          <w:lang w:val="en-US"/>
        </w:rPr>
        <w:t xml:space="preserve">trading systems when they are part of the same venue. </w:t>
      </w:r>
      <w:r w:rsidRPr="000949FF">
        <w:rPr>
          <w:lang w:val="en-US"/>
        </w:rPr>
        <w:t>Per the CP 2, ESMA clarified the definition of Central Limit Order Book (CLOB) as intended to include also e.g. dark pools.  </w:t>
      </w:r>
    </w:p>
    <w:p w14:paraId="268E635A" w14:textId="77777777" w:rsidR="000949FF" w:rsidRPr="000949FF" w:rsidRDefault="000949FF" w:rsidP="000949FF">
      <w:pPr>
        <w:spacing w:after="0"/>
        <w:rPr>
          <w:lang w:val="en-US"/>
        </w:rPr>
      </w:pPr>
      <w:r w:rsidRPr="000949FF">
        <w:rPr>
          <w:lang w:val="en-US"/>
        </w:rPr>
        <w:t>- In Cboe’s practical experience, model trading statuses are best split across different "books" with a single field. This approach is well-suitable to cases where one part of the venue (e.g., the lit book part of a CLOB) is trading but another part (e.g., the dark pool) is not – such as when there is no reference price. From this same perspective, Cboe also noted a further fallacy to ESMA’s approach to potentially arise when considering scenarios where different matching units within the same trading venue are affected. That might be the case, by way of example, where few of the matching engine units of a trading system are down.  </w:t>
      </w:r>
    </w:p>
    <w:p w14:paraId="018E307D" w14:textId="77777777" w:rsidR="004545BD" w:rsidRDefault="004545BD" w:rsidP="000949FF">
      <w:pPr>
        <w:spacing w:after="0"/>
        <w:rPr>
          <w:lang w:val="en-US"/>
        </w:rPr>
      </w:pPr>
    </w:p>
    <w:p w14:paraId="3F863EC6" w14:textId="20FF69E5" w:rsidR="000949FF" w:rsidRPr="000949FF" w:rsidRDefault="000949FF" w:rsidP="000949FF">
      <w:pPr>
        <w:spacing w:after="0"/>
        <w:rPr>
          <w:lang w:val="en-US"/>
        </w:rPr>
      </w:pPr>
      <w:r w:rsidRPr="000949FF">
        <w:rPr>
          <w:lang w:val="en-US"/>
        </w:rPr>
        <w:t>These points lead Cboe to question whether setting the tracking status at the level of trading system is more appropriate than setting it per symbol. In this light, Cboe recommend that ESMA reconsiders the utility of the trading system level in the regulatory data structure, as it may introduce unnecessary complexity without adding clear value.  </w:t>
      </w:r>
    </w:p>
    <w:p w14:paraId="5889859E" w14:textId="77777777" w:rsidR="00AC04F8" w:rsidRDefault="00AC04F8" w:rsidP="00AC04F8">
      <w:pPr>
        <w:spacing w:after="0"/>
        <w:rPr>
          <w:lang w:val="en-US"/>
        </w:rPr>
      </w:pPr>
    </w:p>
    <w:p w14:paraId="1C230BEC" w14:textId="3D78A61D" w:rsidR="000949FF" w:rsidRDefault="000949FF" w:rsidP="00AC04F8">
      <w:pPr>
        <w:spacing w:after="0"/>
        <w:rPr>
          <w:lang w:val="en-US"/>
        </w:rPr>
      </w:pPr>
      <w:r w:rsidRPr="000949FF">
        <w:rPr>
          <w:lang w:val="en-US"/>
        </w:rPr>
        <w:t xml:space="preserve">Cboe also noted the use of inconsistent terminology </w:t>
      </w:r>
      <w:proofErr w:type="spellStart"/>
      <w:r w:rsidRPr="000949FF">
        <w:rPr>
          <w:lang w:val="en-US"/>
        </w:rPr>
        <w:t>throught</w:t>
      </w:r>
      <w:proofErr w:type="spellEnd"/>
      <w:r w:rsidRPr="000949FF">
        <w:rPr>
          <w:lang w:val="en-US"/>
        </w:rPr>
        <w:t xml:space="preserve"> the consulted documentation – e.g. making reference to "suspended from trading" and "removed from trading", which would require further clarification. Whereby ESMA means to refer to “removed from trading" to reflect delisting of a financial instrument from a venue, this status may not be appropriate for inclusion in the instrument status field, as delisting is typically a final event, rather than an operational trading status. More precise language distinguishing temporary suspensions from permanent </w:t>
      </w:r>
      <w:proofErr w:type="spellStart"/>
      <w:r w:rsidRPr="000949FF">
        <w:rPr>
          <w:lang w:val="en-US"/>
        </w:rPr>
        <w:t>delistings</w:t>
      </w:r>
      <w:proofErr w:type="spellEnd"/>
      <w:r w:rsidRPr="000949FF">
        <w:rPr>
          <w:lang w:val="en-US"/>
        </w:rPr>
        <w:t xml:space="preserve"> would help avoid confusion. </w:t>
      </w:r>
    </w:p>
    <w:p w14:paraId="4737A0E7" w14:textId="77777777" w:rsidR="00AC04F8" w:rsidRPr="000949FF" w:rsidRDefault="00AC04F8" w:rsidP="00AC04F8">
      <w:pPr>
        <w:spacing w:after="0"/>
        <w:rPr>
          <w:lang w:val="en-US"/>
        </w:rPr>
      </w:pPr>
    </w:p>
    <w:p w14:paraId="078D15FC" w14:textId="77777777" w:rsidR="000949FF" w:rsidRPr="000949FF" w:rsidRDefault="000949FF" w:rsidP="000949FF">
      <w:pPr>
        <w:spacing w:after="0"/>
        <w:rPr>
          <w:lang w:val="en-US"/>
        </w:rPr>
      </w:pPr>
      <w:r w:rsidRPr="000949FF">
        <w:rPr>
          <w:lang w:val="en-US"/>
        </w:rPr>
        <w:t>Cboe has also questions as to ESMA’s approach of using a "default trading" status and start-end time fields for non-default statuses during market close. For instance, it should be clarified whether, when a market closes, an instrument should be considered "removed from trading" (RMOV), and whether the end-time then correspond to the next market open. Cboe invites ESMA to address these ambiguities to ensure consistency in the way trading statuses are reported during market close and re-openings. </w:t>
      </w:r>
    </w:p>
    <w:p w14:paraId="4A910F55" w14:textId="77777777" w:rsidR="000949FF" w:rsidRPr="000949FF" w:rsidRDefault="000949FF" w:rsidP="000949FF">
      <w:pPr>
        <w:numPr>
          <w:ilvl w:val="0"/>
          <w:numId w:val="44"/>
        </w:numPr>
        <w:spacing w:after="0"/>
        <w:rPr>
          <w:lang w:val="en-US"/>
        </w:rPr>
      </w:pPr>
      <w:r w:rsidRPr="000949FF">
        <w:rPr>
          <w:lang w:val="en-US"/>
        </w:rPr>
        <w:t>Typically, as ESMA will know, exchanges publish instrument and market status through separate application messages. While the proposal aligns with this by including regulatory data in the CTP scope, Cboe’s impression is that the implementation of this structure seems unnecessarily complex. The absence of a status message implies that an instrument is actively trading by default. To simplify the process, Cboe recommends introducing an explicit "OK" status or similar that is published when an instrument resumes trading after a suspension or halt. This would provide a clearer signal to market participants and streamline data interpretation. </w:t>
      </w:r>
    </w:p>
    <w:p w14:paraId="3A05FEDB" w14:textId="77777777" w:rsidR="000949FF" w:rsidRPr="000949FF" w:rsidRDefault="000949FF" w:rsidP="000949FF">
      <w:pPr>
        <w:numPr>
          <w:ilvl w:val="0"/>
          <w:numId w:val="45"/>
        </w:numPr>
        <w:spacing w:after="0"/>
        <w:rPr>
          <w:lang w:val="en-US"/>
        </w:rPr>
      </w:pPr>
      <w:r w:rsidRPr="000949FF">
        <w:rPr>
          <w:lang w:val="en-US"/>
        </w:rPr>
        <w:t xml:space="preserve">Likewise, trading venues today often publish the trading phase of individual instruments, which complements the proposed halted/suspended status. Since instruments can shift phases at different times across different venues, Cboe recommend that the "Instrument Status" field be expanded to include the trading phase. The MMT "trading mode" (MMT Level 2), which is already widely adopted across the industry, could serve this purpose. Additionally, this would require that trading venues publish a trading status/phase for all instruments at the start of each trading session. To further refine this data, Cboe also propose adding the </w:t>
      </w:r>
      <w:r w:rsidRPr="000949FF">
        <w:rPr>
          <w:b/>
          <w:bCs/>
          <w:lang w:val="en-US"/>
        </w:rPr>
        <w:t>trading system type</w:t>
      </w:r>
      <w:r w:rsidRPr="000949FF">
        <w:rPr>
          <w:lang w:val="en-US"/>
        </w:rPr>
        <w:t xml:space="preserve"> to Table 1, enabling instrument status to be defined down to the system level. </w:t>
      </w:r>
    </w:p>
    <w:p w14:paraId="130EDC45" w14:textId="77777777" w:rsidR="000949FF" w:rsidRPr="000949FF" w:rsidRDefault="000949FF" w:rsidP="000949FF">
      <w:pPr>
        <w:numPr>
          <w:ilvl w:val="0"/>
          <w:numId w:val="46"/>
        </w:numPr>
        <w:spacing w:after="0"/>
        <w:rPr>
          <w:lang w:val="en-US"/>
        </w:rPr>
      </w:pPr>
      <w:r w:rsidRPr="000949FF">
        <w:rPr>
          <w:lang w:val="en-US"/>
        </w:rPr>
        <w:t>Further, Cboe proposes to exclude frequent batch auctions from the requirement due to the high volume of data they generate and the fact that status can be inferred from pre-trade transparency data. Including these would lead to data overload without significantly enhancing transparency. Cboe makes further reference to its reply provided to Q7 above. </w:t>
      </w:r>
    </w:p>
    <w:p w14:paraId="3C250C32" w14:textId="77777777" w:rsidR="000949FF" w:rsidRPr="000949FF" w:rsidRDefault="000949FF" w:rsidP="000949FF">
      <w:pPr>
        <w:numPr>
          <w:ilvl w:val="0"/>
          <w:numId w:val="47"/>
        </w:numPr>
        <w:spacing w:after="0"/>
        <w:rPr>
          <w:lang w:val="en-US"/>
        </w:rPr>
      </w:pPr>
      <w:r w:rsidRPr="000949FF">
        <w:rPr>
          <w:lang w:val="en-US"/>
        </w:rPr>
        <w:t>Cboe finally notes that in some cases, “segment MIC” and “trading system type” do not uniquely represent the trading behavior of a venue. A venue may operate multiple market models under a single segment MIC, such as a lit order book, a dark order book, and a conditional order model. Since these different models might fall under one MIC, the regulatory data should accommodate such cases to ensure accurate representation of venue operations. Also, the combination of ISIN and segment MIC does not always uniquely identify a tradable instrument. To avoid confusion, Cboe echoes the FIX group recommendation to include “currency” as an additional identifier, to ensure that each instrument can be unambiguously identified in the CTP system. </w:t>
      </w:r>
    </w:p>
    <w:p w14:paraId="78F4B92D" w14:textId="77777777" w:rsidR="000949FF" w:rsidRPr="000949FF" w:rsidRDefault="000949FF" w:rsidP="00FA4100">
      <w:pPr>
        <w:spacing w:after="0"/>
        <w:rPr>
          <w:lang w:val="en-US"/>
        </w:rPr>
      </w:pPr>
    </w:p>
    <w:permEnd w:id="1477078338"/>
    <w:p w14:paraId="064ED13B" w14:textId="3ADCF657" w:rsidR="00FA4100" w:rsidRDefault="00FA4100" w:rsidP="00FA4100">
      <w:pPr>
        <w:spacing w:after="0"/>
      </w:pPr>
      <w:r>
        <w:t>&lt;ESMA_QUESTION</w:t>
      </w:r>
      <w:r w:rsidR="005D4F78">
        <w:t>_CP3_</w:t>
      </w:r>
      <w:r w:rsidR="007C5BD5">
        <w:t>55</w:t>
      </w:r>
      <w:r>
        <w:t>&gt;</w:t>
      </w:r>
    </w:p>
    <w:p w14:paraId="2A02C35A" w14:textId="77777777" w:rsidR="00FA4100" w:rsidRDefault="00FA4100" w:rsidP="00C54034">
      <w:pPr>
        <w:spacing w:after="0"/>
      </w:pPr>
    </w:p>
    <w:p w14:paraId="53B8C680" w14:textId="6E6E9E12" w:rsidR="00FA4100" w:rsidRDefault="007C5BD5" w:rsidP="007C5BD5">
      <w:pPr>
        <w:pStyle w:val="Questionstyle"/>
      </w:pPr>
      <w:r w:rsidRPr="007C5BD5">
        <w:t>Do you agree with the proposal for the data related to the status of status of systems matching orders? Would you consider that other identifiers of the trading system type should be used? Please explain</w:t>
      </w:r>
      <w:r w:rsidR="00AF502B">
        <w:t>?</w:t>
      </w:r>
    </w:p>
    <w:p w14:paraId="72A3F942" w14:textId="6E3FAB56" w:rsidR="00FA4100" w:rsidRDefault="00FA4100" w:rsidP="00FA4100">
      <w:pPr>
        <w:spacing w:after="0"/>
      </w:pPr>
      <w:r>
        <w:t>&lt;ESMA_QUESTION</w:t>
      </w:r>
      <w:r w:rsidR="005D4F78">
        <w:t>_CP3_</w:t>
      </w:r>
      <w:r w:rsidR="007C5BD5">
        <w:t>56</w:t>
      </w:r>
      <w:r>
        <w:t>&gt;</w:t>
      </w:r>
    </w:p>
    <w:p w14:paraId="0C42F224" w14:textId="77777777" w:rsidR="00FC6883" w:rsidRPr="00FC6883" w:rsidRDefault="00FC6883" w:rsidP="00FC6883">
      <w:pPr>
        <w:spacing w:after="0"/>
        <w:rPr>
          <w:lang w:val="en-US"/>
        </w:rPr>
      </w:pPr>
      <w:permStart w:id="1201633413" w:edGrp="everyone"/>
      <w:r w:rsidRPr="00FC6883">
        <w:rPr>
          <w:lang w:val="en"/>
        </w:rPr>
        <w:t xml:space="preserve">Cboe overall support the proposal to include regulatory data in the CTP scope – however it considers that </w:t>
      </w:r>
      <w:r w:rsidRPr="00FC6883">
        <w:rPr>
          <w:lang w:val="en-US"/>
        </w:rPr>
        <w:t>certain clarifications and adjustments are necessary to ensure accuracy and consistency. </w:t>
      </w:r>
      <w:r w:rsidRPr="00FC6883">
        <w:rPr>
          <w:lang w:val="en"/>
        </w:rPr>
        <w:t xml:space="preserve"> For these reasons, Cboe </w:t>
      </w:r>
      <w:r w:rsidRPr="00FC6883">
        <w:rPr>
          <w:lang w:val="en-US"/>
        </w:rPr>
        <w:t>would like to offer the following comments and observations: </w:t>
      </w:r>
    </w:p>
    <w:p w14:paraId="7F500C24" w14:textId="77777777" w:rsidR="00FC6883" w:rsidRPr="00FC6883" w:rsidRDefault="00FC6883" w:rsidP="00FC6883">
      <w:pPr>
        <w:numPr>
          <w:ilvl w:val="0"/>
          <w:numId w:val="48"/>
        </w:numPr>
        <w:spacing w:after="0"/>
        <w:rPr>
          <w:lang w:val="en-US"/>
        </w:rPr>
      </w:pPr>
      <w:r w:rsidRPr="00FC6883">
        <w:rPr>
          <w:lang w:val="en-US"/>
        </w:rPr>
        <w:t>Cboe notes that trading venues already publish both instrument status and market status through their existing market data feeds, typically using separate application messages. This approach is consistent with the proposal to include ‘regulatory data’ within the CTP's scope, provided that these are transmitted as distinct messages to avoid confusion. Ensuring that these data points remain segregated in the CTP model will help maintain clarity for both market participants and investors. </w:t>
      </w:r>
    </w:p>
    <w:p w14:paraId="3CEEC2B4" w14:textId="77777777" w:rsidR="00FC6883" w:rsidRPr="00FC6883" w:rsidRDefault="00FC6883" w:rsidP="00FC6883">
      <w:pPr>
        <w:numPr>
          <w:ilvl w:val="0"/>
          <w:numId w:val="49"/>
        </w:numPr>
        <w:spacing w:after="0"/>
        <w:rPr>
          <w:lang w:val="en-US"/>
        </w:rPr>
      </w:pPr>
      <w:r w:rsidRPr="00FC6883">
        <w:rPr>
          <w:lang w:val="en-US"/>
        </w:rPr>
        <w:t>Information regarding the current trading phase (e.g., pre-trading, trading, auction, closing) is indeed valuable for investors, as the types of orders allowed depend on the trading phase. However, transitions between these phases often occur at different times for different instruments, even within the same trading system. For these reasons, Cboe deems it inappropriate to model trading phases as a system-wide status. These differences at the instrument level should be more precisely addressed rather than being attributed to an entire system. </w:t>
      </w:r>
    </w:p>
    <w:p w14:paraId="2EB05686" w14:textId="77777777" w:rsidR="00FC6883" w:rsidRPr="00FC6883" w:rsidRDefault="00FC6883" w:rsidP="00FC6883">
      <w:pPr>
        <w:numPr>
          <w:ilvl w:val="0"/>
          <w:numId w:val="50"/>
        </w:numPr>
        <w:spacing w:after="0"/>
        <w:rPr>
          <w:lang w:val="en-US"/>
        </w:rPr>
      </w:pPr>
      <w:r w:rsidRPr="00FC6883">
        <w:rPr>
          <w:lang w:val="en-US"/>
        </w:rPr>
        <w:t>The proposed system status field appears to combine status at the system level with instrument-level trading phases. Cboe would like the stress the importance to clearly differentiate system-wide statuses, such as operational outages, from trading phases that apply to individual instruments. Cboe notes that the suggested values like pre-trading, auction, and closed are specific to instrument behavior, not the status of the overall trading system. For these reasons, Cboe auspicates that a clearer distinction be made between these two types of statuses. </w:t>
      </w:r>
    </w:p>
    <w:p w14:paraId="3DF41212" w14:textId="77777777" w:rsidR="00FC6883" w:rsidRPr="00FC6883" w:rsidRDefault="00FC6883" w:rsidP="00FC6883">
      <w:pPr>
        <w:numPr>
          <w:ilvl w:val="0"/>
          <w:numId w:val="51"/>
        </w:numPr>
        <w:spacing w:after="0"/>
        <w:rPr>
          <w:lang w:val="en-US"/>
        </w:rPr>
      </w:pPr>
      <w:r w:rsidRPr="00FC6883">
        <w:rPr>
          <w:lang w:val="en-US"/>
        </w:rPr>
        <w:t>Cboe recommends that the term ‘CLOB’ be removed from the list of trading system types in field 2 and replaced with the term ‘continuous auction trading.’ As highlighted in our previous responses to the RTS 2 consultation, a CLOB can incorporate both continuous and periodic auction trading. Therefore, the current classification does not fully capture the breadth of trading activities within a CLOB system. Renaming this to ‘continuous auction trading’ would more accurately reflect the nature of the trading activity. Additionally, Cboe recommends that the field be renamed to ‘type of trading’ to better align with pre-trade transparency requirements, which are influenced by the type of trading activity, not the system itself. </w:t>
      </w:r>
    </w:p>
    <w:p w14:paraId="576609A4" w14:textId="77777777" w:rsidR="00FC6883" w:rsidRPr="00FC6883" w:rsidRDefault="00FC6883" w:rsidP="00FC6883">
      <w:pPr>
        <w:numPr>
          <w:ilvl w:val="0"/>
          <w:numId w:val="52"/>
        </w:numPr>
        <w:spacing w:after="0"/>
        <w:rPr>
          <w:lang w:val="en-US"/>
        </w:rPr>
      </w:pPr>
      <w:r w:rsidRPr="00FC6883">
        <w:rPr>
          <w:lang w:val="en-US"/>
        </w:rPr>
        <w:t>Cboe suggest that the ‘Status’ field be expanded to include information on the venue's trading phase. The Market Model Typology (MMT) standard, particularly its level 2 classification for ‘trading mode,’ is already widely adopted across venues and would be an appropriate tool for conveying this information. This would allow for greater consistency and ease of understanding for market participants. </w:t>
      </w:r>
    </w:p>
    <w:p w14:paraId="008CAEE6" w14:textId="77777777" w:rsidR="00FC6883" w:rsidRPr="00FC6883" w:rsidRDefault="00FC6883" w:rsidP="00FC6883">
      <w:pPr>
        <w:numPr>
          <w:ilvl w:val="0"/>
          <w:numId w:val="53"/>
        </w:numPr>
        <w:spacing w:after="0"/>
        <w:rPr>
          <w:lang w:val="en-US"/>
        </w:rPr>
      </w:pPr>
      <w:r w:rsidRPr="00FC6883">
        <w:rPr>
          <w:lang w:val="en-US"/>
        </w:rPr>
        <w:t>Cboe also notes that the proposed regulatory data overlaps with topics covered under ESMA’s Final Report on Market Outages. Cboe’s analysis indicates that the status of a trading venue cannot be reduced to simple binary states such as ‘working’ or ‘not working.’ A trading system could be operational but experience issues with ancillary services like market data dissemination. Furthermore, outages typically occur in stages, such as discovery, analysis, and resolution, each of which could affect market operations differently. On this, Cboe recommend that the system status field be revised to reflect this more nuanced view of operational disruptions. </w:t>
      </w:r>
    </w:p>
    <w:p w14:paraId="301E6A9F" w14:textId="77777777" w:rsidR="00FC6883" w:rsidRPr="00FC6883" w:rsidRDefault="00FC6883" w:rsidP="00FC6883">
      <w:pPr>
        <w:numPr>
          <w:ilvl w:val="0"/>
          <w:numId w:val="54"/>
        </w:numPr>
        <w:spacing w:after="0"/>
        <w:rPr>
          <w:lang w:val="en-US"/>
        </w:rPr>
      </w:pPr>
      <w:r w:rsidRPr="00FC6883">
        <w:rPr>
          <w:lang w:val="en-US"/>
        </w:rPr>
        <w:t>Finally, Cboe would like to point out that in certain cases, the combination of segment MIC and trading system type may not uniquely identify a venue's trading behavior. For example, a single venue might operate multiple market models (such as a lit order book, a dark order book, and a conditional order model) under the same MIC. These models may fall under the same trading system type but exhibit different characteristics. Therefore, Cboe stresses the importance of adding granularity to fully capture the range of trading behaviors occurring within a single trading venue. </w:t>
      </w:r>
    </w:p>
    <w:p w14:paraId="6FACFEC1" w14:textId="77777777" w:rsidR="00FC6883" w:rsidRPr="00FC6883" w:rsidRDefault="00FC6883" w:rsidP="00FA4100">
      <w:pPr>
        <w:spacing w:after="0"/>
        <w:rPr>
          <w:lang w:val="en-US"/>
        </w:rPr>
      </w:pPr>
    </w:p>
    <w:permEnd w:id="1201633413"/>
    <w:p w14:paraId="301253FF" w14:textId="5DFEEBE5" w:rsidR="00FA4100" w:rsidRDefault="00FA4100" w:rsidP="00FA4100">
      <w:pPr>
        <w:spacing w:after="0"/>
      </w:pPr>
      <w:r>
        <w:t>&lt;ESMA_QUESTION</w:t>
      </w:r>
      <w:r w:rsidR="005D4F78">
        <w:t>_CP3_</w:t>
      </w:r>
      <w:r w:rsidR="007C5BD5">
        <w:t>56</w:t>
      </w:r>
      <w:r>
        <w:t>&gt;</w:t>
      </w:r>
    </w:p>
    <w:p w14:paraId="5D3FED78" w14:textId="77777777" w:rsidR="00FA4100" w:rsidRDefault="00FA4100" w:rsidP="00C54034">
      <w:pPr>
        <w:spacing w:after="0"/>
      </w:pPr>
    </w:p>
    <w:p w14:paraId="3C90DD34" w14:textId="063DC038" w:rsidR="00FA4100" w:rsidRDefault="007C5BD5" w:rsidP="007C5BD5">
      <w:pPr>
        <w:pStyle w:val="Questionstyle"/>
      </w:pPr>
      <w:r w:rsidRPr="007C5BD5">
        <w:t xml:space="preserve">Do you agree that the pre-trade data to the CTP should be that included in Table 1b in section 4.1.3.1 except for fields 8 and 9? </w:t>
      </w:r>
      <w:r w:rsidR="000C773C">
        <w:t>P</w:t>
      </w:r>
      <w:r w:rsidRPr="007C5BD5">
        <w:t>lease explain</w:t>
      </w:r>
      <w:r>
        <w:t>.</w:t>
      </w:r>
    </w:p>
    <w:p w14:paraId="1C82DBD3" w14:textId="504F92FD" w:rsidR="00FA4100" w:rsidRDefault="00FA4100" w:rsidP="00FA4100">
      <w:pPr>
        <w:spacing w:after="0"/>
      </w:pPr>
      <w:r>
        <w:t>&lt;ESMA_QUESTION</w:t>
      </w:r>
      <w:r w:rsidR="005D4F78">
        <w:t>_CP3_</w:t>
      </w:r>
      <w:r w:rsidR="007C5BD5">
        <w:t>57</w:t>
      </w:r>
      <w:r>
        <w:t>&gt;</w:t>
      </w:r>
    </w:p>
    <w:p w14:paraId="0E438C7B" w14:textId="77777777" w:rsidR="00652169" w:rsidRPr="00652169" w:rsidRDefault="00652169" w:rsidP="00652169">
      <w:pPr>
        <w:spacing w:after="0"/>
        <w:rPr>
          <w:lang w:val="en-US"/>
        </w:rPr>
      </w:pPr>
      <w:permStart w:id="1252924652" w:edGrp="everyone"/>
      <w:r w:rsidRPr="00652169">
        <w:rPr>
          <w:lang w:val="en-US"/>
        </w:rPr>
        <w:t xml:space="preserve">Cboe has taken note of the list of fields included in Table 1b and deems it reasonable and comprehensive for the purposes of providing a solid basis for pre-trade transparency data to the CTP. However, Cboe would like to raise the following points that require further clarification </w:t>
      </w:r>
      <w:r w:rsidRPr="00652169">
        <w:rPr>
          <w:lang w:val="en"/>
        </w:rPr>
        <w:t>on the handling of timestamps, the distinction between EBBO and individual bid/ask times, and the operational impact of auction output for PAB instruments. </w:t>
      </w:r>
      <w:r w:rsidRPr="00652169">
        <w:rPr>
          <w:lang w:val="en-US"/>
        </w:rPr>
        <w:t> </w:t>
      </w:r>
    </w:p>
    <w:p w14:paraId="50710820" w14:textId="77777777" w:rsidR="00652169" w:rsidRPr="00652169" w:rsidRDefault="00652169" w:rsidP="00652169">
      <w:pPr>
        <w:spacing w:after="0"/>
        <w:rPr>
          <w:lang w:val="en-US"/>
        </w:rPr>
      </w:pPr>
      <w:r w:rsidRPr="00652169">
        <w:rPr>
          <w:lang w:val="en-US"/>
        </w:rPr>
        <w:t>Cboe considers that the wording currently adopted in the CP implies that the ‘submission date/time’ may not be needed on an aggregated basis for CTP input purposes – however Cboe would call for further clarification on this. Specifically, the term 'Publication date/time' needs to be clearly defined. It is important to establish whether this refers to the time when the message is sent to the CTP, or whether it pertains to the time the matching engine processes the order. Without this clarity, it is difficult to determine which timestamp should be provided and under what conditions. </w:t>
      </w:r>
    </w:p>
    <w:p w14:paraId="1B518B5E" w14:textId="77777777" w:rsidR="00652169" w:rsidRDefault="00652169" w:rsidP="00652169">
      <w:pPr>
        <w:spacing w:after="0"/>
        <w:rPr>
          <w:lang w:val="en-US"/>
        </w:rPr>
      </w:pPr>
      <w:r w:rsidRPr="00652169">
        <w:rPr>
          <w:lang w:val="en-US"/>
        </w:rPr>
        <w:t>Additionally, the distinction between the ‘EBBO Timestamp’ and the individual Bid/Ask timestamps would benefit from additional nuances. The role of the EBBO timestamp relative to the individual Bid and Ask entry times is unclear. This warrants the questions (i.e. the specification) on whether the EBBO timestamp always reflect the most recent of the Bid or Ask entry times and whether the Dissemination Time always indicates the most recent Bid or Ask publication time. Cboe remarks the importance of understanding the exact relationship between these timestamps to ensure accurate and efficient data reporting. </w:t>
      </w:r>
    </w:p>
    <w:p w14:paraId="3A918561" w14:textId="5DBE6369" w:rsidR="004D2AC9" w:rsidRPr="00652169" w:rsidRDefault="004D2AC9" w:rsidP="00652169">
      <w:pPr>
        <w:spacing w:after="0"/>
        <w:rPr>
          <w:lang w:val="en-US"/>
        </w:rPr>
      </w:pPr>
      <w:r>
        <w:rPr>
          <w:lang w:val="en-US"/>
        </w:rPr>
        <w:t xml:space="preserve">Regarding inclusion of best bid/ask for periodic auction </w:t>
      </w:r>
      <w:r w:rsidR="00254401">
        <w:rPr>
          <w:lang w:val="en-US"/>
        </w:rPr>
        <w:t>trading systems</w:t>
      </w:r>
      <w:r w:rsidR="00E60AE2">
        <w:rPr>
          <w:lang w:val="en-US"/>
        </w:rPr>
        <w:t>, we refer to our reply to Q7.</w:t>
      </w:r>
    </w:p>
    <w:p w14:paraId="4D62E55E" w14:textId="77777777" w:rsidR="00652169" w:rsidRPr="00652169" w:rsidRDefault="00652169" w:rsidP="00652169">
      <w:pPr>
        <w:spacing w:after="0"/>
        <w:rPr>
          <w:lang w:val="en-US"/>
        </w:rPr>
      </w:pPr>
      <w:r w:rsidRPr="00652169">
        <w:rPr>
          <w:lang w:val="en-US"/>
        </w:rPr>
        <w:t>Further recommendations that Cboe would like to extend refer to Field 8 (Quantity Currency) and 9 Aggregated Number of Orders and Quotes) of the CTP output data.  </w:t>
      </w:r>
    </w:p>
    <w:p w14:paraId="6606313F" w14:textId="77777777" w:rsidR="00652169" w:rsidRPr="00652169" w:rsidRDefault="00652169" w:rsidP="00652169">
      <w:pPr>
        <w:spacing w:after="0"/>
        <w:rPr>
          <w:lang w:val="en-US"/>
        </w:rPr>
      </w:pPr>
      <w:r w:rsidRPr="00652169">
        <w:rPr>
          <w:lang w:val="en-US"/>
        </w:rPr>
        <w:t> - As to Field 8, Cboe notes that aggregating data with different quantity currencies could create inaccuracies in reporting and distort the overall view of the market. Therefore, Cboe would advise that quantity currencies remain maintained separately and this data presented disaggregated by the CTP. </w:t>
      </w:r>
    </w:p>
    <w:p w14:paraId="169C1F85" w14:textId="77777777" w:rsidR="00652169" w:rsidRPr="00652169" w:rsidRDefault="00652169" w:rsidP="00652169">
      <w:pPr>
        <w:spacing w:after="0"/>
        <w:rPr>
          <w:lang w:val="en-US"/>
        </w:rPr>
      </w:pPr>
      <w:r w:rsidRPr="00652169">
        <w:rPr>
          <w:lang w:val="en-US"/>
        </w:rPr>
        <w:t> - As to Field 9, Cboe agrees with the decision to exclude this field from the input data to the CTP, as it is not required for the CTP’s output. Given that this data would not serve the purpose of pre-trade transparency in this context, excluding it is seems both reasonable and efficient.  </w:t>
      </w:r>
    </w:p>
    <w:p w14:paraId="7E71FECA" w14:textId="77777777" w:rsidR="00652169" w:rsidRPr="00652169" w:rsidRDefault="00652169" w:rsidP="00652169">
      <w:pPr>
        <w:spacing w:after="0"/>
        <w:rPr>
          <w:lang w:val="en-US"/>
        </w:rPr>
      </w:pPr>
      <w:r w:rsidRPr="00652169">
        <w:rPr>
          <w:lang w:val="en-US"/>
        </w:rPr>
        <w:t>Finally, in the CP, it is not clear which distinction is being indicated by means of Figures 14 to 16 – they seem nearly identical, except that Figure 15 displays the same price for both the bid and ask. It would be helpful to provide further clarification on the purpose of these figures and why they are presented separately if there is no significant difference between them. </w:t>
      </w:r>
    </w:p>
    <w:p w14:paraId="6337EF83" w14:textId="00C24215" w:rsidR="00FA4100" w:rsidRPr="00652169" w:rsidRDefault="00FA4100" w:rsidP="00FA4100">
      <w:pPr>
        <w:spacing w:after="0"/>
        <w:rPr>
          <w:lang w:val="en-US"/>
        </w:rPr>
      </w:pPr>
    </w:p>
    <w:permEnd w:id="1252924652"/>
    <w:p w14:paraId="73EC67D4" w14:textId="30D98B4D" w:rsidR="00FA4100" w:rsidRDefault="00FA4100" w:rsidP="00FA4100">
      <w:pPr>
        <w:spacing w:after="0"/>
      </w:pPr>
      <w:r>
        <w:t>&lt;ESMA_QUESTION</w:t>
      </w:r>
      <w:r w:rsidR="005D4F78">
        <w:t>_CP3_</w:t>
      </w:r>
      <w:r w:rsidR="007C5BD5">
        <w:t>57</w:t>
      </w:r>
      <w:r>
        <w:t>&gt;</w:t>
      </w:r>
    </w:p>
    <w:p w14:paraId="4F0DED97" w14:textId="77777777" w:rsidR="007C5BD5" w:rsidRDefault="007C5BD5" w:rsidP="00FA4100">
      <w:pPr>
        <w:spacing w:after="0"/>
      </w:pPr>
    </w:p>
    <w:p w14:paraId="0EAC5E1A" w14:textId="55DC46E6" w:rsidR="007C5BD5" w:rsidRDefault="000C773C" w:rsidP="007C5BD5">
      <w:pPr>
        <w:pStyle w:val="Questionstyle"/>
      </w:pPr>
      <w:r w:rsidRPr="000C773C">
        <w:t>Do you agree with the proposal for the output table? Please explain</w:t>
      </w:r>
      <w:r>
        <w:t>.</w:t>
      </w:r>
    </w:p>
    <w:p w14:paraId="05A2BB7A" w14:textId="77777777" w:rsidR="007C5BD5" w:rsidRDefault="007C5BD5" w:rsidP="007C5BD5">
      <w:pPr>
        <w:spacing w:after="0"/>
      </w:pPr>
      <w:r>
        <w:t>&lt;ESMA_QUESTION_CP3_58&gt;</w:t>
      </w:r>
    </w:p>
    <w:p w14:paraId="1666F5BB" w14:textId="77777777" w:rsidR="000C700C" w:rsidRDefault="00122100" w:rsidP="00122100">
      <w:pPr>
        <w:spacing w:after="0"/>
        <w:rPr>
          <w:lang w:val="en-US"/>
        </w:rPr>
      </w:pPr>
      <w:permStart w:id="673858575" w:edGrp="everyone"/>
      <w:r w:rsidRPr="00122100">
        <w:rPr>
          <w:lang w:val="en-US"/>
        </w:rPr>
        <w:t xml:space="preserve">Whilst Cboe supports the direction of the proposed changes and appreciates the efforts made to clarify the pre-trade transparency obligations, Cboe would also like to </w:t>
      </w:r>
      <w:proofErr w:type="spellStart"/>
      <w:r w:rsidRPr="00122100">
        <w:rPr>
          <w:lang w:val="en-US"/>
        </w:rPr>
        <w:t>emphasise</w:t>
      </w:r>
      <w:proofErr w:type="spellEnd"/>
      <w:r w:rsidRPr="00122100">
        <w:rPr>
          <w:lang w:val="en-US"/>
        </w:rPr>
        <w:t xml:space="preserve"> that clarity is needed on how certain complex scenarios are handled, particularly regarding instruments trading in multiple environments. For example, Cboe notes that certain complex (but frequent) scenarios are not sufficiently addressed (e.g. where an instrument on a primary market moves into an intraday auction while a Multilateral Trading Facility (</w:t>
      </w:r>
      <w:r w:rsidRPr="00122100">
        <w:rPr>
          <w:b/>
          <w:bCs/>
          <w:lang w:val="en-US"/>
        </w:rPr>
        <w:t>MTF</w:t>
      </w:r>
      <w:r w:rsidRPr="00122100">
        <w:rPr>
          <w:lang w:val="en-US"/>
        </w:rPr>
        <w:t>) continues with continuous trading)</w:t>
      </w:r>
      <w:r w:rsidR="000C700C">
        <w:rPr>
          <w:lang w:val="en-US"/>
        </w:rPr>
        <w:t>.</w:t>
      </w:r>
    </w:p>
    <w:p w14:paraId="31A1914E" w14:textId="5D941E9B" w:rsidR="00122100" w:rsidRPr="00122100" w:rsidRDefault="00122100" w:rsidP="00122100">
      <w:pPr>
        <w:spacing w:after="0"/>
        <w:rPr>
          <w:lang w:val="en-US"/>
        </w:rPr>
      </w:pPr>
      <w:r w:rsidRPr="00122100">
        <w:rPr>
          <w:lang w:val="en-US"/>
        </w:rPr>
        <w:t>   </w:t>
      </w:r>
    </w:p>
    <w:p w14:paraId="1E503288" w14:textId="77777777" w:rsidR="00122100" w:rsidRPr="00122100" w:rsidRDefault="00122100" w:rsidP="00122100">
      <w:pPr>
        <w:spacing w:after="0"/>
        <w:rPr>
          <w:lang w:val="en-US"/>
        </w:rPr>
      </w:pPr>
      <w:r w:rsidRPr="00122100">
        <w:rPr>
          <w:lang w:val="en-US"/>
        </w:rPr>
        <w:t>Cboe has analysed relevant data and has concluded that instruments that trade in different modes simultaneously (e.g., continuous trading on an MTF while the primary market is in auction) pose a challenge in aggregating data. The output table should consider how these trading modes may be reflected, and it invites ESMA to accurately display how this distinction may be captured in a practical manner – to ensure that accurate pictures are presented to market participants. </w:t>
      </w:r>
    </w:p>
    <w:p w14:paraId="05AF530B" w14:textId="77777777" w:rsidR="00122100" w:rsidRPr="00122100" w:rsidRDefault="00122100" w:rsidP="00122100">
      <w:pPr>
        <w:numPr>
          <w:ilvl w:val="0"/>
          <w:numId w:val="55"/>
        </w:numPr>
        <w:spacing w:after="0"/>
        <w:rPr>
          <w:lang w:val="en-US"/>
        </w:rPr>
      </w:pPr>
      <w:r w:rsidRPr="00122100">
        <w:rPr>
          <w:lang w:val="en-US"/>
        </w:rPr>
        <w:t>Cboe notes the addition of a ‘CTP dissemination time’ in post-trade data, which raises no issues. However, the inclusion of the ‘type of trading system’ requires further clarification. Specifically, details on how this field would differentiate multiple trading models (continuous, auction, periodic auctions) within a single venue are needed. While Cboe welcomes these changes, it also acknowledges that amendments would still be necessary (e.g. to include "dark book values"). </w:t>
      </w:r>
    </w:p>
    <w:p w14:paraId="321172FC" w14:textId="77777777" w:rsidR="00122100" w:rsidRPr="00122100" w:rsidRDefault="00122100" w:rsidP="00122100">
      <w:pPr>
        <w:numPr>
          <w:ilvl w:val="0"/>
          <w:numId w:val="56"/>
        </w:numPr>
        <w:spacing w:after="0"/>
        <w:rPr>
          <w:lang w:val="en-US"/>
        </w:rPr>
      </w:pPr>
      <w:r w:rsidRPr="00122100">
        <w:rPr>
          <w:lang w:val="en-US"/>
        </w:rPr>
        <w:t>Cboe supports the introduction of a "Transaction Identification Code"; however, it also deems essential that the uniqueness scope is clearly defined to ensure its correct application across different venues and systems. This is particularly important to confirm the CTP system does not allow duplication or confusion when tracking transactions across multiple platforms. </w:t>
      </w:r>
    </w:p>
    <w:p w14:paraId="62750AE8" w14:textId="77777777" w:rsidR="00122100" w:rsidRPr="00122100" w:rsidRDefault="00122100" w:rsidP="00122100">
      <w:pPr>
        <w:numPr>
          <w:ilvl w:val="0"/>
          <w:numId w:val="57"/>
        </w:numPr>
        <w:spacing w:after="0"/>
        <w:rPr>
          <w:lang w:val="en-US"/>
        </w:rPr>
      </w:pPr>
      <w:r w:rsidRPr="00122100">
        <w:rPr>
          <w:lang w:val="en-US"/>
        </w:rPr>
        <w:t>In line with our previous responses, Cboe would like to highlight that there is no mention of pre-trade transparency requirements for unmatched auctions. As periodic auctions (both matched and unmatched) are becoming increasingly relevant, Cboe recommends that this should be explicitly addressed in the new RTS, either by including pre-trade transparency obligations for unmatched auctions or clarifying that they are exempt from such requirements. </w:t>
      </w:r>
    </w:p>
    <w:p w14:paraId="3F304C8F" w14:textId="77777777" w:rsidR="00122100" w:rsidRPr="00122100" w:rsidRDefault="00122100" w:rsidP="00122100">
      <w:pPr>
        <w:numPr>
          <w:ilvl w:val="0"/>
          <w:numId w:val="58"/>
        </w:numPr>
        <w:spacing w:after="0"/>
        <w:rPr>
          <w:lang w:val="en-US"/>
        </w:rPr>
      </w:pPr>
      <w:r w:rsidRPr="00122100">
        <w:rPr>
          <w:lang w:val="en-US"/>
        </w:rPr>
        <w:t>Cboe also notes that it remains unclear at what level of granularity the CT will be published, particularly when input data contains different values for key fields. For instance, if different currencies or trading systems are in play, Cboe would consider it essential to ensure that data is not aggregated inappropriately. For fields such as Price Currency, Price Notation, and Quantity Currency, the output table should ensure disaggregation to maintain data integrity and usability. </w:t>
      </w:r>
    </w:p>
    <w:p w14:paraId="3AF5E177" w14:textId="77777777" w:rsidR="00122100" w:rsidRPr="00122100" w:rsidRDefault="00122100" w:rsidP="00122100">
      <w:pPr>
        <w:numPr>
          <w:ilvl w:val="0"/>
          <w:numId w:val="59"/>
        </w:numPr>
        <w:spacing w:after="0"/>
        <w:rPr>
          <w:lang w:val="en-US"/>
        </w:rPr>
      </w:pPr>
      <w:r w:rsidRPr="00122100">
        <w:rPr>
          <w:lang w:val="en-US"/>
        </w:rPr>
        <w:t> Given the importance of accurate timestamps for tracking market events, Cboe recommends that clearer guidance is provided for timestamp fields, especially in relation to different market phases and trading systems. For auction trading systems, the timestamp should reflect the indicative price/volume changes in real-time. Cboe recommends using more precise terminology, such as "Update Time," to avoid ambiguity. </w:t>
      </w:r>
    </w:p>
    <w:p w14:paraId="05D77211" w14:textId="77777777" w:rsidR="00122100" w:rsidRPr="00122100" w:rsidRDefault="00122100" w:rsidP="00122100">
      <w:pPr>
        <w:numPr>
          <w:ilvl w:val="0"/>
          <w:numId w:val="60"/>
        </w:numPr>
        <w:spacing w:after="0"/>
        <w:rPr>
          <w:lang w:val="en-US"/>
        </w:rPr>
      </w:pPr>
      <w:r w:rsidRPr="00122100">
        <w:rPr>
          <w:lang w:val="en-US"/>
        </w:rPr>
        <w:t>Cboe has already made reference to the importance of the inclusion of "Place of Listing" in the output data as crucial to uniquely identify instruments, especially those trading across multiple venues or in different currencies – so further emphasis is made so that this field is included in Table 5 to enhance transparency and accuracy. </w:t>
      </w:r>
    </w:p>
    <w:p w14:paraId="353FB5DE" w14:textId="77777777" w:rsidR="00122100" w:rsidRPr="00122100" w:rsidRDefault="00122100" w:rsidP="00122100">
      <w:pPr>
        <w:numPr>
          <w:ilvl w:val="0"/>
          <w:numId w:val="61"/>
        </w:numPr>
        <w:spacing w:after="0"/>
        <w:rPr>
          <w:lang w:val="en-US"/>
        </w:rPr>
      </w:pPr>
      <w:r w:rsidRPr="00122100">
        <w:rPr>
          <w:lang w:val="en-US"/>
        </w:rPr>
        <w:t>As market conditions and trading phases change, Cboe notes that there should be "Reset" messages incorporated to handle transitions between phases, such as moving from continuous trading to an auction phase: this would help to ensure the accurate reflection of trading activities and improve the usability of CT data. </w:t>
      </w:r>
    </w:p>
    <w:p w14:paraId="6830C842" w14:textId="77777777" w:rsidR="00122100" w:rsidRPr="00122100" w:rsidRDefault="00122100" w:rsidP="00122100">
      <w:pPr>
        <w:numPr>
          <w:ilvl w:val="0"/>
          <w:numId w:val="62"/>
        </w:numPr>
        <w:spacing w:after="0"/>
        <w:rPr>
          <w:lang w:val="en-US"/>
        </w:rPr>
      </w:pPr>
      <w:r w:rsidRPr="00122100">
        <w:rPr>
          <w:lang w:val="en-US"/>
        </w:rPr>
        <w:t xml:space="preserve">Finally, Cboe would like to </w:t>
      </w:r>
      <w:proofErr w:type="spellStart"/>
      <w:r w:rsidRPr="00122100">
        <w:rPr>
          <w:lang w:val="en-US"/>
        </w:rPr>
        <w:t>emphasise</w:t>
      </w:r>
      <w:proofErr w:type="spellEnd"/>
      <w:r w:rsidRPr="00122100">
        <w:rPr>
          <w:lang w:val="en-US"/>
        </w:rPr>
        <w:t xml:space="preserve"> the necessity to provide further definition on the term "Trading System Type." Given that many venues operate multiple trading models (e.g., continuous, auction-based, or periodic auction systems), the RTS should provide clarity on how this field should be populated and interpreted by market participants to ensure consistent reporting and regulatory certainty. </w:t>
      </w:r>
    </w:p>
    <w:p w14:paraId="327F782D" w14:textId="77777777" w:rsidR="00122100" w:rsidRPr="00122100" w:rsidRDefault="00122100" w:rsidP="00122100">
      <w:pPr>
        <w:numPr>
          <w:ilvl w:val="0"/>
          <w:numId w:val="63"/>
        </w:numPr>
        <w:spacing w:after="0"/>
        <w:rPr>
          <w:lang w:val="en-US"/>
        </w:rPr>
      </w:pPr>
      <w:r w:rsidRPr="00122100">
        <w:rPr>
          <w:lang w:val="en-US"/>
        </w:rPr>
        <w:t>Additionally, we have identified some inconsistencies and recommend the following corrections: </w:t>
      </w:r>
    </w:p>
    <w:p w14:paraId="5F3214E9" w14:textId="77777777" w:rsidR="00122100" w:rsidRPr="00122100" w:rsidRDefault="00122100" w:rsidP="00122100">
      <w:pPr>
        <w:numPr>
          <w:ilvl w:val="0"/>
          <w:numId w:val="64"/>
        </w:numPr>
        <w:spacing w:after="0"/>
        <w:rPr>
          <w:lang w:val="en-US"/>
        </w:rPr>
      </w:pPr>
      <w:r w:rsidRPr="00122100">
        <w:rPr>
          <w:lang w:val="en"/>
        </w:rPr>
        <w:t>Fields 4 and 8</w:t>
      </w:r>
      <w:r w:rsidRPr="00122100">
        <w:rPr>
          <w:lang w:val="en-US"/>
        </w:rPr>
        <w:t> </w:t>
      </w:r>
      <w:r w:rsidRPr="00122100">
        <w:rPr>
          <w:lang w:val="en"/>
        </w:rPr>
        <w:t xml:space="preserve"> in Table 5 should correctly reference Table 1b, Field 5 (instead of Field 6).</w:t>
      </w:r>
      <w:r w:rsidRPr="00122100">
        <w:rPr>
          <w:lang w:val="en-US"/>
        </w:rPr>
        <w:t> </w:t>
      </w:r>
    </w:p>
    <w:p w14:paraId="1F592230" w14:textId="77777777" w:rsidR="00122100" w:rsidRPr="00122100" w:rsidRDefault="00122100" w:rsidP="00122100">
      <w:pPr>
        <w:numPr>
          <w:ilvl w:val="0"/>
          <w:numId w:val="65"/>
        </w:numPr>
        <w:spacing w:after="0"/>
        <w:rPr>
          <w:lang w:val="en-US"/>
        </w:rPr>
      </w:pPr>
      <w:r w:rsidRPr="00122100">
        <w:rPr>
          <w:lang w:val="en"/>
        </w:rPr>
        <w:t>Fields 5, 9, and 11 in Table 5 should correctly reference Table 1b, Field 7 (instead of Field 8).</w:t>
      </w:r>
      <w:r w:rsidRPr="00122100">
        <w:rPr>
          <w:lang w:val="en-US"/>
        </w:rPr>
        <w:t> </w:t>
      </w:r>
    </w:p>
    <w:p w14:paraId="3981425C" w14:textId="77777777" w:rsidR="00122100" w:rsidRPr="00122100" w:rsidRDefault="00122100" w:rsidP="00122100">
      <w:pPr>
        <w:numPr>
          <w:ilvl w:val="0"/>
          <w:numId w:val="66"/>
        </w:numPr>
        <w:spacing w:after="0"/>
        <w:rPr>
          <w:lang w:val="en-US"/>
        </w:rPr>
      </w:pPr>
      <w:r w:rsidRPr="00122100">
        <w:rPr>
          <w:lang w:val="en"/>
        </w:rPr>
        <w:t>We recommend combining the fields for Best Bid Currency and Best Offer Currency into a single Price Currency field, as there is no scenario where these would differ.</w:t>
      </w:r>
      <w:r w:rsidRPr="00122100">
        <w:rPr>
          <w:lang w:val="en-US"/>
        </w:rPr>
        <w:t> </w:t>
      </w:r>
    </w:p>
    <w:p w14:paraId="2EDBA2BB" w14:textId="77777777" w:rsidR="00122100" w:rsidRPr="00122100" w:rsidRDefault="00122100" w:rsidP="00122100">
      <w:pPr>
        <w:numPr>
          <w:ilvl w:val="0"/>
          <w:numId w:val="67"/>
        </w:numPr>
        <w:spacing w:after="0"/>
        <w:rPr>
          <w:lang w:val="en-US"/>
        </w:rPr>
      </w:pPr>
      <w:r w:rsidRPr="00122100">
        <w:rPr>
          <w:lang w:val="en"/>
        </w:rPr>
        <w:t>Finally, any references to Regulation 2015/587 should be updated to the correct Regulation 2017/587.</w:t>
      </w:r>
      <w:r w:rsidRPr="00122100">
        <w:rPr>
          <w:lang w:val="en-US"/>
        </w:rPr>
        <w:t>  </w:t>
      </w:r>
    </w:p>
    <w:p w14:paraId="3AFEBB92" w14:textId="77777777" w:rsidR="00122100" w:rsidRPr="00122100" w:rsidRDefault="00122100" w:rsidP="00122100">
      <w:pPr>
        <w:spacing w:after="0"/>
        <w:rPr>
          <w:lang w:val="en-US"/>
        </w:rPr>
      </w:pPr>
      <w:r w:rsidRPr="00122100">
        <w:rPr>
          <w:lang w:val="en-US"/>
        </w:rPr>
        <w:t> </w:t>
      </w:r>
    </w:p>
    <w:p w14:paraId="596EAF7F" w14:textId="77777777" w:rsidR="00122100" w:rsidRPr="00122100" w:rsidRDefault="00122100" w:rsidP="00122100">
      <w:pPr>
        <w:spacing w:after="0"/>
        <w:rPr>
          <w:lang w:val="en-US"/>
        </w:rPr>
      </w:pPr>
      <w:r w:rsidRPr="00122100">
        <w:rPr>
          <w:lang w:val="en-US"/>
        </w:rPr>
        <w:t>As a final note, Cboe would also appreciate clarification on whether Figures 14 and 16 suggest separate data streams for each trading mode: the current aggregated view does not differentiate between trading modes, which raises concerns on how this complexity will be captured and communicated effectively to market participants.  </w:t>
      </w:r>
    </w:p>
    <w:p w14:paraId="4EFEFB5B" w14:textId="0BBF1905" w:rsidR="007C5BD5" w:rsidRPr="00122100" w:rsidRDefault="007C5BD5" w:rsidP="007C5BD5">
      <w:pPr>
        <w:spacing w:after="0"/>
        <w:rPr>
          <w:lang w:val="en-US"/>
        </w:rPr>
      </w:pPr>
    </w:p>
    <w:permEnd w:id="673858575"/>
    <w:p w14:paraId="26FDA934" w14:textId="77777777" w:rsidR="007C5BD5" w:rsidRDefault="007C5BD5" w:rsidP="007C5BD5">
      <w:pPr>
        <w:spacing w:after="0"/>
      </w:pPr>
      <w:r>
        <w:t>&lt;ESMA_QUESTION_CP3_58&gt;</w:t>
      </w:r>
    </w:p>
    <w:p w14:paraId="39DBE3AF" w14:textId="77777777" w:rsidR="007C5BD5" w:rsidRDefault="007C5BD5" w:rsidP="00FA4100">
      <w:pPr>
        <w:spacing w:after="0"/>
      </w:pPr>
    </w:p>
    <w:p w14:paraId="69F31262" w14:textId="18BC95EF" w:rsidR="000C773C" w:rsidRDefault="000C773C" w:rsidP="000C773C">
      <w:pPr>
        <w:pStyle w:val="Questionstyle"/>
      </w:pPr>
      <w:r w:rsidRPr="000C773C">
        <w:t>Do you agree with the proposal for the input and output tables for the post-trade eq-uity CTP? Please explain</w:t>
      </w:r>
      <w:r>
        <w:t>.</w:t>
      </w:r>
    </w:p>
    <w:p w14:paraId="2D152D38" w14:textId="593D7AEA" w:rsidR="000C773C" w:rsidRDefault="000C773C" w:rsidP="000C773C">
      <w:pPr>
        <w:spacing w:after="0"/>
      </w:pPr>
      <w:r>
        <w:t>&lt;ESMA_QUESTION_CP3_59&gt;</w:t>
      </w:r>
    </w:p>
    <w:p w14:paraId="6577E9BB" w14:textId="77777777" w:rsidR="004A1952" w:rsidRPr="004A1952" w:rsidRDefault="004A1952" w:rsidP="004A1952">
      <w:pPr>
        <w:spacing w:after="0"/>
        <w:rPr>
          <w:lang w:val="en-US"/>
        </w:rPr>
      </w:pPr>
      <w:permStart w:id="1999707130" w:edGrp="everyone"/>
      <w:r w:rsidRPr="004A1952">
        <w:rPr>
          <w:lang w:val="en-US"/>
        </w:rPr>
        <w:t>Cboe supports the proposal, which in essence provides a structured and coherent framework for the transmission and dissemination of core market data by CTP. The approach taken by ESMA to align the input and output fields for the CTP with the post-trade transparency fields in RTS 1 would seem to be appropriate to ensure consistency between reporting requirements, and the addition of the timestamp field for dissemination purposes is considered as a logical but necessary enhancement. </w:t>
      </w:r>
    </w:p>
    <w:p w14:paraId="444E8A3E" w14:textId="77777777" w:rsidR="004A1952" w:rsidRPr="004A1952" w:rsidRDefault="004A1952" w:rsidP="004A1952">
      <w:pPr>
        <w:spacing w:after="0"/>
        <w:rPr>
          <w:lang w:val="en-US"/>
        </w:rPr>
      </w:pPr>
      <w:r w:rsidRPr="004A1952">
        <w:rPr>
          <w:lang w:val="en-US"/>
        </w:rPr>
        <w:t>Whilst agreeing with the proposed input and output fields, Cboe suggest that CTP should be permitted to add additional output fields at the end of their messages for optional consumption by market participants. By these means, it would be allowed for  CTP to offer value-added services and features that go beyond the standard data fields covered by this RTS. This proposal would support the fostering of innovation in data services and enhance the utility of the CTP for a broader range of users. </w:t>
      </w:r>
    </w:p>
    <w:p w14:paraId="141A482A" w14:textId="77777777" w:rsidR="004A1952" w:rsidRPr="004A1952" w:rsidRDefault="004A1952" w:rsidP="004A1952">
      <w:pPr>
        <w:spacing w:after="0"/>
        <w:rPr>
          <w:lang w:val="en-US"/>
        </w:rPr>
      </w:pPr>
      <w:r w:rsidRPr="004A1952">
        <w:rPr>
          <w:lang w:val="en-US"/>
        </w:rPr>
        <w:t>As a basic but essential concern, Cboe would like to note that any gaps in RTS 1 data would be fully reflected into the data received by CTP : where the complete set of data from all contributors and disseminates would not be accurate, complete or imperfect,  data transmission at the outset would undermine the quality of the data published by the CTP, resulting in potential market inefficiencies. Therefore, it is essential that ESMA ensures the best approach is created for the creation and reception of RTS 1 data so that all market data contributors, including trading venues and APAs, comply fully with the revised requirements to avoid data discrepancies. </w:t>
      </w:r>
    </w:p>
    <w:p w14:paraId="4F4F2C5A" w14:textId="77777777" w:rsidR="004A1952" w:rsidRPr="004A1952" w:rsidRDefault="004A1952" w:rsidP="004A1952">
      <w:pPr>
        <w:spacing w:after="0"/>
        <w:rPr>
          <w:lang w:val="en-US"/>
        </w:rPr>
      </w:pPr>
      <w:r w:rsidRPr="004A1952">
        <w:rPr>
          <w:lang w:val="en-US"/>
        </w:rPr>
        <w:t>The consultation lacks detail on how corrections to previously reported data will be handled by the CTP. In practice, trading venues and APAs frequently make amendments or cancellations to previously published data. Clear guidelines are needed on how the CTP will process and disseminate such corrections to ensure data accuracy and consistency over time (both in real-time and historical data corrections). </w:t>
      </w:r>
    </w:p>
    <w:p w14:paraId="2B656245" w14:textId="77777777" w:rsidR="004A1952" w:rsidRPr="004A1952" w:rsidRDefault="004A1952" w:rsidP="004A1952">
      <w:pPr>
        <w:spacing w:after="0"/>
        <w:rPr>
          <w:lang w:val="en-US"/>
        </w:rPr>
      </w:pPr>
      <w:r w:rsidRPr="004A1952">
        <w:rPr>
          <w:lang w:val="en-US"/>
        </w:rPr>
        <w:t>Another important consideration relates to the uniqueness of the Transaction Identification Code. The consultation proposes that this field will be part of both the CTP input and output data. However, it remains unclear how the uniqueness of Transaction IDs will be guaranteed across different trading venues and APAs, especially in cases where multiple venues handle the same or related transactions. Further clarification is needed to prevent potential duplication or conflicts in transaction identification, which could undermine data accuracy. </w:t>
      </w:r>
    </w:p>
    <w:p w14:paraId="6B77C848" w14:textId="77777777" w:rsidR="004A1952" w:rsidRPr="004A1952" w:rsidRDefault="004A1952" w:rsidP="004A1952">
      <w:pPr>
        <w:spacing w:after="0"/>
        <w:rPr>
          <w:lang w:val="en-US"/>
        </w:rPr>
      </w:pPr>
      <w:r w:rsidRPr="004A1952">
        <w:rPr>
          <w:lang w:val="en-US"/>
        </w:rPr>
        <w:t>Therefore, Cboe recommends that additional flexibility be granted to CTPs for value-added output fields, and that gaps in RTS 1 be addressed to ensure full data accuracy.  </w:t>
      </w:r>
    </w:p>
    <w:p w14:paraId="20747B3D" w14:textId="69FFE580" w:rsidR="000C773C" w:rsidRPr="004A1952" w:rsidRDefault="000C773C" w:rsidP="000C773C">
      <w:pPr>
        <w:spacing w:after="0"/>
        <w:rPr>
          <w:lang w:val="en-US"/>
        </w:rPr>
      </w:pPr>
    </w:p>
    <w:permEnd w:id="1999707130"/>
    <w:p w14:paraId="2FA887FC" w14:textId="13549ABF" w:rsidR="000C773C" w:rsidRDefault="000C773C" w:rsidP="000C773C">
      <w:pPr>
        <w:spacing w:after="0"/>
      </w:pPr>
      <w:r>
        <w:t>&lt;ESMA_QUESTION_CP3_59&gt;</w:t>
      </w:r>
    </w:p>
    <w:p w14:paraId="6DA632DF" w14:textId="77777777" w:rsidR="000C773C" w:rsidRDefault="000C773C" w:rsidP="00FA4100">
      <w:pPr>
        <w:spacing w:after="0"/>
      </w:pPr>
    </w:p>
    <w:p w14:paraId="2D3B6414" w14:textId="77777777" w:rsidR="007C5BD5" w:rsidRDefault="007C5BD5" w:rsidP="00FA4100">
      <w:pPr>
        <w:spacing w:after="0"/>
      </w:pPr>
      <w:bookmarkStart w:id="12" w:name="_Hlk169785401"/>
    </w:p>
    <w:bookmarkEnd w:id="12"/>
    <w:p w14:paraId="211653D7" w14:textId="77777777" w:rsidR="007C5BD5" w:rsidRDefault="007C5BD5" w:rsidP="00FA4100">
      <w:pPr>
        <w:spacing w:after="0"/>
      </w:pPr>
    </w:p>
    <w:p w14:paraId="093E6321" w14:textId="77777777" w:rsidR="007C5BD5" w:rsidRDefault="007C5BD5" w:rsidP="00FA4100">
      <w:pPr>
        <w:spacing w:after="0"/>
      </w:pPr>
    </w:p>
    <w:p w14:paraId="3FBEB462" w14:textId="121ADF82" w:rsidR="007C5BD5" w:rsidRDefault="007C5BD5">
      <w:pPr>
        <w:spacing w:after="0" w:line="240" w:lineRule="auto"/>
        <w:jc w:val="left"/>
      </w:pPr>
      <w:r>
        <w:br w:type="page"/>
      </w:r>
    </w:p>
    <w:p w14:paraId="2B6B77EF" w14:textId="72856C4F" w:rsidR="007C5BD5" w:rsidRPr="00B25E0D" w:rsidRDefault="007C5BD5" w:rsidP="007C5BD5">
      <w:pPr>
        <w:pStyle w:val="Heading1"/>
        <w:numPr>
          <w:ilvl w:val="0"/>
          <w:numId w:val="0"/>
        </w:numPr>
        <w:ind w:left="709"/>
      </w:pPr>
      <w:r>
        <w:t>2.</w:t>
      </w:r>
      <w:r w:rsidR="001878C6">
        <w:t>4</w:t>
      </w:r>
      <w:r>
        <w:t xml:space="preserve"> Flags in RTS 2</w:t>
      </w:r>
    </w:p>
    <w:p w14:paraId="3BB609F6" w14:textId="77777777" w:rsidR="00FA4100" w:rsidRDefault="00FA4100" w:rsidP="00C54034">
      <w:pPr>
        <w:spacing w:after="0"/>
      </w:pPr>
    </w:p>
    <w:p w14:paraId="3B70DEF6" w14:textId="00A4ACD8" w:rsidR="00FA4100" w:rsidRDefault="007C5BD5" w:rsidP="007C5BD5">
      <w:pPr>
        <w:pStyle w:val="Questionstyle"/>
      </w:pPr>
      <w:r w:rsidRPr="007C5BD5">
        <w:t>Do you agree with the proposed amendments to flags in Table 3 of Annex II or RTS 2? In particular, do you consider that the flag ‘ACTX’ should be deleted</w:t>
      </w:r>
      <w:r>
        <w:t>?</w:t>
      </w:r>
    </w:p>
    <w:p w14:paraId="7426466D" w14:textId="6BCC09EB" w:rsidR="00FA4100" w:rsidRDefault="00FA4100" w:rsidP="00FA4100">
      <w:pPr>
        <w:spacing w:after="0"/>
      </w:pPr>
      <w:r>
        <w:t>&lt;ESMA_QUESTION</w:t>
      </w:r>
      <w:r w:rsidR="005D4F78">
        <w:t>_CP3_</w:t>
      </w:r>
      <w:r w:rsidR="000C773C">
        <w:t>60</w:t>
      </w:r>
      <w:r>
        <w:t>&gt;</w:t>
      </w:r>
    </w:p>
    <w:p w14:paraId="4C630573" w14:textId="77777777" w:rsidR="009209D6" w:rsidRPr="00050A2B" w:rsidRDefault="009209D6" w:rsidP="009209D6">
      <w:pPr>
        <w:spacing w:before="240" w:after="240" w:line="279" w:lineRule="auto"/>
        <w:rPr>
          <w:rFonts w:eastAsia="Aptos" w:cs="Aptos"/>
          <w:szCs w:val="22"/>
          <w:lang w:eastAsia="ja-JP"/>
        </w:rPr>
      </w:pPr>
      <w:permStart w:id="2034649205" w:edGrp="everyone"/>
      <w:r w:rsidRPr="00050A2B">
        <w:rPr>
          <w:rFonts w:eastAsia="Aptos" w:cs="Aptos"/>
          <w:szCs w:val="22"/>
          <w:lang w:eastAsia="ja-JP"/>
        </w:rPr>
        <w:t>Cboe supports the proposed amendments to the flags in Table 3 of Annex II of RTS 2 as it deems that these changes are aligned with the revised post-trade transparency regime under the MiFIR review and should provide greater clarity in post-trade transparency and reporting. Cboe considers the introduction of specific flags for various deferral categories, such as ‘MLF1’, ‘MIF2’, ‘LLF1’, ‘LIF4’, and ‘VLF5’, as well as the unique flag ‘DEFR’ for ETCs, ETNs, SFPs, and EUAs, to be welcomed enhancements as they could contribute to a more precise identification of deferrals and improve market participants' ability to interpret post-trade transparency information effectively. Additionally, the proposed supplementary deferral flags, such as ‘OMIS’, ‘FULO’, ‘AGGR’, and ‘FULG’, seem well-considered and may help avoid confusion between the old and new regimes.</w:t>
      </w:r>
    </w:p>
    <w:p w14:paraId="0DD4F216" w14:textId="77777777" w:rsidR="009209D6" w:rsidRPr="00050A2B" w:rsidRDefault="009209D6" w:rsidP="009209D6">
      <w:pPr>
        <w:keepNext/>
        <w:keepLines/>
        <w:spacing w:before="281" w:after="281" w:line="279" w:lineRule="auto"/>
        <w:outlineLvl w:val="2"/>
        <w:rPr>
          <w:rFonts w:eastAsia="Aptos" w:cs="Aptos"/>
          <w:szCs w:val="22"/>
          <w:lang w:eastAsia="ja-JP"/>
        </w:rPr>
      </w:pPr>
      <w:r w:rsidRPr="00050A2B">
        <w:rPr>
          <w:rFonts w:eastAsia="Aptos" w:cs="Aptos"/>
          <w:szCs w:val="22"/>
          <w:lang w:eastAsia="ja-JP"/>
        </w:rPr>
        <w:t xml:space="preserve">Furthermore, Cboe is also in favour of the proposal to remove the ACTX flag.  The UK’s Financial Conduct Authority (FCA) has already proposed the deletion of this flag, citing its limited utility in contributing to post-trade transparency or price formation – Cboe also acknowledges that. Given that the flag does not add significant value and its removal would promote alignment with UK practices, Cboe </w:t>
      </w:r>
      <w:r>
        <w:rPr>
          <w:rFonts w:eastAsia="Aptos" w:cs="Aptos"/>
          <w:szCs w:val="22"/>
          <w:lang w:eastAsia="ja-JP"/>
        </w:rPr>
        <w:t xml:space="preserve">has no objections to this </w:t>
      </w:r>
      <w:r w:rsidRPr="00050A2B">
        <w:rPr>
          <w:rFonts w:eastAsia="Aptos" w:cs="Aptos"/>
          <w:szCs w:val="22"/>
          <w:lang w:eastAsia="ja-JP"/>
        </w:rPr>
        <w:t>deleti</w:t>
      </w:r>
      <w:r>
        <w:rPr>
          <w:rFonts w:eastAsia="Aptos" w:cs="Aptos"/>
          <w:szCs w:val="22"/>
          <w:lang w:eastAsia="ja-JP"/>
        </w:rPr>
        <w:t>on.</w:t>
      </w:r>
    </w:p>
    <w:p w14:paraId="3D57E7AC" w14:textId="77777777" w:rsidR="009209D6" w:rsidRPr="00050A2B" w:rsidRDefault="009209D6" w:rsidP="009209D6">
      <w:pPr>
        <w:keepNext/>
        <w:keepLines/>
        <w:spacing w:before="281" w:after="281" w:line="279" w:lineRule="auto"/>
        <w:outlineLvl w:val="2"/>
        <w:rPr>
          <w:rFonts w:eastAsia="Aptos" w:cs="Aptos"/>
          <w:szCs w:val="22"/>
          <w:lang w:eastAsia="ja-JP"/>
        </w:rPr>
      </w:pPr>
      <w:r w:rsidRPr="00050A2B">
        <w:rPr>
          <w:rFonts w:eastAsia="Aptos" w:cs="Aptos"/>
          <w:szCs w:val="22"/>
          <w:lang w:eastAsia="ja-JP"/>
        </w:rPr>
        <w:t>Thank you for the opportunity to provide feedback – Cboe looks forward to continuing its engagement and collaboration with the European Institutions to keep on building trusted markets.</w:t>
      </w:r>
    </w:p>
    <w:p w14:paraId="7B68B33D" w14:textId="0025FCE1" w:rsidR="00FA4100" w:rsidRDefault="00FA4100" w:rsidP="00FA4100">
      <w:pPr>
        <w:spacing w:after="0"/>
      </w:pPr>
    </w:p>
    <w:permEnd w:id="2034649205"/>
    <w:p w14:paraId="7AB11DDF" w14:textId="5E2D97D1" w:rsidR="00FA4100" w:rsidRDefault="00FA4100" w:rsidP="00FA4100">
      <w:pPr>
        <w:spacing w:after="0"/>
      </w:pPr>
      <w:r>
        <w:t>&lt;ESMA_QUESTION</w:t>
      </w:r>
      <w:r w:rsidR="005D4F78">
        <w:t>_CP3_</w:t>
      </w:r>
      <w:r w:rsidR="000C773C">
        <w:t>60</w:t>
      </w:r>
      <w:r>
        <w:t>&gt;</w:t>
      </w:r>
    </w:p>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50353" w14:textId="77777777" w:rsidR="009B0568" w:rsidRDefault="009B0568" w:rsidP="00F716D4">
      <w:r>
        <w:separator/>
      </w:r>
    </w:p>
    <w:p w14:paraId="7BED7897" w14:textId="77777777" w:rsidR="009B0568" w:rsidRDefault="009B0568" w:rsidP="00F716D4"/>
  </w:endnote>
  <w:endnote w:type="continuationSeparator" w:id="0">
    <w:p w14:paraId="67FD45AD" w14:textId="77777777" w:rsidR="009B0568" w:rsidRDefault="009B0568" w:rsidP="00F716D4">
      <w:r>
        <w:continuationSeparator/>
      </w:r>
    </w:p>
    <w:p w14:paraId="7A66F415" w14:textId="77777777" w:rsidR="009B0568" w:rsidRDefault="009B0568" w:rsidP="00F716D4"/>
  </w:endnote>
  <w:endnote w:type="continuationNotice" w:id="1">
    <w:p w14:paraId="7C5F9AB2" w14:textId="77777777" w:rsidR="009B0568" w:rsidRDefault="009B056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FC287" w14:textId="77777777" w:rsidR="009B0568" w:rsidRDefault="009B0568" w:rsidP="00F716D4">
      <w:r>
        <w:separator/>
      </w:r>
    </w:p>
    <w:p w14:paraId="383686B7" w14:textId="77777777" w:rsidR="009B0568" w:rsidRDefault="009B0568" w:rsidP="00F716D4"/>
  </w:footnote>
  <w:footnote w:type="continuationSeparator" w:id="0">
    <w:p w14:paraId="50CA803C" w14:textId="77777777" w:rsidR="009B0568" w:rsidRDefault="009B0568" w:rsidP="00F716D4">
      <w:r>
        <w:continuationSeparator/>
      </w:r>
    </w:p>
    <w:p w14:paraId="03A66FEB" w14:textId="77777777" w:rsidR="009B0568" w:rsidRDefault="009B0568" w:rsidP="00F716D4"/>
  </w:footnote>
  <w:footnote w:type="continuationNotice" w:id="1">
    <w:p w14:paraId="24DDB76E" w14:textId="77777777" w:rsidR="009B0568" w:rsidRDefault="009B0568"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332A15BB" w:rsidR="00F87468" w:rsidRPr="00234FA7" w:rsidRDefault="00234FA7" w:rsidP="00F716D4">
    <w:pPr>
      <w:pStyle w:val="HeaderFoot"/>
    </w:pPr>
    <w:r w:rsidRPr="00234FA7">
      <w:t>10 July 2024</w:t>
    </w:r>
    <w:bookmarkEnd w:id="4"/>
  </w:p>
  <w:p w14:paraId="4661A9E6" w14:textId="0E2DB50C" w:rsidR="00F107EF" w:rsidRPr="00F716D4" w:rsidRDefault="00EE57EB" w:rsidP="00C54034">
    <w:pPr>
      <w:pStyle w:val="HeaderFoot"/>
    </w:pPr>
    <w:bookmarkStart w:id="6" w:name="_Hlk124775957"/>
    <w:r w:rsidRPr="00EE57EB">
      <w:t>ESMA74-2134169708-7343</w:t>
    </w:r>
    <w:bookmarkEnd w:id="5"/>
    <w:bookmarkEnd w:id="6"/>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0F2BC1"/>
    <w:multiLevelType w:val="hybridMultilevel"/>
    <w:tmpl w:val="FFFFFFFF"/>
    <w:lvl w:ilvl="0" w:tplc="691AA418">
      <w:start w:val="1"/>
      <w:numFmt w:val="bullet"/>
      <w:lvlText w:val=""/>
      <w:lvlJc w:val="left"/>
      <w:pPr>
        <w:ind w:left="720" w:hanging="360"/>
      </w:pPr>
      <w:rPr>
        <w:rFonts w:ascii="Symbol" w:hAnsi="Symbol" w:hint="default"/>
      </w:rPr>
    </w:lvl>
    <w:lvl w:ilvl="1" w:tplc="B0BCCD5A">
      <w:start w:val="1"/>
      <w:numFmt w:val="bullet"/>
      <w:lvlText w:val="o"/>
      <w:lvlJc w:val="left"/>
      <w:pPr>
        <w:ind w:left="1440" w:hanging="360"/>
      </w:pPr>
      <w:rPr>
        <w:rFonts w:ascii="Courier New" w:hAnsi="Courier New" w:hint="default"/>
      </w:rPr>
    </w:lvl>
    <w:lvl w:ilvl="2" w:tplc="782CCA3A">
      <w:start w:val="1"/>
      <w:numFmt w:val="bullet"/>
      <w:lvlText w:val=""/>
      <w:lvlJc w:val="left"/>
      <w:pPr>
        <w:ind w:left="2160" w:hanging="360"/>
      </w:pPr>
      <w:rPr>
        <w:rFonts w:ascii="Wingdings" w:hAnsi="Wingdings" w:hint="default"/>
      </w:rPr>
    </w:lvl>
    <w:lvl w:ilvl="3" w:tplc="AB5A42AA">
      <w:start w:val="1"/>
      <w:numFmt w:val="bullet"/>
      <w:lvlText w:val=""/>
      <w:lvlJc w:val="left"/>
      <w:pPr>
        <w:ind w:left="2880" w:hanging="360"/>
      </w:pPr>
      <w:rPr>
        <w:rFonts w:ascii="Symbol" w:hAnsi="Symbol" w:hint="default"/>
      </w:rPr>
    </w:lvl>
    <w:lvl w:ilvl="4" w:tplc="CF80DF76">
      <w:start w:val="1"/>
      <w:numFmt w:val="bullet"/>
      <w:lvlText w:val="o"/>
      <w:lvlJc w:val="left"/>
      <w:pPr>
        <w:ind w:left="3600" w:hanging="360"/>
      </w:pPr>
      <w:rPr>
        <w:rFonts w:ascii="Courier New" w:hAnsi="Courier New" w:hint="default"/>
      </w:rPr>
    </w:lvl>
    <w:lvl w:ilvl="5" w:tplc="2D14C63A">
      <w:start w:val="1"/>
      <w:numFmt w:val="bullet"/>
      <w:lvlText w:val=""/>
      <w:lvlJc w:val="left"/>
      <w:pPr>
        <w:ind w:left="4320" w:hanging="360"/>
      </w:pPr>
      <w:rPr>
        <w:rFonts w:ascii="Wingdings" w:hAnsi="Wingdings" w:hint="default"/>
      </w:rPr>
    </w:lvl>
    <w:lvl w:ilvl="6" w:tplc="57BC3B7A">
      <w:start w:val="1"/>
      <w:numFmt w:val="bullet"/>
      <w:lvlText w:val=""/>
      <w:lvlJc w:val="left"/>
      <w:pPr>
        <w:ind w:left="5040" w:hanging="360"/>
      </w:pPr>
      <w:rPr>
        <w:rFonts w:ascii="Symbol" w:hAnsi="Symbol" w:hint="default"/>
      </w:rPr>
    </w:lvl>
    <w:lvl w:ilvl="7" w:tplc="3AB81D52">
      <w:start w:val="1"/>
      <w:numFmt w:val="bullet"/>
      <w:lvlText w:val="o"/>
      <w:lvlJc w:val="left"/>
      <w:pPr>
        <w:ind w:left="5760" w:hanging="360"/>
      </w:pPr>
      <w:rPr>
        <w:rFonts w:ascii="Courier New" w:hAnsi="Courier New" w:hint="default"/>
      </w:rPr>
    </w:lvl>
    <w:lvl w:ilvl="8" w:tplc="2F063E88">
      <w:start w:val="1"/>
      <w:numFmt w:val="bullet"/>
      <w:lvlText w:val=""/>
      <w:lvlJc w:val="left"/>
      <w:pPr>
        <w:ind w:left="6480" w:hanging="360"/>
      </w:pPr>
      <w:rPr>
        <w:rFonts w:ascii="Wingdings" w:hAnsi="Wingdings" w:hint="default"/>
      </w:rPr>
    </w:lvl>
  </w:abstractNum>
  <w:abstractNum w:abstractNumId="3" w15:restartNumberingAfterBreak="0">
    <w:nsid w:val="07003549"/>
    <w:multiLevelType w:val="multilevel"/>
    <w:tmpl w:val="D4B8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40EF9"/>
    <w:multiLevelType w:val="multilevel"/>
    <w:tmpl w:val="0C80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F599E"/>
    <w:multiLevelType w:val="multilevel"/>
    <w:tmpl w:val="AA92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D053F"/>
    <w:multiLevelType w:val="multilevel"/>
    <w:tmpl w:val="065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9851ED"/>
    <w:multiLevelType w:val="multilevel"/>
    <w:tmpl w:val="769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0"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221E15"/>
    <w:multiLevelType w:val="multilevel"/>
    <w:tmpl w:val="98649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128261F"/>
    <w:multiLevelType w:val="multilevel"/>
    <w:tmpl w:val="3A5C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06051"/>
    <w:multiLevelType w:val="multilevel"/>
    <w:tmpl w:val="9618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D20CB"/>
    <w:multiLevelType w:val="multilevel"/>
    <w:tmpl w:val="8A84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5990DA"/>
    <w:multiLevelType w:val="hybridMultilevel"/>
    <w:tmpl w:val="FFFFFFFF"/>
    <w:lvl w:ilvl="0" w:tplc="FFFFFFFF">
      <w:start w:val="1"/>
      <w:numFmt w:val="bullet"/>
      <w:lvlText w:val=""/>
      <w:lvlJc w:val="left"/>
      <w:pPr>
        <w:ind w:left="720" w:hanging="360"/>
      </w:pPr>
      <w:rPr>
        <w:rFonts w:ascii="Symbol" w:hAnsi="Symbol" w:hint="default"/>
      </w:rPr>
    </w:lvl>
    <w:lvl w:ilvl="1" w:tplc="6040D882">
      <w:start w:val="1"/>
      <w:numFmt w:val="lowerLetter"/>
      <w:lvlText w:val="%2."/>
      <w:lvlJc w:val="left"/>
      <w:pPr>
        <w:ind w:left="1440" w:hanging="360"/>
      </w:pPr>
    </w:lvl>
    <w:lvl w:ilvl="2" w:tplc="AEB292B4">
      <w:start w:val="1"/>
      <w:numFmt w:val="lowerRoman"/>
      <w:lvlText w:val="%3."/>
      <w:lvlJc w:val="right"/>
      <w:pPr>
        <w:ind w:left="2160" w:hanging="180"/>
      </w:pPr>
    </w:lvl>
    <w:lvl w:ilvl="3" w:tplc="7ED891A2">
      <w:start w:val="1"/>
      <w:numFmt w:val="decimal"/>
      <w:lvlText w:val="%4."/>
      <w:lvlJc w:val="left"/>
      <w:pPr>
        <w:ind w:left="2880" w:hanging="360"/>
      </w:pPr>
    </w:lvl>
    <w:lvl w:ilvl="4" w:tplc="90A6C558">
      <w:start w:val="1"/>
      <w:numFmt w:val="lowerLetter"/>
      <w:lvlText w:val="%5."/>
      <w:lvlJc w:val="left"/>
      <w:pPr>
        <w:ind w:left="3600" w:hanging="360"/>
      </w:pPr>
    </w:lvl>
    <w:lvl w:ilvl="5" w:tplc="752A4DA2">
      <w:start w:val="1"/>
      <w:numFmt w:val="lowerRoman"/>
      <w:lvlText w:val="%6."/>
      <w:lvlJc w:val="right"/>
      <w:pPr>
        <w:ind w:left="4320" w:hanging="180"/>
      </w:pPr>
    </w:lvl>
    <w:lvl w:ilvl="6" w:tplc="9AC872CC">
      <w:start w:val="1"/>
      <w:numFmt w:val="decimal"/>
      <w:lvlText w:val="%7."/>
      <w:lvlJc w:val="left"/>
      <w:pPr>
        <w:ind w:left="5040" w:hanging="360"/>
      </w:pPr>
    </w:lvl>
    <w:lvl w:ilvl="7" w:tplc="95F8B646">
      <w:start w:val="1"/>
      <w:numFmt w:val="lowerLetter"/>
      <w:lvlText w:val="%8."/>
      <w:lvlJc w:val="left"/>
      <w:pPr>
        <w:ind w:left="5760" w:hanging="360"/>
      </w:pPr>
    </w:lvl>
    <w:lvl w:ilvl="8" w:tplc="0FA46722">
      <w:start w:val="1"/>
      <w:numFmt w:val="lowerRoman"/>
      <w:lvlText w:val="%9."/>
      <w:lvlJc w:val="right"/>
      <w:pPr>
        <w:ind w:left="6480" w:hanging="180"/>
      </w:pPr>
    </w:lvl>
  </w:abstractNum>
  <w:abstractNum w:abstractNumId="20" w15:restartNumberingAfterBreak="0">
    <w:nsid w:val="36CE2988"/>
    <w:multiLevelType w:val="multilevel"/>
    <w:tmpl w:val="0ACA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4127C"/>
    <w:multiLevelType w:val="multilevel"/>
    <w:tmpl w:val="89F2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C672D2"/>
    <w:multiLevelType w:val="multilevel"/>
    <w:tmpl w:val="47FA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0" w15:restartNumberingAfterBreak="0">
    <w:nsid w:val="3F491D71"/>
    <w:multiLevelType w:val="multilevel"/>
    <w:tmpl w:val="704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074160"/>
    <w:multiLevelType w:val="multilevel"/>
    <w:tmpl w:val="611A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4" w15:restartNumberingAfterBreak="0">
    <w:nsid w:val="45FE5762"/>
    <w:multiLevelType w:val="multilevel"/>
    <w:tmpl w:val="059A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8D3329"/>
    <w:multiLevelType w:val="multilevel"/>
    <w:tmpl w:val="D036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7"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9"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FE25258"/>
    <w:multiLevelType w:val="multilevel"/>
    <w:tmpl w:val="9F82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3" w15:restartNumberingAfterBreak="0">
    <w:nsid w:val="554F0F78"/>
    <w:multiLevelType w:val="multilevel"/>
    <w:tmpl w:val="485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A687EDB"/>
    <w:multiLevelType w:val="multilevel"/>
    <w:tmpl w:val="BA2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E969FD"/>
    <w:multiLevelType w:val="multilevel"/>
    <w:tmpl w:val="BC8C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77F7D0"/>
    <w:multiLevelType w:val="hybridMultilevel"/>
    <w:tmpl w:val="FFFFFFFF"/>
    <w:lvl w:ilvl="0" w:tplc="06FEC18E">
      <w:start w:val="1"/>
      <w:numFmt w:val="bullet"/>
      <w:lvlText w:val=""/>
      <w:lvlJc w:val="left"/>
      <w:pPr>
        <w:ind w:left="720" w:hanging="360"/>
      </w:pPr>
      <w:rPr>
        <w:rFonts w:ascii="Symbol" w:hAnsi="Symbol" w:hint="default"/>
      </w:rPr>
    </w:lvl>
    <w:lvl w:ilvl="1" w:tplc="0BC6046A">
      <w:start w:val="1"/>
      <w:numFmt w:val="bullet"/>
      <w:lvlText w:val="o"/>
      <w:lvlJc w:val="left"/>
      <w:pPr>
        <w:ind w:left="1440" w:hanging="360"/>
      </w:pPr>
      <w:rPr>
        <w:rFonts w:ascii="Courier New" w:hAnsi="Courier New" w:hint="default"/>
      </w:rPr>
    </w:lvl>
    <w:lvl w:ilvl="2" w:tplc="98DA908E">
      <w:start w:val="1"/>
      <w:numFmt w:val="bullet"/>
      <w:lvlText w:val=""/>
      <w:lvlJc w:val="left"/>
      <w:pPr>
        <w:ind w:left="2160" w:hanging="360"/>
      </w:pPr>
      <w:rPr>
        <w:rFonts w:ascii="Wingdings" w:hAnsi="Wingdings" w:hint="default"/>
      </w:rPr>
    </w:lvl>
    <w:lvl w:ilvl="3" w:tplc="277AC55E">
      <w:start w:val="1"/>
      <w:numFmt w:val="bullet"/>
      <w:lvlText w:val=""/>
      <w:lvlJc w:val="left"/>
      <w:pPr>
        <w:ind w:left="2880" w:hanging="360"/>
      </w:pPr>
      <w:rPr>
        <w:rFonts w:ascii="Symbol" w:hAnsi="Symbol" w:hint="default"/>
      </w:rPr>
    </w:lvl>
    <w:lvl w:ilvl="4" w:tplc="46583314">
      <w:start w:val="1"/>
      <w:numFmt w:val="bullet"/>
      <w:lvlText w:val="o"/>
      <w:lvlJc w:val="left"/>
      <w:pPr>
        <w:ind w:left="3600" w:hanging="360"/>
      </w:pPr>
      <w:rPr>
        <w:rFonts w:ascii="Courier New" w:hAnsi="Courier New" w:hint="default"/>
      </w:rPr>
    </w:lvl>
    <w:lvl w:ilvl="5" w:tplc="DA04872C">
      <w:start w:val="1"/>
      <w:numFmt w:val="bullet"/>
      <w:lvlText w:val=""/>
      <w:lvlJc w:val="left"/>
      <w:pPr>
        <w:ind w:left="4320" w:hanging="360"/>
      </w:pPr>
      <w:rPr>
        <w:rFonts w:ascii="Wingdings" w:hAnsi="Wingdings" w:hint="default"/>
      </w:rPr>
    </w:lvl>
    <w:lvl w:ilvl="6" w:tplc="35844F38">
      <w:start w:val="1"/>
      <w:numFmt w:val="bullet"/>
      <w:lvlText w:val=""/>
      <w:lvlJc w:val="left"/>
      <w:pPr>
        <w:ind w:left="5040" w:hanging="360"/>
      </w:pPr>
      <w:rPr>
        <w:rFonts w:ascii="Symbol" w:hAnsi="Symbol" w:hint="default"/>
      </w:rPr>
    </w:lvl>
    <w:lvl w:ilvl="7" w:tplc="73B2E69A">
      <w:start w:val="1"/>
      <w:numFmt w:val="bullet"/>
      <w:lvlText w:val="o"/>
      <w:lvlJc w:val="left"/>
      <w:pPr>
        <w:ind w:left="5760" w:hanging="360"/>
      </w:pPr>
      <w:rPr>
        <w:rFonts w:ascii="Courier New" w:hAnsi="Courier New" w:hint="default"/>
      </w:rPr>
    </w:lvl>
    <w:lvl w:ilvl="8" w:tplc="26641F1C">
      <w:start w:val="1"/>
      <w:numFmt w:val="bullet"/>
      <w:lvlText w:val=""/>
      <w:lvlJc w:val="left"/>
      <w:pPr>
        <w:ind w:left="6480" w:hanging="360"/>
      </w:pPr>
      <w:rPr>
        <w:rFonts w:ascii="Wingdings" w:hAnsi="Wingdings" w:hint="default"/>
      </w:rPr>
    </w:lvl>
  </w:abstractNum>
  <w:abstractNum w:abstractNumId="4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0" w15:restartNumberingAfterBreak="0">
    <w:nsid w:val="5F674065"/>
    <w:multiLevelType w:val="multilevel"/>
    <w:tmpl w:val="580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3A320A"/>
    <w:multiLevelType w:val="multilevel"/>
    <w:tmpl w:val="DFF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5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6A7735C8"/>
    <w:multiLevelType w:val="multilevel"/>
    <w:tmpl w:val="DF68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B0A3399"/>
    <w:multiLevelType w:val="multilevel"/>
    <w:tmpl w:val="864A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3D47B9"/>
    <w:multiLevelType w:val="multilevel"/>
    <w:tmpl w:val="842E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73C0663B"/>
    <w:multiLevelType w:val="multilevel"/>
    <w:tmpl w:val="4574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5" w15:restartNumberingAfterBreak="0">
    <w:nsid w:val="7F59C915"/>
    <w:multiLevelType w:val="hybridMultilevel"/>
    <w:tmpl w:val="17488022"/>
    <w:lvl w:ilvl="0" w:tplc="F9A603B6">
      <w:start w:val="1"/>
      <w:numFmt w:val="bullet"/>
      <w:lvlText w:val=""/>
      <w:lvlJc w:val="left"/>
      <w:pPr>
        <w:ind w:left="720" w:hanging="360"/>
      </w:pPr>
      <w:rPr>
        <w:rFonts w:ascii="Symbol" w:hAnsi="Symbol" w:hint="default"/>
      </w:rPr>
    </w:lvl>
    <w:lvl w:ilvl="1" w:tplc="C36CA02E">
      <w:start w:val="1"/>
      <w:numFmt w:val="bullet"/>
      <w:lvlText w:val="o"/>
      <w:lvlJc w:val="left"/>
      <w:pPr>
        <w:ind w:left="1440" w:hanging="360"/>
      </w:pPr>
      <w:rPr>
        <w:rFonts w:ascii="Courier New" w:hAnsi="Courier New" w:hint="default"/>
      </w:rPr>
    </w:lvl>
    <w:lvl w:ilvl="2" w:tplc="AC049CF2">
      <w:start w:val="1"/>
      <w:numFmt w:val="bullet"/>
      <w:lvlText w:val=""/>
      <w:lvlJc w:val="left"/>
      <w:pPr>
        <w:ind w:left="2160" w:hanging="360"/>
      </w:pPr>
      <w:rPr>
        <w:rFonts w:ascii="Wingdings" w:hAnsi="Wingdings" w:hint="default"/>
      </w:rPr>
    </w:lvl>
    <w:lvl w:ilvl="3" w:tplc="7190FD52">
      <w:start w:val="1"/>
      <w:numFmt w:val="bullet"/>
      <w:lvlText w:val=""/>
      <w:lvlJc w:val="left"/>
      <w:pPr>
        <w:ind w:left="2880" w:hanging="360"/>
      </w:pPr>
      <w:rPr>
        <w:rFonts w:ascii="Symbol" w:hAnsi="Symbol" w:hint="default"/>
      </w:rPr>
    </w:lvl>
    <w:lvl w:ilvl="4" w:tplc="B666F0C4">
      <w:start w:val="1"/>
      <w:numFmt w:val="bullet"/>
      <w:lvlText w:val="o"/>
      <w:lvlJc w:val="left"/>
      <w:pPr>
        <w:ind w:left="3600" w:hanging="360"/>
      </w:pPr>
      <w:rPr>
        <w:rFonts w:ascii="Courier New" w:hAnsi="Courier New" w:hint="default"/>
      </w:rPr>
    </w:lvl>
    <w:lvl w:ilvl="5" w:tplc="38F217CA">
      <w:start w:val="1"/>
      <w:numFmt w:val="bullet"/>
      <w:lvlText w:val=""/>
      <w:lvlJc w:val="left"/>
      <w:pPr>
        <w:ind w:left="4320" w:hanging="360"/>
      </w:pPr>
      <w:rPr>
        <w:rFonts w:ascii="Wingdings" w:hAnsi="Wingdings" w:hint="default"/>
      </w:rPr>
    </w:lvl>
    <w:lvl w:ilvl="6" w:tplc="2222F8C2">
      <w:start w:val="1"/>
      <w:numFmt w:val="bullet"/>
      <w:lvlText w:val=""/>
      <w:lvlJc w:val="left"/>
      <w:pPr>
        <w:ind w:left="5040" w:hanging="360"/>
      </w:pPr>
      <w:rPr>
        <w:rFonts w:ascii="Symbol" w:hAnsi="Symbol" w:hint="default"/>
      </w:rPr>
    </w:lvl>
    <w:lvl w:ilvl="7" w:tplc="DCC03972">
      <w:start w:val="1"/>
      <w:numFmt w:val="bullet"/>
      <w:lvlText w:val="o"/>
      <w:lvlJc w:val="left"/>
      <w:pPr>
        <w:ind w:left="5760" w:hanging="360"/>
      </w:pPr>
      <w:rPr>
        <w:rFonts w:ascii="Courier New" w:hAnsi="Courier New" w:hint="default"/>
      </w:rPr>
    </w:lvl>
    <w:lvl w:ilvl="8" w:tplc="5B4017F4">
      <w:start w:val="1"/>
      <w:numFmt w:val="bullet"/>
      <w:lvlText w:val=""/>
      <w:lvlJc w:val="left"/>
      <w:pPr>
        <w:ind w:left="6480" w:hanging="360"/>
      </w:pPr>
      <w:rPr>
        <w:rFonts w:ascii="Wingdings" w:hAnsi="Wingdings" w:hint="default"/>
      </w:rPr>
    </w:lvl>
  </w:abstractNum>
  <w:abstractNum w:abstractNumId="6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8"/>
  </w:num>
  <w:num w:numId="2" w16cid:durableId="1769932826">
    <w:abstractNumId w:val="33"/>
  </w:num>
  <w:num w:numId="3" w16cid:durableId="550074866">
    <w:abstractNumId w:val="21"/>
  </w:num>
  <w:num w:numId="4" w16cid:durableId="1881627233">
    <w:abstractNumId w:val="41"/>
  </w:num>
  <w:num w:numId="5" w16cid:durableId="208225584">
    <w:abstractNumId w:val="0"/>
  </w:num>
  <w:num w:numId="6" w16cid:durableId="1787233265">
    <w:abstractNumId w:val="9"/>
  </w:num>
  <w:num w:numId="7" w16cid:durableId="1846357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54"/>
  </w:num>
  <w:num w:numId="9" w16cid:durableId="1008846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45"/>
  </w:num>
  <w:num w:numId="12" w16cid:durableId="1500659627">
    <w:abstractNumId w:val="52"/>
  </w:num>
  <w:num w:numId="13" w16cid:durableId="1879658227">
    <w:abstractNumId w:val="39"/>
  </w:num>
  <w:num w:numId="14" w16cid:durableId="1495758855">
    <w:abstractNumId w:val="18"/>
  </w:num>
  <w:num w:numId="15" w16cid:durableId="1186556611">
    <w:abstractNumId w:val="1"/>
  </w:num>
  <w:num w:numId="16" w16cid:durableId="679087124">
    <w:abstractNumId w:val="25"/>
  </w:num>
  <w:num w:numId="17" w16cid:durableId="1695498691">
    <w:abstractNumId w:val="27"/>
  </w:num>
  <w:num w:numId="18" w16cid:durableId="1042363640">
    <w:abstractNumId w:val="29"/>
  </w:num>
  <w:num w:numId="19" w16cid:durableId="820345968">
    <w:abstractNumId w:val="44"/>
  </w:num>
  <w:num w:numId="20" w16cid:durableId="1805388212">
    <w:abstractNumId w:val="61"/>
  </w:num>
  <w:num w:numId="21" w16cid:durableId="538709007">
    <w:abstractNumId w:val="42"/>
  </w:num>
  <w:num w:numId="22" w16cid:durableId="104540172">
    <w:abstractNumId w:val="17"/>
  </w:num>
  <w:num w:numId="23" w16cid:durableId="1824349076">
    <w:abstractNumId w:val="51"/>
  </w:num>
  <w:num w:numId="24" w16cid:durableId="672032853">
    <w:abstractNumId w:val="49"/>
  </w:num>
  <w:num w:numId="25" w16cid:durableId="48917541">
    <w:abstractNumId w:val="36"/>
  </w:num>
  <w:num w:numId="26" w16cid:durableId="978925443">
    <w:abstractNumId w:val="55"/>
  </w:num>
  <w:num w:numId="27" w16cid:durableId="1036613928">
    <w:abstractNumId w:val="64"/>
  </w:num>
  <w:num w:numId="28" w16cid:durableId="872039349">
    <w:abstractNumId w:val="15"/>
  </w:num>
  <w:num w:numId="29" w16cid:durableId="924530660">
    <w:abstractNumId w:val="8"/>
  </w:num>
  <w:num w:numId="30" w16cid:durableId="419180233">
    <w:abstractNumId w:val="38"/>
  </w:num>
  <w:num w:numId="31" w16cid:durableId="276761337">
    <w:abstractNumId w:val="37"/>
  </w:num>
  <w:num w:numId="32" w16cid:durableId="1166238383">
    <w:abstractNumId w:val="59"/>
  </w:num>
  <w:num w:numId="33" w16cid:durableId="2076850202">
    <w:abstractNumId w:val="58"/>
  </w:num>
  <w:num w:numId="34" w16cid:durableId="469176496">
    <w:abstractNumId w:val="23"/>
  </w:num>
  <w:num w:numId="35" w16cid:durableId="674843309">
    <w:abstractNumId w:val="32"/>
  </w:num>
  <w:num w:numId="36" w16cid:durableId="1954971501">
    <w:abstractNumId w:val="66"/>
  </w:num>
  <w:num w:numId="37" w16cid:durableId="1880315838">
    <w:abstractNumId w:val="23"/>
    <w:lvlOverride w:ilvl="0">
      <w:startOverride w:val="55"/>
    </w:lvlOverride>
  </w:num>
  <w:num w:numId="38" w16cid:durableId="1255281329">
    <w:abstractNumId w:val="2"/>
  </w:num>
  <w:num w:numId="39" w16cid:durableId="1089234385">
    <w:abstractNumId w:val="65"/>
  </w:num>
  <w:num w:numId="40" w16cid:durableId="1408261754">
    <w:abstractNumId w:val="48"/>
  </w:num>
  <w:num w:numId="41" w16cid:durableId="1518301644">
    <w:abstractNumId w:val="19"/>
  </w:num>
  <w:num w:numId="42" w16cid:durableId="1216939473">
    <w:abstractNumId w:val="11"/>
  </w:num>
  <w:num w:numId="43" w16cid:durableId="752701683">
    <w:abstractNumId w:val="43"/>
  </w:num>
  <w:num w:numId="44" w16cid:durableId="306934217">
    <w:abstractNumId w:val="20"/>
  </w:num>
  <w:num w:numId="45" w16cid:durableId="1410808137">
    <w:abstractNumId w:val="31"/>
  </w:num>
  <w:num w:numId="46" w16cid:durableId="1190680046">
    <w:abstractNumId w:val="3"/>
  </w:num>
  <w:num w:numId="47" w16cid:durableId="2044092404">
    <w:abstractNumId w:val="5"/>
  </w:num>
  <w:num w:numId="48" w16cid:durableId="49769547">
    <w:abstractNumId w:val="30"/>
  </w:num>
  <w:num w:numId="49" w16cid:durableId="170074691">
    <w:abstractNumId w:val="13"/>
  </w:num>
  <w:num w:numId="50" w16cid:durableId="1634945815">
    <w:abstractNumId w:val="14"/>
  </w:num>
  <w:num w:numId="51" w16cid:durableId="313415072">
    <w:abstractNumId w:val="46"/>
  </w:num>
  <w:num w:numId="52" w16cid:durableId="603877430">
    <w:abstractNumId w:val="56"/>
  </w:num>
  <w:num w:numId="53" w16cid:durableId="1445005465">
    <w:abstractNumId w:val="53"/>
  </w:num>
  <w:num w:numId="54" w16cid:durableId="1394812838">
    <w:abstractNumId w:val="26"/>
  </w:num>
  <w:num w:numId="55" w16cid:durableId="994138961">
    <w:abstractNumId w:val="57"/>
  </w:num>
  <w:num w:numId="56" w16cid:durableId="1766459679">
    <w:abstractNumId w:val="12"/>
  </w:num>
  <w:num w:numId="57" w16cid:durableId="1515027104">
    <w:abstractNumId w:val="4"/>
  </w:num>
  <w:num w:numId="58" w16cid:durableId="459540141">
    <w:abstractNumId w:val="62"/>
  </w:num>
  <w:num w:numId="59" w16cid:durableId="1035350827">
    <w:abstractNumId w:val="50"/>
  </w:num>
  <w:num w:numId="60" w16cid:durableId="1578976996">
    <w:abstractNumId w:val="35"/>
  </w:num>
  <w:num w:numId="61" w16cid:durableId="488450976">
    <w:abstractNumId w:val="47"/>
  </w:num>
  <w:num w:numId="62" w16cid:durableId="1292445972">
    <w:abstractNumId w:val="40"/>
  </w:num>
  <w:num w:numId="63" w16cid:durableId="992102157">
    <w:abstractNumId w:val="22"/>
  </w:num>
  <w:num w:numId="64" w16cid:durableId="756898711">
    <w:abstractNumId w:val="60"/>
  </w:num>
  <w:num w:numId="65" w16cid:durableId="1125201306">
    <w:abstractNumId w:val="7"/>
  </w:num>
  <w:num w:numId="66" w16cid:durableId="692220305">
    <w:abstractNumId w:val="6"/>
  </w:num>
  <w:num w:numId="67" w16cid:durableId="1438016168">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8mH9Thfqz2vUvnDqxPgXngsET1O7AqC5vdfi78/c/vPLm/gHE551crFiKfjEoAhPqZOFATVV7z69R7DvZWmOQ==" w:salt="q+S0s8WvEZ9KKxCO56SF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63DC"/>
    <w:rsid w:val="0001774B"/>
    <w:rsid w:val="00020D0F"/>
    <w:rsid w:val="000213A4"/>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5F6D"/>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9FF"/>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459D"/>
    <w:rsid w:val="000C55C8"/>
    <w:rsid w:val="000C57C4"/>
    <w:rsid w:val="000C5FD3"/>
    <w:rsid w:val="000C700C"/>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209"/>
    <w:rsid w:val="00121A5D"/>
    <w:rsid w:val="00121BED"/>
    <w:rsid w:val="00122100"/>
    <w:rsid w:val="00123D39"/>
    <w:rsid w:val="001244CD"/>
    <w:rsid w:val="0012566F"/>
    <w:rsid w:val="001262B1"/>
    <w:rsid w:val="00130F41"/>
    <w:rsid w:val="00130FAF"/>
    <w:rsid w:val="001346C0"/>
    <w:rsid w:val="00134A77"/>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02B6"/>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3E2"/>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3A34"/>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4401"/>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484"/>
    <w:rsid w:val="00290638"/>
    <w:rsid w:val="002913F2"/>
    <w:rsid w:val="00291763"/>
    <w:rsid w:val="00291D80"/>
    <w:rsid w:val="00292E82"/>
    <w:rsid w:val="00293156"/>
    <w:rsid w:val="00293BE7"/>
    <w:rsid w:val="00293D78"/>
    <w:rsid w:val="002946DC"/>
    <w:rsid w:val="002A0685"/>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1FE"/>
    <w:rsid w:val="002D2FEF"/>
    <w:rsid w:val="002D36A3"/>
    <w:rsid w:val="002D36C2"/>
    <w:rsid w:val="002D3FCB"/>
    <w:rsid w:val="002D4FEF"/>
    <w:rsid w:val="002D502D"/>
    <w:rsid w:val="002D50B9"/>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550"/>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4F31"/>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47CB"/>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4DE9"/>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45BD"/>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1952"/>
    <w:rsid w:val="004A357F"/>
    <w:rsid w:val="004A3DAD"/>
    <w:rsid w:val="004B0335"/>
    <w:rsid w:val="004B0F1C"/>
    <w:rsid w:val="004B1E61"/>
    <w:rsid w:val="004B21AB"/>
    <w:rsid w:val="004B59E0"/>
    <w:rsid w:val="004B5CBE"/>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AC9"/>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6A27"/>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30D"/>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07B"/>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1C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69"/>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38BD"/>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07A3"/>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09D6"/>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E6A"/>
    <w:rsid w:val="00952F2C"/>
    <w:rsid w:val="009532E3"/>
    <w:rsid w:val="00953615"/>
    <w:rsid w:val="00954BAF"/>
    <w:rsid w:val="00955F48"/>
    <w:rsid w:val="009560B3"/>
    <w:rsid w:val="0095745E"/>
    <w:rsid w:val="00957CE0"/>
    <w:rsid w:val="0096002E"/>
    <w:rsid w:val="0096039E"/>
    <w:rsid w:val="00962CEF"/>
    <w:rsid w:val="00963766"/>
    <w:rsid w:val="00963DF3"/>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B1E"/>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568"/>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893"/>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4F8"/>
    <w:rsid w:val="00AC0DB2"/>
    <w:rsid w:val="00AC2448"/>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0542"/>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1B0B"/>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539"/>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93F"/>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E7AC9"/>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692A"/>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65BE"/>
    <w:rsid w:val="00CA715B"/>
    <w:rsid w:val="00CA7988"/>
    <w:rsid w:val="00CA7BA2"/>
    <w:rsid w:val="00CB0B78"/>
    <w:rsid w:val="00CB12A5"/>
    <w:rsid w:val="00CB17FA"/>
    <w:rsid w:val="00CB1A21"/>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004C"/>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45"/>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39EE"/>
    <w:rsid w:val="00E2585D"/>
    <w:rsid w:val="00E25DBD"/>
    <w:rsid w:val="00E25FA2"/>
    <w:rsid w:val="00E2723D"/>
    <w:rsid w:val="00E27C77"/>
    <w:rsid w:val="00E3179E"/>
    <w:rsid w:val="00E32AC9"/>
    <w:rsid w:val="00E34B83"/>
    <w:rsid w:val="00E354DA"/>
    <w:rsid w:val="00E354F5"/>
    <w:rsid w:val="00E3687E"/>
    <w:rsid w:val="00E40974"/>
    <w:rsid w:val="00E40AAB"/>
    <w:rsid w:val="00E41205"/>
    <w:rsid w:val="00E41F32"/>
    <w:rsid w:val="00E42608"/>
    <w:rsid w:val="00E43536"/>
    <w:rsid w:val="00E43CDF"/>
    <w:rsid w:val="00E43DA3"/>
    <w:rsid w:val="00E44B80"/>
    <w:rsid w:val="00E45938"/>
    <w:rsid w:val="00E47430"/>
    <w:rsid w:val="00E474BD"/>
    <w:rsid w:val="00E50FB7"/>
    <w:rsid w:val="00E5199F"/>
    <w:rsid w:val="00E526DF"/>
    <w:rsid w:val="00E53C15"/>
    <w:rsid w:val="00E54EE6"/>
    <w:rsid w:val="00E56715"/>
    <w:rsid w:val="00E56C2C"/>
    <w:rsid w:val="00E57F8E"/>
    <w:rsid w:val="00E60AE2"/>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1C69"/>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57BFE"/>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6883"/>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30946593">
      <w:bodyDiv w:val="1"/>
      <w:marLeft w:val="0"/>
      <w:marRight w:val="0"/>
      <w:marTop w:val="0"/>
      <w:marBottom w:val="0"/>
      <w:divBdr>
        <w:top w:val="none" w:sz="0" w:space="0" w:color="auto"/>
        <w:left w:val="none" w:sz="0" w:space="0" w:color="auto"/>
        <w:bottom w:val="none" w:sz="0" w:space="0" w:color="auto"/>
        <w:right w:val="none" w:sz="0" w:space="0" w:color="auto"/>
      </w:divBdr>
      <w:divsChild>
        <w:div w:id="1108890573">
          <w:marLeft w:val="0"/>
          <w:marRight w:val="0"/>
          <w:marTop w:val="0"/>
          <w:marBottom w:val="0"/>
          <w:divBdr>
            <w:top w:val="none" w:sz="0" w:space="0" w:color="auto"/>
            <w:left w:val="none" w:sz="0" w:space="0" w:color="auto"/>
            <w:bottom w:val="none" w:sz="0" w:space="0" w:color="auto"/>
            <w:right w:val="none" w:sz="0" w:space="0" w:color="auto"/>
          </w:divBdr>
        </w:div>
        <w:div w:id="892813076">
          <w:marLeft w:val="0"/>
          <w:marRight w:val="0"/>
          <w:marTop w:val="0"/>
          <w:marBottom w:val="0"/>
          <w:divBdr>
            <w:top w:val="none" w:sz="0" w:space="0" w:color="auto"/>
            <w:left w:val="none" w:sz="0" w:space="0" w:color="auto"/>
            <w:bottom w:val="none" w:sz="0" w:space="0" w:color="auto"/>
            <w:right w:val="none" w:sz="0" w:space="0" w:color="auto"/>
          </w:divBdr>
        </w:div>
        <w:div w:id="2088452921">
          <w:marLeft w:val="0"/>
          <w:marRight w:val="0"/>
          <w:marTop w:val="0"/>
          <w:marBottom w:val="0"/>
          <w:divBdr>
            <w:top w:val="none" w:sz="0" w:space="0" w:color="auto"/>
            <w:left w:val="none" w:sz="0" w:space="0" w:color="auto"/>
            <w:bottom w:val="none" w:sz="0" w:space="0" w:color="auto"/>
            <w:right w:val="none" w:sz="0" w:space="0" w:color="auto"/>
          </w:divBdr>
        </w:div>
        <w:div w:id="2047557369">
          <w:marLeft w:val="0"/>
          <w:marRight w:val="0"/>
          <w:marTop w:val="0"/>
          <w:marBottom w:val="0"/>
          <w:divBdr>
            <w:top w:val="none" w:sz="0" w:space="0" w:color="auto"/>
            <w:left w:val="none" w:sz="0" w:space="0" w:color="auto"/>
            <w:bottom w:val="none" w:sz="0" w:space="0" w:color="auto"/>
            <w:right w:val="none" w:sz="0" w:space="0" w:color="auto"/>
          </w:divBdr>
        </w:div>
        <w:div w:id="1713384359">
          <w:marLeft w:val="0"/>
          <w:marRight w:val="0"/>
          <w:marTop w:val="0"/>
          <w:marBottom w:val="0"/>
          <w:divBdr>
            <w:top w:val="none" w:sz="0" w:space="0" w:color="auto"/>
            <w:left w:val="none" w:sz="0" w:space="0" w:color="auto"/>
            <w:bottom w:val="none" w:sz="0" w:space="0" w:color="auto"/>
            <w:right w:val="none" w:sz="0" w:space="0" w:color="auto"/>
          </w:divBdr>
        </w:div>
        <w:div w:id="1814635858">
          <w:marLeft w:val="0"/>
          <w:marRight w:val="0"/>
          <w:marTop w:val="0"/>
          <w:marBottom w:val="0"/>
          <w:divBdr>
            <w:top w:val="none" w:sz="0" w:space="0" w:color="auto"/>
            <w:left w:val="none" w:sz="0" w:space="0" w:color="auto"/>
            <w:bottom w:val="none" w:sz="0" w:space="0" w:color="auto"/>
            <w:right w:val="none" w:sz="0" w:space="0" w:color="auto"/>
          </w:divBdr>
        </w:div>
        <w:div w:id="1585457245">
          <w:marLeft w:val="0"/>
          <w:marRight w:val="0"/>
          <w:marTop w:val="0"/>
          <w:marBottom w:val="0"/>
          <w:divBdr>
            <w:top w:val="none" w:sz="0" w:space="0" w:color="auto"/>
            <w:left w:val="none" w:sz="0" w:space="0" w:color="auto"/>
            <w:bottom w:val="none" w:sz="0" w:space="0" w:color="auto"/>
            <w:right w:val="none" w:sz="0" w:space="0" w:color="auto"/>
          </w:divBdr>
        </w:div>
        <w:div w:id="107627678">
          <w:marLeft w:val="0"/>
          <w:marRight w:val="0"/>
          <w:marTop w:val="0"/>
          <w:marBottom w:val="0"/>
          <w:divBdr>
            <w:top w:val="none" w:sz="0" w:space="0" w:color="auto"/>
            <w:left w:val="none" w:sz="0" w:space="0" w:color="auto"/>
            <w:bottom w:val="none" w:sz="0" w:space="0" w:color="auto"/>
            <w:right w:val="none" w:sz="0" w:space="0" w:color="auto"/>
          </w:divBdr>
        </w:div>
        <w:div w:id="1604415100">
          <w:marLeft w:val="0"/>
          <w:marRight w:val="0"/>
          <w:marTop w:val="0"/>
          <w:marBottom w:val="0"/>
          <w:divBdr>
            <w:top w:val="none" w:sz="0" w:space="0" w:color="auto"/>
            <w:left w:val="none" w:sz="0" w:space="0" w:color="auto"/>
            <w:bottom w:val="none" w:sz="0" w:space="0" w:color="auto"/>
            <w:right w:val="none" w:sz="0" w:space="0" w:color="auto"/>
          </w:divBdr>
        </w:div>
        <w:div w:id="359671383">
          <w:marLeft w:val="0"/>
          <w:marRight w:val="0"/>
          <w:marTop w:val="0"/>
          <w:marBottom w:val="0"/>
          <w:divBdr>
            <w:top w:val="none" w:sz="0" w:space="0" w:color="auto"/>
            <w:left w:val="none" w:sz="0" w:space="0" w:color="auto"/>
            <w:bottom w:val="none" w:sz="0" w:space="0" w:color="auto"/>
            <w:right w:val="none" w:sz="0" w:space="0" w:color="auto"/>
          </w:divBdr>
        </w:div>
        <w:div w:id="221330830">
          <w:marLeft w:val="0"/>
          <w:marRight w:val="0"/>
          <w:marTop w:val="0"/>
          <w:marBottom w:val="0"/>
          <w:divBdr>
            <w:top w:val="none" w:sz="0" w:space="0" w:color="auto"/>
            <w:left w:val="none" w:sz="0" w:space="0" w:color="auto"/>
            <w:bottom w:val="none" w:sz="0" w:space="0" w:color="auto"/>
            <w:right w:val="none" w:sz="0" w:space="0" w:color="auto"/>
          </w:divBdr>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19944996">
      <w:bodyDiv w:val="1"/>
      <w:marLeft w:val="0"/>
      <w:marRight w:val="0"/>
      <w:marTop w:val="0"/>
      <w:marBottom w:val="0"/>
      <w:divBdr>
        <w:top w:val="none" w:sz="0" w:space="0" w:color="auto"/>
        <w:left w:val="none" w:sz="0" w:space="0" w:color="auto"/>
        <w:bottom w:val="none" w:sz="0" w:space="0" w:color="auto"/>
        <w:right w:val="none" w:sz="0" w:space="0" w:color="auto"/>
      </w:divBdr>
      <w:divsChild>
        <w:div w:id="2068336698">
          <w:marLeft w:val="0"/>
          <w:marRight w:val="0"/>
          <w:marTop w:val="0"/>
          <w:marBottom w:val="0"/>
          <w:divBdr>
            <w:top w:val="none" w:sz="0" w:space="0" w:color="auto"/>
            <w:left w:val="none" w:sz="0" w:space="0" w:color="auto"/>
            <w:bottom w:val="none" w:sz="0" w:space="0" w:color="auto"/>
            <w:right w:val="none" w:sz="0" w:space="0" w:color="auto"/>
          </w:divBdr>
        </w:div>
        <w:div w:id="1899125466">
          <w:marLeft w:val="0"/>
          <w:marRight w:val="0"/>
          <w:marTop w:val="0"/>
          <w:marBottom w:val="0"/>
          <w:divBdr>
            <w:top w:val="none" w:sz="0" w:space="0" w:color="auto"/>
            <w:left w:val="none" w:sz="0" w:space="0" w:color="auto"/>
            <w:bottom w:val="none" w:sz="0" w:space="0" w:color="auto"/>
            <w:right w:val="none" w:sz="0" w:space="0" w:color="auto"/>
          </w:divBdr>
        </w:div>
        <w:div w:id="2017337877">
          <w:marLeft w:val="0"/>
          <w:marRight w:val="0"/>
          <w:marTop w:val="0"/>
          <w:marBottom w:val="0"/>
          <w:divBdr>
            <w:top w:val="none" w:sz="0" w:space="0" w:color="auto"/>
            <w:left w:val="none" w:sz="0" w:space="0" w:color="auto"/>
            <w:bottom w:val="none" w:sz="0" w:space="0" w:color="auto"/>
            <w:right w:val="none" w:sz="0" w:space="0" w:color="auto"/>
          </w:divBdr>
        </w:div>
        <w:div w:id="252205150">
          <w:marLeft w:val="0"/>
          <w:marRight w:val="0"/>
          <w:marTop w:val="0"/>
          <w:marBottom w:val="0"/>
          <w:divBdr>
            <w:top w:val="none" w:sz="0" w:space="0" w:color="auto"/>
            <w:left w:val="none" w:sz="0" w:space="0" w:color="auto"/>
            <w:bottom w:val="none" w:sz="0" w:space="0" w:color="auto"/>
            <w:right w:val="none" w:sz="0" w:space="0" w:color="auto"/>
          </w:divBdr>
        </w:div>
        <w:div w:id="676810410">
          <w:marLeft w:val="0"/>
          <w:marRight w:val="0"/>
          <w:marTop w:val="0"/>
          <w:marBottom w:val="0"/>
          <w:divBdr>
            <w:top w:val="none" w:sz="0" w:space="0" w:color="auto"/>
            <w:left w:val="none" w:sz="0" w:space="0" w:color="auto"/>
            <w:bottom w:val="none" w:sz="0" w:space="0" w:color="auto"/>
            <w:right w:val="none" w:sz="0" w:space="0" w:color="auto"/>
          </w:divBdr>
        </w:div>
        <w:div w:id="1825268910">
          <w:marLeft w:val="0"/>
          <w:marRight w:val="0"/>
          <w:marTop w:val="0"/>
          <w:marBottom w:val="0"/>
          <w:divBdr>
            <w:top w:val="none" w:sz="0" w:space="0" w:color="auto"/>
            <w:left w:val="none" w:sz="0" w:space="0" w:color="auto"/>
            <w:bottom w:val="none" w:sz="0" w:space="0" w:color="auto"/>
            <w:right w:val="none" w:sz="0" w:space="0" w:color="auto"/>
          </w:divBdr>
        </w:div>
      </w:divsChild>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68702606">
      <w:bodyDiv w:val="1"/>
      <w:marLeft w:val="0"/>
      <w:marRight w:val="0"/>
      <w:marTop w:val="0"/>
      <w:marBottom w:val="0"/>
      <w:divBdr>
        <w:top w:val="none" w:sz="0" w:space="0" w:color="auto"/>
        <w:left w:val="none" w:sz="0" w:space="0" w:color="auto"/>
        <w:bottom w:val="none" w:sz="0" w:space="0" w:color="auto"/>
        <w:right w:val="none" w:sz="0" w:space="0" w:color="auto"/>
      </w:divBdr>
      <w:divsChild>
        <w:div w:id="455375296">
          <w:marLeft w:val="0"/>
          <w:marRight w:val="0"/>
          <w:marTop w:val="0"/>
          <w:marBottom w:val="0"/>
          <w:divBdr>
            <w:top w:val="none" w:sz="0" w:space="0" w:color="auto"/>
            <w:left w:val="none" w:sz="0" w:space="0" w:color="auto"/>
            <w:bottom w:val="none" w:sz="0" w:space="0" w:color="auto"/>
            <w:right w:val="none" w:sz="0" w:space="0" w:color="auto"/>
          </w:divBdr>
        </w:div>
        <w:div w:id="1898199583">
          <w:marLeft w:val="0"/>
          <w:marRight w:val="0"/>
          <w:marTop w:val="0"/>
          <w:marBottom w:val="0"/>
          <w:divBdr>
            <w:top w:val="none" w:sz="0" w:space="0" w:color="auto"/>
            <w:left w:val="none" w:sz="0" w:space="0" w:color="auto"/>
            <w:bottom w:val="none" w:sz="0" w:space="0" w:color="auto"/>
            <w:right w:val="none" w:sz="0" w:space="0" w:color="auto"/>
          </w:divBdr>
        </w:div>
        <w:div w:id="1122071760">
          <w:marLeft w:val="0"/>
          <w:marRight w:val="0"/>
          <w:marTop w:val="0"/>
          <w:marBottom w:val="0"/>
          <w:divBdr>
            <w:top w:val="none" w:sz="0" w:space="0" w:color="auto"/>
            <w:left w:val="none" w:sz="0" w:space="0" w:color="auto"/>
            <w:bottom w:val="none" w:sz="0" w:space="0" w:color="auto"/>
            <w:right w:val="none" w:sz="0" w:space="0" w:color="auto"/>
          </w:divBdr>
        </w:div>
        <w:div w:id="2090880128">
          <w:marLeft w:val="0"/>
          <w:marRight w:val="0"/>
          <w:marTop w:val="0"/>
          <w:marBottom w:val="0"/>
          <w:divBdr>
            <w:top w:val="none" w:sz="0" w:space="0" w:color="auto"/>
            <w:left w:val="none" w:sz="0" w:space="0" w:color="auto"/>
            <w:bottom w:val="none" w:sz="0" w:space="0" w:color="auto"/>
            <w:right w:val="none" w:sz="0" w:space="0" w:color="auto"/>
          </w:divBdr>
        </w:div>
        <w:div w:id="1767799237">
          <w:marLeft w:val="0"/>
          <w:marRight w:val="0"/>
          <w:marTop w:val="0"/>
          <w:marBottom w:val="0"/>
          <w:divBdr>
            <w:top w:val="none" w:sz="0" w:space="0" w:color="auto"/>
            <w:left w:val="none" w:sz="0" w:space="0" w:color="auto"/>
            <w:bottom w:val="none" w:sz="0" w:space="0" w:color="auto"/>
            <w:right w:val="none" w:sz="0" w:space="0" w:color="auto"/>
          </w:divBdr>
        </w:div>
        <w:div w:id="822818785">
          <w:marLeft w:val="0"/>
          <w:marRight w:val="0"/>
          <w:marTop w:val="0"/>
          <w:marBottom w:val="0"/>
          <w:divBdr>
            <w:top w:val="none" w:sz="0" w:space="0" w:color="auto"/>
            <w:left w:val="none" w:sz="0" w:space="0" w:color="auto"/>
            <w:bottom w:val="none" w:sz="0" w:space="0" w:color="auto"/>
            <w:right w:val="none" w:sz="0" w:space="0" w:color="auto"/>
          </w:divBdr>
        </w:div>
        <w:div w:id="1477524151">
          <w:marLeft w:val="0"/>
          <w:marRight w:val="0"/>
          <w:marTop w:val="0"/>
          <w:marBottom w:val="0"/>
          <w:divBdr>
            <w:top w:val="none" w:sz="0" w:space="0" w:color="auto"/>
            <w:left w:val="none" w:sz="0" w:space="0" w:color="auto"/>
            <w:bottom w:val="none" w:sz="0" w:space="0" w:color="auto"/>
            <w:right w:val="none" w:sz="0" w:space="0" w:color="auto"/>
          </w:divBdr>
        </w:div>
        <w:div w:id="529683132">
          <w:marLeft w:val="0"/>
          <w:marRight w:val="0"/>
          <w:marTop w:val="0"/>
          <w:marBottom w:val="0"/>
          <w:divBdr>
            <w:top w:val="none" w:sz="0" w:space="0" w:color="auto"/>
            <w:left w:val="none" w:sz="0" w:space="0" w:color="auto"/>
            <w:bottom w:val="none" w:sz="0" w:space="0" w:color="auto"/>
            <w:right w:val="none" w:sz="0" w:space="0" w:color="auto"/>
          </w:divBdr>
        </w:div>
      </w:divsChild>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22320244">
      <w:bodyDiv w:val="1"/>
      <w:marLeft w:val="0"/>
      <w:marRight w:val="0"/>
      <w:marTop w:val="0"/>
      <w:marBottom w:val="0"/>
      <w:divBdr>
        <w:top w:val="none" w:sz="0" w:space="0" w:color="auto"/>
        <w:left w:val="none" w:sz="0" w:space="0" w:color="auto"/>
        <w:bottom w:val="none" w:sz="0" w:space="0" w:color="auto"/>
        <w:right w:val="none" w:sz="0" w:space="0" w:color="auto"/>
      </w:divBdr>
      <w:divsChild>
        <w:div w:id="421948264">
          <w:marLeft w:val="0"/>
          <w:marRight w:val="0"/>
          <w:marTop w:val="0"/>
          <w:marBottom w:val="0"/>
          <w:divBdr>
            <w:top w:val="none" w:sz="0" w:space="0" w:color="auto"/>
            <w:left w:val="none" w:sz="0" w:space="0" w:color="auto"/>
            <w:bottom w:val="none" w:sz="0" w:space="0" w:color="auto"/>
            <w:right w:val="none" w:sz="0" w:space="0" w:color="auto"/>
          </w:divBdr>
          <w:divsChild>
            <w:div w:id="250117742">
              <w:marLeft w:val="0"/>
              <w:marRight w:val="0"/>
              <w:marTop w:val="0"/>
              <w:marBottom w:val="0"/>
              <w:divBdr>
                <w:top w:val="none" w:sz="0" w:space="0" w:color="auto"/>
                <w:left w:val="none" w:sz="0" w:space="0" w:color="auto"/>
                <w:bottom w:val="none" w:sz="0" w:space="0" w:color="auto"/>
                <w:right w:val="none" w:sz="0" w:space="0" w:color="auto"/>
              </w:divBdr>
            </w:div>
            <w:div w:id="1612123958">
              <w:marLeft w:val="0"/>
              <w:marRight w:val="0"/>
              <w:marTop w:val="0"/>
              <w:marBottom w:val="0"/>
              <w:divBdr>
                <w:top w:val="none" w:sz="0" w:space="0" w:color="auto"/>
                <w:left w:val="none" w:sz="0" w:space="0" w:color="auto"/>
                <w:bottom w:val="none" w:sz="0" w:space="0" w:color="auto"/>
                <w:right w:val="none" w:sz="0" w:space="0" w:color="auto"/>
              </w:divBdr>
            </w:div>
            <w:div w:id="1128083958">
              <w:marLeft w:val="0"/>
              <w:marRight w:val="0"/>
              <w:marTop w:val="0"/>
              <w:marBottom w:val="0"/>
              <w:divBdr>
                <w:top w:val="none" w:sz="0" w:space="0" w:color="auto"/>
                <w:left w:val="none" w:sz="0" w:space="0" w:color="auto"/>
                <w:bottom w:val="none" w:sz="0" w:space="0" w:color="auto"/>
                <w:right w:val="none" w:sz="0" w:space="0" w:color="auto"/>
              </w:divBdr>
            </w:div>
            <w:div w:id="1881163800">
              <w:marLeft w:val="0"/>
              <w:marRight w:val="0"/>
              <w:marTop w:val="0"/>
              <w:marBottom w:val="0"/>
              <w:divBdr>
                <w:top w:val="none" w:sz="0" w:space="0" w:color="auto"/>
                <w:left w:val="none" w:sz="0" w:space="0" w:color="auto"/>
                <w:bottom w:val="none" w:sz="0" w:space="0" w:color="auto"/>
                <w:right w:val="none" w:sz="0" w:space="0" w:color="auto"/>
              </w:divBdr>
            </w:div>
            <w:div w:id="348289437">
              <w:marLeft w:val="0"/>
              <w:marRight w:val="0"/>
              <w:marTop w:val="0"/>
              <w:marBottom w:val="0"/>
              <w:divBdr>
                <w:top w:val="none" w:sz="0" w:space="0" w:color="auto"/>
                <w:left w:val="none" w:sz="0" w:space="0" w:color="auto"/>
                <w:bottom w:val="none" w:sz="0" w:space="0" w:color="auto"/>
                <w:right w:val="none" w:sz="0" w:space="0" w:color="auto"/>
              </w:divBdr>
            </w:div>
            <w:div w:id="1308321263">
              <w:marLeft w:val="0"/>
              <w:marRight w:val="0"/>
              <w:marTop w:val="0"/>
              <w:marBottom w:val="0"/>
              <w:divBdr>
                <w:top w:val="none" w:sz="0" w:space="0" w:color="auto"/>
                <w:left w:val="none" w:sz="0" w:space="0" w:color="auto"/>
                <w:bottom w:val="none" w:sz="0" w:space="0" w:color="auto"/>
                <w:right w:val="none" w:sz="0" w:space="0" w:color="auto"/>
              </w:divBdr>
            </w:div>
            <w:div w:id="1991522113">
              <w:marLeft w:val="0"/>
              <w:marRight w:val="0"/>
              <w:marTop w:val="0"/>
              <w:marBottom w:val="0"/>
              <w:divBdr>
                <w:top w:val="none" w:sz="0" w:space="0" w:color="auto"/>
                <w:left w:val="none" w:sz="0" w:space="0" w:color="auto"/>
                <w:bottom w:val="none" w:sz="0" w:space="0" w:color="auto"/>
                <w:right w:val="none" w:sz="0" w:space="0" w:color="auto"/>
              </w:divBdr>
            </w:div>
            <w:div w:id="1376467426">
              <w:marLeft w:val="0"/>
              <w:marRight w:val="0"/>
              <w:marTop w:val="0"/>
              <w:marBottom w:val="0"/>
              <w:divBdr>
                <w:top w:val="none" w:sz="0" w:space="0" w:color="auto"/>
                <w:left w:val="none" w:sz="0" w:space="0" w:color="auto"/>
                <w:bottom w:val="none" w:sz="0" w:space="0" w:color="auto"/>
                <w:right w:val="none" w:sz="0" w:space="0" w:color="auto"/>
              </w:divBdr>
            </w:div>
          </w:divsChild>
        </w:div>
        <w:div w:id="786581950">
          <w:marLeft w:val="0"/>
          <w:marRight w:val="0"/>
          <w:marTop w:val="0"/>
          <w:marBottom w:val="0"/>
          <w:divBdr>
            <w:top w:val="none" w:sz="0" w:space="0" w:color="auto"/>
            <w:left w:val="none" w:sz="0" w:space="0" w:color="auto"/>
            <w:bottom w:val="none" w:sz="0" w:space="0" w:color="auto"/>
            <w:right w:val="none" w:sz="0" w:space="0" w:color="auto"/>
          </w:divBdr>
          <w:divsChild>
            <w:div w:id="1112211808">
              <w:marLeft w:val="0"/>
              <w:marRight w:val="0"/>
              <w:marTop w:val="0"/>
              <w:marBottom w:val="0"/>
              <w:divBdr>
                <w:top w:val="none" w:sz="0" w:space="0" w:color="auto"/>
                <w:left w:val="none" w:sz="0" w:space="0" w:color="auto"/>
                <w:bottom w:val="none" w:sz="0" w:space="0" w:color="auto"/>
                <w:right w:val="none" w:sz="0" w:space="0" w:color="auto"/>
              </w:divBdr>
            </w:div>
            <w:div w:id="1649164543">
              <w:marLeft w:val="0"/>
              <w:marRight w:val="0"/>
              <w:marTop w:val="0"/>
              <w:marBottom w:val="0"/>
              <w:divBdr>
                <w:top w:val="none" w:sz="0" w:space="0" w:color="auto"/>
                <w:left w:val="none" w:sz="0" w:space="0" w:color="auto"/>
                <w:bottom w:val="none" w:sz="0" w:space="0" w:color="auto"/>
                <w:right w:val="none" w:sz="0" w:space="0" w:color="auto"/>
              </w:divBdr>
            </w:div>
            <w:div w:id="24840851">
              <w:marLeft w:val="0"/>
              <w:marRight w:val="0"/>
              <w:marTop w:val="0"/>
              <w:marBottom w:val="0"/>
              <w:divBdr>
                <w:top w:val="none" w:sz="0" w:space="0" w:color="auto"/>
                <w:left w:val="none" w:sz="0" w:space="0" w:color="auto"/>
                <w:bottom w:val="none" w:sz="0" w:space="0" w:color="auto"/>
                <w:right w:val="none" w:sz="0" w:space="0" w:color="auto"/>
              </w:divBdr>
            </w:div>
            <w:div w:id="61293974">
              <w:marLeft w:val="0"/>
              <w:marRight w:val="0"/>
              <w:marTop w:val="0"/>
              <w:marBottom w:val="0"/>
              <w:divBdr>
                <w:top w:val="none" w:sz="0" w:space="0" w:color="auto"/>
                <w:left w:val="none" w:sz="0" w:space="0" w:color="auto"/>
                <w:bottom w:val="none" w:sz="0" w:space="0" w:color="auto"/>
                <w:right w:val="none" w:sz="0" w:space="0" w:color="auto"/>
              </w:divBdr>
            </w:div>
            <w:div w:id="543719274">
              <w:marLeft w:val="0"/>
              <w:marRight w:val="0"/>
              <w:marTop w:val="0"/>
              <w:marBottom w:val="0"/>
              <w:divBdr>
                <w:top w:val="none" w:sz="0" w:space="0" w:color="auto"/>
                <w:left w:val="none" w:sz="0" w:space="0" w:color="auto"/>
                <w:bottom w:val="none" w:sz="0" w:space="0" w:color="auto"/>
                <w:right w:val="none" w:sz="0" w:space="0" w:color="auto"/>
              </w:divBdr>
            </w:div>
            <w:div w:id="1664164574">
              <w:marLeft w:val="0"/>
              <w:marRight w:val="0"/>
              <w:marTop w:val="0"/>
              <w:marBottom w:val="0"/>
              <w:divBdr>
                <w:top w:val="none" w:sz="0" w:space="0" w:color="auto"/>
                <w:left w:val="none" w:sz="0" w:space="0" w:color="auto"/>
                <w:bottom w:val="none" w:sz="0" w:space="0" w:color="auto"/>
                <w:right w:val="none" w:sz="0" w:space="0" w:color="auto"/>
              </w:divBdr>
            </w:div>
            <w:div w:id="618804392">
              <w:marLeft w:val="0"/>
              <w:marRight w:val="0"/>
              <w:marTop w:val="0"/>
              <w:marBottom w:val="0"/>
              <w:divBdr>
                <w:top w:val="none" w:sz="0" w:space="0" w:color="auto"/>
                <w:left w:val="none" w:sz="0" w:space="0" w:color="auto"/>
                <w:bottom w:val="none" w:sz="0" w:space="0" w:color="auto"/>
                <w:right w:val="none" w:sz="0" w:space="0" w:color="auto"/>
              </w:divBdr>
            </w:div>
            <w:div w:id="620377811">
              <w:marLeft w:val="0"/>
              <w:marRight w:val="0"/>
              <w:marTop w:val="0"/>
              <w:marBottom w:val="0"/>
              <w:divBdr>
                <w:top w:val="none" w:sz="0" w:space="0" w:color="auto"/>
                <w:left w:val="none" w:sz="0" w:space="0" w:color="auto"/>
                <w:bottom w:val="none" w:sz="0" w:space="0" w:color="auto"/>
                <w:right w:val="none" w:sz="0" w:space="0" w:color="auto"/>
              </w:divBdr>
            </w:div>
            <w:div w:id="11886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52030472">
      <w:bodyDiv w:val="1"/>
      <w:marLeft w:val="0"/>
      <w:marRight w:val="0"/>
      <w:marTop w:val="0"/>
      <w:marBottom w:val="0"/>
      <w:divBdr>
        <w:top w:val="none" w:sz="0" w:space="0" w:color="auto"/>
        <w:left w:val="none" w:sz="0" w:space="0" w:color="auto"/>
        <w:bottom w:val="none" w:sz="0" w:space="0" w:color="auto"/>
        <w:right w:val="none" w:sz="0" w:space="0" w:color="auto"/>
      </w:divBdr>
      <w:divsChild>
        <w:div w:id="1715883988">
          <w:marLeft w:val="0"/>
          <w:marRight w:val="0"/>
          <w:marTop w:val="0"/>
          <w:marBottom w:val="0"/>
          <w:divBdr>
            <w:top w:val="none" w:sz="0" w:space="0" w:color="auto"/>
            <w:left w:val="none" w:sz="0" w:space="0" w:color="auto"/>
            <w:bottom w:val="none" w:sz="0" w:space="0" w:color="auto"/>
            <w:right w:val="none" w:sz="0" w:space="0" w:color="auto"/>
          </w:divBdr>
        </w:div>
        <w:div w:id="1109197924">
          <w:marLeft w:val="0"/>
          <w:marRight w:val="0"/>
          <w:marTop w:val="0"/>
          <w:marBottom w:val="0"/>
          <w:divBdr>
            <w:top w:val="none" w:sz="0" w:space="0" w:color="auto"/>
            <w:left w:val="none" w:sz="0" w:space="0" w:color="auto"/>
            <w:bottom w:val="none" w:sz="0" w:space="0" w:color="auto"/>
            <w:right w:val="none" w:sz="0" w:space="0" w:color="auto"/>
          </w:divBdr>
        </w:div>
        <w:div w:id="35082938">
          <w:marLeft w:val="0"/>
          <w:marRight w:val="0"/>
          <w:marTop w:val="0"/>
          <w:marBottom w:val="0"/>
          <w:divBdr>
            <w:top w:val="none" w:sz="0" w:space="0" w:color="auto"/>
            <w:left w:val="none" w:sz="0" w:space="0" w:color="auto"/>
            <w:bottom w:val="none" w:sz="0" w:space="0" w:color="auto"/>
            <w:right w:val="none" w:sz="0" w:space="0" w:color="auto"/>
          </w:divBdr>
        </w:div>
        <w:div w:id="1325209558">
          <w:marLeft w:val="0"/>
          <w:marRight w:val="0"/>
          <w:marTop w:val="0"/>
          <w:marBottom w:val="0"/>
          <w:divBdr>
            <w:top w:val="none" w:sz="0" w:space="0" w:color="auto"/>
            <w:left w:val="none" w:sz="0" w:space="0" w:color="auto"/>
            <w:bottom w:val="none" w:sz="0" w:space="0" w:color="auto"/>
            <w:right w:val="none" w:sz="0" w:space="0" w:color="auto"/>
          </w:divBdr>
        </w:div>
        <w:div w:id="2067364808">
          <w:marLeft w:val="0"/>
          <w:marRight w:val="0"/>
          <w:marTop w:val="0"/>
          <w:marBottom w:val="0"/>
          <w:divBdr>
            <w:top w:val="none" w:sz="0" w:space="0" w:color="auto"/>
            <w:left w:val="none" w:sz="0" w:space="0" w:color="auto"/>
            <w:bottom w:val="none" w:sz="0" w:space="0" w:color="auto"/>
            <w:right w:val="none" w:sz="0" w:space="0" w:color="auto"/>
          </w:divBdr>
        </w:div>
        <w:div w:id="859396878">
          <w:marLeft w:val="0"/>
          <w:marRight w:val="0"/>
          <w:marTop w:val="0"/>
          <w:marBottom w:val="0"/>
          <w:divBdr>
            <w:top w:val="none" w:sz="0" w:space="0" w:color="auto"/>
            <w:left w:val="none" w:sz="0" w:space="0" w:color="auto"/>
            <w:bottom w:val="none" w:sz="0" w:space="0" w:color="auto"/>
            <w:right w:val="none" w:sz="0" w:space="0" w:color="auto"/>
          </w:divBdr>
        </w:div>
        <w:div w:id="1198927536">
          <w:marLeft w:val="0"/>
          <w:marRight w:val="0"/>
          <w:marTop w:val="0"/>
          <w:marBottom w:val="0"/>
          <w:divBdr>
            <w:top w:val="none" w:sz="0" w:space="0" w:color="auto"/>
            <w:left w:val="none" w:sz="0" w:space="0" w:color="auto"/>
            <w:bottom w:val="none" w:sz="0" w:space="0" w:color="auto"/>
            <w:right w:val="none" w:sz="0" w:space="0" w:color="auto"/>
          </w:divBdr>
        </w:div>
        <w:div w:id="114913600">
          <w:marLeft w:val="0"/>
          <w:marRight w:val="0"/>
          <w:marTop w:val="0"/>
          <w:marBottom w:val="0"/>
          <w:divBdr>
            <w:top w:val="none" w:sz="0" w:space="0" w:color="auto"/>
            <w:left w:val="none" w:sz="0" w:space="0" w:color="auto"/>
            <w:bottom w:val="none" w:sz="0" w:space="0" w:color="auto"/>
            <w:right w:val="none" w:sz="0" w:space="0" w:color="auto"/>
          </w:divBdr>
        </w:div>
        <w:div w:id="1750425280">
          <w:marLeft w:val="0"/>
          <w:marRight w:val="0"/>
          <w:marTop w:val="0"/>
          <w:marBottom w:val="0"/>
          <w:divBdr>
            <w:top w:val="none" w:sz="0" w:space="0" w:color="auto"/>
            <w:left w:val="none" w:sz="0" w:space="0" w:color="auto"/>
            <w:bottom w:val="none" w:sz="0" w:space="0" w:color="auto"/>
            <w:right w:val="none" w:sz="0" w:space="0" w:color="auto"/>
          </w:divBdr>
        </w:div>
        <w:div w:id="1438135623">
          <w:marLeft w:val="0"/>
          <w:marRight w:val="0"/>
          <w:marTop w:val="0"/>
          <w:marBottom w:val="0"/>
          <w:divBdr>
            <w:top w:val="none" w:sz="0" w:space="0" w:color="auto"/>
            <w:left w:val="none" w:sz="0" w:space="0" w:color="auto"/>
            <w:bottom w:val="none" w:sz="0" w:space="0" w:color="auto"/>
            <w:right w:val="none" w:sz="0" w:space="0" w:color="auto"/>
          </w:divBdr>
        </w:div>
        <w:div w:id="1326857284">
          <w:marLeft w:val="0"/>
          <w:marRight w:val="0"/>
          <w:marTop w:val="0"/>
          <w:marBottom w:val="0"/>
          <w:divBdr>
            <w:top w:val="none" w:sz="0" w:space="0" w:color="auto"/>
            <w:left w:val="none" w:sz="0" w:space="0" w:color="auto"/>
            <w:bottom w:val="none" w:sz="0" w:space="0" w:color="auto"/>
            <w:right w:val="none" w:sz="0" w:space="0" w:color="auto"/>
          </w:divBdr>
        </w:div>
      </w:divsChild>
    </w:div>
    <w:div w:id="696545499">
      <w:bodyDiv w:val="1"/>
      <w:marLeft w:val="0"/>
      <w:marRight w:val="0"/>
      <w:marTop w:val="0"/>
      <w:marBottom w:val="0"/>
      <w:divBdr>
        <w:top w:val="none" w:sz="0" w:space="0" w:color="auto"/>
        <w:left w:val="none" w:sz="0" w:space="0" w:color="auto"/>
        <w:bottom w:val="none" w:sz="0" w:space="0" w:color="auto"/>
        <w:right w:val="none" w:sz="0" w:space="0" w:color="auto"/>
      </w:divBdr>
      <w:divsChild>
        <w:div w:id="167840097">
          <w:marLeft w:val="0"/>
          <w:marRight w:val="0"/>
          <w:marTop w:val="0"/>
          <w:marBottom w:val="0"/>
          <w:divBdr>
            <w:top w:val="none" w:sz="0" w:space="0" w:color="auto"/>
            <w:left w:val="none" w:sz="0" w:space="0" w:color="auto"/>
            <w:bottom w:val="none" w:sz="0" w:space="0" w:color="auto"/>
            <w:right w:val="none" w:sz="0" w:space="0" w:color="auto"/>
          </w:divBdr>
          <w:divsChild>
            <w:div w:id="1296643990">
              <w:marLeft w:val="0"/>
              <w:marRight w:val="0"/>
              <w:marTop w:val="0"/>
              <w:marBottom w:val="0"/>
              <w:divBdr>
                <w:top w:val="none" w:sz="0" w:space="0" w:color="auto"/>
                <w:left w:val="none" w:sz="0" w:space="0" w:color="auto"/>
                <w:bottom w:val="none" w:sz="0" w:space="0" w:color="auto"/>
                <w:right w:val="none" w:sz="0" w:space="0" w:color="auto"/>
              </w:divBdr>
            </w:div>
            <w:div w:id="120074129">
              <w:marLeft w:val="0"/>
              <w:marRight w:val="0"/>
              <w:marTop w:val="0"/>
              <w:marBottom w:val="0"/>
              <w:divBdr>
                <w:top w:val="none" w:sz="0" w:space="0" w:color="auto"/>
                <w:left w:val="none" w:sz="0" w:space="0" w:color="auto"/>
                <w:bottom w:val="none" w:sz="0" w:space="0" w:color="auto"/>
                <w:right w:val="none" w:sz="0" w:space="0" w:color="auto"/>
              </w:divBdr>
            </w:div>
            <w:div w:id="48504978">
              <w:marLeft w:val="0"/>
              <w:marRight w:val="0"/>
              <w:marTop w:val="0"/>
              <w:marBottom w:val="0"/>
              <w:divBdr>
                <w:top w:val="none" w:sz="0" w:space="0" w:color="auto"/>
                <w:left w:val="none" w:sz="0" w:space="0" w:color="auto"/>
                <w:bottom w:val="none" w:sz="0" w:space="0" w:color="auto"/>
                <w:right w:val="none" w:sz="0" w:space="0" w:color="auto"/>
              </w:divBdr>
            </w:div>
            <w:div w:id="376054306">
              <w:marLeft w:val="0"/>
              <w:marRight w:val="0"/>
              <w:marTop w:val="0"/>
              <w:marBottom w:val="0"/>
              <w:divBdr>
                <w:top w:val="none" w:sz="0" w:space="0" w:color="auto"/>
                <w:left w:val="none" w:sz="0" w:space="0" w:color="auto"/>
                <w:bottom w:val="none" w:sz="0" w:space="0" w:color="auto"/>
                <w:right w:val="none" w:sz="0" w:space="0" w:color="auto"/>
              </w:divBdr>
            </w:div>
            <w:div w:id="418186083">
              <w:marLeft w:val="0"/>
              <w:marRight w:val="0"/>
              <w:marTop w:val="0"/>
              <w:marBottom w:val="0"/>
              <w:divBdr>
                <w:top w:val="none" w:sz="0" w:space="0" w:color="auto"/>
                <w:left w:val="none" w:sz="0" w:space="0" w:color="auto"/>
                <w:bottom w:val="none" w:sz="0" w:space="0" w:color="auto"/>
                <w:right w:val="none" w:sz="0" w:space="0" w:color="auto"/>
              </w:divBdr>
            </w:div>
            <w:div w:id="1463885108">
              <w:marLeft w:val="0"/>
              <w:marRight w:val="0"/>
              <w:marTop w:val="0"/>
              <w:marBottom w:val="0"/>
              <w:divBdr>
                <w:top w:val="none" w:sz="0" w:space="0" w:color="auto"/>
                <w:left w:val="none" w:sz="0" w:space="0" w:color="auto"/>
                <w:bottom w:val="none" w:sz="0" w:space="0" w:color="auto"/>
                <w:right w:val="none" w:sz="0" w:space="0" w:color="auto"/>
              </w:divBdr>
            </w:div>
            <w:div w:id="898437647">
              <w:marLeft w:val="0"/>
              <w:marRight w:val="0"/>
              <w:marTop w:val="0"/>
              <w:marBottom w:val="0"/>
              <w:divBdr>
                <w:top w:val="none" w:sz="0" w:space="0" w:color="auto"/>
                <w:left w:val="none" w:sz="0" w:space="0" w:color="auto"/>
                <w:bottom w:val="none" w:sz="0" w:space="0" w:color="auto"/>
                <w:right w:val="none" w:sz="0" w:space="0" w:color="auto"/>
              </w:divBdr>
            </w:div>
            <w:div w:id="1481386911">
              <w:marLeft w:val="0"/>
              <w:marRight w:val="0"/>
              <w:marTop w:val="0"/>
              <w:marBottom w:val="0"/>
              <w:divBdr>
                <w:top w:val="none" w:sz="0" w:space="0" w:color="auto"/>
                <w:left w:val="none" w:sz="0" w:space="0" w:color="auto"/>
                <w:bottom w:val="none" w:sz="0" w:space="0" w:color="auto"/>
                <w:right w:val="none" w:sz="0" w:space="0" w:color="auto"/>
              </w:divBdr>
            </w:div>
          </w:divsChild>
        </w:div>
        <w:div w:id="730231210">
          <w:marLeft w:val="0"/>
          <w:marRight w:val="0"/>
          <w:marTop w:val="0"/>
          <w:marBottom w:val="0"/>
          <w:divBdr>
            <w:top w:val="none" w:sz="0" w:space="0" w:color="auto"/>
            <w:left w:val="none" w:sz="0" w:space="0" w:color="auto"/>
            <w:bottom w:val="none" w:sz="0" w:space="0" w:color="auto"/>
            <w:right w:val="none" w:sz="0" w:space="0" w:color="auto"/>
          </w:divBdr>
          <w:divsChild>
            <w:div w:id="1689717563">
              <w:marLeft w:val="0"/>
              <w:marRight w:val="0"/>
              <w:marTop w:val="0"/>
              <w:marBottom w:val="0"/>
              <w:divBdr>
                <w:top w:val="none" w:sz="0" w:space="0" w:color="auto"/>
                <w:left w:val="none" w:sz="0" w:space="0" w:color="auto"/>
                <w:bottom w:val="none" w:sz="0" w:space="0" w:color="auto"/>
                <w:right w:val="none" w:sz="0" w:space="0" w:color="auto"/>
              </w:divBdr>
            </w:div>
            <w:div w:id="785848924">
              <w:marLeft w:val="0"/>
              <w:marRight w:val="0"/>
              <w:marTop w:val="0"/>
              <w:marBottom w:val="0"/>
              <w:divBdr>
                <w:top w:val="none" w:sz="0" w:space="0" w:color="auto"/>
                <w:left w:val="none" w:sz="0" w:space="0" w:color="auto"/>
                <w:bottom w:val="none" w:sz="0" w:space="0" w:color="auto"/>
                <w:right w:val="none" w:sz="0" w:space="0" w:color="auto"/>
              </w:divBdr>
            </w:div>
            <w:div w:id="92437719">
              <w:marLeft w:val="0"/>
              <w:marRight w:val="0"/>
              <w:marTop w:val="0"/>
              <w:marBottom w:val="0"/>
              <w:divBdr>
                <w:top w:val="none" w:sz="0" w:space="0" w:color="auto"/>
                <w:left w:val="none" w:sz="0" w:space="0" w:color="auto"/>
                <w:bottom w:val="none" w:sz="0" w:space="0" w:color="auto"/>
                <w:right w:val="none" w:sz="0" w:space="0" w:color="auto"/>
              </w:divBdr>
            </w:div>
            <w:div w:id="1953976449">
              <w:marLeft w:val="0"/>
              <w:marRight w:val="0"/>
              <w:marTop w:val="0"/>
              <w:marBottom w:val="0"/>
              <w:divBdr>
                <w:top w:val="none" w:sz="0" w:space="0" w:color="auto"/>
                <w:left w:val="none" w:sz="0" w:space="0" w:color="auto"/>
                <w:bottom w:val="none" w:sz="0" w:space="0" w:color="auto"/>
                <w:right w:val="none" w:sz="0" w:space="0" w:color="auto"/>
              </w:divBdr>
            </w:div>
            <w:div w:id="229581670">
              <w:marLeft w:val="0"/>
              <w:marRight w:val="0"/>
              <w:marTop w:val="0"/>
              <w:marBottom w:val="0"/>
              <w:divBdr>
                <w:top w:val="none" w:sz="0" w:space="0" w:color="auto"/>
                <w:left w:val="none" w:sz="0" w:space="0" w:color="auto"/>
                <w:bottom w:val="none" w:sz="0" w:space="0" w:color="auto"/>
                <w:right w:val="none" w:sz="0" w:space="0" w:color="auto"/>
              </w:divBdr>
            </w:div>
            <w:div w:id="472791376">
              <w:marLeft w:val="0"/>
              <w:marRight w:val="0"/>
              <w:marTop w:val="0"/>
              <w:marBottom w:val="0"/>
              <w:divBdr>
                <w:top w:val="none" w:sz="0" w:space="0" w:color="auto"/>
                <w:left w:val="none" w:sz="0" w:space="0" w:color="auto"/>
                <w:bottom w:val="none" w:sz="0" w:space="0" w:color="auto"/>
                <w:right w:val="none" w:sz="0" w:space="0" w:color="auto"/>
              </w:divBdr>
            </w:div>
            <w:div w:id="464128989">
              <w:marLeft w:val="0"/>
              <w:marRight w:val="0"/>
              <w:marTop w:val="0"/>
              <w:marBottom w:val="0"/>
              <w:divBdr>
                <w:top w:val="none" w:sz="0" w:space="0" w:color="auto"/>
                <w:left w:val="none" w:sz="0" w:space="0" w:color="auto"/>
                <w:bottom w:val="none" w:sz="0" w:space="0" w:color="auto"/>
                <w:right w:val="none" w:sz="0" w:space="0" w:color="auto"/>
              </w:divBdr>
            </w:div>
            <w:div w:id="407073649">
              <w:marLeft w:val="0"/>
              <w:marRight w:val="0"/>
              <w:marTop w:val="0"/>
              <w:marBottom w:val="0"/>
              <w:divBdr>
                <w:top w:val="none" w:sz="0" w:space="0" w:color="auto"/>
                <w:left w:val="none" w:sz="0" w:space="0" w:color="auto"/>
                <w:bottom w:val="none" w:sz="0" w:space="0" w:color="auto"/>
                <w:right w:val="none" w:sz="0" w:space="0" w:color="auto"/>
              </w:divBdr>
            </w:div>
            <w:div w:id="18549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7022">
      <w:bodyDiv w:val="1"/>
      <w:marLeft w:val="0"/>
      <w:marRight w:val="0"/>
      <w:marTop w:val="0"/>
      <w:marBottom w:val="0"/>
      <w:divBdr>
        <w:top w:val="none" w:sz="0" w:space="0" w:color="auto"/>
        <w:left w:val="none" w:sz="0" w:space="0" w:color="auto"/>
        <w:bottom w:val="none" w:sz="0" w:space="0" w:color="auto"/>
        <w:right w:val="none" w:sz="0" w:space="0" w:color="auto"/>
      </w:divBdr>
      <w:divsChild>
        <w:div w:id="1136336416">
          <w:marLeft w:val="0"/>
          <w:marRight w:val="0"/>
          <w:marTop w:val="0"/>
          <w:marBottom w:val="0"/>
          <w:divBdr>
            <w:top w:val="none" w:sz="0" w:space="0" w:color="auto"/>
            <w:left w:val="none" w:sz="0" w:space="0" w:color="auto"/>
            <w:bottom w:val="none" w:sz="0" w:space="0" w:color="auto"/>
            <w:right w:val="none" w:sz="0" w:space="0" w:color="auto"/>
          </w:divBdr>
        </w:div>
        <w:div w:id="1197617456">
          <w:marLeft w:val="0"/>
          <w:marRight w:val="0"/>
          <w:marTop w:val="0"/>
          <w:marBottom w:val="0"/>
          <w:divBdr>
            <w:top w:val="none" w:sz="0" w:space="0" w:color="auto"/>
            <w:left w:val="none" w:sz="0" w:space="0" w:color="auto"/>
            <w:bottom w:val="none" w:sz="0" w:space="0" w:color="auto"/>
            <w:right w:val="none" w:sz="0" w:space="0" w:color="auto"/>
          </w:divBdr>
        </w:div>
        <w:div w:id="417025087">
          <w:marLeft w:val="0"/>
          <w:marRight w:val="0"/>
          <w:marTop w:val="0"/>
          <w:marBottom w:val="0"/>
          <w:divBdr>
            <w:top w:val="none" w:sz="0" w:space="0" w:color="auto"/>
            <w:left w:val="none" w:sz="0" w:space="0" w:color="auto"/>
            <w:bottom w:val="none" w:sz="0" w:space="0" w:color="auto"/>
            <w:right w:val="none" w:sz="0" w:space="0" w:color="auto"/>
          </w:divBdr>
        </w:div>
        <w:div w:id="2051102351">
          <w:marLeft w:val="0"/>
          <w:marRight w:val="0"/>
          <w:marTop w:val="0"/>
          <w:marBottom w:val="0"/>
          <w:divBdr>
            <w:top w:val="none" w:sz="0" w:space="0" w:color="auto"/>
            <w:left w:val="none" w:sz="0" w:space="0" w:color="auto"/>
            <w:bottom w:val="none" w:sz="0" w:space="0" w:color="auto"/>
            <w:right w:val="none" w:sz="0" w:space="0" w:color="auto"/>
          </w:divBdr>
        </w:div>
        <w:div w:id="452603903">
          <w:marLeft w:val="0"/>
          <w:marRight w:val="0"/>
          <w:marTop w:val="0"/>
          <w:marBottom w:val="0"/>
          <w:divBdr>
            <w:top w:val="none" w:sz="0" w:space="0" w:color="auto"/>
            <w:left w:val="none" w:sz="0" w:space="0" w:color="auto"/>
            <w:bottom w:val="none" w:sz="0" w:space="0" w:color="auto"/>
            <w:right w:val="none" w:sz="0" w:space="0" w:color="auto"/>
          </w:divBdr>
        </w:div>
        <w:div w:id="505022730">
          <w:marLeft w:val="0"/>
          <w:marRight w:val="0"/>
          <w:marTop w:val="0"/>
          <w:marBottom w:val="0"/>
          <w:divBdr>
            <w:top w:val="none" w:sz="0" w:space="0" w:color="auto"/>
            <w:left w:val="none" w:sz="0" w:space="0" w:color="auto"/>
            <w:bottom w:val="none" w:sz="0" w:space="0" w:color="auto"/>
            <w:right w:val="none" w:sz="0" w:space="0" w:color="auto"/>
          </w:divBdr>
        </w:div>
        <w:div w:id="2024625716">
          <w:marLeft w:val="0"/>
          <w:marRight w:val="0"/>
          <w:marTop w:val="0"/>
          <w:marBottom w:val="0"/>
          <w:divBdr>
            <w:top w:val="none" w:sz="0" w:space="0" w:color="auto"/>
            <w:left w:val="none" w:sz="0" w:space="0" w:color="auto"/>
            <w:bottom w:val="none" w:sz="0" w:space="0" w:color="auto"/>
            <w:right w:val="none" w:sz="0" w:space="0" w:color="auto"/>
          </w:divBdr>
        </w:div>
        <w:div w:id="1454784748">
          <w:marLeft w:val="0"/>
          <w:marRight w:val="0"/>
          <w:marTop w:val="0"/>
          <w:marBottom w:val="0"/>
          <w:divBdr>
            <w:top w:val="none" w:sz="0" w:space="0" w:color="auto"/>
            <w:left w:val="none" w:sz="0" w:space="0" w:color="auto"/>
            <w:bottom w:val="none" w:sz="0" w:space="0" w:color="auto"/>
            <w:right w:val="none" w:sz="0" w:space="0" w:color="auto"/>
          </w:divBdr>
        </w:div>
      </w:divsChild>
    </w:div>
    <w:div w:id="724842367">
      <w:bodyDiv w:val="1"/>
      <w:marLeft w:val="0"/>
      <w:marRight w:val="0"/>
      <w:marTop w:val="0"/>
      <w:marBottom w:val="0"/>
      <w:divBdr>
        <w:top w:val="none" w:sz="0" w:space="0" w:color="auto"/>
        <w:left w:val="none" w:sz="0" w:space="0" w:color="auto"/>
        <w:bottom w:val="none" w:sz="0" w:space="0" w:color="auto"/>
        <w:right w:val="none" w:sz="0" w:space="0" w:color="auto"/>
      </w:divBdr>
      <w:divsChild>
        <w:div w:id="893349282">
          <w:marLeft w:val="0"/>
          <w:marRight w:val="0"/>
          <w:marTop w:val="0"/>
          <w:marBottom w:val="0"/>
          <w:divBdr>
            <w:top w:val="none" w:sz="0" w:space="0" w:color="auto"/>
            <w:left w:val="none" w:sz="0" w:space="0" w:color="auto"/>
            <w:bottom w:val="none" w:sz="0" w:space="0" w:color="auto"/>
            <w:right w:val="none" w:sz="0" w:space="0" w:color="auto"/>
          </w:divBdr>
        </w:div>
        <w:div w:id="1040398289">
          <w:marLeft w:val="0"/>
          <w:marRight w:val="0"/>
          <w:marTop w:val="0"/>
          <w:marBottom w:val="0"/>
          <w:divBdr>
            <w:top w:val="none" w:sz="0" w:space="0" w:color="auto"/>
            <w:left w:val="none" w:sz="0" w:space="0" w:color="auto"/>
            <w:bottom w:val="none" w:sz="0" w:space="0" w:color="auto"/>
            <w:right w:val="none" w:sz="0" w:space="0" w:color="auto"/>
          </w:divBdr>
        </w:div>
        <w:div w:id="1870949489">
          <w:marLeft w:val="0"/>
          <w:marRight w:val="0"/>
          <w:marTop w:val="0"/>
          <w:marBottom w:val="0"/>
          <w:divBdr>
            <w:top w:val="none" w:sz="0" w:space="0" w:color="auto"/>
            <w:left w:val="none" w:sz="0" w:space="0" w:color="auto"/>
            <w:bottom w:val="none" w:sz="0" w:space="0" w:color="auto"/>
            <w:right w:val="none" w:sz="0" w:space="0" w:color="auto"/>
          </w:divBdr>
        </w:div>
        <w:div w:id="1863861877">
          <w:marLeft w:val="0"/>
          <w:marRight w:val="0"/>
          <w:marTop w:val="0"/>
          <w:marBottom w:val="0"/>
          <w:divBdr>
            <w:top w:val="none" w:sz="0" w:space="0" w:color="auto"/>
            <w:left w:val="none" w:sz="0" w:space="0" w:color="auto"/>
            <w:bottom w:val="none" w:sz="0" w:space="0" w:color="auto"/>
            <w:right w:val="none" w:sz="0" w:space="0" w:color="auto"/>
          </w:divBdr>
        </w:div>
        <w:div w:id="1174998143">
          <w:marLeft w:val="0"/>
          <w:marRight w:val="0"/>
          <w:marTop w:val="0"/>
          <w:marBottom w:val="0"/>
          <w:divBdr>
            <w:top w:val="none" w:sz="0" w:space="0" w:color="auto"/>
            <w:left w:val="none" w:sz="0" w:space="0" w:color="auto"/>
            <w:bottom w:val="none" w:sz="0" w:space="0" w:color="auto"/>
            <w:right w:val="none" w:sz="0" w:space="0" w:color="auto"/>
          </w:divBdr>
        </w:div>
        <w:div w:id="1283682722">
          <w:marLeft w:val="0"/>
          <w:marRight w:val="0"/>
          <w:marTop w:val="0"/>
          <w:marBottom w:val="0"/>
          <w:divBdr>
            <w:top w:val="none" w:sz="0" w:space="0" w:color="auto"/>
            <w:left w:val="none" w:sz="0" w:space="0" w:color="auto"/>
            <w:bottom w:val="none" w:sz="0" w:space="0" w:color="auto"/>
            <w:right w:val="none" w:sz="0" w:space="0" w:color="auto"/>
          </w:divBdr>
        </w:div>
        <w:div w:id="1014958982">
          <w:marLeft w:val="0"/>
          <w:marRight w:val="0"/>
          <w:marTop w:val="0"/>
          <w:marBottom w:val="0"/>
          <w:divBdr>
            <w:top w:val="none" w:sz="0" w:space="0" w:color="auto"/>
            <w:left w:val="none" w:sz="0" w:space="0" w:color="auto"/>
            <w:bottom w:val="none" w:sz="0" w:space="0" w:color="auto"/>
            <w:right w:val="none" w:sz="0" w:space="0" w:color="auto"/>
          </w:divBdr>
        </w:div>
        <w:div w:id="830946980">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53632907">
      <w:bodyDiv w:val="1"/>
      <w:marLeft w:val="0"/>
      <w:marRight w:val="0"/>
      <w:marTop w:val="0"/>
      <w:marBottom w:val="0"/>
      <w:divBdr>
        <w:top w:val="none" w:sz="0" w:space="0" w:color="auto"/>
        <w:left w:val="none" w:sz="0" w:space="0" w:color="auto"/>
        <w:bottom w:val="none" w:sz="0" w:space="0" w:color="auto"/>
        <w:right w:val="none" w:sz="0" w:space="0" w:color="auto"/>
      </w:divBdr>
      <w:divsChild>
        <w:div w:id="694768701">
          <w:marLeft w:val="0"/>
          <w:marRight w:val="0"/>
          <w:marTop w:val="0"/>
          <w:marBottom w:val="0"/>
          <w:divBdr>
            <w:top w:val="none" w:sz="0" w:space="0" w:color="auto"/>
            <w:left w:val="none" w:sz="0" w:space="0" w:color="auto"/>
            <w:bottom w:val="none" w:sz="0" w:space="0" w:color="auto"/>
            <w:right w:val="none" w:sz="0" w:space="0" w:color="auto"/>
          </w:divBdr>
        </w:div>
        <w:div w:id="1259874248">
          <w:marLeft w:val="0"/>
          <w:marRight w:val="0"/>
          <w:marTop w:val="0"/>
          <w:marBottom w:val="0"/>
          <w:divBdr>
            <w:top w:val="none" w:sz="0" w:space="0" w:color="auto"/>
            <w:left w:val="none" w:sz="0" w:space="0" w:color="auto"/>
            <w:bottom w:val="none" w:sz="0" w:space="0" w:color="auto"/>
            <w:right w:val="none" w:sz="0" w:space="0" w:color="auto"/>
          </w:divBdr>
        </w:div>
        <w:div w:id="1000080245">
          <w:marLeft w:val="0"/>
          <w:marRight w:val="0"/>
          <w:marTop w:val="0"/>
          <w:marBottom w:val="0"/>
          <w:divBdr>
            <w:top w:val="none" w:sz="0" w:space="0" w:color="auto"/>
            <w:left w:val="none" w:sz="0" w:space="0" w:color="auto"/>
            <w:bottom w:val="none" w:sz="0" w:space="0" w:color="auto"/>
            <w:right w:val="none" w:sz="0" w:space="0" w:color="auto"/>
          </w:divBdr>
        </w:div>
        <w:div w:id="798499942">
          <w:marLeft w:val="0"/>
          <w:marRight w:val="0"/>
          <w:marTop w:val="0"/>
          <w:marBottom w:val="0"/>
          <w:divBdr>
            <w:top w:val="none" w:sz="0" w:space="0" w:color="auto"/>
            <w:left w:val="none" w:sz="0" w:space="0" w:color="auto"/>
            <w:bottom w:val="none" w:sz="0" w:space="0" w:color="auto"/>
            <w:right w:val="none" w:sz="0" w:space="0" w:color="auto"/>
          </w:divBdr>
        </w:div>
        <w:div w:id="1941182205">
          <w:marLeft w:val="0"/>
          <w:marRight w:val="0"/>
          <w:marTop w:val="0"/>
          <w:marBottom w:val="0"/>
          <w:divBdr>
            <w:top w:val="none" w:sz="0" w:space="0" w:color="auto"/>
            <w:left w:val="none" w:sz="0" w:space="0" w:color="auto"/>
            <w:bottom w:val="none" w:sz="0" w:space="0" w:color="auto"/>
            <w:right w:val="none" w:sz="0" w:space="0" w:color="auto"/>
          </w:divBdr>
        </w:div>
        <w:div w:id="133647837">
          <w:marLeft w:val="0"/>
          <w:marRight w:val="0"/>
          <w:marTop w:val="0"/>
          <w:marBottom w:val="0"/>
          <w:divBdr>
            <w:top w:val="none" w:sz="0" w:space="0" w:color="auto"/>
            <w:left w:val="none" w:sz="0" w:space="0" w:color="auto"/>
            <w:bottom w:val="none" w:sz="0" w:space="0" w:color="auto"/>
            <w:right w:val="none" w:sz="0" w:space="0" w:color="auto"/>
          </w:divBdr>
        </w:div>
        <w:div w:id="1159495620">
          <w:marLeft w:val="0"/>
          <w:marRight w:val="0"/>
          <w:marTop w:val="0"/>
          <w:marBottom w:val="0"/>
          <w:divBdr>
            <w:top w:val="none" w:sz="0" w:space="0" w:color="auto"/>
            <w:left w:val="none" w:sz="0" w:space="0" w:color="auto"/>
            <w:bottom w:val="none" w:sz="0" w:space="0" w:color="auto"/>
            <w:right w:val="none" w:sz="0" w:space="0" w:color="auto"/>
          </w:divBdr>
        </w:div>
        <w:div w:id="632489192">
          <w:marLeft w:val="0"/>
          <w:marRight w:val="0"/>
          <w:marTop w:val="0"/>
          <w:marBottom w:val="0"/>
          <w:divBdr>
            <w:top w:val="none" w:sz="0" w:space="0" w:color="auto"/>
            <w:left w:val="none" w:sz="0" w:space="0" w:color="auto"/>
            <w:bottom w:val="none" w:sz="0" w:space="0" w:color="auto"/>
            <w:right w:val="none" w:sz="0" w:space="0" w:color="auto"/>
          </w:divBdr>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07353099">
      <w:bodyDiv w:val="1"/>
      <w:marLeft w:val="0"/>
      <w:marRight w:val="0"/>
      <w:marTop w:val="0"/>
      <w:marBottom w:val="0"/>
      <w:divBdr>
        <w:top w:val="none" w:sz="0" w:space="0" w:color="auto"/>
        <w:left w:val="none" w:sz="0" w:space="0" w:color="auto"/>
        <w:bottom w:val="none" w:sz="0" w:space="0" w:color="auto"/>
        <w:right w:val="none" w:sz="0" w:space="0" w:color="auto"/>
      </w:divBdr>
      <w:divsChild>
        <w:div w:id="1171410045">
          <w:marLeft w:val="0"/>
          <w:marRight w:val="0"/>
          <w:marTop w:val="0"/>
          <w:marBottom w:val="0"/>
          <w:divBdr>
            <w:top w:val="none" w:sz="0" w:space="0" w:color="auto"/>
            <w:left w:val="none" w:sz="0" w:space="0" w:color="auto"/>
            <w:bottom w:val="none" w:sz="0" w:space="0" w:color="auto"/>
            <w:right w:val="none" w:sz="0" w:space="0" w:color="auto"/>
          </w:divBdr>
        </w:div>
        <w:div w:id="1935938739">
          <w:marLeft w:val="0"/>
          <w:marRight w:val="0"/>
          <w:marTop w:val="0"/>
          <w:marBottom w:val="0"/>
          <w:divBdr>
            <w:top w:val="none" w:sz="0" w:space="0" w:color="auto"/>
            <w:left w:val="none" w:sz="0" w:space="0" w:color="auto"/>
            <w:bottom w:val="none" w:sz="0" w:space="0" w:color="auto"/>
            <w:right w:val="none" w:sz="0" w:space="0" w:color="auto"/>
          </w:divBdr>
        </w:div>
        <w:div w:id="925115429">
          <w:marLeft w:val="0"/>
          <w:marRight w:val="0"/>
          <w:marTop w:val="0"/>
          <w:marBottom w:val="0"/>
          <w:divBdr>
            <w:top w:val="none" w:sz="0" w:space="0" w:color="auto"/>
            <w:left w:val="none" w:sz="0" w:space="0" w:color="auto"/>
            <w:bottom w:val="none" w:sz="0" w:space="0" w:color="auto"/>
            <w:right w:val="none" w:sz="0" w:space="0" w:color="auto"/>
          </w:divBdr>
        </w:div>
        <w:div w:id="580797308">
          <w:marLeft w:val="0"/>
          <w:marRight w:val="0"/>
          <w:marTop w:val="0"/>
          <w:marBottom w:val="0"/>
          <w:divBdr>
            <w:top w:val="none" w:sz="0" w:space="0" w:color="auto"/>
            <w:left w:val="none" w:sz="0" w:space="0" w:color="auto"/>
            <w:bottom w:val="none" w:sz="0" w:space="0" w:color="auto"/>
            <w:right w:val="none" w:sz="0" w:space="0" w:color="auto"/>
          </w:divBdr>
        </w:div>
        <w:div w:id="2047677154">
          <w:marLeft w:val="0"/>
          <w:marRight w:val="0"/>
          <w:marTop w:val="0"/>
          <w:marBottom w:val="0"/>
          <w:divBdr>
            <w:top w:val="none" w:sz="0" w:space="0" w:color="auto"/>
            <w:left w:val="none" w:sz="0" w:space="0" w:color="auto"/>
            <w:bottom w:val="none" w:sz="0" w:space="0" w:color="auto"/>
            <w:right w:val="none" w:sz="0" w:space="0" w:color="auto"/>
          </w:divBdr>
        </w:div>
        <w:div w:id="141577915">
          <w:marLeft w:val="0"/>
          <w:marRight w:val="0"/>
          <w:marTop w:val="0"/>
          <w:marBottom w:val="0"/>
          <w:divBdr>
            <w:top w:val="none" w:sz="0" w:space="0" w:color="auto"/>
            <w:left w:val="none" w:sz="0" w:space="0" w:color="auto"/>
            <w:bottom w:val="none" w:sz="0" w:space="0" w:color="auto"/>
            <w:right w:val="none" w:sz="0" w:space="0" w:color="auto"/>
          </w:divBdr>
        </w:div>
      </w:divsChild>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uri=CELEX%3A32017R0567"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894</Value>
      <Value>895</Value>
      <Value>103</Value>
      <Value>8</Value>
    </TaxCatchAll>
    <_dlc_DocId xmlns="d0fb0f98-34f9-4d57-9559-eb8efd17aa5e">ESMA74-2134169708-7343</_dlc_DocId>
    <_dlc_DocIdUrl xmlns="d0fb0f98-34f9-4d57-9559-eb8efd17aa5e">
      <Url>https://securitiesandmarketsauth.sharepoint.com/sites/sherpa-trdu/_layouts/15/DocIdRedir.aspx?ID=ESMA74-2134169708-7343</Url>
      <Description>ESMA74-2134169708-7343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2024 - RTS 1 and CDR 2017/567 amendment (MiFID II/ MiFIR review)</TermName>
          <TermId xmlns="http://schemas.microsoft.com/office/infopath/2007/PartnerControls">959daaf9-95d0-45cf-b55f-f0faf823b52d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f5465789-808f-433c-88e1-b70fe6f2db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0B7D32C2-A1F1-4D2A-9B55-1B29724B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1</Pages>
  <Words>10351</Words>
  <Characters>59004</Characters>
  <Application>Microsoft Office Word</Application>
  <DocSecurity>8</DocSecurity>
  <Lines>491</Lines>
  <Paragraphs>138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69217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Ruben Hilhorst</cp:lastModifiedBy>
  <cp:revision>49</cp:revision>
  <cp:lastPrinted>2015-02-18T11:01:00Z</cp:lastPrinted>
  <dcterms:created xsi:type="dcterms:W3CDTF">2024-09-30T14:16:00Z</dcterms:created>
  <dcterms:modified xsi:type="dcterms:W3CDTF">2024-09-30T15:48:00Z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572f393c-5c1f-4003-9668-583c0c692a64</vt:lpwstr>
  </property>
  <property fmtid="{D5CDD505-2E9C-101B-9397-08002B2CF9AE}" pid="4" name="TeamName">
    <vt:lpwstr>8</vt:lpwstr>
  </property>
  <property fmtid="{D5CDD505-2E9C-101B-9397-08002B2CF9AE}" pid="5" name="Topic">
    <vt:lpwstr>895</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True</vt:lpwstr>
  </property>
</Properties>
</file>