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6093B" w14:textId="32B52FE2" w:rsidR="00C54034" w:rsidRDefault="00C54034" w:rsidP="00F716D4">
      <w:bookmarkStart w:id="0" w:name="_Hlk124776001"/>
      <w:bookmarkStart w:id="1" w:name="_Hlk124776067"/>
      <w:bookmarkStart w:id="2" w:name="_Hlk124776338"/>
      <w:permStart w:id="1092944446" w:edGrp="everyone"/>
      <w:permEnd w:id="1092944446"/>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06CF669B" w14:textId="1AC6C65D" w:rsidR="00FD7A8D" w:rsidRPr="00F716D4" w:rsidRDefault="00F87468" w:rsidP="00E70E2E">
      <w:pPr>
        <w:pStyle w:val="Subtitle"/>
      </w:pPr>
      <w:r w:rsidRPr="00F716D4">
        <w:t xml:space="preserve">on the Consultation Paper </w:t>
      </w:r>
      <w:r w:rsidRPr="00F716D4">
        <w:rPr>
          <w:noProof/>
        </w:rPr>
        <mc:AlternateContent>
          <mc:Choice Requires="wps">
            <w:drawing>
              <wp:anchor distT="0" distB="0" distL="114300" distR="114300" simplePos="0" relativeHeight="251659264"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Snip Same-side Corner of Rectangl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5AA30" id="Snip Same-side Corner of Rectangle 1" o:spid="_x0000_s1026" style="position:absolute;margin-left:1.35pt;margin-top:42.6pt;width:596.1pt;height:76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r w:rsidR="002D36A3">
        <w:t>3</w:t>
      </w:r>
    </w:p>
    <w:tbl>
      <w:tblPr>
        <w:tblpPr w:leftFromText="8505" w:vertAnchor="page" w:horzAnchor="page" w:tblpX="1248" w:tblpY="4401"/>
        <w:tblW w:w="9913" w:type="dxa"/>
        <w:tblLayout w:type="fixed"/>
        <w:tblCellMar>
          <w:left w:w="0" w:type="dxa"/>
          <w:right w:w="0" w:type="dxa"/>
        </w:tblCellMar>
        <w:tblLook w:val="01E0" w:firstRow="1" w:lastRow="1" w:firstColumn="1" w:lastColumn="1" w:noHBand="0" w:noVBand="0"/>
      </w:tblPr>
      <w:tblGrid>
        <w:gridCol w:w="9913"/>
      </w:tblGrid>
      <w:tr w:rsidR="00060F72" w:rsidRPr="00616B9B" w14:paraId="068DB98D" w14:textId="77777777" w:rsidTr="00731475">
        <w:trPr>
          <w:trHeight w:hRule="exact" w:val="337"/>
        </w:trPr>
        <w:tc>
          <w:tcPr>
            <w:tcW w:w="9913" w:type="dxa"/>
            <w:tcMar>
              <w:top w:w="142" w:type="dxa"/>
            </w:tcMar>
          </w:tcPr>
          <w:p w14:paraId="47AE58B4" w14:textId="795FFF72" w:rsidR="00D91010" w:rsidRPr="00616B9B" w:rsidRDefault="00D91010" w:rsidP="00027ECF">
            <w:pPr>
              <w:pStyle w:val="01bDBSubtitle"/>
              <w:rPr>
                <w:rFonts w:ascii="Arial" w:hAnsi="Arial" w:cs="Arial"/>
              </w:rPr>
            </w:pPr>
          </w:p>
        </w:tc>
      </w:tr>
    </w:tbl>
    <w:p w14:paraId="50E0C77E" w14:textId="77777777" w:rsidR="00620D7C" w:rsidRPr="00616B9B" w:rsidRDefault="00620D7C" w:rsidP="00F716D4">
      <w:pPr>
        <w:pStyle w:val="05HeadlinenoIndex"/>
        <w:sectPr w:rsidR="00620D7C" w:rsidRPr="00616B9B" w:rsidSect="00C54034">
          <w:headerReference w:type="default" r:id="rId15"/>
          <w:footerReference w:type="even" r:id="rId16"/>
          <w:footerReference w:type="default" r:id="rId17"/>
          <w:headerReference w:type="first" r:id="rId18"/>
          <w:footerReference w:type="first" r:id="rId19"/>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7" w:name="_Toc280628648"/>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E57EB">
      <w:pPr>
        <w:pStyle w:val="ListParagraph"/>
        <w:numPr>
          <w:ilvl w:val="0"/>
          <w:numId w:val="35"/>
        </w:numPr>
        <w:contextualSpacing w:val="0"/>
      </w:pPr>
      <w:r w:rsidRPr="005B6B12">
        <w:t>respond to the question stated;</w:t>
      </w:r>
    </w:p>
    <w:p w14:paraId="73161343" w14:textId="77777777" w:rsidR="00E70E2E" w:rsidRPr="005B6B12" w:rsidRDefault="00E70E2E" w:rsidP="00EE57EB">
      <w:pPr>
        <w:pStyle w:val="ListParagraph"/>
        <w:numPr>
          <w:ilvl w:val="0"/>
          <w:numId w:val="35"/>
        </w:numPr>
        <w:contextualSpacing w:val="0"/>
      </w:pPr>
      <w:r w:rsidRPr="005B6B12">
        <w:t>indicate the specific question to which the comment relates;</w:t>
      </w:r>
    </w:p>
    <w:p w14:paraId="30EDE0D6" w14:textId="77777777" w:rsidR="00E70E2E" w:rsidRPr="005B6B12" w:rsidRDefault="00E70E2E" w:rsidP="00EE57EB">
      <w:pPr>
        <w:pStyle w:val="ListParagraph"/>
        <w:numPr>
          <w:ilvl w:val="0"/>
          <w:numId w:val="35"/>
        </w:numPr>
        <w:contextualSpacing w:val="0"/>
      </w:pPr>
      <w:r w:rsidRPr="005B6B12">
        <w:t>contain a clear rationale; and</w:t>
      </w:r>
    </w:p>
    <w:p w14:paraId="30D73002" w14:textId="77777777" w:rsidR="00E70E2E" w:rsidRPr="005B6B12" w:rsidRDefault="00E70E2E" w:rsidP="00EE57EB">
      <w:pPr>
        <w:pStyle w:val="ListParagraph"/>
        <w:numPr>
          <w:ilvl w:val="0"/>
          <w:numId w:val="35"/>
        </w:numPr>
        <w:contextualSpacing w:val="0"/>
      </w:pPr>
      <w:r w:rsidRPr="005B6B12">
        <w:t>describe any alternatives ESMA should consider.</w:t>
      </w:r>
    </w:p>
    <w:p w14:paraId="4A599464" w14:textId="4473B01F" w:rsidR="00E70E2E" w:rsidRDefault="00E70E2E" w:rsidP="00E70E2E">
      <w:pPr>
        <w:rPr>
          <w:b/>
        </w:rPr>
      </w:pPr>
      <w:r w:rsidRPr="005B6B12">
        <w:t xml:space="preserve">ESMA will consider all comments </w:t>
      </w:r>
      <w:r w:rsidRPr="009E1C55">
        <w:t xml:space="preserve">received by </w:t>
      </w:r>
      <w:r w:rsidR="000E669A" w:rsidRPr="000E669A">
        <w:rPr>
          <w:b/>
          <w:color w:val="FF0000"/>
        </w:rPr>
        <w:t>30</w:t>
      </w:r>
      <w:r w:rsidR="009E1C55" w:rsidRPr="000E669A">
        <w:rPr>
          <w:b/>
          <w:color w:val="FF0000"/>
        </w:rPr>
        <w:t xml:space="preserve"> September </w:t>
      </w:r>
      <w:r w:rsidR="005A775C" w:rsidRPr="000E669A">
        <w:rPr>
          <w:b/>
          <w:color w:val="FF0000"/>
        </w:rPr>
        <w:t>202</w:t>
      </w:r>
      <w:r w:rsidR="004934BA" w:rsidRPr="000E669A">
        <w:rPr>
          <w:b/>
          <w:color w:val="FF0000"/>
        </w:rPr>
        <w:t>4</w:t>
      </w:r>
      <w:r w:rsidRPr="009E1C55">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EE57EB">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4020FF67" w:rsidR="009D6E99" w:rsidRPr="00863BFD" w:rsidRDefault="009D6E99" w:rsidP="00EE57EB">
      <w:pPr>
        <w:pStyle w:val="ListParagraph"/>
        <w:numPr>
          <w:ilvl w:val="0"/>
          <w:numId w:val="35"/>
        </w:numPr>
        <w:contextualSpacing w:val="0"/>
      </w:pPr>
      <w:r w:rsidRPr="00863BFD">
        <w:t>Please do not remove tags of the type &lt;ESMA_QUESTION</w:t>
      </w:r>
      <w:r w:rsidR="00C05202">
        <w:t>_</w:t>
      </w:r>
      <w:r w:rsidR="00835CC2">
        <w:t>CP</w:t>
      </w:r>
      <w:r w:rsidR="009E1C55">
        <w:t>3</w:t>
      </w:r>
      <w:r w:rsidR="00C05202">
        <w:t>_</w:t>
      </w:r>
      <w:r w:rsidRPr="00863BFD">
        <w:t>1&gt;. Your response to each question has to be framed by the two tags corresponding to the question.</w:t>
      </w:r>
    </w:p>
    <w:p w14:paraId="534A9E90" w14:textId="77777777" w:rsidR="009D6E99" w:rsidRPr="00863BFD" w:rsidRDefault="009D6E99" w:rsidP="00EE57EB">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4477A805" w:rsidR="009D6E99" w:rsidRDefault="009D6E99" w:rsidP="00EE57EB">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t>CP</w:t>
      </w:r>
      <w:r w:rsidR="009E1C55">
        <w:t>3</w:t>
      </w:r>
      <w:r w:rsidRPr="00863BFD">
        <w:t xml:space="preserve">_nameofrespondent. </w:t>
      </w:r>
    </w:p>
    <w:p w14:paraId="115A7ABF" w14:textId="63A528C3"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t>CP</w:t>
      </w:r>
      <w:r w:rsidR="009E1C55">
        <w:t>3</w:t>
      </w:r>
      <w:r>
        <w:t>_</w:t>
      </w:r>
      <w:r w:rsidRPr="00863BFD">
        <w:t>ABCD.</w:t>
      </w:r>
    </w:p>
    <w:p w14:paraId="175B3887" w14:textId="22A43A3A" w:rsidR="009D6E99" w:rsidRDefault="009D6E99" w:rsidP="00EE57EB">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20"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21"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2"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8" w:name="_Toc335141334"/>
    </w:p>
    <w:p w14:paraId="6CA781B8" w14:textId="77777777" w:rsidR="00332304" w:rsidRDefault="00332304" w:rsidP="00F716D4">
      <w:pPr>
        <w:rPr>
          <w:lang w:eastAsia="en-GB"/>
        </w:rPr>
      </w:pPr>
      <w:bookmarkStart w:id="9" w:name="_Toc335141335"/>
      <w:bookmarkEnd w:id="8"/>
    </w:p>
    <w:bookmarkEnd w:id="9"/>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7"/>
    <w:p w14:paraId="3095C284" w14:textId="77777777" w:rsidR="00C54034" w:rsidRDefault="00C54034" w:rsidP="00F716D4">
      <w:pPr>
        <w:sectPr w:rsidR="00C54034" w:rsidSect="00A8728B">
          <w:headerReference w:type="even" r:id="rId23"/>
          <w:footerReference w:type="even" r:id="rId24"/>
          <w:footerReference w:type="default" r:id="rId25"/>
          <w:headerReference w:type="first" r:id="rId26"/>
          <w:footerReference w:type="first" r:id="rId27"/>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10"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EndPr>
            <w:rPr>
              <w:rStyle w:val="PlaceholderText"/>
            </w:rPr>
          </w:sdtEndPr>
          <w:sdtContent>
            <w:tc>
              <w:tcPr>
                <w:tcW w:w="5595" w:type="dxa"/>
                <w:shd w:val="clear" w:color="auto" w:fill="auto"/>
                <w:vAlign w:val="center"/>
              </w:tcPr>
              <w:p w14:paraId="633DB1B6" w14:textId="3CFF66BC" w:rsidR="00C2682A" w:rsidRPr="00104E00" w:rsidRDefault="00EC14FA" w:rsidP="00104E00">
                <w:pPr>
                  <w:jc w:val="left"/>
                  <w:rPr>
                    <w:rStyle w:val="PlaceholderText"/>
                  </w:rPr>
                </w:pPr>
                <w:r>
                  <w:rPr>
                    <w:rStyle w:val="PlaceholderText"/>
                  </w:rPr>
                  <w:t>Euronext</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78F62F4A" w:rsidR="00C2682A" w:rsidRPr="00104E00" w:rsidRDefault="008B2400"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EC14FA">
                  <w:t>Regulated markets/Exchanges/Trading Systems</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0"/>
              <w14:checkedState w14:val="2612" w14:font="MS Gothic"/>
              <w14:uncheckedState w14:val="2610" w14:font="MS Gothic"/>
            </w14:checkbox>
          </w:sdtPr>
          <w:sdtEndPr/>
          <w:sdtContent>
            <w:tc>
              <w:tcPr>
                <w:tcW w:w="5595" w:type="dxa"/>
                <w:shd w:val="clear" w:color="auto" w:fill="auto"/>
                <w:vAlign w:val="center"/>
              </w:tcPr>
              <w:p w14:paraId="4BD68813" w14:textId="16770D29" w:rsidR="00C2682A" w:rsidRPr="00104E00" w:rsidRDefault="001878C6"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vAlign w:val="center"/>
              </w:tcPr>
              <w:p w14:paraId="204E7C89" w14:textId="3B41F5B6" w:rsidR="00C2682A" w:rsidRPr="00104E00" w:rsidRDefault="00EC14FA" w:rsidP="00104E00">
                <w:pPr>
                  <w:jc w:val="left"/>
                </w:pPr>
                <w:r>
                  <w:t>Europe</w:t>
                </w:r>
              </w:p>
            </w:tc>
          </w:sdtContent>
        </w:sdt>
      </w:tr>
      <w:permEnd w:id="1727412903"/>
    </w:tbl>
    <w:p w14:paraId="398E9C9E" w14:textId="10C9CC3D" w:rsidR="00C2682A" w:rsidRDefault="00C2682A" w:rsidP="00F716D4"/>
    <w:p w14:paraId="7F986E69" w14:textId="77777777" w:rsidR="00FA4100" w:rsidRDefault="00BB1973" w:rsidP="00FA4100">
      <w:pPr>
        <w:pStyle w:val="Heading1"/>
      </w:pPr>
      <w:r>
        <w:t>Questions</w:t>
      </w:r>
      <w:bookmarkStart w:id="11" w:name="_Hlk124780170"/>
    </w:p>
    <w:p w14:paraId="05D4196B" w14:textId="117DA791" w:rsidR="00B25E0D" w:rsidRPr="00B25E0D" w:rsidRDefault="00FA4100" w:rsidP="00FA4100">
      <w:pPr>
        <w:pStyle w:val="Heading1"/>
        <w:numPr>
          <w:ilvl w:val="0"/>
          <w:numId w:val="0"/>
        </w:numPr>
        <w:ind w:left="709"/>
      </w:pPr>
      <w:r>
        <w:t xml:space="preserve">2.1 </w:t>
      </w:r>
      <w:r w:rsidR="002D36A3">
        <w:t>CDR 2017/56</w:t>
      </w:r>
      <w:r w:rsidR="005D4F78">
        <w:t>7</w:t>
      </w:r>
    </w:p>
    <w:bookmarkEnd w:id="10"/>
    <w:bookmarkEnd w:id="11"/>
    <w:p w14:paraId="5DA4D64B" w14:textId="75257578" w:rsidR="00CC59BB" w:rsidRDefault="005D4F78" w:rsidP="007C5BD5">
      <w:pPr>
        <w:pStyle w:val="Questionstyle"/>
      </w:pPr>
      <w:r w:rsidRPr="005D4F78">
        <w:t>Should the use of alternative data to perform the calculations (i.e. as described under Option 2 above) be feasible, what would be the costs and the benefits of such a change for different categories of market participants, including in relation to the change and run costs of reporting systems, data quality assurance and other relevant aspects? Do you have other comments on this potential change, e.g. on specific issues, challenges or alternatives that could be considered by ESMA in its assessment?</w:t>
      </w:r>
    </w:p>
    <w:p w14:paraId="17BDD96F" w14:textId="03B46972" w:rsidR="00CC59BB" w:rsidRDefault="00CC59BB" w:rsidP="00C54034">
      <w:pPr>
        <w:spacing w:after="0"/>
      </w:pPr>
      <w:r>
        <w:t>&lt;ESMA_QUESTION</w:t>
      </w:r>
      <w:r w:rsidR="005D4F78">
        <w:t>_CP3_</w:t>
      </w:r>
      <w:r>
        <w:t>1&gt;</w:t>
      </w:r>
    </w:p>
    <w:p w14:paraId="711BDA4F" w14:textId="77777777" w:rsidR="00A90941" w:rsidRPr="003560DF" w:rsidRDefault="00A90941" w:rsidP="00A90941">
      <w:pPr>
        <w:rPr>
          <w:rFonts w:eastAsia="Verdana"/>
          <w:szCs w:val="22"/>
        </w:rPr>
      </w:pPr>
      <w:permStart w:id="124340805" w:edGrp="everyone"/>
      <w:r w:rsidRPr="003560DF">
        <w:rPr>
          <w:rFonts w:eastAsia="Verdana"/>
          <w:szCs w:val="22"/>
        </w:rPr>
        <w:t xml:space="preserve">Euronext is of the view that it would make sense to streamline the submission of the necessary quantitative data under RTS 1, 2 and 3 and include all submissions in the same process and report. This would avoid the submission of duplicative data, in different submissions at different points in time, and improve data quality. </w:t>
      </w:r>
    </w:p>
    <w:p w14:paraId="5492EA2E" w14:textId="77777777" w:rsidR="00A90941" w:rsidRPr="003560DF" w:rsidRDefault="00A90941" w:rsidP="00A90941">
      <w:pPr>
        <w:rPr>
          <w:rFonts w:eastAsia="Verdana"/>
          <w:szCs w:val="22"/>
        </w:rPr>
      </w:pPr>
      <w:r w:rsidRPr="003560DF">
        <w:rPr>
          <w:rFonts w:eastAsia="Verdana"/>
          <w:szCs w:val="22"/>
        </w:rPr>
        <w:t xml:space="preserve">Given that this implies a significant change to existing processes, this proposal should only be progressed on the condition that all reports are completely reviewed and rationalized, minimizing also the ad-hoc / yearly data requests that ESMA is currently issuing, as these are consuming a lot of time internally. </w:t>
      </w:r>
    </w:p>
    <w:p w14:paraId="08DCCF50" w14:textId="77777777" w:rsidR="00A90941" w:rsidRDefault="00A90941" w:rsidP="00C54034">
      <w:pPr>
        <w:spacing w:after="0"/>
        <w:rPr>
          <w:rFonts w:eastAsia="Verdana"/>
          <w:szCs w:val="22"/>
        </w:rPr>
      </w:pPr>
      <w:r w:rsidRPr="003560DF">
        <w:rPr>
          <w:rFonts w:eastAsia="Verdana"/>
          <w:szCs w:val="22"/>
        </w:rPr>
        <w:t xml:space="preserve">We also would highlight that we believe it would be better that this reporting obligation remains on the trading venues with periodic reporting, as we are </w:t>
      </w:r>
      <w:proofErr w:type="spellStart"/>
      <w:r w:rsidRPr="003560DF">
        <w:rPr>
          <w:rFonts w:eastAsia="Verdana"/>
          <w:szCs w:val="22"/>
        </w:rPr>
        <w:t>skeptical</w:t>
      </w:r>
      <w:proofErr w:type="spellEnd"/>
      <w:r w:rsidRPr="003560DF">
        <w:rPr>
          <w:rFonts w:eastAsia="Verdana"/>
          <w:szCs w:val="22"/>
        </w:rPr>
        <w:t xml:space="preserve"> to rely on transaction reporting data (under </w:t>
      </w:r>
      <w:proofErr w:type="spellStart"/>
      <w:r w:rsidRPr="003560DF">
        <w:rPr>
          <w:rFonts w:eastAsia="Verdana"/>
          <w:szCs w:val="22"/>
        </w:rPr>
        <w:t>MiFIR</w:t>
      </w:r>
      <w:proofErr w:type="spellEnd"/>
      <w:r w:rsidRPr="003560DF">
        <w:rPr>
          <w:rFonts w:eastAsia="Verdana"/>
          <w:szCs w:val="22"/>
        </w:rPr>
        <w:t xml:space="preserve"> Art.26) as we are not convinced that investment firms are really able to provide the data related to the waiver indicators in an accurate way.</w:t>
      </w:r>
    </w:p>
    <w:permEnd w:id="124340805"/>
    <w:p w14:paraId="059016CF" w14:textId="46D8DE81" w:rsidR="00CC59BB" w:rsidRDefault="00CC59BB" w:rsidP="00C54034">
      <w:pPr>
        <w:spacing w:after="0"/>
      </w:pPr>
      <w:r>
        <w:t>&lt;ESMA_QUESTION</w:t>
      </w:r>
      <w:r w:rsidR="005D4F78">
        <w:t>_CP3_</w:t>
      </w:r>
      <w:r>
        <w:t>1&gt;</w:t>
      </w:r>
    </w:p>
    <w:p w14:paraId="0445A411" w14:textId="628C6B54" w:rsidR="00B25E0D" w:rsidRDefault="00B25E0D" w:rsidP="00F716D4"/>
    <w:p w14:paraId="213BEB10" w14:textId="5228E258" w:rsidR="00CC59BB" w:rsidRDefault="005D4F78" w:rsidP="007C5BD5">
      <w:pPr>
        <w:pStyle w:val="Questionstyle"/>
      </w:pPr>
      <w:r w:rsidRPr="005D4F78">
        <w:lastRenderedPageBreak/>
        <w:t>Do you agree with the proposal on the start day of application of the transparency calculations? Please explain</w:t>
      </w:r>
      <w:r w:rsidR="00FA4100">
        <w:t>.</w:t>
      </w:r>
    </w:p>
    <w:p w14:paraId="12B58AF3" w14:textId="4F74BC2B" w:rsidR="00CC59BB" w:rsidRDefault="00CC59BB" w:rsidP="00C54034">
      <w:pPr>
        <w:spacing w:after="0"/>
      </w:pPr>
      <w:r>
        <w:t>&lt;ESMA_QUESTION</w:t>
      </w:r>
      <w:r w:rsidR="005D4F78">
        <w:t>_CP3_</w:t>
      </w:r>
      <w:r>
        <w:t>2&gt;</w:t>
      </w:r>
    </w:p>
    <w:p w14:paraId="6453AAFE" w14:textId="77777777" w:rsidR="00015D5D" w:rsidRPr="003560DF" w:rsidRDefault="00015D5D" w:rsidP="00015D5D">
      <w:pPr>
        <w:rPr>
          <w:rFonts w:eastAsia="Verdana"/>
          <w:szCs w:val="22"/>
        </w:rPr>
      </w:pPr>
      <w:permStart w:id="1947404220" w:edGrp="everyone"/>
      <w:r w:rsidRPr="003560DF">
        <w:rPr>
          <w:rFonts w:eastAsia="Verdana"/>
          <w:szCs w:val="22"/>
        </w:rPr>
        <w:t>Yes, Euronext agrees to use the date of the venue where the company is performing an IPO as well as other corporate actions (including private placements, direct listings, M&amp;A, cross listings, dual listings) that result in the allocation of a new ISIN, as this creates more certainty. This should also be linked to the use of the estimates provided by this venue (then validated by ESMA) to perform the other relevant transparency calculation (tick size, LIS…) i.e. only the estimates provided by the venue where the IPO is taking place should be considered by ESMA on the first of the three dates. This would avoid reliance on incorrect data that is usually sent to ESMA by the MTFs - this is one of the biggest current issues with the FITRS.</w:t>
      </w:r>
    </w:p>
    <w:p w14:paraId="6AEB901E" w14:textId="77777777" w:rsidR="00015D5D" w:rsidRDefault="00015D5D" w:rsidP="00C54034">
      <w:pPr>
        <w:spacing w:after="0"/>
        <w:rPr>
          <w:rFonts w:eastAsia="Verdana"/>
          <w:szCs w:val="22"/>
        </w:rPr>
      </w:pPr>
      <w:r w:rsidRPr="003560DF">
        <w:rPr>
          <w:rFonts w:eastAsia="Verdana"/>
          <w:szCs w:val="22"/>
        </w:rPr>
        <w:t xml:space="preserve">In addition, it is not clear to us what the proposal is for new ISINs arising from other cases such as: </w:t>
      </w:r>
      <w:proofErr w:type="spellStart"/>
      <w:r w:rsidRPr="003560DF">
        <w:rPr>
          <w:rFonts w:eastAsia="Verdana"/>
          <w:szCs w:val="22"/>
        </w:rPr>
        <w:t>i</w:t>
      </w:r>
      <w:proofErr w:type="spellEnd"/>
      <w:r w:rsidRPr="003560DF">
        <w:rPr>
          <w:rFonts w:eastAsia="Verdana"/>
          <w:szCs w:val="22"/>
        </w:rPr>
        <w:t>) listings that are not IPOs such as mergers / splits; ii) other corporate actions. In this case, there should be some link between the old and new ISIN so that ESMA can ensure continuity with the MRMTL before the corporate action.</w:t>
      </w:r>
    </w:p>
    <w:permEnd w:id="1947404220"/>
    <w:p w14:paraId="73D19FBF" w14:textId="08A6327D" w:rsidR="00CC59BB" w:rsidRDefault="00CC59BB" w:rsidP="00C54034">
      <w:pPr>
        <w:spacing w:after="0"/>
      </w:pPr>
      <w:r>
        <w:t>&lt;ESMA_QUESTION</w:t>
      </w:r>
      <w:r w:rsidR="005D4F78">
        <w:t>_CP3_</w:t>
      </w:r>
      <w:r>
        <w:t>2&gt;</w:t>
      </w:r>
    </w:p>
    <w:p w14:paraId="4BEA6789" w14:textId="77777777" w:rsidR="00CC59BB" w:rsidRDefault="00CC59BB" w:rsidP="00F716D4"/>
    <w:p w14:paraId="2253A079" w14:textId="77777777" w:rsidR="005D4F78" w:rsidRDefault="005D4F78" w:rsidP="00F716D4"/>
    <w:p w14:paraId="1BAB9E7F" w14:textId="77777777" w:rsidR="005D4F78" w:rsidRDefault="005D4F78" w:rsidP="00F716D4"/>
    <w:p w14:paraId="7C87420C" w14:textId="77777777" w:rsidR="005D4F78" w:rsidRDefault="005D4F78" w:rsidP="00F716D4"/>
    <w:p w14:paraId="7A92C410" w14:textId="4B812FCB" w:rsidR="00CC59BB" w:rsidRDefault="005D4F78" w:rsidP="007C5BD5">
      <w:pPr>
        <w:pStyle w:val="Questionstyle"/>
      </w:pPr>
      <w:r w:rsidRPr="005D4F78">
        <w:t>Do you agree with the proposal on the denominator of the (i) ADT, (ii) ADNTE and (iii) for specifying daily traded parameter? Please explain</w:t>
      </w:r>
      <w:r w:rsidR="00FA4100">
        <w:t>.</w:t>
      </w:r>
    </w:p>
    <w:p w14:paraId="6B789D16" w14:textId="151F7A08" w:rsidR="00CC59BB" w:rsidRDefault="00CC59BB" w:rsidP="00C54034">
      <w:pPr>
        <w:spacing w:after="0"/>
      </w:pPr>
      <w:r>
        <w:t>&lt;ESMA_QUESTION</w:t>
      </w:r>
      <w:r w:rsidR="005D4F78">
        <w:t>_CP3_</w:t>
      </w:r>
      <w:r>
        <w:t>3&gt;</w:t>
      </w:r>
    </w:p>
    <w:p w14:paraId="6216E020" w14:textId="77777777" w:rsidR="00CB3572" w:rsidRPr="003560DF" w:rsidRDefault="00CB3572" w:rsidP="00CB3572">
      <w:pPr>
        <w:rPr>
          <w:rFonts w:eastAsia="Verdana"/>
          <w:szCs w:val="22"/>
        </w:rPr>
      </w:pPr>
      <w:permStart w:id="2005885194" w:edGrp="everyone"/>
      <w:r w:rsidRPr="003560DF">
        <w:rPr>
          <w:rFonts w:eastAsia="Verdana"/>
          <w:szCs w:val="22"/>
        </w:rPr>
        <w:t xml:space="preserve">Yes, the use of the number of trading days on the MRMTL makes sense and, in addition, it ‘strengthens’ the role of the MRMTL. We would accept that this methodology would lead by definition to a small over-estimation of the data, since OTC trading can also happen on days when the MRMTL is closed. </w:t>
      </w:r>
    </w:p>
    <w:p w14:paraId="22A1076A" w14:textId="77777777" w:rsidR="00CB3572" w:rsidRPr="003560DF" w:rsidRDefault="00CB3572" w:rsidP="00CB3572">
      <w:pPr>
        <w:rPr>
          <w:rFonts w:eastAsia="Verdana"/>
          <w:szCs w:val="22"/>
        </w:rPr>
      </w:pPr>
      <w:r w:rsidRPr="003560DF">
        <w:rPr>
          <w:rFonts w:eastAsia="Verdana"/>
          <w:szCs w:val="22"/>
        </w:rPr>
        <w:t xml:space="preserve">As the calculation is performed on a yearly basis, it must also be stressed that the determination of the MRMTL must be kept synchronized with the same yearly re-calculations. </w:t>
      </w:r>
    </w:p>
    <w:p w14:paraId="2690FF41" w14:textId="1935EE3D" w:rsidR="00CB3572" w:rsidRDefault="00CB3572" w:rsidP="00C54034">
      <w:pPr>
        <w:spacing w:after="0"/>
        <w:rPr>
          <w:rFonts w:eastAsia="Verdana"/>
          <w:szCs w:val="22"/>
        </w:rPr>
      </w:pPr>
      <w:r w:rsidRPr="003560DF">
        <w:rPr>
          <w:rFonts w:eastAsia="Verdana"/>
          <w:szCs w:val="22"/>
        </w:rPr>
        <w:t>It should be noted that these data,  or other data, that are strictly interlinked with these metrics, are also used for the determination of the tick size (i.e. the ADT for the LIS parameter, and the ADNTE on MRMTL for the tick size). A consistent methodology should be used across all these indicators.</w:t>
      </w:r>
    </w:p>
    <w:permEnd w:id="2005885194"/>
    <w:p w14:paraId="677D639B" w14:textId="001451C1" w:rsidR="00CC59BB" w:rsidRDefault="00CC59BB" w:rsidP="00C54034">
      <w:pPr>
        <w:spacing w:after="0"/>
      </w:pPr>
      <w:r>
        <w:t>&lt;ESMA_QUESTION</w:t>
      </w:r>
      <w:r w:rsidR="005D4F78">
        <w:t>_CP3_</w:t>
      </w:r>
      <w:r>
        <w:t>3&gt;</w:t>
      </w:r>
    </w:p>
    <w:p w14:paraId="506315DD" w14:textId="77777777" w:rsidR="00CC59BB" w:rsidRDefault="00CC59BB" w:rsidP="00F716D4"/>
    <w:p w14:paraId="044A8FFD" w14:textId="41775C76" w:rsidR="00CC59BB" w:rsidRDefault="005D4F78" w:rsidP="007C5BD5">
      <w:pPr>
        <w:pStyle w:val="Questionstyle"/>
      </w:pPr>
      <w:r w:rsidRPr="005D4F78">
        <w:t>Do you agree with the proposal on the liquidity determination for shares? Please explain</w:t>
      </w:r>
      <w:r w:rsidR="00FA4100">
        <w:t>.</w:t>
      </w:r>
    </w:p>
    <w:p w14:paraId="3B828213" w14:textId="2C9D497F" w:rsidR="00CC59BB" w:rsidRDefault="00CC59BB" w:rsidP="00C54034">
      <w:pPr>
        <w:spacing w:after="0"/>
      </w:pPr>
      <w:r>
        <w:t>&lt;ESMA_QUESTION</w:t>
      </w:r>
      <w:r w:rsidR="005D4F78">
        <w:t>_CP3_</w:t>
      </w:r>
      <w:r>
        <w:t>4&gt;</w:t>
      </w:r>
    </w:p>
    <w:p w14:paraId="3FADFE6C" w14:textId="1A302C7F" w:rsidR="00D66604" w:rsidRPr="003560DF" w:rsidRDefault="00D66604" w:rsidP="00D66604">
      <w:pPr>
        <w:rPr>
          <w:rFonts w:eastAsia="Verdana"/>
          <w:szCs w:val="22"/>
        </w:rPr>
      </w:pPr>
      <w:permStart w:id="1235513680" w:edGrp="everyone"/>
      <w:r w:rsidRPr="003560DF">
        <w:rPr>
          <w:rFonts w:eastAsia="Verdana"/>
          <w:szCs w:val="22"/>
        </w:rPr>
        <w:t xml:space="preserve">The liquid market concept is pivotal to the transparency of EU equity markets: it determines the application of pre-trade transparency obligations for SIs and some instances of the use of the negotiated deal waiver “dealt within a percentage of a suitable reference price, being a percentage and a reference price set in advance by the system operator”. </w:t>
      </w:r>
    </w:p>
    <w:p w14:paraId="1106396C" w14:textId="5F8F2616" w:rsidR="00D66604" w:rsidRPr="003560DF" w:rsidRDefault="00D66604" w:rsidP="00D66604">
      <w:pPr>
        <w:rPr>
          <w:szCs w:val="22"/>
        </w:rPr>
      </w:pPr>
      <w:r w:rsidRPr="003560DF">
        <w:rPr>
          <w:rFonts w:eastAsia="Verdana"/>
          <w:szCs w:val="22"/>
        </w:rPr>
        <w:t xml:space="preserve">Euronext believes the current thresholds proposed by ESMA are too low to actually foster more liquidity on EU equity markets by increasing the amount of liquidity visible to EU as well as foreign investors. When looking at the numbers of stocks that would be deemed liquid as per ESMA’s analysis, it is a very small percentage of overall number of stocks admitted on EU markets so we question how this will help improve transparency in the market at all. Setting the thresholds at a level that increases the visibility of EU liquidity is especially important in the context where the double volume cap is being replaced by a single cap, where the negotiated deal waiver may be more significantly used. </w:t>
      </w:r>
    </w:p>
    <w:p w14:paraId="18C4F057" w14:textId="1D5E3DB7" w:rsidR="00CC59BB" w:rsidRDefault="00D66604" w:rsidP="00D66604">
      <w:pPr>
        <w:spacing w:after="0"/>
      </w:pPr>
      <w:r w:rsidRPr="003560DF">
        <w:rPr>
          <w:rFonts w:eastAsia="Verdana"/>
          <w:szCs w:val="22"/>
        </w:rPr>
        <w:t>Therefore, we believe ESMA should carry out further analysis to ensure the revised approach will have a meaningful and positive impact on transparency in EU markets</w:t>
      </w:r>
      <w:r>
        <w:rPr>
          <w:rFonts w:eastAsia="Verdana"/>
          <w:szCs w:val="22"/>
        </w:rPr>
        <w:t>.</w:t>
      </w:r>
    </w:p>
    <w:permEnd w:id="1235513680"/>
    <w:p w14:paraId="5645007D" w14:textId="4E2E9AE4" w:rsidR="00CC59BB" w:rsidRDefault="00CC59BB" w:rsidP="00C54034">
      <w:pPr>
        <w:spacing w:after="0"/>
      </w:pPr>
      <w:r>
        <w:t>&lt;ESMA_QUESTION</w:t>
      </w:r>
      <w:r w:rsidR="005D4F78">
        <w:t>_CP3_</w:t>
      </w:r>
      <w:r>
        <w:t>4&gt;</w:t>
      </w:r>
    </w:p>
    <w:p w14:paraId="6A5562F7" w14:textId="7B74717E" w:rsidR="00BB1973" w:rsidRDefault="00BB1973" w:rsidP="00F716D4"/>
    <w:p w14:paraId="51E3550B" w14:textId="5B5E3F69" w:rsidR="00CC59BB" w:rsidRDefault="005D4F78" w:rsidP="007C5BD5">
      <w:pPr>
        <w:pStyle w:val="Questionstyle"/>
      </w:pPr>
      <w:r w:rsidRPr="005D4F78">
        <w:t>Do you agree with the proposal on the liquidity determination for other similar financial instruments? Please explain</w:t>
      </w:r>
      <w:r w:rsidR="00FA4100">
        <w:t>.</w:t>
      </w:r>
    </w:p>
    <w:p w14:paraId="19426988" w14:textId="240AE797" w:rsidR="00CC59BB" w:rsidRDefault="00CC59BB" w:rsidP="00C54034">
      <w:pPr>
        <w:spacing w:after="0"/>
      </w:pPr>
      <w:r>
        <w:t>&lt;ESMA_QUESTION</w:t>
      </w:r>
      <w:r w:rsidR="005D4F78">
        <w:t>_CP3_</w:t>
      </w:r>
      <w:r>
        <w:t>5&gt;</w:t>
      </w:r>
    </w:p>
    <w:p w14:paraId="304EFCE2" w14:textId="77777777" w:rsidR="00170F00" w:rsidRDefault="00170F00" w:rsidP="00C54034">
      <w:pPr>
        <w:spacing w:after="0"/>
        <w:rPr>
          <w:b/>
          <w:bCs/>
          <w:szCs w:val="22"/>
        </w:rPr>
      </w:pPr>
      <w:permStart w:id="864513806" w:edGrp="everyone"/>
      <w:r w:rsidRPr="003560DF">
        <w:rPr>
          <w:szCs w:val="22"/>
        </w:rPr>
        <w:t>It would be helpful if ESMA clarifies the instruments that fall into this category</w:t>
      </w:r>
      <w:r w:rsidRPr="003560DF">
        <w:rPr>
          <w:b/>
          <w:bCs/>
          <w:szCs w:val="22"/>
        </w:rPr>
        <w:t>.</w:t>
      </w:r>
    </w:p>
    <w:permEnd w:id="864513806"/>
    <w:p w14:paraId="12028E38" w14:textId="3D4F8FDE" w:rsidR="00CC59BB" w:rsidRDefault="00CC59BB" w:rsidP="00C54034">
      <w:pPr>
        <w:spacing w:after="0"/>
      </w:pPr>
      <w:r>
        <w:t>&lt;ESMA_QUESTION</w:t>
      </w:r>
      <w:r w:rsidR="005D4F78">
        <w:t>_CP3_</w:t>
      </w:r>
      <w:r>
        <w:t>5&gt;</w:t>
      </w:r>
    </w:p>
    <w:p w14:paraId="0716A74E" w14:textId="12CDEECF" w:rsidR="00CC59BB" w:rsidRDefault="00CC59BB" w:rsidP="00F716D4"/>
    <w:p w14:paraId="0B1D0E37" w14:textId="69EF334F" w:rsidR="00CC59BB" w:rsidRDefault="005D4F78" w:rsidP="007C5BD5">
      <w:pPr>
        <w:pStyle w:val="Questionstyle"/>
      </w:pPr>
      <w:r w:rsidRPr="005D4F78">
        <w:t>Do you agree with the proposal to remove the field “holdings exceeding 5% of total voting rights” from the legal text but keeping it in the XML schema of the reporting without being obliged to report such information? Pease explain</w:t>
      </w:r>
      <w:r w:rsidR="00BB1973">
        <w:t>.</w:t>
      </w:r>
    </w:p>
    <w:p w14:paraId="74B71444" w14:textId="25506F03" w:rsidR="00CC59BB" w:rsidRDefault="00CC59BB" w:rsidP="00C54034">
      <w:pPr>
        <w:spacing w:after="0"/>
      </w:pPr>
      <w:r>
        <w:t>&lt;ESMA_QUESTION</w:t>
      </w:r>
      <w:r w:rsidR="005D4F78">
        <w:t>_CP3_</w:t>
      </w:r>
      <w:r>
        <w:t>6&gt;</w:t>
      </w:r>
    </w:p>
    <w:p w14:paraId="31ED94B8" w14:textId="77777777" w:rsidR="00BE6F50" w:rsidRDefault="00BE6F50" w:rsidP="00C54034">
      <w:pPr>
        <w:spacing w:after="0"/>
        <w:rPr>
          <w:szCs w:val="22"/>
        </w:rPr>
      </w:pPr>
      <w:permStart w:id="1293775397" w:edGrp="everyone"/>
      <w:r w:rsidRPr="003560DF">
        <w:rPr>
          <w:szCs w:val="22"/>
        </w:rPr>
        <w:t>We believe this field should be completely removed as there is no added value for it to be retained.</w:t>
      </w:r>
    </w:p>
    <w:permEnd w:id="1293775397"/>
    <w:p w14:paraId="1C5E841E" w14:textId="4D683607" w:rsidR="00CC59BB" w:rsidRDefault="00CC59BB" w:rsidP="00C54034">
      <w:pPr>
        <w:spacing w:after="0"/>
      </w:pPr>
      <w:r>
        <w:t>&lt;ESMA_QUESTION</w:t>
      </w:r>
      <w:r w:rsidR="005D4F78">
        <w:t>_CP3_</w:t>
      </w:r>
      <w:r>
        <w:t>6&gt;</w:t>
      </w:r>
    </w:p>
    <w:p w14:paraId="70FF3B6D" w14:textId="45071471" w:rsidR="00CC59BB" w:rsidRDefault="00CC59BB" w:rsidP="00F716D4"/>
    <w:p w14:paraId="73754F59" w14:textId="77777777" w:rsidR="005D4F78" w:rsidRDefault="005D4F78" w:rsidP="00F716D4"/>
    <w:p w14:paraId="0F496581" w14:textId="77777777" w:rsidR="005D4F78" w:rsidRDefault="005D4F78" w:rsidP="00F716D4"/>
    <w:p w14:paraId="41F5D217" w14:textId="77777777" w:rsidR="005D4F78" w:rsidRDefault="005D4F78" w:rsidP="00F716D4"/>
    <w:p w14:paraId="4C686F76" w14:textId="77777777" w:rsidR="005D4F78" w:rsidRDefault="005D4F78" w:rsidP="00F716D4"/>
    <w:p w14:paraId="65E8C5DB" w14:textId="3055066F" w:rsidR="005D4F78" w:rsidRDefault="005D4F78">
      <w:pPr>
        <w:spacing w:after="0" w:line="240" w:lineRule="auto"/>
        <w:jc w:val="left"/>
      </w:pPr>
      <w:r>
        <w:br w:type="page"/>
      </w:r>
    </w:p>
    <w:p w14:paraId="082CF5C0" w14:textId="77777777" w:rsidR="005D4F78" w:rsidRPr="00B25E0D" w:rsidRDefault="005D4F78" w:rsidP="005D4F78">
      <w:pPr>
        <w:pStyle w:val="Heading1"/>
        <w:numPr>
          <w:ilvl w:val="0"/>
          <w:numId w:val="0"/>
        </w:numPr>
        <w:ind w:left="709"/>
      </w:pPr>
      <w:r>
        <w:lastRenderedPageBreak/>
        <w:t>2.2 RTS 1</w:t>
      </w:r>
    </w:p>
    <w:p w14:paraId="0A97BE36" w14:textId="54209F8A" w:rsidR="00CC59BB" w:rsidRDefault="005D4F78" w:rsidP="007C5BD5">
      <w:pPr>
        <w:pStyle w:val="Questionstyle"/>
      </w:pPr>
      <w:r w:rsidRPr="005D4F78">
        <w:t>Do you in general agree with the content of the proposed Tables 1a and 1b? Please specify (i) which fields you consider as not necessary (ii) any amendments that you consider necessary to the columns “Description and details to be published”, “Type of execution or publication venue”, “Type of trading system” to ensure that the information to be provided is clear and unambiguous (iii) the instruments and the circumstances when it is necessary to report the field price with a price notation different from “MONE” – Monetary value</w:t>
      </w:r>
      <w:r w:rsidR="00BB1973">
        <w:t>.</w:t>
      </w:r>
    </w:p>
    <w:p w14:paraId="7A68C999" w14:textId="398287EA" w:rsidR="00CC59BB" w:rsidRDefault="00CC59BB" w:rsidP="00C54034">
      <w:pPr>
        <w:spacing w:after="0"/>
      </w:pPr>
      <w:r>
        <w:t>&lt;ESMA_QUESTION</w:t>
      </w:r>
      <w:r w:rsidR="005D4F78">
        <w:t>_CP3_</w:t>
      </w:r>
      <w:r>
        <w:t>7&gt;</w:t>
      </w:r>
    </w:p>
    <w:p w14:paraId="1A9EE173" w14:textId="47BC716F" w:rsidR="00172545" w:rsidRPr="003560DF" w:rsidRDefault="00172545" w:rsidP="00172545">
      <w:pPr>
        <w:rPr>
          <w:szCs w:val="22"/>
        </w:rPr>
      </w:pPr>
      <w:permStart w:id="1076438526" w:edGrp="everyone"/>
      <w:r>
        <w:rPr>
          <w:rFonts w:eastAsia="Verdana"/>
          <w:szCs w:val="22"/>
        </w:rPr>
        <w:t>In general</w:t>
      </w:r>
      <w:r w:rsidRPr="003560DF">
        <w:rPr>
          <w:rFonts w:eastAsia="Verdana"/>
          <w:szCs w:val="22"/>
        </w:rPr>
        <w:t>, Euronext believes that there would be value in ESMA reviewing more extensively the transparency requirements applicable to trading venues.</w:t>
      </w:r>
      <w:r w:rsidRPr="003560DF">
        <w:rPr>
          <w:szCs w:val="22"/>
        </w:rPr>
        <w:t xml:space="preserve"> </w:t>
      </w:r>
      <w:r w:rsidRPr="003560DF">
        <w:rPr>
          <w:rFonts w:eastAsia="Verdana"/>
          <w:szCs w:val="22"/>
        </w:rPr>
        <w:t xml:space="preserve">We believe it forms an integral part of its mandate in Level 1 </w:t>
      </w:r>
      <w:r w:rsidRPr="003560DF">
        <w:rPr>
          <w:rFonts w:eastAsia="Verdana"/>
          <w:i/>
          <w:iCs/>
          <w:szCs w:val="22"/>
        </w:rPr>
        <w:t xml:space="preserve">(“The details of pre-trade data, the range of bid and offer prices or designated market-maker quotes, and the depth of trading interest at those prices, to be made public for each class of financial instrument concerned in accordance with Article 3(1), taking into account the necessary calibration for different types of trading systems as referred to in Article 3(2)”). </w:t>
      </w:r>
    </w:p>
    <w:p w14:paraId="09F18681" w14:textId="2BB5465D" w:rsidR="00172545" w:rsidRPr="00A91BEC" w:rsidRDefault="00172545" w:rsidP="00172545">
      <w:pPr>
        <w:spacing w:after="0"/>
        <w:rPr>
          <w:szCs w:val="22"/>
        </w:rPr>
      </w:pPr>
      <w:r w:rsidRPr="003560DF">
        <w:rPr>
          <w:rFonts w:eastAsia="Verdana"/>
          <w:szCs w:val="22"/>
        </w:rPr>
        <w:t>In particular, as highlighted in ESMA’s 2019 report on frequent batch auctions and in subsequent reports, Euronext is concerned about the growth of trading systems which</w:t>
      </w:r>
      <w:r w:rsidR="00A91BEC">
        <w:rPr>
          <w:szCs w:val="22"/>
        </w:rPr>
        <w:t xml:space="preserve"> </w:t>
      </w:r>
      <w:r w:rsidRPr="003560DF">
        <w:rPr>
          <w:rFonts w:eastAsia="Verdana"/>
          <w:szCs w:val="22"/>
        </w:rPr>
        <w:t xml:space="preserve">are de facto importing their execution prices from other sources with limited pre trade transparency and are not captured under a pre trade transparency waiver. This passive liquidity accounts for more than 7% of continuous trading in European equities. </w:t>
      </w:r>
    </w:p>
    <w:p w14:paraId="11C1B48B" w14:textId="77777777" w:rsidR="00172545" w:rsidRPr="003560DF" w:rsidRDefault="00172545" w:rsidP="00172545">
      <w:pPr>
        <w:spacing w:after="0"/>
        <w:rPr>
          <w:rFonts w:eastAsia="Verdana"/>
          <w:szCs w:val="22"/>
        </w:rPr>
      </w:pPr>
    </w:p>
    <w:p w14:paraId="4F37FC61" w14:textId="7DDE247E" w:rsidR="00172545" w:rsidRPr="003560DF" w:rsidRDefault="00172545" w:rsidP="00172545">
      <w:pPr>
        <w:spacing w:after="0"/>
        <w:rPr>
          <w:rFonts w:eastAsia="Verdana"/>
          <w:szCs w:val="22"/>
        </w:rPr>
      </w:pPr>
      <w:r w:rsidRPr="003560DF">
        <w:rPr>
          <w:rFonts w:eastAsia="Verdana"/>
          <w:szCs w:val="22"/>
        </w:rPr>
        <w:t>We had understood from ESMA’s</w:t>
      </w:r>
      <w:r w:rsidR="001A3FA5">
        <w:rPr>
          <w:rFonts w:eastAsia="Verdana"/>
          <w:szCs w:val="22"/>
        </w:rPr>
        <w:t xml:space="preserve"> more recent</w:t>
      </w:r>
      <w:r w:rsidRPr="003560DF">
        <w:rPr>
          <w:rFonts w:eastAsia="Verdana"/>
          <w:szCs w:val="22"/>
        </w:rPr>
        <w:t xml:space="preserve"> 2022 report that this would be looked at further following the </w:t>
      </w:r>
      <w:proofErr w:type="spellStart"/>
      <w:r w:rsidRPr="003560DF">
        <w:rPr>
          <w:rFonts w:eastAsia="Verdana"/>
          <w:szCs w:val="22"/>
        </w:rPr>
        <w:t>MiFIR</w:t>
      </w:r>
      <w:proofErr w:type="spellEnd"/>
      <w:r w:rsidRPr="003560DF">
        <w:rPr>
          <w:rFonts w:eastAsia="Verdana"/>
          <w:szCs w:val="22"/>
        </w:rPr>
        <w:t xml:space="preserve"> Review and we are therefore surprised that this does not seem to be dealt with in this consultation. We believe that this passive trading activity should not be considered as pre-trade transparent and that the information to be made public by each type of trading system in Table 1 Annex 1 of RTS 1 should be amended as set out below. </w:t>
      </w:r>
    </w:p>
    <w:p w14:paraId="31DA04CF" w14:textId="77777777" w:rsidR="00172545" w:rsidRPr="003560DF" w:rsidRDefault="00172545" w:rsidP="00172545">
      <w:pPr>
        <w:spacing w:after="0"/>
        <w:rPr>
          <w:rFonts w:eastAsia="Verdana"/>
          <w:szCs w:val="22"/>
        </w:rPr>
      </w:pPr>
    </w:p>
    <w:p w14:paraId="13F73E70" w14:textId="77777777" w:rsidR="00172545" w:rsidRPr="003560DF" w:rsidRDefault="00172545" w:rsidP="00172545">
      <w:pPr>
        <w:spacing w:after="0"/>
        <w:rPr>
          <w:rFonts w:eastAsia="Verdana"/>
          <w:szCs w:val="22"/>
        </w:rPr>
      </w:pPr>
      <w:r w:rsidRPr="003560DF">
        <w:rPr>
          <w:rFonts w:eastAsia="Verdana"/>
          <w:szCs w:val="22"/>
        </w:rPr>
        <w:t xml:space="preserve">If the situation is not addressed, this will be particularly problematic for the Consolidated Tape for equities &amp; ETFs, as de facto it means that the EBBO displayed by the CT will be flawed with information on best bids and offers not necessarily representative of actual pre-trade transparent interests. </w:t>
      </w:r>
    </w:p>
    <w:p w14:paraId="0F22FBDF" w14:textId="77777777" w:rsidR="00172545" w:rsidRPr="003560DF" w:rsidRDefault="00172545" w:rsidP="00172545">
      <w:pPr>
        <w:rPr>
          <w:szCs w:val="22"/>
        </w:rPr>
      </w:pPr>
      <w:r w:rsidRPr="003560DF">
        <w:rPr>
          <w:rFonts w:eastAsia="Verdana"/>
          <w:color w:val="FF0000"/>
          <w:szCs w:val="22"/>
        </w:rPr>
        <w:t xml:space="preserve"> </w:t>
      </w:r>
    </w:p>
    <w:tbl>
      <w:tblPr>
        <w:tblStyle w:val="TableGrid"/>
        <w:tblW w:w="0" w:type="auto"/>
        <w:tblLayout w:type="fixed"/>
        <w:tblLook w:val="04A0" w:firstRow="1" w:lastRow="0" w:firstColumn="1" w:lastColumn="0" w:noHBand="0" w:noVBand="1"/>
      </w:tblPr>
      <w:tblGrid>
        <w:gridCol w:w="663"/>
        <w:gridCol w:w="1572"/>
        <w:gridCol w:w="3135"/>
        <w:gridCol w:w="3159"/>
      </w:tblGrid>
      <w:tr w:rsidR="00172545" w:rsidRPr="003560DF" w14:paraId="7759D9BE" w14:textId="77777777" w:rsidTr="009A7FA6">
        <w:trPr>
          <w:trHeight w:val="300"/>
        </w:trPr>
        <w:tc>
          <w:tcPr>
            <w:tcW w:w="663" w:type="dxa"/>
            <w:tcBorders>
              <w:top w:val="single" w:sz="8" w:space="0" w:color="auto"/>
              <w:left w:val="single" w:sz="8" w:space="0" w:color="auto"/>
              <w:bottom w:val="single" w:sz="8" w:space="0" w:color="auto"/>
              <w:right w:val="single" w:sz="8" w:space="0" w:color="auto"/>
            </w:tcBorders>
            <w:tcMar>
              <w:left w:w="108" w:type="dxa"/>
              <w:right w:w="108" w:type="dxa"/>
            </w:tcMar>
          </w:tcPr>
          <w:p w14:paraId="4C2561CB" w14:textId="77777777" w:rsidR="00172545" w:rsidRPr="003560DF" w:rsidRDefault="00172545" w:rsidP="009A7FA6">
            <w:pPr>
              <w:rPr>
                <w:szCs w:val="22"/>
              </w:rPr>
            </w:pPr>
            <w:r w:rsidRPr="003560DF">
              <w:rPr>
                <w:rFonts w:eastAsia="Verdana"/>
                <w:b/>
                <w:bCs/>
                <w:szCs w:val="22"/>
              </w:rPr>
              <w:t xml:space="preserve">Row </w:t>
            </w:r>
          </w:p>
        </w:tc>
        <w:tc>
          <w:tcPr>
            <w:tcW w:w="1572" w:type="dxa"/>
            <w:tcBorders>
              <w:top w:val="single" w:sz="8" w:space="0" w:color="auto"/>
              <w:left w:val="single" w:sz="8" w:space="0" w:color="auto"/>
              <w:bottom w:val="single" w:sz="8" w:space="0" w:color="auto"/>
              <w:right w:val="single" w:sz="8" w:space="0" w:color="auto"/>
            </w:tcBorders>
            <w:tcMar>
              <w:left w:w="108" w:type="dxa"/>
              <w:right w:w="108" w:type="dxa"/>
            </w:tcMar>
          </w:tcPr>
          <w:p w14:paraId="51258309" w14:textId="77777777" w:rsidR="00172545" w:rsidRPr="003560DF" w:rsidRDefault="00172545" w:rsidP="009A7FA6">
            <w:pPr>
              <w:rPr>
                <w:szCs w:val="22"/>
              </w:rPr>
            </w:pPr>
            <w:r w:rsidRPr="003560DF">
              <w:rPr>
                <w:rFonts w:eastAsia="Verdana"/>
                <w:b/>
                <w:bCs/>
                <w:szCs w:val="22"/>
              </w:rPr>
              <w:t>Type of trading system</w:t>
            </w:r>
          </w:p>
        </w:tc>
        <w:tc>
          <w:tcPr>
            <w:tcW w:w="3135" w:type="dxa"/>
            <w:tcBorders>
              <w:top w:val="single" w:sz="8" w:space="0" w:color="auto"/>
              <w:left w:val="single" w:sz="8" w:space="0" w:color="auto"/>
              <w:bottom w:val="single" w:sz="8" w:space="0" w:color="auto"/>
              <w:right w:val="single" w:sz="8" w:space="0" w:color="auto"/>
            </w:tcBorders>
            <w:tcMar>
              <w:left w:w="108" w:type="dxa"/>
              <w:right w:w="108" w:type="dxa"/>
            </w:tcMar>
          </w:tcPr>
          <w:p w14:paraId="2720C564" w14:textId="77777777" w:rsidR="00172545" w:rsidRPr="003560DF" w:rsidRDefault="00172545" w:rsidP="009A7FA6">
            <w:pPr>
              <w:rPr>
                <w:szCs w:val="22"/>
              </w:rPr>
            </w:pPr>
            <w:r w:rsidRPr="003560DF">
              <w:rPr>
                <w:rFonts w:eastAsia="Aptos"/>
                <w:b/>
                <w:bCs/>
                <w:szCs w:val="22"/>
              </w:rPr>
              <w:t>Description of the trading system</w:t>
            </w:r>
          </w:p>
        </w:tc>
        <w:tc>
          <w:tcPr>
            <w:tcW w:w="3159" w:type="dxa"/>
            <w:tcBorders>
              <w:top w:val="single" w:sz="8" w:space="0" w:color="auto"/>
              <w:left w:val="single" w:sz="8" w:space="0" w:color="auto"/>
              <w:bottom w:val="single" w:sz="8" w:space="0" w:color="auto"/>
              <w:right w:val="single" w:sz="8" w:space="0" w:color="auto"/>
            </w:tcBorders>
            <w:tcMar>
              <w:left w:w="108" w:type="dxa"/>
              <w:right w:w="108" w:type="dxa"/>
            </w:tcMar>
          </w:tcPr>
          <w:p w14:paraId="2F414DFE" w14:textId="77777777" w:rsidR="00172545" w:rsidRPr="003560DF" w:rsidRDefault="00172545" w:rsidP="009A7FA6">
            <w:pPr>
              <w:rPr>
                <w:szCs w:val="22"/>
              </w:rPr>
            </w:pPr>
            <w:r w:rsidRPr="003560DF">
              <w:rPr>
                <w:rFonts w:eastAsia="Aptos"/>
                <w:b/>
                <w:bCs/>
                <w:szCs w:val="22"/>
              </w:rPr>
              <w:t>Information to be made public</w:t>
            </w:r>
          </w:p>
        </w:tc>
      </w:tr>
      <w:tr w:rsidR="00172545" w:rsidRPr="003560DF" w14:paraId="427027C0" w14:textId="77777777" w:rsidTr="009A7FA6">
        <w:trPr>
          <w:trHeight w:val="300"/>
        </w:trPr>
        <w:tc>
          <w:tcPr>
            <w:tcW w:w="663" w:type="dxa"/>
            <w:tcBorders>
              <w:top w:val="single" w:sz="8" w:space="0" w:color="auto"/>
              <w:left w:val="single" w:sz="8" w:space="0" w:color="auto"/>
              <w:bottom w:val="single" w:sz="8" w:space="0" w:color="auto"/>
              <w:right w:val="single" w:sz="8" w:space="0" w:color="auto"/>
            </w:tcBorders>
            <w:tcMar>
              <w:left w:w="108" w:type="dxa"/>
              <w:right w:w="108" w:type="dxa"/>
            </w:tcMar>
          </w:tcPr>
          <w:p w14:paraId="4D03515F" w14:textId="77777777" w:rsidR="00172545" w:rsidRPr="003560DF" w:rsidRDefault="00172545" w:rsidP="009A7FA6">
            <w:pPr>
              <w:rPr>
                <w:szCs w:val="22"/>
              </w:rPr>
            </w:pPr>
            <w:r w:rsidRPr="003560DF">
              <w:rPr>
                <w:rFonts w:eastAsia="Verdana"/>
                <w:szCs w:val="22"/>
              </w:rPr>
              <w:t>1</w:t>
            </w:r>
          </w:p>
        </w:tc>
        <w:tc>
          <w:tcPr>
            <w:tcW w:w="1572" w:type="dxa"/>
            <w:tcBorders>
              <w:top w:val="single" w:sz="8" w:space="0" w:color="auto"/>
              <w:left w:val="single" w:sz="8" w:space="0" w:color="auto"/>
              <w:bottom w:val="single" w:sz="8" w:space="0" w:color="auto"/>
              <w:right w:val="single" w:sz="8" w:space="0" w:color="auto"/>
            </w:tcBorders>
            <w:tcMar>
              <w:left w:w="108" w:type="dxa"/>
              <w:right w:w="108" w:type="dxa"/>
            </w:tcMar>
          </w:tcPr>
          <w:p w14:paraId="13559363" w14:textId="77777777" w:rsidR="00172545" w:rsidRPr="003560DF" w:rsidRDefault="00172545" w:rsidP="009A7FA6">
            <w:pPr>
              <w:rPr>
                <w:szCs w:val="22"/>
              </w:rPr>
            </w:pPr>
            <w:r w:rsidRPr="003560DF">
              <w:rPr>
                <w:rFonts w:eastAsia="Aptos"/>
                <w:szCs w:val="22"/>
              </w:rPr>
              <w:t xml:space="preserve">Continuous auction order </w:t>
            </w:r>
            <w:r w:rsidRPr="003560DF">
              <w:rPr>
                <w:rFonts w:eastAsia="Aptos"/>
                <w:szCs w:val="22"/>
              </w:rPr>
              <w:lastRenderedPageBreak/>
              <w:t>book trading system</w:t>
            </w:r>
          </w:p>
        </w:tc>
        <w:tc>
          <w:tcPr>
            <w:tcW w:w="3135" w:type="dxa"/>
            <w:tcBorders>
              <w:top w:val="single" w:sz="8" w:space="0" w:color="auto"/>
              <w:left w:val="single" w:sz="8" w:space="0" w:color="auto"/>
              <w:bottom w:val="single" w:sz="8" w:space="0" w:color="auto"/>
              <w:right w:val="single" w:sz="8" w:space="0" w:color="auto"/>
            </w:tcBorders>
            <w:tcMar>
              <w:left w:w="108" w:type="dxa"/>
              <w:right w:w="108" w:type="dxa"/>
            </w:tcMar>
          </w:tcPr>
          <w:p w14:paraId="550409B1" w14:textId="77777777" w:rsidR="00172545" w:rsidRPr="003560DF" w:rsidRDefault="00172545" w:rsidP="009A7FA6">
            <w:pPr>
              <w:rPr>
                <w:szCs w:val="22"/>
              </w:rPr>
            </w:pPr>
            <w:r w:rsidRPr="003560DF">
              <w:rPr>
                <w:rFonts w:eastAsia="Aptos"/>
                <w:szCs w:val="22"/>
              </w:rPr>
              <w:lastRenderedPageBreak/>
              <w:t xml:space="preserve">A system that by means of an order book and a trading algorithm operated without human </w:t>
            </w:r>
            <w:r w:rsidRPr="003560DF">
              <w:rPr>
                <w:rFonts w:eastAsia="Aptos"/>
                <w:szCs w:val="22"/>
              </w:rPr>
              <w:lastRenderedPageBreak/>
              <w:t>intervention matches sell orders with buy orders on the basis of the best available price on a continuous basis.</w:t>
            </w:r>
          </w:p>
        </w:tc>
        <w:tc>
          <w:tcPr>
            <w:tcW w:w="3159" w:type="dxa"/>
            <w:tcBorders>
              <w:top w:val="single" w:sz="8" w:space="0" w:color="auto"/>
              <w:left w:val="single" w:sz="8" w:space="0" w:color="auto"/>
              <w:bottom w:val="single" w:sz="8" w:space="0" w:color="auto"/>
              <w:right w:val="single" w:sz="8" w:space="0" w:color="auto"/>
            </w:tcBorders>
            <w:tcMar>
              <w:left w:w="108" w:type="dxa"/>
              <w:right w:w="108" w:type="dxa"/>
            </w:tcMar>
          </w:tcPr>
          <w:p w14:paraId="16F4A525" w14:textId="77777777" w:rsidR="00172545" w:rsidRPr="003560DF" w:rsidRDefault="00172545" w:rsidP="009A7FA6">
            <w:pPr>
              <w:rPr>
                <w:szCs w:val="22"/>
              </w:rPr>
            </w:pPr>
            <w:r w:rsidRPr="003560DF">
              <w:rPr>
                <w:rFonts w:eastAsia="Aptos"/>
                <w:szCs w:val="22"/>
              </w:rPr>
              <w:lastRenderedPageBreak/>
              <w:t>The aggregate number of orders and the shares, deposi</w:t>
            </w:r>
            <w:r w:rsidRPr="003560DF">
              <w:rPr>
                <w:rFonts w:eastAsia="Aptos"/>
                <w:szCs w:val="22"/>
              </w:rPr>
              <w:lastRenderedPageBreak/>
              <w:t xml:space="preserve">tary receipts, ETFs, certificates and other similar financial instruments that they represent at each price level for at least the five best bid and offer price levels </w:t>
            </w:r>
            <w:r w:rsidRPr="003560DF">
              <w:rPr>
                <w:rFonts w:eastAsia="Aptos"/>
                <w:b/>
                <w:bCs/>
                <w:color w:val="FF0000"/>
                <w:szCs w:val="22"/>
                <w:u w:val="single"/>
              </w:rPr>
              <w:t>sent to the venue’s order book and present on the venue’s order book.</w:t>
            </w:r>
          </w:p>
        </w:tc>
      </w:tr>
      <w:tr w:rsidR="00172545" w:rsidRPr="003560DF" w14:paraId="2B9868C3" w14:textId="77777777" w:rsidTr="009A7FA6">
        <w:trPr>
          <w:trHeight w:val="300"/>
        </w:trPr>
        <w:tc>
          <w:tcPr>
            <w:tcW w:w="663" w:type="dxa"/>
            <w:tcBorders>
              <w:top w:val="single" w:sz="8" w:space="0" w:color="auto"/>
              <w:left w:val="single" w:sz="8" w:space="0" w:color="auto"/>
              <w:bottom w:val="single" w:sz="8" w:space="0" w:color="auto"/>
              <w:right w:val="single" w:sz="8" w:space="0" w:color="auto"/>
            </w:tcBorders>
            <w:tcMar>
              <w:left w:w="108" w:type="dxa"/>
              <w:right w:w="108" w:type="dxa"/>
            </w:tcMar>
          </w:tcPr>
          <w:p w14:paraId="63B1CA23" w14:textId="77777777" w:rsidR="00172545" w:rsidRPr="003560DF" w:rsidRDefault="00172545" w:rsidP="009A7FA6">
            <w:pPr>
              <w:rPr>
                <w:szCs w:val="22"/>
              </w:rPr>
            </w:pPr>
            <w:r w:rsidRPr="003560DF">
              <w:rPr>
                <w:rFonts w:eastAsia="Verdana"/>
                <w:szCs w:val="22"/>
              </w:rPr>
              <w:lastRenderedPageBreak/>
              <w:t>2</w:t>
            </w:r>
          </w:p>
        </w:tc>
        <w:tc>
          <w:tcPr>
            <w:tcW w:w="1572" w:type="dxa"/>
            <w:tcBorders>
              <w:top w:val="single" w:sz="8" w:space="0" w:color="auto"/>
              <w:left w:val="single" w:sz="8" w:space="0" w:color="auto"/>
              <w:bottom w:val="single" w:sz="8" w:space="0" w:color="auto"/>
              <w:right w:val="single" w:sz="8" w:space="0" w:color="auto"/>
            </w:tcBorders>
            <w:tcMar>
              <w:left w:w="108" w:type="dxa"/>
              <w:right w:w="108" w:type="dxa"/>
            </w:tcMar>
          </w:tcPr>
          <w:p w14:paraId="36A4954E" w14:textId="77777777" w:rsidR="00172545" w:rsidRPr="003560DF" w:rsidRDefault="00172545" w:rsidP="009A7FA6">
            <w:pPr>
              <w:rPr>
                <w:szCs w:val="22"/>
              </w:rPr>
            </w:pPr>
            <w:r w:rsidRPr="003560DF">
              <w:rPr>
                <w:rFonts w:eastAsia="Aptos"/>
                <w:szCs w:val="22"/>
              </w:rPr>
              <w:t>Quote-driven trading system</w:t>
            </w:r>
          </w:p>
        </w:tc>
        <w:tc>
          <w:tcPr>
            <w:tcW w:w="3135" w:type="dxa"/>
            <w:tcBorders>
              <w:top w:val="single" w:sz="8" w:space="0" w:color="auto"/>
              <w:left w:val="single" w:sz="8" w:space="0" w:color="auto"/>
              <w:bottom w:val="single" w:sz="8" w:space="0" w:color="auto"/>
              <w:right w:val="single" w:sz="8" w:space="0" w:color="auto"/>
            </w:tcBorders>
            <w:tcMar>
              <w:left w:w="108" w:type="dxa"/>
              <w:right w:w="108" w:type="dxa"/>
            </w:tcMar>
          </w:tcPr>
          <w:p w14:paraId="63009D16" w14:textId="77777777" w:rsidR="00172545" w:rsidRPr="003560DF" w:rsidRDefault="00172545" w:rsidP="009A7FA6">
            <w:pPr>
              <w:rPr>
                <w:szCs w:val="22"/>
              </w:rPr>
            </w:pPr>
            <w:r w:rsidRPr="003560DF">
              <w:rPr>
                <w:rFonts w:eastAsia="Aptos"/>
                <w:szCs w:val="22"/>
              </w:rPr>
              <w:t>A system where transactions are concluded on the basis of firm quotes that are continuously made available to participants, which requires the market makers to maintain quotes in a size that balances the needs of members and participants to deal in a commercial size and the risk to which the market maker exposes itself.</w:t>
            </w:r>
          </w:p>
        </w:tc>
        <w:tc>
          <w:tcPr>
            <w:tcW w:w="3159" w:type="dxa"/>
            <w:tcBorders>
              <w:top w:val="single" w:sz="8" w:space="0" w:color="auto"/>
              <w:left w:val="single" w:sz="8" w:space="0" w:color="auto"/>
              <w:bottom w:val="single" w:sz="8" w:space="0" w:color="auto"/>
              <w:right w:val="single" w:sz="8" w:space="0" w:color="auto"/>
            </w:tcBorders>
            <w:tcMar>
              <w:left w:w="108" w:type="dxa"/>
              <w:right w:w="108" w:type="dxa"/>
            </w:tcMar>
          </w:tcPr>
          <w:p w14:paraId="29974756" w14:textId="77777777" w:rsidR="00172545" w:rsidRPr="003560DF" w:rsidRDefault="00172545" w:rsidP="009A7FA6">
            <w:pPr>
              <w:rPr>
                <w:szCs w:val="22"/>
              </w:rPr>
            </w:pPr>
            <w:r w:rsidRPr="003560DF">
              <w:rPr>
                <w:rFonts w:eastAsia="Aptos"/>
                <w:szCs w:val="22"/>
              </w:rPr>
              <w:t>The best bid and offer by price of each market maker in shares, depositary receipts, ETFs, certificates and other similar financial instruments traded on the trading system, together with the volumes attaching to those prices</w:t>
            </w:r>
            <w:r w:rsidRPr="003560DF">
              <w:rPr>
                <w:rFonts w:eastAsia="Aptos"/>
                <w:b/>
                <w:bCs/>
                <w:szCs w:val="22"/>
                <w:u w:val="single"/>
              </w:rPr>
              <w:t xml:space="preserve">, </w:t>
            </w:r>
            <w:r w:rsidRPr="003560DF">
              <w:rPr>
                <w:rFonts w:eastAsia="Aptos"/>
                <w:b/>
                <w:bCs/>
                <w:color w:val="FF0000"/>
                <w:szCs w:val="22"/>
                <w:u w:val="single"/>
              </w:rPr>
              <w:t>sent to the venue’s order book and present on its order book</w:t>
            </w:r>
            <w:r w:rsidRPr="003560DF">
              <w:rPr>
                <w:rFonts w:eastAsia="Aptos"/>
                <w:color w:val="FF0000"/>
                <w:szCs w:val="22"/>
              </w:rPr>
              <w:t xml:space="preserve">. </w:t>
            </w:r>
            <w:r w:rsidRPr="003560DF">
              <w:rPr>
                <w:rFonts w:eastAsia="Aptos"/>
                <w:szCs w:val="22"/>
              </w:rPr>
              <w:t xml:space="preserve">The quotes made public shall be those that represent binding commitments to buy and sell the financial instruments and which indicate the price and volume of financial instruments in which the registered market makers are prepared to buy or sell. In exceptional market conditions, however, indicative or </w:t>
            </w:r>
            <w:proofErr w:type="spellStart"/>
            <w:r w:rsidRPr="003560DF">
              <w:rPr>
                <w:rFonts w:eastAsia="Aptos"/>
                <w:szCs w:val="22"/>
              </w:rPr>
              <w:t>oneway</w:t>
            </w:r>
            <w:proofErr w:type="spellEnd"/>
            <w:r w:rsidRPr="003560DF">
              <w:rPr>
                <w:rFonts w:eastAsia="Aptos"/>
                <w:szCs w:val="22"/>
              </w:rPr>
              <w:t xml:space="preserve"> prices may be allowed for a limited time</w:t>
            </w:r>
          </w:p>
        </w:tc>
      </w:tr>
      <w:tr w:rsidR="00172545" w:rsidRPr="003560DF" w14:paraId="59CE1D8D" w14:textId="77777777" w:rsidTr="009A7FA6">
        <w:trPr>
          <w:trHeight w:val="300"/>
        </w:trPr>
        <w:tc>
          <w:tcPr>
            <w:tcW w:w="663" w:type="dxa"/>
            <w:tcBorders>
              <w:top w:val="single" w:sz="8" w:space="0" w:color="auto"/>
              <w:left w:val="single" w:sz="8" w:space="0" w:color="auto"/>
              <w:bottom w:val="single" w:sz="8" w:space="0" w:color="auto"/>
              <w:right w:val="single" w:sz="8" w:space="0" w:color="auto"/>
            </w:tcBorders>
            <w:tcMar>
              <w:left w:w="108" w:type="dxa"/>
              <w:right w:w="108" w:type="dxa"/>
            </w:tcMar>
          </w:tcPr>
          <w:p w14:paraId="10F7D55D" w14:textId="77777777" w:rsidR="00172545" w:rsidRPr="003560DF" w:rsidRDefault="00172545" w:rsidP="009A7FA6">
            <w:pPr>
              <w:rPr>
                <w:szCs w:val="22"/>
              </w:rPr>
            </w:pPr>
            <w:r w:rsidRPr="003560DF">
              <w:rPr>
                <w:rFonts w:eastAsia="Verdana"/>
                <w:szCs w:val="22"/>
              </w:rPr>
              <w:t>3</w:t>
            </w:r>
          </w:p>
        </w:tc>
        <w:tc>
          <w:tcPr>
            <w:tcW w:w="1572" w:type="dxa"/>
            <w:tcBorders>
              <w:top w:val="single" w:sz="8" w:space="0" w:color="auto"/>
              <w:left w:val="single" w:sz="8" w:space="0" w:color="auto"/>
              <w:bottom w:val="single" w:sz="8" w:space="0" w:color="auto"/>
              <w:right w:val="single" w:sz="8" w:space="0" w:color="auto"/>
            </w:tcBorders>
            <w:tcMar>
              <w:left w:w="108" w:type="dxa"/>
              <w:right w:w="108" w:type="dxa"/>
            </w:tcMar>
          </w:tcPr>
          <w:p w14:paraId="0EC10011" w14:textId="77777777" w:rsidR="00172545" w:rsidRPr="003560DF" w:rsidRDefault="00172545" w:rsidP="009A7FA6">
            <w:pPr>
              <w:rPr>
                <w:szCs w:val="22"/>
              </w:rPr>
            </w:pPr>
            <w:r w:rsidRPr="003560DF">
              <w:rPr>
                <w:rFonts w:eastAsia="Aptos"/>
                <w:szCs w:val="22"/>
              </w:rPr>
              <w:t>Periodic auction trading system</w:t>
            </w:r>
          </w:p>
        </w:tc>
        <w:tc>
          <w:tcPr>
            <w:tcW w:w="3135" w:type="dxa"/>
            <w:tcBorders>
              <w:top w:val="single" w:sz="8" w:space="0" w:color="auto"/>
              <w:left w:val="single" w:sz="8" w:space="0" w:color="auto"/>
              <w:bottom w:val="single" w:sz="8" w:space="0" w:color="auto"/>
              <w:right w:val="single" w:sz="8" w:space="0" w:color="auto"/>
            </w:tcBorders>
            <w:tcMar>
              <w:left w:w="108" w:type="dxa"/>
              <w:right w:w="108" w:type="dxa"/>
            </w:tcMar>
          </w:tcPr>
          <w:p w14:paraId="1D2C5742" w14:textId="77777777" w:rsidR="00172545" w:rsidRPr="003560DF" w:rsidRDefault="00172545" w:rsidP="009A7FA6">
            <w:pPr>
              <w:rPr>
                <w:szCs w:val="22"/>
              </w:rPr>
            </w:pPr>
            <w:r w:rsidRPr="003560DF">
              <w:rPr>
                <w:rFonts w:eastAsia="Aptos"/>
                <w:szCs w:val="22"/>
              </w:rPr>
              <w:t>A system that matches orders on the basis of a periodic auction and a trading algorithm operated without human intervention.</w:t>
            </w:r>
          </w:p>
        </w:tc>
        <w:tc>
          <w:tcPr>
            <w:tcW w:w="3159" w:type="dxa"/>
            <w:tcBorders>
              <w:top w:val="single" w:sz="8" w:space="0" w:color="auto"/>
              <w:left w:val="single" w:sz="8" w:space="0" w:color="auto"/>
              <w:bottom w:val="single" w:sz="8" w:space="0" w:color="auto"/>
              <w:right w:val="single" w:sz="8" w:space="0" w:color="auto"/>
            </w:tcBorders>
            <w:tcMar>
              <w:left w:w="108" w:type="dxa"/>
              <w:right w:w="108" w:type="dxa"/>
            </w:tcMar>
          </w:tcPr>
          <w:p w14:paraId="491C329A" w14:textId="77777777" w:rsidR="00172545" w:rsidRPr="003560DF" w:rsidRDefault="00172545" w:rsidP="009A7FA6">
            <w:pPr>
              <w:rPr>
                <w:szCs w:val="22"/>
              </w:rPr>
            </w:pPr>
            <w:r w:rsidRPr="003560DF">
              <w:rPr>
                <w:rFonts w:eastAsia="Aptos"/>
                <w:szCs w:val="22"/>
              </w:rPr>
              <w:t xml:space="preserve">The price at which the auction trading system would best satisfy its trading algorithm in respect of shares, depositary receipts, ETFs, certificates and other similar financial instruments traded on the trading </w:t>
            </w:r>
            <w:r w:rsidRPr="003560DF">
              <w:rPr>
                <w:rFonts w:eastAsia="Aptos"/>
                <w:szCs w:val="22"/>
              </w:rPr>
              <w:lastRenderedPageBreak/>
              <w:t xml:space="preserve">system and the volume that would potentially be executable at that price by participants in that system </w:t>
            </w:r>
            <w:r w:rsidRPr="003560DF">
              <w:rPr>
                <w:rFonts w:eastAsia="Aptos"/>
                <w:b/>
                <w:bCs/>
                <w:color w:val="FF0000"/>
                <w:szCs w:val="22"/>
                <w:u w:val="single"/>
              </w:rPr>
              <w:t>and based exclusively on the prices and sizes of orders sent to the venue’s order book and present on its order book</w:t>
            </w:r>
            <w:r w:rsidRPr="003560DF">
              <w:rPr>
                <w:rFonts w:eastAsia="Aptos"/>
                <w:color w:val="FF0000"/>
                <w:szCs w:val="22"/>
              </w:rPr>
              <w:t>.</w:t>
            </w:r>
          </w:p>
        </w:tc>
      </w:tr>
      <w:tr w:rsidR="00172545" w:rsidRPr="003560DF" w14:paraId="54FFB5E2" w14:textId="77777777" w:rsidTr="009A7FA6">
        <w:trPr>
          <w:trHeight w:val="300"/>
        </w:trPr>
        <w:tc>
          <w:tcPr>
            <w:tcW w:w="663" w:type="dxa"/>
            <w:tcBorders>
              <w:top w:val="single" w:sz="8" w:space="0" w:color="auto"/>
              <w:left w:val="single" w:sz="8" w:space="0" w:color="auto"/>
              <w:bottom w:val="single" w:sz="8" w:space="0" w:color="auto"/>
              <w:right w:val="single" w:sz="8" w:space="0" w:color="auto"/>
            </w:tcBorders>
            <w:tcMar>
              <w:left w:w="108" w:type="dxa"/>
              <w:right w:w="108" w:type="dxa"/>
            </w:tcMar>
          </w:tcPr>
          <w:p w14:paraId="5350A1BC" w14:textId="77777777" w:rsidR="00172545" w:rsidRPr="003560DF" w:rsidRDefault="00172545" w:rsidP="009A7FA6">
            <w:pPr>
              <w:rPr>
                <w:szCs w:val="22"/>
              </w:rPr>
            </w:pPr>
            <w:r w:rsidRPr="003560DF">
              <w:rPr>
                <w:rFonts w:eastAsia="Verdana"/>
                <w:szCs w:val="22"/>
              </w:rPr>
              <w:lastRenderedPageBreak/>
              <w:t>4</w:t>
            </w:r>
          </w:p>
        </w:tc>
        <w:tc>
          <w:tcPr>
            <w:tcW w:w="1572" w:type="dxa"/>
            <w:tcBorders>
              <w:top w:val="single" w:sz="8" w:space="0" w:color="auto"/>
              <w:left w:val="single" w:sz="8" w:space="0" w:color="auto"/>
              <w:bottom w:val="single" w:sz="8" w:space="0" w:color="auto"/>
              <w:right w:val="single" w:sz="8" w:space="0" w:color="auto"/>
            </w:tcBorders>
            <w:tcMar>
              <w:left w:w="108" w:type="dxa"/>
              <w:right w:w="108" w:type="dxa"/>
            </w:tcMar>
          </w:tcPr>
          <w:p w14:paraId="57597845" w14:textId="77777777" w:rsidR="00172545" w:rsidRPr="003560DF" w:rsidRDefault="00172545" w:rsidP="009A7FA6">
            <w:pPr>
              <w:rPr>
                <w:szCs w:val="22"/>
              </w:rPr>
            </w:pPr>
            <w:r w:rsidRPr="003560DF">
              <w:rPr>
                <w:rFonts w:eastAsia="Aptos"/>
                <w:szCs w:val="22"/>
              </w:rPr>
              <w:t>Request for quote trading system</w:t>
            </w:r>
          </w:p>
        </w:tc>
        <w:tc>
          <w:tcPr>
            <w:tcW w:w="3135" w:type="dxa"/>
            <w:tcBorders>
              <w:top w:val="single" w:sz="8" w:space="0" w:color="auto"/>
              <w:left w:val="single" w:sz="8" w:space="0" w:color="auto"/>
              <w:bottom w:val="single" w:sz="8" w:space="0" w:color="auto"/>
              <w:right w:val="single" w:sz="8" w:space="0" w:color="auto"/>
            </w:tcBorders>
            <w:tcMar>
              <w:left w:w="108" w:type="dxa"/>
              <w:right w:w="108" w:type="dxa"/>
            </w:tcMar>
          </w:tcPr>
          <w:p w14:paraId="1E67DA24" w14:textId="77777777" w:rsidR="00172545" w:rsidRPr="003560DF" w:rsidRDefault="00172545" w:rsidP="009A7FA6">
            <w:pPr>
              <w:rPr>
                <w:szCs w:val="22"/>
              </w:rPr>
            </w:pPr>
            <w:r w:rsidRPr="003560DF">
              <w:rPr>
                <w:rFonts w:eastAsia="Aptos"/>
                <w:szCs w:val="22"/>
              </w:rPr>
              <w:t>A system where a quote or quotes are provided in response to a request for quote submitted by one or more members or participants. The quote is executable exclusively by the requesting member or participant. The requesting member or participant may conclude a transaction by accepting the quote or quotes provided to it on request.</w:t>
            </w:r>
          </w:p>
        </w:tc>
        <w:tc>
          <w:tcPr>
            <w:tcW w:w="3159" w:type="dxa"/>
            <w:tcBorders>
              <w:top w:val="single" w:sz="8" w:space="0" w:color="auto"/>
              <w:left w:val="single" w:sz="8" w:space="0" w:color="auto"/>
              <w:bottom w:val="single" w:sz="8" w:space="0" w:color="auto"/>
              <w:right w:val="single" w:sz="8" w:space="0" w:color="auto"/>
            </w:tcBorders>
            <w:tcMar>
              <w:left w:w="108" w:type="dxa"/>
              <w:right w:w="108" w:type="dxa"/>
            </w:tcMar>
          </w:tcPr>
          <w:p w14:paraId="11286036" w14:textId="77777777" w:rsidR="00172545" w:rsidRPr="003560DF" w:rsidRDefault="00172545" w:rsidP="009A7FA6">
            <w:pPr>
              <w:rPr>
                <w:szCs w:val="22"/>
              </w:rPr>
            </w:pPr>
            <w:r w:rsidRPr="003560DF">
              <w:rPr>
                <w:rFonts w:eastAsia="Aptos"/>
                <w:szCs w:val="22"/>
              </w:rPr>
              <w:t xml:space="preserve">The quotes and the attached volumes from any member or participant </w:t>
            </w:r>
            <w:r w:rsidRPr="003560DF">
              <w:rPr>
                <w:rFonts w:eastAsia="Aptos"/>
                <w:b/>
                <w:bCs/>
                <w:color w:val="FF0000"/>
                <w:szCs w:val="22"/>
                <w:u w:val="single"/>
              </w:rPr>
              <w:t>sent to the venue’s system and present on the venue’s system</w:t>
            </w:r>
            <w:r w:rsidRPr="003560DF">
              <w:rPr>
                <w:rFonts w:eastAsia="Aptos"/>
                <w:color w:val="FF0000"/>
                <w:szCs w:val="22"/>
              </w:rPr>
              <w:t xml:space="preserve"> </w:t>
            </w:r>
            <w:r w:rsidRPr="003560DF">
              <w:rPr>
                <w:rFonts w:eastAsia="Aptos"/>
                <w:szCs w:val="22"/>
              </w:rPr>
              <w:t xml:space="preserve">which, if accepted, would lead to a transaction under the system's rules. All submitted quotes </w:t>
            </w:r>
            <w:r w:rsidRPr="003560DF">
              <w:rPr>
                <w:rFonts w:eastAsia="Aptos"/>
                <w:b/>
                <w:bCs/>
                <w:color w:val="FF0000"/>
                <w:szCs w:val="22"/>
                <w:u w:val="single"/>
              </w:rPr>
              <w:t>on the system</w:t>
            </w:r>
            <w:r w:rsidRPr="003560DF">
              <w:rPr>
                <w:rFonts w:eastAsia="Aptos"/>
                <w:color w:val="FF0000"/>
                <w:szCs w:val="22"/>
              </w:rPr>
              <w:t xml:space="preserve"> </w:t>
            </w:r>
            <w:r w:rsidRPr="003560DF">
              <w:rPr>
                <w:rFonts w:eastAsia="Aptos"/>
                <w:szCs w:val="22"/>
              </w:rPr>
              <w:t>in response to a request for quote may be published at the same time but not later than when they become executable.</w:t>
            </w:r>
          </w:p>
        </w:tc>
      </w:tr>
      <w:tr w:rsidR="00172545" w:rsidRPr="003560DF" w14:paraId="59D1E683" w14:textId="77777777" w:rsidTr="009A7FA6">
        <w:trPr>
          <w:trHeight w:val="300"/>
        </w:trPr>
        <w:tc>
          <w:tcPr>
            <w:tcW w:w="663" w:type="dxa"/>
            <w:tcBorders>
              <w:top w:val="single" w:sz="8" w:space="0" w:color="auto"/>
              <w:left w:val="single" w:sz="8" w:space="0" w:color="auto"/>
              <w:bottom w:val="single" w:sz="8" w:space="0" w:color="auto"/>
              <w:right w:val="single" w:sz="8" w:space="0" w:color="auto"/>
            </w:tcBorders>
            <w:tcMar>
              <w:left w:w="108" w:type="dxa"/>
              <w:right w:w="108" w:type="dxa"/>
            </w:tcMar>
          </w:tcPr>
          <w:p w14:paraId="70F176C4" w14:textId="77777777" w:rsidR="00172545" w:rsidRPr="003560DF" w:rsidRDefault="00172545" w:rsidP="009A7FA6">
            <w:pPr>
              <w:rPr>
                <w:szCs w:val="22"/>
              </w:rPr>
            </w:pPr>
            <w:r w:rsidRPr="003560DF">
              <w:rPr>
                <w:rFonts w:eastAsia="Verdana"/>
                <w:szCs w:val="22"/>
              </w:rPr>
              <w:t>5</w:t>
            </w:r>
          </w:p>
        </w:tc>
        <w:tc>
          <w:tcPr>
            <w:tcW w:w="1572" w:type="dxa"/>
            <w:tcBorders>
              <w:top w:val="single" w:sz="8" w:space="0" w:color="auto"/>
              <w:left w:val="single" w:sz="8" w:space="0" w:color="auto"/>
              <w:bottom w:val="single" w:sz="8" w:space="0" w:color="auto"/>
              <w:right w:val="single" w:sz="8" w:space="0" w:color="auto"/>
            </w:tcBorders>
            <w:tcMar>
              <w:left w:w="108" w:type="dxa"/>
              <w:right w:w="108" w:type="dxa"/>
            </w:tcMar>
          </w:tcPr>
          <w:p w14:paraId="7A662AF8" w14:textId="77777777" w:rsidR="00172545" w:rsidRPr="003560DF" w:rsidRDefault="00172545" w:rsidP="009A7FA6">
            <w:pPr>
              <w:rPr>
                <w:szCs w:val="22"/>
              </w:rPr>
            </w:pPr>
            <w:r w:rsidRPr="003560DF">
              <w:rPr>
                <w:rFonts w:eastAsia="Aptos"/>
                <w:szCs w:val="22"/>
              </w:rPr>
              <w:t>Hybrid trading system</w:t>
            </w:r>
          </w:p>
        </w:tc>
        <w:tc>
          <w:tcPr>
            <w:tcW w:w="3135" w:type="dxa"/>
            <w:tcBorders>
              <w:top w:val="single" w:sz="8" w:space="0" w:color="auto"/>
              <w:left w:val="single" w:sz="8" w:space="0" w:color="auto"/>
              <w:bottom w:val="single" w:sz="8" w:space="0" w:color="auto"/>
              <w:right w:val="single" w:sz="8" w:space="0" w:color="auto"/>
            </w:tcBorders>
            <w:tcMar>
              <w:left w:w="108" w:type="dxa"/>
              <w:right w:w="108" w:type="dxa"/>
            </w:tcMar>
          </w:tcPr>
          <w:p w14:paraId="3C8B7058" w14:textId="77777777" w:rsidR="00172545" w:rsidRPr="003560DF" w:rsidRDefault="00172545" w:rsidP="009A7FA6">
            <w:pPr>
              <w:rPr>
                <w:szCs w:val="22"/>
              </w:rPr>
            </w:pPr>
            <w:r w:rsidRPr="003560DF">
              <w:rPr>
                <w:rFonts w:eastAsia="Aptos"/>
                <w:szCs w:val="22"/>
              </w:rPr>
              <w:t>A system falling into two or more of the types of trading systems referred to in rows 1 to 4 of this Table.</w:t>
            </w:r>
          </w:p>
        </w:tc>
        <w:tc>
          <w:tcPr>
            <w:tcW w:w="3159" w:type="dxa"/>
            <w:tcBorders>
              <w:top w:val="single" w:sz="8" w:space="0" w:color="auto"/>
              <w:left w:val="single" w:sz="8" w:space="0" w:color="auto"/>
              <w:bottom w:val="single" w:sz="8" w:space="0" w:color="auto"/>
              <w:right w:val="single" w:sz="8" w:space="0" w:color="auto"/>
            </w:tcBorders>
            <w:tcMar>
              <w:left w:w="108" w:type="dxa"/>
              <w:right w:w="108" w:type="dxa"/>
            </w:tcMar>
          </w:tcPr>
          <w:p w14:paraId="4C61AA5F" w14:textId="77777777" w:rsidR="00172545" w:rsidRPr="003560DF" w:rsidRDefault="00172545" w:rsidP="009A7FA6">
            <w:pPr>
              <w:rPr>
                <w:szCs w:val="22"/>
              </w:rPr>
            </w:pPr>
            <w:r w:rsidRPr="003560DF">
              <w:rPr>
                <w:rFonts w:eastAsia="Aptos"/>
                <w:szCs w:val="22"/>
              </w:rPr>
              <w:t xml:space="preserve">For hybrid systems that combine different trading systems at the same time, the requirements correspond to the pre-trade trade transparency requirements applicable to each type of trading system that forms the hybrid system. For hybrid systems that combine two or more trading systems subsequently, the requirements correspond to the </w:t>
            </w:r>
            <w:proofErr w:type="spellStart"/>
            <w:r w:rsidRPr="003560DF">
              <w:rPr>
                <w:rFonts w:eastAsia="Aptos"/>
                <w:szCs w:val="22"/>
              </w:rPr>
              <w:t>pretrade</w:t>
            </w:r>
            <w:proofErr w:type="spellEnd"/>
            <w:r w:rsidRPr="003560DF">
              <w:rPr>
                <w:rFonts w:eastAsia="Aptos"/>
                <w:szCs w:val="22"/>
              </w:rPr>
              <w:t xml:space="preserve"> transparency requirements applicable to the respective trading system operated at a particular point in time</w:t>
            </w:r>
          </w:p>
        </w:tc>
      </w:tr>
      <w:tr w:rsidR="00172545" w:rsidRPr="003560DF" w14:paraId="7EEFD5A0" w14:textId="77777777" w:rsidTr="009A7FA6">
        <w:trPr>
          <w:trHeight w:val="300"/>
        </w:trPr>
        <w:tc>
          <w:tcPr>
            <w:tcW w:w="663" w:type="dxa"/>
            <w:tcBorders>
              <w:top w:val="single" w:sz="8" w:space="0" w:color="auto"/>
              <w:left w:val="single" w:sz="8" w:space="0" w:color="auto"/>
              <w:bottom w:val="single" w:sz="8" w:space="0" w:color="auto"/>
              <w:right w:val="single" w:sz="8" w:space="0" w:color="auto"/>
            </w:tcBorders>
            <w:tcMar>
              <w:left w:w="108" w:type="dxa"/>
              <w:right w:w="108" w:type="dxa"/>
            </w:tcMar>
          </w:tcPr>
          <w:p w14:paraId="64850DEC" w14:textId="77777777" w:rsidR="00172545" w:rsidRPr="003560DF" w:rsidRDefault="00172545" w:rsidP="009A7FA6">
            <w:pPr>
              <w:rPr>
                <w:szCs w:val="22"/>
              </w:rPr>
            </w:pPr>
            <w:r w:rsidRPr="003560DF">
              <w:rPr>
                <w:rFonts w:eastAsia="Verdana"/>
                <w:szCs w:val="22"/>
              </w:rPr>
              <w:lastRenderedPageBreak/>
              <w:t>6</w:t>
            </w:r>
          </w:p>
        </w:tc>
        <w:tc>
          <w:tcPr>
            <w:tcW w:w="1572" w:type="dxa"/>
            <w:tcBorders>
              <w:top w:val="single" w:sz="8" w:space="0" w:color="auto"/>
              <w:left w:val="single" w:sz="8" w:space="0" w:color="auto"/>
              <w:bottom w:val="single" w:sz="8" w:space="0" w:color="auto"/>
              <w:right w:val="single" w:sz="8" w:space="0" w:color="auto"/>
            </w:tcBorders>
            <w:tcMar>
              <w:left w:w="108" w:type="dxa"/>
              <w:right w:w="108" w:type="dxa"/>
            </w:tcMar>
          </w:tcPr>
          <w:p w14:paraId="5F740ADF" w14:textId="77777777" w:rsidR="00172545" w:rsidRPr="003560DF" w:rsidRDefault="00172545" w:rsidP="009A7FA6">
            <w:pPr>
              <w:rPr>
                <w:szCs w:val="22"/>
              </w:rPr>
            </w:pPr>
            <w:r w:rsidRPr="003560DF">
              <w:rPr>
                <w:rFonts w:eastAsia="Aptos"/>
                <w:szCs w:val="22"/>
              </w:rPr>
              <w:t>Any other trading system</w:t>
            </w:r>
          </w:p>
          <w:p w14:paraId="01D1FBAF" w14:textId="77777777" w:rsidR="00172545" w:rsidRPr="003560DF" w:rsidRDefault="00172545" w:rsidP="009A7FA6">
            <w:pPr>
              <w:rPr>
                <w:szCs w:val="22"/>
              </w:rPr>
            </w:pPr>
            <w:r w:rsidRPr="003560DF">
              <w:rPr>
                <w:rFonts w:eastAsia="Verdana"/>
                <w:szCs w:val="22"/>
              </w:rPr>
              <w:t xml:space="preserve"> </w:t>
            </w:r>
          </w:p>
          <w:p w14:paraId="6FB126E9" w14:textId="77777777" w:rsidR="00172545" w:rsidRPr="003560DF" w:rsidRDefault="00172545" w:rsidP="009A7FA6">
            <w:pPr>
              <w:rPr>
                <w:szCs w:val="22"/>
              </w:rPr>
            </w:pPr>
          </w:p>
        </w:tc>
        <w:tc>
          <w:tcPr>
            <w:tcW w:w="3135" w:type="dxa"/>
            <w:tcBorders>
              <w:top w:val="single" w:sz="8" w:space="0" w:color="auto"/>
              <w:left w:val="single" w:sz="8" w:space="0" w:color="auto"/>
              <w:bottom w:val="single" w:sz="8" w:space="0" w:color="auto"/>
              <w:right w:val="single" w:sz="8" w:space="0" w:color="auto"/>
            </w:tcBorders>
            <w:tcMar>
              <w:left w:w="108" w:type="dxa"/>
              <w:right w:w="108" w:type="dxa"/>
            </w:tcMar>
          </w:tcPr>
          <w:p w14:paraId="7A2EBDA4" w14:textId="77777777" w:rsidR="00172545" w:rsidRPr="003560DF" w:rsidRDefault="00172545" w:rsidP="009A7FA6">
            <w:pPr>
              <w:rPr>
                <w:szCs w:val="22"/>
              </w:rPr>
            </w:pPr>
            <w:r w:rsidRPr="003560DF">
              <w:rPr>
                <w:rFonts w:eastAsia="Aptos"/>
                <w:szCs w:val="22"/>
              </w:rPr>
              <w:t>Any other type of trading system not covered by rows 1 to 5.</w:t>
            </w:r>
          </w:p>
        </w:tc>
        <w:tc>
          <w:tcPr>
            <w:tcW w:w="3159" w:type="dxa"/>
            <w:tcBorders>
              <w:top w:val="single" w:sz="8" w:space="0" w:color="auto"/>
              <w:left w:val="single" w:sz="8" w:space="0" w:color="auto"/>
              <w:bottom w:val="single" w:sz="8" w:space="0" w:color="auto"/>
              <w:right w:val="single" w:sz="8" w:space="0" w:color="auto"/>
            </w:tcBorders>
            <w:tcMar>
              <w:left w:w="108" w:type="dxa"/>
              <w:right w:w="108" w:type="dxa"/>
            </w:tcMar>
          </w:tcPr>
          <w:p w14:paraId="6E2E3D3A" w14:textId="77777777" w:rsidR="00172545" w:rsidRPr="003560DF" w:rsidRDefault="00172545" w:rsidP="009A7FA6">
            <w:pPr>
              <w:rPr>
                <w:szCs w:val="22"/>
              </w:rPr>
            </w:pPr>
            <w:r w:rsidRPr="003560DF">
              <w:rPr>
                <w:rFonts w:eastAsia="Aptos"/>
                <w:szCs w:val="22"/>
              </w:rPr>
              <w:t xml:space="preserve">Adequate information as to the level of orders or quotes and of trading interest in respect of shares, depositary receipts, ETFs, certificates and other similar financial instruments traded on the trading system, </w:t>
            </w:r>
            <w:r w:rsidRPr="003560DF">
              <w:rPr>
                <w:rFonts w:eastAsia="Aptos"/>
                <w:b/>
                <w:bCs/>
                <w:color w:val="FF0000"/>
                <w:szCs w:val="22"/>
                <w:u w:val="single"/>
              </w:rPr>
              <w:t>sent to the venue’s system and present on the venue’s system</w:t>
            </w:r>
            <w:r w:rsidRPr="003560DF">
              <w:rPr>
                <w:rFonts w:eastAsia="Aptos"/>
                <w:szCs w:val="22"/>
              </w:rPr>
              <w:t>; in particular, the five best bid and offer price levels and/or two-way quotes of each market maker in that instrument, if the characteristics of the price discovery mechanism so permit.</w:t>
            </w:r>
          </w:p>
        </w:tc>
      </w:tr>
    </w:tbl>
    <w:p w14:paraId="51E34932" w14:textId="77777777" w:rsidR="00172545" w:rsidRPr="003560DF" w:rsidRDefault="00172545" w:rsidP="00172545">
      <w:pPr>
        <w:rPr>
          <w:szCs w:val="22"/>
        </w:rPr>
      </w:pPr>
      <w:r w:rsidRPr="003560DF">
        <w:rPr>
          <w:rFonts w:eastAsia="Verdana"/>
          <w:color w:val="FF0000"/>
          <w:szCs w:val="22"/>
        </w:rPr>
        <w:t xml:space="preserve"> </w:t>
      </w:r>
    </w:p>
    <w:p w14:paraId="177BD690" w14:textId="77777777" w:rsidR="00172545" w:rsidRPr="003560DF" w:rsidRDefault="00172545" w:rsidP="00172545">
      <w:pPr>
        <w:rPr>
          <w:rFonts w:eastAsia="Verdana"/>
          <w:szCs w:val="22"/>
        </w:rPr>
      </w:pPr>
      <w:r w:rsidRPr="003560DF">
        <w:rPr>
          <w:rFonts w:eastAsia="Verdana"/>
          <w:szCs w:val="22"/>
        </w:rPr>
        <w:t xml:space="preserve"> In relation to the specific fields set out in the table 1b, we have the following comments:</w:t>
      </w:r>
    </w:p>
    <w:p w14:paraId="04E30C29" w14:textId="77777777" w:rsidR="00172545" w:rsidRPr="003560DF" w:rsidRDefault="00172545" w:rsidP="00172545">
      <w:pPr>
        <w:pStyle w:val="ListParagraph"/>
        <w:numPr>
          <w:ilvl w:val="0"/>
          <w:numId w:val="39"/>
        </w:numPr>
        <w:spacing w:after="0"/>
        <w:rPr>
          <w:rFonts w:eastAsia="Verdana"/>
          <w:szCs w:val="22"/>
        </w:rPr>
      </w:pPr>
      <w:r w:rsidRPr="003560DF">
        <w:rPr>
          <w:rFonts w:eastAsia="Verdana"/>
          <w:szCs w:val="22"/>
        </w:rPr>
        <w:t xml:space="preserve">The table includes some referential data that in our view should not be reported for all published records e.g. price currency, price notation, quantity currency. This information could perhaps be reported separately in another table, but including it for each individual record would increase significantly the size of the reports. </w:t>
      </w:r>
    </w:p>
    <w:p w14:paraId="15563D11" w14:textId="77777777" w:rsidR="00172545" w:rsidRPr="003560DF" w:rsidRDefault="00172545" w:rsidP="00172545">
      <w:pPr>
        <w:pStyle w:val="ListParagraph"/>
        <w:numPr>
          <w:ilvl w:val="0"/>
          <w:numId w:val="39"/>
        </w:numPr>
        <w:spacing w:after="0"/>
        <w:rPr>
          <w:rFonts w:eastAsia="Verdana"/>
          <w:szCs w:val="22"/>
        </w:rPr>
      </w:pPr>
      <w:r w:rsidRPr="003560DF">
        <w:rPr>
          <w:rFonts w:eastAsia="Verdana"/>
          <w:szCs w:val="22"/>
        </w:rPr>
        <w:t>In addition, it is generally unclear how the information should be reported. In the case of a Continuous Order book trading system, it appears that ESMA expects the different limits of the order book to be reported separately, with each limit corresponding to one record and all 10 limits simultaneously published (5 bids and 5 asks) with the same timestamp, and all other qualitative information repeated. Our understanding comes from field 3 (Side) stating BUY or SELL, applying to each record and the confusion around field 1 (Submission date and time). For the size of the record and ease of processing, we strongly recommend that all 5 limits for each side of the order book be reported as a block with a single timestamp, allowing to have all information in one line/record. This solution – currently adopted by trading venues – has the advantage of providing a complete picture of the order book for each timestamp while significantly reducing the file size. In addition, when fewer than 5 limits on each side of the book are available, there is no confusion about whether some records have been missed or lost.</w:t>
      </w:r>
    </w:p>
    <w:p w14:paraId="2871632F" w14:textId="77777777" w:rsidR="00172545" w:rsidRPr="003560DF" w:rsidRDefault="00172545" w:rsidP="00172545">
      <w:pPr>
        <w:pStyle w:val="ListParagraph"/>
        <w:numPr>
          <w:ilvl w:val="0"/>
          <w:numId w:val="39"/>
        </w:numPr>
        <w:spacing w:after="0"/>
        <w:rPr>
          <w:rFonts w:eastAsia="Verdana"/>
          <w:szCs w:val="22"/>
        </w:rPr>
      </w:pPr>
      <w:r w:rsidRPr="003560DF">
        <w:rPr>
          <w:rFonts w:eastAsia="Verdana"/>
          <w:szCs w:val="22"/>
        </w:rPr>
        <w:t xml:space="preserve">Field #1 (Submission date and time) and #7 (Quantity) do not clearly specify the requirement for a CLOB system where orders are aggregated by price. Information shall be clear about aggregation of sizes for the respective price for example (reference to Field 4 – </w:t>
      </w:r>
      <w:r w:rsidRPr="003560DF">
        <w:rPr>
          <w:rFonts w:eastAsia="Verdana"/>
          <w:szCs w:val="22"/>
        </w:rPr>
        <w:lastRenderedPageBreak/>
        <w:t xml:space="preserve">Price). For field 1, we strongly urge ESMA, like for all fields, to define exactly what shall be provided for each type of trading system. Indeed, in relation to the aforementioned point, the description for continuous auction order book trading system explains what shall not be done, but not what shall be done. </w:t>
      </w:r>
    </w:p>
    <w:p w14:paraId="20F6C9C8" w14:textId="77777777" w:rsidR="00172545" w:rsidRPr="003560DF" w:rsidRDefault="00172545" w:rsidP="00172545">
      <w:pPr>
        <w:pStyle w:val="ListParagraph"/>
        <w:spacing w:after="0"/>
        <w:rPr>
          <w:rFonts w:eastAsia="Verdana"/>
          <w:szCs w:val="22"/>
        </w:rPr>
      </w:pPr>
    </w:p>
    <w:p w14:paraId="36A7D0FA" w14:textId="77777777" w:rsidR="00172545" w:rsidRDefault="00172545" w:rsidP="00172545">
      <w:pPr>
        <w:pStyle w:val="ListParagraph"/>
        <w:spacing w:after="0"/>
        <w:rPr>
          <w:rFonts w:eastAsia="Verdana"/>
          <w:szCs w:val="22"/>
        </w:rPr>
      </w:pPr>
      <w:r w:rsidRPr="003560DF">
        <w:rPr>
          <w:rFonts w:eastAsia="Verdana"/>
          <w:szCs w:val="22"/>
        </w:rPr>
        <w:t>Given that the submission date and time for aggregated orders makes no sense, we would suggest the following revision, including a renaming of the said field (in bold): (</w:t>
      </w:r>
      <w:r w:rsidRPr="003560DF">
        <w:rPr>
          <w:rFonts w:eastAsia="Verdana"/>
          <w:strike/>
          <w:szCs w:val="22"/>
        </w:rPr>
        <w:t xml:space="preserve">Submission </w:t>
      </w:r>
      <w:r w:rsidRPr="003560DF">
        <w:rPr>
          <w:rFonts w:eastAsia="Verdana"/>
          <w:szCs w:val="22"/>
        </w:rPr>
        <w:t xml:space="preserve">date and time </w:t>
      </w:r>
      <w:r w:rsidRPr="003560DF">
        <w:rPr>
          <w:rFonts w:eastAsia="Verdana"/>
          <w:b/>
          <w:bCs/>
          <w:szCs w:val="22"/>
        </w:rPr>
        <w:t>reference); For continuous auction order book trading systems, the date and time at which an update in the order book triggered a modification of the best bid and offer price levels, be it a price or a size</w:t>
      </w:r>
      <w:r w:rsidRPr="003560DF">
        <w:rPr>
          <w:rFonts w:eastAsia="Verdana"/>
          <w:szCs w:val="22"/>
        </w:rPr>
        <w:t>.</w:t>
      </w:r>
    </w:p>
    <w:p w14:paraId="33C36C26" w14:textId="77777777" w:rsidR="00522865" w:rsidRPr="003560DF" w:rsidRDefault="00522865" w:rsidP="00172545">
      <w:pPr>
        <w:pStyle w:val="ListParagraph"/>
        <w:spacing w:after="0"/>
        <w:rPr>
          <w:rFonts w:eastAsia="Verdana"/>
          <w:szCs w:val="22"/>
        </w:rPr>
      </w:pPr>
    </w:p>
    <w:p w14:paraId="5F08E00F" w14:textId="77777777" w:rsidR="00172545" w:rsidRDefault="00172545" w:rsidP="00172545">
      <w:pPr>
        <w:pStyle w:val="ListParagraph"/>
        <w:numPr>
          <w:ilvl w:val="0"/>
          <w:numId w:val="39"/>
        </w:numPr>
        <w:spacing w:after="0"/>
        <w:rPr>
          <w:rFonts w:eastAsia="Verdana"/>
          <w:szCs w:val="22"/>
        </w:rPr>
      </w:pPr>
      <w:r w:rsidRPr="003560DF">
        <w:rPr>
          <w:rFonts w:eastAsia="Verdana"/>
          <w:szCs w:val="22"/>
        </w:rPr>
        <w:t>Field #3 (side): for an auction, why should  the indicative price be published twice? Why not a specific value on top of BUY and SELL (i.e. “INDPRICE”)?</w:t>
      </w:r>
    </w:p>
    <w:p w14:paraId="316AAE35" w14:textId="77777777" w:rsidR="00522865" w:rsidRPr="003560DF" w:rsidRDefault="00522865" w:rsidP="00522865">
      <w:pPr>
        <w:pStyle w:val="ListParagraph"/>
        <w:spacing w:after="0"/>
        <w:rPr>
          <w:rFonts w:eastAsia="Verdana"/>
          <w:szCs w:val="22"/>
        </w:rPr>
      </w:pPr>
    </w:p>
    <w:p w14:paraId="72888619" w14:textId="77777777" w:rsidR="00172545" w:rsidRDefault="00172545" w:rsidP="00172545">
      <w:pPr>
        <w:pStyle w:val="ListParagraph"/>
        <w:numPr>
          <w:ilvl w:val="0"/>
          <w:numId w:val="39"/>
        </w:numPr>
        <w:spacing w:after="0"/>
        <w:rPr>
          <w:rFonts w:eastAsia="Verdana"/>
          <w:szCs w:val="22"/>
        </w:rPr>
      </w:pPr>
      <w:r w:rsidRPr="003560DF">
        <w:rPr>
          <w:rFonts w:eastAsia="Verdana"/>
          <w:szCs w:val="22"/>
        </w:rPr>
        <w:t xml:space="preserve">Field #11: “Trading system” is not easily applicable. Firstly, changes in RTS 2 should not apply to RTS 1, especially because Article 8 </w:t>
      </w:r>
      <w:proofErr w:type="spellStart"/>
      <w:r w:rsidRPr="003560DF">
        <w:rPr>
          <w:rFonts w:eastAsia="Verdana"/>
          <w:szCs w:val="22"/>
        </w:rPr>
        <w:t>MiFIR</w:t>
      </w:r>
      <w:proofErr w:type="spellEnd"/>
      <w:r w:rsidRPr="003560DF">
        <w:rPr>
          <w:rFonts w:eastAsia="Verdana"/>
          <w:szCs w:val="22"/>
        </w:rPr>
        <w:t xml:space="preserve"> does not apply to equity instruments and because RTS 1 Annex 1 Table 1 currently provides a taxonomy of the different trading systems which would not fit the values proposed in Table 1b, namely the reference to CLOB. Secondly, it should be clear that trading venues should provide the generic name that applies to their trading system, not to the trading phase which the discrepancy between current RTS 1 Annex 1 Table 1 and Field 11 does not help clarifying. So for a CLOB, this value would be displayed during the whole session, whether during continuous trading, periodic auction or trading halts; for a hybrid system, the same would apply. In this sense, it is not obvious that this information is particularly relevant, as it might be misleading. </w:t>
      </w:r>
    </w:p>
    <w:p w14:paraId="690446DF" w14:textId="77777777" w:rsidR="00522865" w:rsidRPr="00522865" w:rsidRDefault="00522865" w:rsidP="00522865">
      <w:pPr>
        <w:spacing w:after="0"/>
        <w:rPr>
          <w:rFonts w:eastAsia="Verdana"/>
          <w:szCs w:val="22"/>
        </w:rPr>
      </w:pPr>
    </w:p>
    <w:p w14:paraId="210AE453" w14:textId="2BA233BA" w:rsidR="00CC59BB" w:rsidRDefault="00172545" w:rsidP="00124ECB">
      <w:pPr>
        <w:pStyle w:val="ListParagraph"/>
        <w:numPr>
          <w:ilvl w:val="0"/>
          <w:numId w:val="39"/>
        </w:numPr>
        <w:spacing w:after="0"/>
      </w:pPr>
      <w:r w:rsidRPr="00172545">
        <w:rPr>
          <w:rFonts w:eastAsia="Verdana"/>
          <w:szCs w:val="22"/>
        </w:rPr>
        <w:t>Figure 3, which outlines the information to be made public in periodic auction trading systems, appears incorrect. According to RTS 1 Annex 1 Table 1, only “the price at which the auction trading system would best satisfy its trading algorithm […] and the volume potentially that would potentially be executable at that price […]” shall be reported. Consequently, only one price and one volume should be published. In no case should bid or ask prices or sizes be provided. These requirements are not compliant with Table 1 – note that if no indicative price and volume can be displayed, no information should be provided, as the auction could not conclude. Requests for information on the order book in the case of an uncrossed book are unfounded and not compliant with the legal text.</w:t>
      </w:r>
    </w:p>
    <w:permEnd w:id="1076438526"/>
    <w:p w14:paraId="39E613CD" w14:textId="52CF41AA" w:rsidR="00CC59BB" w:rsidRDefault="00CC59BB" w:rsidP="00C54034">
      <w:pPr>
        <w:spacing w:after="0"/>
      </w:pPr>
      <w:r>
        <w:t>&lt;ESMA_QUESTION</w:t>
      </w:r>
      <w:r w:rsidR="005D4F78">
        <w:t>_CP3_</w:t>
      </w:r>
      <w:r>
        <w:t>7&gt;</w:t>
      </w:r>
    </w:p>
    <w:p w14:paraId="0A5D9CD2" w14:textId="77777777" w:rsidR="005D4F78" w:rsidRDefault="005D4F78" w:rsidP="00C54034">
      <w:pPr>
        <w:spacing w:after="0"/>
      </w:pPr>
    </w:p>
    <w:p w14:paraId="70C05E2C" w14:textId="24D079CE" w:rsidR="00CC59BB" w:rsidRDefault="005D4F78" w:rsidP="007C5BD5">
      <w:pPr>
        <w:pStyle w:val="Questionstyle"/>
      </w:pPr>
      <w:r w:rsidRPr="005D4F78">
        <w:t>Do you agree with the proposed amendments to Article 4? Please explain</w:t>
      </w:r>
      <w:r w:rsidR="00CC59BB" w:rsidRPr="00185ADA">
        <w:t>.</w:t>
      </w:r>
    </w:p>
    <w:p w14:paraId="1EE9A5FD" w14:textId="2F246EBD" w:rsidR="00CC59BB" w:rsidRDefault="00CC59BB" w:rsidP="00C54034">
      <w:pPr>
        <w:spacing w:after="0"/>
      </w:pPr>
      <w:r>
        <w:t>&lt;ESMA_QUESTION</w:t>
      </w:r>
      <w:r w:rsidR="005D4F78">
        <w:t>_CP3_</w:t>
      </w:r>
      <w:r>
        <w:t>8&gt;</w:t>
      </w:r>
    </w:p>
    <w:p w14:paraId="6A3FD217" w14:textId="77777777" w:rsidR="0068502F" w:rsidRPr="003560DF" w:rsidRDefault="0068502F" w:rsidP="0068502F">
      <w:pPr>
        <w:rPr>
          <w:rFonts w:eastAsia="Verdana"/>
          <w:szCs w:val="22"/>
        </w:rPr>
      </w:pPr>
      <w:permStart w:id="1516253385" w:edGrp="everyone"/>
      <w:r w:rsidRPr="003560DF">
        <w:rPr>
          <w:rFonts w:eastAsia="Verdana"/>
          <w:szCs w:val="22"/>
        </w:rPr>
        <w:t>The text is not fully clear; it only refers to the determination of the MRMTL but it does not explicitly state that, until calculations based on real data are done (6 weeks after the IPO or relevant corporate action), the estimates from the market where the IPO or the relevant corporate action was done would be used. If this is the idea, Euronext support this approach but suggest it should be made clearer in the text.</w:t>
      </w:r>
    </w:p>
    <w:p w14:paraId="2D6BA914" w14:textId="77777777" w:rsidR="0068502F" w:rsidRPr="003560DF" w:rsidRDefault="0068502F" w:rsidP="0068502F">
      <w:pPr>
        <w:rPr>
          <w:rFonts w:eastAsia="Verdana"/>
          <w:szCs w:val="22"/>
        </w:rPr>
      </w:pPr>
      <w:r w:rsidRPr="003560DF">
        <w:rPr>
          <w:rFonts w:eastAsia="Verdana"/>
          <w:szCs w:val="22"/>
        </w:rPr>
        <w:lastRenderedPageBreak/>
        <w:t xml:space="preserve">In addition, we reiterate our point in Q.2 regarding new ISINs arising from other cases such as: </w:t>
      </w:r>
      <w:proofErr w:type="spellStart"/>
      <w:r w:rsidRPr="003560DF">
        <w:rPr>
          <w:rFonts w:eastAsia="Verdana"/>
          <w:szCs w:val="22"/>
        </w:rPr>
        <w:t>i</w:t>
      </w:r>
      <w:proofErr w:type="spellEnd"/>
      <w:r w:rsidRPr="003560DF">
        <w:rPr>
          <w:rFonts w:eastAsia="Verdana"/>
          <w:szCs w:val="22"/>
        </w:rPr>
        <w:t>) listings that are not IPOs such as mergers / splits; and ii) other corporate actions. In this case, there should be some link between the old and new ISIN so that ESMA can ensure continuity with the MRMTL before the corporate action.</w:t>
      </w:r>
    </w:p>
    <w:p w14:paraId="43C03B01" w14:textId="77777777" w:rsidR="0068502F" w:rsidRDefault="0068502F" w:rsidP="00C54034">
      <w:pPr>
        <w:spacing w:after="0"/>
        <w:rPr>
          <w:rFonts w:eastAsia="Verdana"/>
          <w:szCs w:val="22"/>
        </w:rPr>
      </w:pPr>
      <w:r w:rsidRPr="003560DF">
        <w:rPr>
          <w:rFonts w:eastAsia="Verdana"/>
          <w:szCs w:val="22"/>
        </w:rPr>
        <w:t>Lastly, as this links with the proposed Field 6b in RTS23, we’d like to highlight that in the draft RTS 23 set out in that consultation, we note the field only refers to regulated markets but given certain MTFs are also primary venues, this needs to be facilitated by the system.</w:t>
      </w:r>
    </w:p>
    <w:permEnd w:id="1516253385"/>
    <w:p w14:paraId="5FBCB5E0" w14:textId="0D384BCA" w:rsidR="00CC59BB" w:rsidRDefault="00CC59BB" w:rsidP="00C54034">
      <w:pPr>
        <w:spacing w:after="0"/>
      </w:pPr>
      <w:r>
        <w:t>&lt;ESMA_QUESTION</w:t>
      </w:r>
      <w:r w:rsidR="005D4F78">
        <w:t>_CP3_</w:t>
      </w:r>
      <w:r>
        <w:t>8&gt;</w:t>
      </w:r>
    </w:p>
    <w:p w14:paraId="659A410B" w14:textId="08A6DFDD" w:rsidR="00CC59BB" w:rsidRDefault="00CC59BB" w:rsidP="00F716D4"/>
    <w:p w14:paraId="69BE27B3" w14:textId="6AFD3CA5" w:rsidR="00CC59BB" w:rsidRDefault="005D4F78" w:rsidP="007C5BD5">
      <w:pPr>
        <w:pStyle w:val="Questionstyle"/>
      </w:pPr>
      <w:r w:rsidRPr="005D4F78">
        <w:t>Do you agree with the proposed amendment to Article 6 of RTS 1? Please explain</w:t>
      </w:r>
      <w:r>
        <w:t>.</w:t>
      </w:r>
    </w:p>
    <w:p w14:paraId="3F05DCAA" w14:textId="3878BAAE" w:rsidR="00CC59BB" w:rsidRDefault="00CC59BB" w:rsidP="00C54034">
      <w:pPr>
        <w:spacing w:after="0"/>
      </w:pPr>
      <w:r>
        <w:t>&lt;ESMA_QUESTION</w:t>
      </w:r>
      <w:r w:rsidR="005D4F78">
        <w:t>_CP3_</w:t>
      </w:r>
      <w:r>
        <w:t>9&gt;</w:t>
      </w:r>
    </w:p>
    <w:p w14:paraId="23B8771E" w14:textId="696BE8FC" w:rsidR="00C33E44" w:rsidRPr="003560DF" w:rsidRDefault="00C33E44" w:rsidP="00C33E44">
      <w:pPr>
        <w:rPr>
          <w:rFonts w:eastAsia="Verdana"/>
          <w:szCs w:val="22"/>
        </w:rPr>
      </w:pPr>
      <w:permStart w:id="869493798" w:edGrp="everyone"/>
      <w:r w:rsidRPr="003560DF">
        <w:rPr>
          <w:rFonts w:eastAsia="Verdana"/>
          <w:szCs w:val="22"/>
        </w:rPr>
        <w:t>This seems to be reasonable as our understanding is it does not change the substance of the article, only fine-tuning the legal provisions.</w:t>
      </w:r>
    </w:p>
    <w:p w14:paraId="5EEF290B" w14:textId="73986331" w:rsidR="00CC59BB" w:rsidRDefault="00C33E44" w:rsidP="00C33E44">
      <w:pPr>
        <w:spacing w:after="0"/>
      </w:pPr>
      <w:r w:rsidRPr="003560DF">
        <w:rPr>
          <w:rFonts w:eastAsia="Verdana"/>
          <w:szCs w:val="22"/>
        </w:rPr>
        <w:t>In relation to the fundamental principles of using the negotiated waiver, we believe more focus should be placed on when exactly it should be used. For transactions such as VWAPs and Portfolio trades, it should be made clear that the parent and child orders are treated in an entirely distinct way, and that only the parent order should be allowed avail of the waiver</w:t>
      </w:r>
      <w:r>
        <w:rPr>
          <w:rFonts w:eastAsia="Verdana"/>
          <w:szCs w:val="22"/>
        </w:rPr>
        <w:t>.</w:t>
      </w:r>
    </w:p>
    <w:permEnd w:id="869493798"/>
    <w:p w14:paraId="1806692F" w14:textId="7E9C5A75" w:rsidR="00CC59BB" w:rsidRDefault="00CC59BB" w:rsidP="00C54034">
      <w:pPr>
        <w:spacing w:after="0"/>
      </w:pPr>
      <w:r>
        <w:t>&lt;ESMA_QUESTION</w:t>
      </w:r>
      <w:r w:rsidR="005D4F78">
        <w:t>_CP3_</w:t>
      </w:r>
      <w:r>
        <w:t>9&gt;</w:t>
      </w:r>
    </w:p>
    <w:p w14:paraId="5D61442C" w14:textId="7781388D" w:rsidR="00C05202" w:rsidRDefault="00C05202" w:rsidP="00F716D4"/>
    <w:p w14:paraId="50E9B48E" w14:textId="38F16495" w:rsidR="00CC59BB" w:rsidRDefault="005D4F78" w:rsidP="007C5BD5">
      <w:pPr>
        <w:pStyle w:val="Questionstyle"/>
      </w:pPr>
      <w:r w:rsidRPr="005D4F78">
        <w:t>Do you agree with the proposed amendments to Article 7 of RTS 1? Please explain</w:t>
      </w:r>
      <w:r>
        <w:t>.</w:t>
      </w:r>
    </w:p>
    <w:p w14:paraId="30C08F8B" w14:textId="7C0E3334" w:rsidR="00CC59BB" w:rsidRDefault="00CC59BB" w:rsidP="00C54034">
      <w:pPr>
        <w:spacing w:after="0"/>
      </w:pPr>
      <w:r>
        <w:t>&lt;ESMA_QUESTION</w:t>
      </w:r>
      <w:r w:rsidR="005D4F78">
        <w:t>_CP3_</w:t>
      </w:r>
      <w:r>
        <w:t>10&gt;</w:t>
      </w:r>
    </w:p>
    <w:p w14:paraId="32423AA0" w14:textId="77777777" w:rsidR="00A1177C" w:rsidRPr="003560DF" w:rsidRDefault="00A1177C" w:rsidP="00A1177C">
      <w:pPr>
        <w:rPr>
          <w:rFonts w:eastAsia="Verdana"/>
          <w:szCs w:val="22"/>
        </w:rPr>
      </w:pPr>
      <w:permStart w:id="1673160559" w:edGrp="everyone"/>
      <w:r w:rsidRPr="003560DF">
        <w:rPr>
          <w:rFonts w:eastAsia="Verdana"/>
          <w:szCs w:val="22"/>
        </w:rPr>
        <w:t xml:space="preserve">Yes, these changes seem fine. </w:t>
      </w:r>
    </w:p>
    <w:p w14:paraId="31CFE045" w14:textId="11F8CF25" w:rsidR="00A1177C" w:rsidRPr="003560DF" w:rsidRDefault="00A1177C" w:rsidP="00A1177C">
      <w:pPr>
        <w:rPr>
          <w:rFonts w:eastAsia="Verdana"/>
          <w:szCs w:val="22"/>
        </w:rPr>
      </w:pPr>
      <w:r w:rsidRPr="003560DF">
        <w:rPr>
          <w:rFonts w:eastAsia="Verdana"/>
          <w:szCs w:val="22"/>
        </w:rPr>
        <w:t>However, it is not clear what the LIS should be in case</w:t>
      </w:r>
      <w:r w:rsidR="00A05621">
        <w:rPr>
          <w:rFonts w:eastAsia="Verdana"/>
          <w:szCs w:val="22"/>
        </w:rPr>
        <w:t>s where</w:t>
      </w:r>
      <w:r w:rsidRPr="003560DF">
        <w:rPr>
          <w:rFonts w:eastAsia="Verdana"/>
          <w:szCs w:val="22"/>
        </w:rPr>
        <w:t xml:space="preserve"> the yearly calculations are not performed (this happens quite regularly on FITRS). As of today, ESMA Q&amp;As define that if no calculation is available, the lowest LIS is applied. Since ESMA is reviewing RTS 1, we suggest it would make sense to clarify this in the text.</w:t>
      </w:r>
    </w:p>
    <w:p w14:paraId="0BA03484" w14:textId="77777777" w:rsidR="00A1177C" w:rsidRDefault="00A1177C" w:rsidP="00C54034">
      <w:pPr>
        <w:spacing w:after="0"/>
        <w:rPr>
          <w:rFonts w:eastAsia="Verdana"/>
          <w:szCs w:val="22"/>
        </w:rPr>
      </w:pPr>
      <w:r w:rsidRPr="003560DF">
        <w:rPr>
          <w:rFonts w:eastAsia="Verdana"/>
          <w:szCs w:val="22"/>
        </w:rPr>
        <w:t>It is a similar situation for estimates; in many cases, ESMA does not publish estimates in due time, so we fall back to “standard” parameters as defined in the Q&amp;A or in the post-trade transparency manual.</w:t>
      </w:r>
    </w:p>
    <w:permEnd w:id="1673160559"/>
    <w:p w14:paraId="13F39FB3" w14:textId="400E9CBF" w:rsidR="00CC59BB" w:rsidRDefault="00CC59BB" w:rsidP="00C54034">
      <w:pPr>
        <w:spacing w:after="0"/>
      </w:pPr>
      <w:r>
        <w:t>&lt;ESMA_QUESTION</w:t>
      </w:r>
      <w:r w:rsidR="005D4F78">
        <w:t>_CP3_</w:t>
      </w:r>
      <w:r>
        <w:t>10&gt;</w:t>
      </w:r>
    </w:p>
    <w:p w14:paraId="04424A1B" w14:textId="77777777" w:rsidR="00CC59BB" w:rsidRDefault="00CC59BB" w:rsidP="00F716D4"/>
    <w:p w14:paraId="7E21AA7F" w14:textId="0DD797D2" w:rsidR="00CC59BB" w:rsidRDefault="005D4F78" w:rsidP="007C5BD5">
      <w:pPr>
        <w:pStyle w:val="Questionstyle"/>
      </w:pPr>
      <w:r w:rsidRPr="005D4F78">
        <w:t>Do you agree with the proposed amendments to Article 8 of RTS 1? Please explai</w:t>
      </w:r>
      <w:r w:rsidR="00CC59BB" w:rsidRPr="00185ADA">
        <w:t>.</w:t>
      </w:r>
    </w:p>
    <w:p w14:paraId="6C96CF48" w14:textId="1666004E" w:rsidR="00CC59BB" w:rsidRDefault="00CC59BB" w:rsidP="00C54034">
      <w:pPr>
        <w:spacing w:after="0"/>
      </w:pPr>
      <w:r>
        <w:lastRenderedPageBreak/>
        <w:t>&lt;ESMA_QUESTION</w:t>
      </w:r>
      <w:r w:rsidR="005D4F78">
        <w:t>_CP3_</w:t>
      </w:r>
      <w:r>
        <w:t>11&gt;</w:t>
      </w:r>
    </w:p>
    <w:p w14:paraId="709AF4D0" w14:textId="2F4B0E34" w:rsidR="00CC59BB" w:rsidRDefault="00F75304" w:rsidP="00F75304">
      <w:permStart w:id="1628839836" w:edGrp="everyone"/>
      <w:r w:rsidRPr="003560DF">
        <w:rPr>
          <w:rFonts w:eastAsia="Verdana"/>
          <w:szCs w:val="22"/>
        </w:rPr>
        <w:t>Yes Euronext agrees. This new wording clarifies a long-outstanding point related to the need to disclose the hidden part of an iceberg before executing it as this does not happen in most trading systems (in this case, a trade is generated instantaneously instead).</w:t>
      </w:r>
    </w:p>
    <w:permEnd w:id="1628839836"/>
    <w:p w14:paraId="03AED2EA" w14:textId="76C1695E" w:rsidR="00CC59BB" w:rsidRDefault="00CC59BB" w:rsidP="00C54034">
      <w:pPr>
        <w:spacing w:after="0"/>
      </w:pPr>
      <w:r>
        <w:t>&lt;ESMA_QUESTION</w:t>
      </w:r>
      <w:r w:rsidR="005D4F78">
        <w:t>_CP3_</w:t>
      </w:r>
      <w:r>
        <w:t>11&gt;</w:t>
      </w:r>
    </w:p>
    <w:p w14:paraId="64DE1E84" w14:textId="77777777" w:rsidR="00CC59BB" w:rsidRDefault="00CC59BB" w:rsidP="00F716D4"/>
    <w:p w14:paraId="3845A10B" w14:textId="1F192D41" w:rsidR="00CC59BB" w:rsidRDefault="005D4F78" w:rsidP="007C5BD5">
      <w:pPr>
        <w:pStyle w:val="Questionstyle"/>
      </w:pPr>
      <w:r w:rsidRPr="005D4F78">
        <w:t>How could ESMA take into account international best practices and competitiveness for the determination of the threshold up to which SIs have to be pre-trade transparent? Please explain</w:t>
      </w:r>
      <w:r w:rsidR="00CC59BB" w:rsidRPr="00185ADA">
        <w:t>.</w:t>
      </w:r>
    </w:p>
    <w:p w14:paraId="623FFCD5" w14:textId="5861FFC5" w:rsidR="00CC59BB" w:rsidRDefault="00CC59BB" w:rsidP="00C54034">
      <w:pPr>
        <w:spacing w:after="0"/>
      </w:pPr>
      <w:r>
        <w:t>&lt;ESMA_QUESTION</w:t>
      </w:r>
      <w:r w:rsidR="005D4F78">
        <w:t>_CP3_</w:t>
      </w:r>
      <w:r>
        <w:t>12&gt;</w:t>
      </w:r>
    </w:p>
    <w:p w14:paraId="1C994654" w14:textId="77777777" w:rsidR="00284984" w:rsidRPr="003560DF" w:rsidRDefault="00284984" w:rsidP="00284984">
      <w:pPr>
        <w:rPr>
          <w:rFonts w:eastAsia="Verdana"/>
          <w:szCs w:val="22"/>
        </w:rPr>
      </w:pPr>
      <w:permStart w:id="1550012690" w:edGrp="everyone"/>
      <w:r w:rsidRPr="003560DF">
        <w:rPr>
          <w:rFonts w:eastAsia="Verdana"/>
          <w:szCs w:val="22"/>
        </w:rPr>
        <w:t>While it is reasonable to review and consider international best practices when determining these thresholds, we strongly argue it is still most relevant to consider the use of SIs in the EU.</w:t>
      </w:r>
    </w:p>
    <w:p w14:paraId="4BD36F6A" w14:textId="0EE68981" w:rsidR="00CC59BB" w:rsidRDefault="00284984" w:rsidP="00284984">
      <w:pPr>
        <w:spacing w:after="0"/>
      </w:pPr>
      <w:r w:rsidRPr="003560DF">
        <w:rPr>
          <w:rFonts w:eastAsia="Verdana"/>
          <w:szCs w:val="22"/>
        </w:rPr>
        <w:t xml:space="preserve">SIs have become standard alternatives to trading venues in the EU, please see </w:t>
      </w:r>
      <w:hyperlink r:id="rId28" w:history="1">
        <w:r w:rsidRPr="003560DF">
          <w:rPr>
            <w:rStyle w:val="Hyperlink"/>
            <w:rFonts w:eastAsia="Verdana"/>
            <w:szCs w:val="22"/>
          </w:rPr>
          <w:t>https://www.bmlltech.com/news/market-insight/bmll-market-lens-liquidity-maps</w:t>
        </w:r>
      </w:hyperlink>
      <w:r w:rsidRPr="003560DF">
        <w:rPr>
          <w:rFonts w:eastAsia="Verdana"/>
          <w:szCs w:val="22"/>
        </w:rPr>
        <w:t xml:space="preserve">. They account for more than 13% of EU liquidity (source: </w:t>
      </w:r>
      <w:proofErr w:type="spellStart"/>
      <w:r w:rsidRPr="003560DF">
        <w:rPr>
          <w:rFonts w:eastAsia="Verdana"/>
          <w:szCs w:val="22"/>
        </w:rPr>
        <w:t>BigXYT</w:t>
      </w:r>
      <w:proofErr w:type="spellEnd"/>
      <w:r w:rsidRPr="003560DF">
        <w:rPr>
          <w:rFonts w:eastAsia="Verdana"/>
          <w:szCs w:val="22"/>
        </w:rPr>
        <w:t>, Jun 2024) and indeed are considered eligible execution venues for the purpose of the share trading obligation. Other jurisdictions may have different market structures, so there must be a clear focus on the European market structure</w:t>
      </w:r>
      <w:r w:rsidR="00491050">
        <w:rPr>
          <w:rFonts w:eastAsia="Verdana"/>
          <w:szCs w:val="22"/>
        </w:rPr>
        <w:t xml:space="preserve"> </w:t>
      </w:r>
      <w:r w:rsidR="006C5F7A">
        <w:rPr>
          <w:rFonts w:eastAsia="Verdana"/>
          <w:szCs w:val="22"/>
        </w:rPr>
        <w:t>for this analysis</w:t>
      </w:r>
      <w:r w:rsidRPr="003560DF">
        <w:rPr>
          <w:rFonts w:eastAsia="Verdana"/>
          <w:szCs w:val="22"/>
        </w:rPr>
        <w:t>. Taking into consideration the established importance of SIs in the EU liquidity landscape, their transparency requirements should be brought closer to those applicable to trading venues: indeed, without it, local investors as well as foreign ones are deprived of a view over a significant portion of available liquidity on EU stocks</w:t>
      </w:r>
      <w:r>
        <w:rPr>
          <w:rFonts w:eastAsia="Verdana"/>
          <w:szCs w:val="22"/>
        </w:rPr>
        <w:t>.</w:t>
      </w:r>
    </w:p>
    <w:permEnd w:id="1550012690"/>
    <w:p w14:paraId="09660EE7" w14:textId="436A5A78" w:rsidR="00CC59BB" w:rsidRDefault="00CC59BB" w:rsidP="00C54034">
      <w:pPr>
        <w:spacing w:after="0"/>
      </w:pPr>
      <w:r>
        <w:t>&lt;ESMA_QUESTION</w:t>
      </w:r>
      <w:r w:rsidR="005D4F78">
        <w:t>_CP3_</w:t>
      </w:r>
      <w:r>
        <w:t>12&gt;</w:t>
      </w:r>
    </w:p>
    <w:p w14:paraId="3D3A2DC1" w14:textId="23E9E5AA" w:rsidR="00692ADF" w:rsidRDefault="00692ADF" w:rsidP="00692ADF">
      <w:pPr>
        <w:spacing w:after="0" w:line="240" w:lineRule="auto"/>
        <w:jc w:val="left"/>
      </w:pPr>
    </w:p>
    <w:p w14:paraId="2B0BD369" w14:textId="0B223D05" w:rsidR="00CC59BB" w:rsidRDefault="005D4F78" w:rsidP="007C5BD5">
      <w:pPr>
        <w:pStyle w:val="Questionstyle"/>
      </w:pPr>
      <w:r w:rsidRPr="005D4F78">
        <w:t>Do you agree with the new AVT buckets and related SMS? Would you set a higher SMS for the AVT bucket [0-10000) (e.g. 10,000)? Please explain</w:t>
      </w:r>
      <w:r>
        <w:t>.</w:t>
      </w:r>
    </w:p>
    <w:p w14:paraId="7FBA2F1E" w14:textId="22F57295" w:rsidR="00CC59BB" w:rsidRDefault="00CC59BB" w:rsidP="00C54034">
      <w:pPr>
        <w:spacing w:after="0"/>
      </w:pPr>
      <w:r>
        <w:t>&lt;ESMA_QUESTION</w:t>
      </w:r>
      <w:r w:rsidR="005D4F78">
        <w:t>_CP3_</w:t>
      </w:r>
      <w:r>
        <w:t>13&gt;</w:t>
      </w:r>
    </w:p>
    <w:p w14:paraId="7D30A231" w14:textId="77777777" w:rsidR="00F55932" w:rsidRPr="003560DF" w:rsidRDefault="00F55932" w:rsidP="00F55932">
      <w:pPr>
        <w:spacing w:after="0"/>
        <w:rPr>
          <w:rFonts w:eastAsia="Arial"/>
          <w:szCs w:val="22"/>
        </w:rPr>
      </w:pPr>
      <w:permStart w:id="1951602752" w:edGrp="everyone"/>
      <w:r w:rsidRPr="003560DF">
        <w:rPr>
          <w:rFonts w:eastAsia="Arial"/>
          <w:szCs w:val="22"/>
        </w:rPr>
        <w:t xml:space="preserve">Euronext does not agree with the new AVT buckets and related SMS. </w:t>
      </w:r>
      <w:r w:rsidRPr="003560DF">
        <w:rPr>
          <w:rFonts w:eastAsia="Arial"/>
          <w:b/>
          <w:bCs/>
          <w:szCs w:val="22"/>
        </w:rPr>
        <w:t>We believe that the SMS concept and threshold should be brought closer to the  large in scale threshold</w:t>
      </w:r>
      <w:r w:rsidRPr="003560DF">
        <w:rPr>
          <w:rFonts w:eastAsia="Arial"/>
          <w:szCs w:val="22"/>
        </w:rPr>
        <w:t xml:space="preserve">. As underlined in Recital 13 of the </w:t>
      </w:r>
      <w:proofErr w:type="spellStart"/>
      <w:r w:rsidRPr="003560DF">
        <w:rPr>
          <w:rFonts w:eastAsia="Arial"/>
          <w:szCs w:val="22"/>
        </w:rPr>
        <w:t>MiFIR</w:t>
      </w:r>
      <w:proofErr w:type="spellEnd"/>
      <w:r w:rsidRPr="003560DF">
        <w:rPr>
          <w:rFonts w:eastAsia="Arial"/>
          <w:szCs w:val="22"/>
        </w:rPr>
        <w:t xml:space="preserve"> Review, despite their important role, Systematic </w:t>
      </w:r>
      <w:proofErr w:type="spellStart"/>
      <w:r w:rsidRPr="003560DF">
        <w:rPr>
          <w:rFonts w:eastAsia="Arial"/>
          <w:szCs w:val="22"/>
        </w:rPr>
        <w:t>Internalisers</w:t>
      </w:r>
      <w:proofErr w:type="spellEnd"/>
      <w:r w:rsidRPr="003560DF">
        <w:rPr>
          <w:rFonts w:eastAsia="Arial"/>
          <w:szCs w:val="22"/>
        </w:rPr>
        <w:t xml:space="preserve"> do not sufficiently contribute to transparency. SIs represent today a major source of liquidity, accounting for more than 13% of average value traded in European equities in June 2024 (source: </w:t>
      </w:r>
      <w:proofErr w:type="spellStart"/>
      <w:r w:rsidRPr="003560DF">
        <w:rPr>
          <w:rFonts w:eastAsia="Arial"/>
          <w:szCs w:val="22"/>
        </w:rPr>
        <w:t>BigXYT</w:t>
      </w:r>
      <w:proofErr w:type="spellEnd"/>
      <w:r w:rsidRPr="003560DF">
        <w:rPr>
          <w:rFonts w:eastAsia="Arial"/>
          <w:szCs w:val="22"/>
        </w:rPr>
        <w:t xml:space="preserve">). They are deemed eligible execution venues for the purpose of the share trading obligation and the largest SIs have attained sizes comparable to that of trading venues. The currently proposed SMS is not consistent with this objective. The exemptions of SIs from most of the pre-trade transparency requirements due to the combined effect of the liquid market definition and SMS threshold definition is an issue, as de facto it means that European investors and foreign </w:t>
      </w:r>
      <w:r w:rsidRPr="003560DF">
        <w:rPr>
          <w:rFonts w:eastAsia="Arial"/>
          <w:szCs w:val="22"/>
        </w:rPr>
        <w:lastRenderedPageBreak/>
        <w:t xml:space="preserve">investors may be misled in their perception of European liquidity as disproportionately low versus the reality. </w:t>
      </w:r>
    </w:p>
    <w:p w14:paraId="4DCB312E" w14:textId="77777777" w:rsidR="00F55932" w:rsidRPr="003560DF" w:rsidRDefault="00F55932" w:rsidP="00F55932">
      <w:pPr>
        <w:spacing w:after="0"/>
        <w:rPr>
          <w:rFonts w:eastAsia="Arial"/>
          <w:szCs w:val="22"/>
        </w:rPr>
      </w:pPr>
    </w:p>
    <w:p w14:paraId="072A8376" w14:textId="38E4467F" w:rsidR="00F55932" w:rsidRPr="003560DF" w:rsidRDefault="005D2E20" w:rsidP="00F55932">
      <w:pPr>
        <w:spacing w:after="0"/>
        <w:rPr>
          <w:rFonts w:eastAsia="Arial"/>
          <w:szCs w:val="22"/>
        </w:rPr>
      </w:pPr>
      <w:r>
        <w:rPr>
          <w:rFonts w:eastAsia="Arial"/>
          <w:szCs w:val="22"/>
        </w:rPr>
        <w:t>P</w:t>
      </w:r>
      <w:r w:rsidR="00F55932" w:rsidRPr="003560DF">
        <w:rPr>
          <w:rFonts w:eastAsia="Arial"/>
          <w:szCs w:val="22"/>
        </w:rPr>
        <w:t>lease find below the estimated impact of proposed transaction bands</w:t>
      </w:r>
      <w:r>
        <w:rPr>
          <w:rFonts w:eastAsia="Arial"/>
          <w:szCs w:val="22"/>
        </w:rPr>
        <w:t xml:space="preserve"> on Euronext-listed stocks</w:t>
      </w:r>
      <w:r w:rsidR="00F55932" w:rsidRPr="003560DF">
        <w:rPr>
          <w:rFonts w:eastAsia="Arial"/>
          <w:szCs w:val="22"/>
        </w:rPr>
        <w:t>:</w:t>
      </w:r>
    </w:p>
    <w:p w14:paraId="0501FFDE" w14:textId="77777777" w:rsidR="00F55932" w:rsidRPr="003560DF" w:rsidRDefault="00F55932" w:rsidP="00F55932">
      <w:pPr>
        <w:spacing w:after="0"/>
        <w:rPr>
          <w:rFonts w:eastAsia="Arial"/>
          <w:szCs w:val="22"/>
        </w:rPr>
      </w:pPr>
    </w:p>
    <w:tbl>
      <w:tblPr>
        <w:tblW w:w="11658" w:type="dxa"/>
        <w:tblInd w:w="-1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775"/>
        <w:gridCol w:w="845"/>
        <w:gridCol w:w="845"/>
        <w:gridCol w:w="845"/>
        <w:gridCol w:w="845"/>
        <w:gridCol w:w="845"/>
        <w:gridCol w:w="845"/>
        <w:gridCol w:w="845"/>
        <w:gridCol w:w="845"/>
        <w:gridCol w:w="891"/>
        <w:gridCol w:w="959"/>
        <w:gridCol w:w="959"/>
      </w:tblGrid>
      <w:tr w:rsidR="00F55932" w:rsidRPr="00024B7B" w14:paraId="4468109F" w14:textId="77777777" w:rsidTr="009A7FA6">
        <w:trPr>
          <w:trHeight w:val="797"/>
        </w:trPr>
        <w:tc>
          <w:tcPr>
            <w:tcW w:w="1314" w:type="dxa"/>
            <w:tcMar>
              <w:left w:w="108" w:type="dxa"/>
              <w:right w:w="108" w:type="dxa"/>
            </w:tcMar>
            <w:vAlign w:val="center"/>
          </w:tcPr>
          <w:p w14:paraId="38C18B64" w14:textId="77777777" w:rsidR="00F55932" w:rsidRPr="00024B7B" w:rsidRDefault="00F55932" w:rsidP="009A7FA6">
            <w:pPr>
              <w:spacing w:after="0"/>
              <w:jc w:val="center"/>
              <w:rPr>
                <w:sz w:val="16"/>
                <w:szCs w:val="16"/>
              </w:rPr>
            </w:pPr>
            <w:r w:rsidRPr="00024B7B">
              <w:rPr>
                <w:rFonts w:eastAsia="Aptos"/>
                <w:sz w:val="16"/>
                <w:szCs w:val="16"/>
              </w:rPr>
              <w:t>Average value of transactions band</w:t>
            </w:r>
          </w:p>
        </w:tc>
        <w:tc>
          <w:tcPr>
            <w:tcW w:w="775" w:type="dxa"/>
            <w:tcMar>
              <w:left w:w="108" w:type="dxa"/>
              <w:right w:w="108" w:type="dxa"/>
            </w:tcMar>
            <w:vAlign w:val="center"/>
          </w:tcPr>
          <w:p w14:paraId="740D4774" w14:textId="77777777" w:rsidR="00F55932" w:rsidRPr="00024B7B" w:rsidRDefault="00F55932" w:rsidP="009A7FA6">
            <w:pPr>
              <w:spacing w:after="0"/>
              <w:jc w:val="center"/>
              <w:rPr>
                <w:sz w:val="16"/>
                <w:szCs w:val="16"/>
              </w:rPr>
            </w:pPr>
            <w:r w:rsidRPr="00024B7B">
              <w:rPr>
                <w:rFonts w:eastAsia="Aptos"/>
                <w:sz w:val="16"/>
                <w:szCs w:val="16"/>
              </w:rPr>
              <w:t>0-10000</w:t>
            </w:r>
          </w:p>
        </w:tc>
        <w:tc>
          <w:tcPr>
            <w:tcW w:w="845" w:type="dxa"/>
            <w:tcMar>
              <w:left w:w="108" w:type="dxa"/>
              <w:right w:w="108" w:type="dxa"/>
            </w:tcMar>
            <w:vAlign w:val="center"/>
          </w:tcPr>
          <w:p w14:paraId="3C7B1BF6" w14:textId="77777777" w:rsidR="00F55932" w:rsidRPr="00024B7B" w:rsidRDefault="00F55932" w:rsidP="009A7FA6">
            <w:pPr>
              <w:spacing w:after="0"/>
              <w:jc w:val="center"/>
              <w:rPr>
                <w:sz w:val="16"/>
                <w:szCs w:val="16"/>
              </w:rPr>
            </w:pPr>
            <w:r w:rsidRPr="00024B7B">
              <w:rPr>
                <w:rFonts w:eastAsia="Aptos"/>
                <w:sz w:val="16"/>
                <w:szCs w:val="16"/>
              </w:rPr>
              <w:t>10000-12000</w:t>
            </w:r>
          </w:p>
        </w:tc>
        <w:tc>
          <w:tcPr>
            <w:tcW w:w="845" w:type="dxa"/>
            <w:tcMar>
              <w:left w:w="108" w:type="dxa"/>
              <w:right w:w="108" w:type="dxa"/>
            </w:tcMar>
            <w:vAlign w:val="center"/>
          </w:tcPr>
          <w:p w14:paraId="59EC78B8" w14:textId="77777777" w:rsidR="00F55932" w:rsidRPr="00024B7B" w:rsidRDefault="00F55932" w:rsidP="009A7FA6">
            <w:pPr>
              <w:spacing w:after="0"/>
              <w:jc w:val="center"/>
              <w:rPr>
                <w:sz w:val="16"/>
                <w:szCs w:val="16"/>
              </w:rPr>
            </w:pPr>
            <w:r w:rsidRPr="00024B7B">
              <w:rPr>
                <w:rFonts w:eastAsia="Aptos"/>
                <w:sz w:val="16"/>
                <w:szCs w:val="16"/>
              </w:rPr>
              <w:t>12000-14000</w:t>
            </w:r>
          </w:p>
        </w:tc>
        <w:tc>
          <w:tcPr>
            <w:tcW w:w="845" w:type="dxa"/>
            <w:tcMar>
              <w:left w:w="108" w:type="dxa"/>
              <w:right w:w="108" w:type="dxa"/>
            </w:tcMar>
            <w:vAlign w:val="center"/>
          </w:tcPr>
          <w:p w14:paraId="5FE00834" w14:textId="77777777" w:rsidR="00F55932" w:rsidRPr="00024B7B" w:rsidRDefault="00F55932" w:rsidP="009A7FA6">
            <w:pPr>
              <w:spacing w:after="0"/>
              <w:jc w:val="center"/>
              <w:rPr>
                <w:sz w:val="16"/>
                <w:szCs w:val="16"/>
              </w:rPr>
            </w:pPr>
            <w:r w:rsidRPr="00024B7B">
              <w:rPr>
                <w:rFonts w:eastAsia="Aptos"/>
                <w:sz w:val="16"/>
                <w:szCs w:val="16"/>
              </w:rPr>
              <w:t>14000-16000</w:t>
            </w:r>
          </w:p>
        </w:tc>
        <w:tc>
          <w:tcPr>
            <w:tcW w:w="845" w:type="dxa"/>
            <w:tcMar>
              <w:left w:w="108" w:type="dxa"/>
              <w:right w:w="108" w:type="dxa"/>
            </w:tcMar>
            <w:vAlign w:val="center"/>
          </w:tcPr>
          <w:p w14:paraId="30A7992B" w14:textId="77777777" w:rsidR="00F55932" w:rsidRPr="00024B7B" w:rsidRDefault="00F55932" w:rsidP="009A7FA6">
            <w:pPr>
              <w:spacing w:after="0"/>
              <w:jc w:val="center"/>
              <w:rPr>
                <w:sz w:val="16"/>
                <w:szCs w:val="16"/>
              </w:rPr>
            </w:pPr>
            <w:r w:rsidRPr="00024B7B">
              <w:rPr>
                <w:rFonts w:eastAsia="Aptos"/>
                <w:sz w:val="16"/>
                <w:szCs w:val="16"/>
              </w:rPr>
              <w:t>16000-18000</w:t>
            </w:r>
          </w:p>
        </w:tc>
        <w:tc>
          <w:tcPr>
            <w:tcW w:w="845" w:type="dxa"/>
            <w:tcMar>
              <w:left w:w="108" w:type="dxa"/>
              <w:right w:w="108" w:type="dxa"/>
            </w:tcMar>
            <w:vAlign w:val="center"/>
          </w:tcPr>
          <w:p w14:paraId="28ABDE24" w14:textId="77777777" w:rsidR="00F55932" w:rsidRPr="00024B7B" w:rsidRDefault="00F55932" w:rsidP="009A7FA6">
            <w:pPr>
              <w:spacing w:after="0"/>
              <w:jc w:val="center"/>
              <w:rPr>
                <w:sz w:val="16"/>
                <w:szCs w:val="16"/>
              </w:rPr>
            </w:pPr>
            <w:r w:rsidRPr="00024B7B">
              <w:rPr>
                <w:rFonts w:eastAsia="Aptos"/>
                <w:sz w:val="16"/>
                <w:szCs w:val="16"/>
              </w:rPr>
              <w:t>18000-20000</w:t>
            </w:r>
          </w:p>
        </w:tc>
        <w:tc>
          <w:tcPr>
            <w:tcW w:w="845" w:type="dxa"/>
            <w:tcMar>
              <w:left w:w="108" w:type="dxa"/>
              <w:right w:w="108" w:type="dxa"/>
            </w:tcMar>
            <w:vAlign w:val="center"/>
          </w:tcPr>
          <w:p w14:paraId="6475C48C" w14:textId="77777777" w:rsidR="00F55932" w:rsidRPr="00024B7B" w:rsidRDefault="00F55932" w:rsidP="009A7FA6">
            <w:pPr>
              <w:spacing w:after="0"/>
              <w:jc w:val="center"/>
              <w:rPr>
                <w:sz w:val="16"/>
                <w:szCs w:val="16"/>
              </w:rPr>
            </w:pPr>
            <w:r w:rsidRPr="00024B7B">
              <w:rPr>
                <w:rFonts w:eastAsia="Aptos"/>
                <w:sz w:val="16"/>
                <w:szCs w:val="16"/>
              </w:rPr>
              <w:t>20000-40000</w:t>
            </w:r>
          </w:p>
        </w:tc>
        <w:tc>
          <w:tcPr>
            <w:tcW w:w="845" w:type="dxa"/>
            <w:tcMar>
              <w:left w:w="108" w:type="dxa"/>
              <w:right w:w="108" w:type="dxa"/>
            </w:tcMar>
            <w:vAlign w:val="center"/>
          </w:tcPr>
          <w:p w14:paraId="150214EA" w14:textId="77777777" w:rsidR="00F55932" w:rsidRPr="00024B7B" w:rsidRDefault="00F55932" w:rsidP="009A7FA6">
            <w:pPr>
              <w:spacing w:after="0"/>
              <w:jc w:val="center"/>
              <w:rPr>
                <w:sz w:val="16"/>
                <w:szCs w:val="16"/>
              </w:rPr>
            </w:pPr>
            <w:r w:rsidRPr="00024B7B">
              <w:rPr>
                <w:rFonts w:eastAsia="Aptos"/>
                <w:sz w:val="16"/>
                <w:szCs w:val="16"/>
              </w:rPr>
              <w:t>40000-60000</w:t>
            </w:r>
          </w:p>
        </w:tc>
        <w:tc>
          <w:tcPr>
            <w:tcW w:w="845" w:type="dxa"/>
            <w:tcMar>
              <w:left w:w="108" w:type="dxa"/>
              <w:right w:w="108" w:type="dxa"/>
            </w:tcMar>
            <w:vAlign w:val="center"/>
          </w:tcPr>
          <w:p w14:paraId="0BE9179F" w14:textId="77777777" w:rsidR="00F55932" w:rsidRPr="00024B7B" w:rsidRDefault="00F55932" w:rsidP="009A7FA6">
            <w:pPr>
              <w:spacing w:after="0"/>
              <w:jc w:val="center"/>
              <w:rPr>
                <w:sz w:val="16"/>
                <w:szCs w:val="16"/>
              </w:rPr>
            </w:pPr>
            <w:r w:rsidRPr="00024B7B">
              <w:rPr>
                <w:rFonts w:eastAsia="Aptos"/>
                <w:sz w:val="16"/>
                <w:szCs w:val="16"/>
              </w:rPr>
              <w:t>60000-80000</w:t>
            </w:r>
          </w:p>
        </w:tc>
        <w:tc>
          <w:tcPr>
            <w:tcW w:w="891" w:type="dxa"/>
            <w:tcMar>
              <w:left w:w="108" w:type="dxa"/>
              <w:right w:w="108" w:type="dxa"/>
            </w:tcMar>
            <w:vAlign w:val="center"/>
          </w:tcPr>
          <w:p w14:paraId="083BF499" w14:textId="77777777" w:rsidR="00F55932" w:rsidRPr="00024B7B" w:rsidRDefault="00F55932" w:rsidP="009A7FA6">
            <w:pPr>
              <w:spacing w:after="0"/>
              <w:jc w:val="center"/>
              <w:rPr>
                <w:sz w:val="16"/>
                <w:szCs w:val="16"/>
              </w:rPr>
            </w:pPr>
            <w:r w:rsidRPr="00024B7B">
              <w:rPr>
                <w:rFonts w:eastAsia="Aptos"/>
                <w:sz w:val="16"/>
                <w:szCs w:val="16"/>
              </w:rPr>
              <w:t>80000-100000</w:t>
            </w:r>
          </w:p>
        </w:tc>
        <w:tc>
          <w:tcPr>
            <w:tcW w:w="959" w:type="dxa"/>
            <w:tcMar>
              <w:left w:w="108" w:type="dxa"/>
              <w:right w:w="108" w:type="dxa"/>
            </w:tcMar>
            <w:vAlign w:val="center"/>
          </w:tcPr>
          <w:p w14:paraId="7F235025" w14:textId="77777777" w:rsidR="00F55932" w:rsidRPr="00024B7B" w:rsidRDefault="00F55932" w:rsidP="009A7FA6">
            <w:pPr>
              <w:spacing w:after="0"/>
              <w:jc w:val="center"/>
              <w:rPr>
                <w:sz w:val="16"/>
                <w:szCs w:val="16"/>
              </w:rPr>
            </w:pPr>
            <w:r w:rsidRPr="00024B7B">
              <w:rPr>
                <w:rFonts w:eastAsia="Aptos"/>
                <w:sz w:val="16"/>
                <w:szCs w:val="16"/>
              </w:rPr>
              <w:t>100000-120000</w:t>
            </w:r>
          </w:p>
        </w:tc>
        <w:tc>
          <w:tcPr>
            <w:tcW w:w="959" w:type="dxa"/>
            <w:tcMar>
              <w:left w:w="108" w:type="dxa"/>
              <w:right w:w="108" w:type="dxa"/>
            </w:tcMar>
            <w:vAlign w:val="center"/>
          </w:tcPr>
          <w:p w14:paraId="08C68EFC" w14:textId="77777777" w:rsidR="00F55932" w:rsidRPr="00024B7B" w:rsidRDefault="00F55932" w:rsidP="009A7FA6">
            <w:pPr>
              <w:spacing w:after="0"/>
              <w:jc w:val="center"/>
              <w:rPr>
                <w:sz w:val="16"/>
                <w:szCs w:val="16"/>
              </w:rPr>
            </w:pPr>
            <w:r w:rsidRPr="00024B7B">
              <w:rPr>
                <w:rFonts w:eastAsia="Aptos"/>
                <w:sz w:val="16"/>
                <w:szCs w:val="16"/>
              </w:rPr>
              <w:t>120000-140000</w:t>
            </w:r>
          </w:p>
        </w:tc>
      </w:tr>
      <w:tr w:rsidR="00F55932" w:rsidRPr="00024B7B" w14:paraId="1ACF253A" w14:textId="77777777" w:rsidTr="009A7FA6">
        <w:trPr>
          <w:trHeight w:val="250"/>
        </w:trPr>
        <w:tc>
          <w:tcPr>
            <w:tcW w:w="1314" w:type="dxa"/>
            <w:tcMar>
              <w:left w:w="108" w:type="dxa"/>
              <w:right w:w="108" w:type="dxa"/>
            </w:tcMar>
            <w:vAlign w:val="center"/>
          </w:tcPr>
          <w:p w14:paraId="67526AA4" w14:textId="77777777" w:rsidR="00F55932" w:rsidRPr="00024B7B" w:rsidRDefault="00F55932" w:rsidP="009A7FA6">
            <w:pPr>
              <w:spacing w:after="0"/>
              <w:jc w:val="center"/>
              <w:rPr>
                <w:sz w:val="16"/>
                <w:szCs w:val="16"/>
              </w:rPr>
            </w:pPr>
            <w:r w:rsidRPr="00024B7B">
              <w:rPr>
                <w:rFonts w:eastAsia="Aptos"/>
                <w:sz w:val="16"/>
                <w:szCs w:val="16"/>
              </w:rPr>
              <w:t>Estimated # of Euronext-listed stocks per band</w:t>
            </w:r>
          </w:p>
        </w:tc>
        <w:tc>
          <w:tcPr>
            <w:tcW w:w="775" w:type="dxa"/>
            <w:tcMar>
              <w:left w:w="108" w:type="dxa"/>
              <w:right w:w="108" w:type="dxa"/>
            </w:tcMar>
            <w:vAlign w:val="center"/>
          </w:tcPr>
          <w:p w14:paraId="5FD20F56" w14:textId="77777777" w:rsidR="00F55932" w:rsidRPr="00024B7B" w:rsidRDefault="00F55932" w:rsidP="009A7FA6">
            <w:pPr>
              <w:spacing w:after="0"/>
              <w:jc w:val="center"/>
              <w:rPr>
                <w:sz w:val="16"/>
                <w:szCs w:val="16"/>
              </w:rPr>
            </w:pPr>
            <w:r w:rsidRPr="00024B7B">
              <w:rPr>
                <w:rFonts w:eastAsia="Aptos"/>
                <w:sz w:val="16"/>
                <w:szCs w:val="16"/>
              </w:rPr>
              <w:t>434</w:t>
            </w:r>
          </w:p>
        </w:tc>
        <w:tc>
          <w:tcPr>
            <w:tcW w:w="845" w:type="dxa"/>
            <w:tcMar>
              <w:left w:w="108" w:type="dxa"/>
              <w:right w:w="108" w:type="dxa"/>
            </w:tcMar>
            <w:vAlign w:val="center"/>
          </w:tcPr>
          <w:p w14:paraId="18A33674" w14:textId="77777777" w:rsidR="00F55932" w:rsidRPr="00024B7B" w:rsidRDefault="00F55932" w:rsidP="009A7FA6">
            <w:pPr>
              <w:spacing w:after="0"/>
              <w:jc w:val="center"/>
              <w:rPr>
                <w:sz w:val="16"/>
                <w:szCs w:val="16"/>
              </w:rPr>
            </w:pPr>
            <w:r w:rsidRPr="00024B7B">
              <w:rPr>
                <w:rFonts w:eastAsia="Aptos"/>
                <w:sz w:val="16"/>
                <w:szCs w:val="16"/>
              </w:rPr>
              <w:t>27</w:t>
            </w:r>
          </w:p>
        </w:tc>
        <w:tc>
          <w:tcPr>
            <w:tcW w:w="845" w:type="dxa"/>
            <w:tcMar>
              <w:left w:w="108" w:type="dxa"/>
              <w:right w:w="108" w:type="dxa"/>
            </w:tcMar>
            <w:vAlign w:val="center"/>
          </w:tcPr>
          <w:p w14:paraId="486CBC4F" w14:textId="77777777" w:rsidR="00F55932" w:rsidRPr="00024B7B" w:rsidRDefault="00F55932" w:rsidP="009A7FA6">
            <w:pPr>
              <w:spacing w:after="0"/>
              <w:jc w:val="center"/>
              <w:rPr>
                <w:sz w:val="16"/>
                <w:szCs w:val="16"/>
              </w:rPr>
            </w:pPr>
            <w:r w:rsidRPr="00024B7B">
              <w:rPr>
                <w:rFonts w:eastAsia="Aptos"/>
                <w:sz w:val="16"/>
                <w:szCs w:val="16"/>
              </w:rPr>
              <w:t>16</w:t>
            </w:r>
          </w:p>
        </w:tc>
        <w:tc>
          <w:tcPr>
            <w:tcW w:w="845" w:type="dxa"/>
            <w:tcMar>
              <w:left w:w="108" w:type="dxa"/>
              <w:right w:w="108" w:type="dxa"/>
            </w:tcMar>
            <w:vAlign w:val="center"/>
          </w:tcPr>
          <w:p w14:paraId="0E80F712" w14:textId="77777777" w:rsidR="00F55932" w:rsidRPr="00024B7B" w:rsidRDefault="00F55932" w:rsidP="009A7FA6">
            <w:pPr>
              <w:spacing w:after="0"/>
              <w:jc w:val="center"/>
              <w:rPr>
                <w:sz w:val="16"/>
                <w:szCs w:val="16"/>
              </w:rPr>
            </w:pPr>
            <w:r w:rsidRPr="00024B7B">
              <w:rPr>
                <w:rFonts w:eastAsia="Aptos"/>
                <w:sz w:val="16"/>
                <w:szCs w:val="16"/>
              </w:rPr>
              <w:t>7</w:t>
            </w:r>
          </w:p>
        </w:tc>
        <w:tc>
          <w:tcPr>
            <w:tcW w:w="845" w:type="dxa"/>
            <w:tcMar>
              <w:left w:w="108" w:type="dxa"/>
              <w:right w:w="108" w:type="dxa"/>
            </w:tcMar>
            <w:vAlign w:val="center"/>
          </w:tcPr>
          <w:p w14:paraId="04933540" w14:textId="77777777" w:rsidR="00F55932" w:rsidRPr="00024B7B" w:rsidRDefault="00F55932" w:rsidP="009A7FA6">
            <w:pPr>
              <w:spacing w:after="0"/>
              <w:jc w:val="center"/>
              <w:rPr>
                <w:sz w:val="16"/>
                <w:szCs w:val="16"/>
              </w:rPr>
            </w:pPr>
            <w:r w:rsidRPr="00024B7B">
              <w:rPr>
                <w:rFonts w:eastAsia="Aptos"/>
                <w:sz w:val="16"/>
                <w:szCs w:val="16"/>
              </w:rPr>
              <w:t>6</w:t>
            </w:r>
          </w:p>
        </w:tc>
        <w:tc>
          <w:tcPr>
            <w:tcW w:w="845" w:type="dxa"/>
            <w:tcMar>
              <w:left w:w="108" w:type="dxa"/>
              <w:right w:w="108" w:type="dxa"/>
            </w:tcMar>
            <w:vAlign w:val="center"/>
          </w:tcPr>
          <w:p w14:paraId="1E6E8536" w14:textId="77777777" w:rsidR="00F55932" w:rsidRPr="00024B7B" w:rsidRDefault="00F55932" w:rsidP="009A7FA6">
            <w:pPr>
              <w:spacing w:after="0"/>
              <w:jc w:val="center"/>
              <w:rPr>
                <w:sz w:val="16"/>
                <w:szCs w:val="16"/>
              </w:rPr>
            </w:pPr>
            <w:r w:rsidRPr="00024B7B">
              <w:rPr>
                <w:rFonts w:eastAsia="Aptos"/>
                <w:sz w:val="16"/>
                <w:szCs w:val="16"/>
              </w:rPr>
              <w:t>4</w:t>
            </w:r>
          </w:p>
        </w:tc>
        <w:tc>
          <w:tcPr>
            <w:tcW w:w="845" w:type="dxa"/>
            <w:tcMar>
              <w:left w:w="108" w:type="dxa"/>
              <w:right w:w="108" w:type="dxa"/>
            </w:tcMar>
            <w:vAlign w:val="center"/>
          </w:tcPr>
          <w:p w14:paraId="10F91B7F" w14:textId="77777777" w:rsidR="00F55932" w:rsidRPr="00024B7B" w:rsidRDefault="00F55932" w:rsidP="009A7FA6">
            <w:pPr>
              <w:spacing w:after="0"/>
              <w:jc w:val="center"/>
              <w:rPr>
                <w:sz w:val="16"/>
                <w:szCs w:val="16"/>
              </w:rPr>
            </w:pPr>
            <w:r w:rsidRPr="00024B7B">
              <w:rPr>
                <w:rFonts w:eastAsia="Aptos"/>
                <w:sz w:val="16"/>
                <w:szCs w:val="16"/>
              </w:rPr>
              <w:t>3</w:t>
            </w:r>
          </w:p>
        </w:tc>
        <w:tc>
          <w:tcPr>
            <w:tcW w:w="845" w:type="dxa"/>
            <w:tcMar>
              <w:left w:w="108" w:type="dxa"/>
              <w:right w:w="108" w:type="dxa"/>
            </w:tcMar>
            <w:vAlign w:val="center"/>
          </w:tcPr>
          <w:p w14:paraId="3FA0976D" w14:textId="77777777" w:rsidR="00F55932" w:rsidRPr="00024B7B" w:rsidRDefault="00F55932" w:rsidP="009A7FA6">
            <w:pPr>
              <w:spacing w:after="0"/>
              <w:jc w:val="center"/>
              <w:rPr>
                <w:sz w:val="16"/>
                <w:szCs w:val="16"/>
              </w:rPr>
            </w:pPr>
            <w:r w:rsidRPr="00024B7B">
              <w:rPr>
                <w:rFonts w:eastAsia="Aptos"/>
                <w:sz w:val="16"/>
                <w:szCs w:val="16"/>
              </w:rPr>
              <w:t>0</w:t>
            </w:r>
          </w:p>
        </w:tc>
        <w:tc>
          <w:tcPr>
            <w:tcW w:w="845" w:type="dxa"/>
            <w:tcMar>
              <w:left w:w="108" w:type="dxa"/>
              <w:right w:w="108" w:type="dxa"/>
            </w:tcMar>
            <w:vAlign w:val="center"/>
          </w:tcPr>
          <w:p w14:paraId="0EDE0498" w14:textId="77777777" w:rsidR="00F55932" w:rsidRPr="00024B7B" w:rsidRDefault="00F55932" w:rsidP="009A7FA6">
            <w:pPr>
              <w:spacing w:after="0"/>
              <w:jc w:val="center"/>
              <w:rPr>
                <w:sz w:val="16"/>
                <w:szCs w:val="16"/>
              </w:rPr>
            </w:pPr>
            <w:r w:rsidRPr="00024B7B">
              <w:rPr>
                <w:rFonts w:eastAsia="Aptos"/>
                <w:sz w:val="16"/>
                <w:szCs w:val="16"/>
              </w:rPr>
              <w:t>0</w:t>
            </w:r>
          </w:p>
        </w:tc>
        <w:tc>
          <w:tcPr>
            <w:tcW w:w="891" w:type="dxa"/>
            <w:tcMar>
              <w:left w:w="108" w:type="dxa"/>
              <w:right w:w="108" w:type="dxa"/>
            </w:tcMar>
            <w:vAlign w:val="center"/>
          </w:tcPr>
          <w:p w14:paraId="76630672" w14:textId="77777777" w:rsidR="00F55932" w:rsidRPr="00024B7B" w:rsidRDefault="00F55932" w:rsidP="009A7FA6">
            <w:pPr>
              <w:spacing w:after="0"/>
              <w:jc w:val="center"/>
              <w:rPr>
                <w:sz w:val="16"/>
                <w:szCs w:val="16"/>
              </w:rPr>
            </w:pPr>
            <w:r w:rsidRPr="00024B7B">
              <w:rPr>
                <w:rFonts w:eastAsia="Aptos"/>
                <w:sz w:val="16"/>
                <w:szCs w:val="16"/>
              </w:rPr>
              <w:t>0</w:t>
            </w:r>
          </w:p>
        </w:tc>
        <w:tc>
          <w:tcPr>
            <w:tcW w:w="959" w:type="dxa"/>
            <w:tcMar>
              <w:left w:w="108" w:type="dxa"/>
              <w:right w:w="108" w:type="dxa"/>
            </w:tcMar>
            <w:vAlign w:val="center"/>
          </w:tcPr>
          <w:p w14:paraId="4FFB2B57" w14:textId="77777777" w:rsidR="00F55932" w:rsidRPr="00024B7B" w:rsidRDefault="00F55932" w:rsidP="009A7FA6">
            <w:pPr>
              <w:spacing w:after="0"/>
              <w:jc w:val="center"/>
              <w:rPr>
                <w:sz w:val="16"/>
                <w:szCs w:val="16"/>
              </w:rPr>
            </w:pPr>
            <w:r w:rsidRPr="00024B7B">
              <w:rPr>
                <w:rFonts w:eastAsia="Aptos"/>
                <w:sz w:val="16"/>
                <w:szCs w:val="16"/>
              </w:rPr>
              <w:t>0</w:t>
            </w:r>
          </w:p>
        </w:tc>
        <w:tc>
          <w:tcPr>
            <w:tcW w:w="959" w:type="dxa"/>
            <w:tcMar>
              <w:left w:w="108" w:type="dxa"/>
              <w:right w:w="108" w:type="dxa"/>
            </w:tcMar>
            <w:vAlign w:val="center"/>
          </w:tcPr>
          <w:p w14:paraId="71BA800B" w14:textId="77777777" w:rsidR="00F55932" w:rsidRPr="00024B7B" w:rsidRDefault="00F55932" w:rsidP="009A7FA6">
            <w:pPr>
              <w:spacing w:after="0"/>
              <w:jc w:val="center"/>
              <w:rPr>
                <w:sz w:val="16"/>
                <w:szCs w:val="16"/>
              </w:rPr>
            </w:pPr>
            <w:r w:rsidRPr="00024B7B">
              <w:rPr>
                <w:rFonts w:eastAsia="Aptos"/>
                <w:sz w:val="16"/>
                <w:szCs w:val="16"/>
              </w:rPr>
              <w:t>0</w:t>
            </w:r>
          </w:p>
        </w:tc>
      </w:tr>
    </w:tbl>
    <w:p w14:paraId="17D3E608" w14:textId="77777777" w:rsidR="00F55932" w:rsidRPr="003560DF" w:rsidRDefault="00F55932" w:rsidP="00F55932">
      <w:pPr>
        <w:spacing w:after="0"/>
        <w:rPr>
          <w:szCs w:val="22"/>
        </w:rPr>
      </w:pPr>
    </w:p>
    <w:p w14:paraId="372C9115" w14:textId="77777777" w:rsidR="00F55932" w:rsidRPr="003560DF" w:rsidRDefault="00F55932" w:rsidP="00F55932">
      <w:pPr>
        <w:rPr>
          <w:szCs w:val="22"/>
        </w:rPr>
      </w:pPr>
    </w:p>
    <w:p w14:paraId="43C693BE" w14:textId="77777777" w:rsidR="00F55932" w:rsidRPr="003560DF" w:rsidRDefault="00F55932" w:rsidP="00F55932">
      <w:pPr>
        <w:spacing w:after="0"/>
        <w:rPr>
          <w:rFonts w:eastAsia="Verdana"/>
          <w:szCs w:val="22"/>
        </w:rPr>
      </w:pPr>
      <w:r w:rsidRPr="003560DF">
        <w:rPr>
          <w:rFonts w:eastAsia="Verdana"/>
          <w:szCs w:val="22"/>
        </w:rPr>
        <w:t>This together with the definition of liquid markets means that 86% of Euronext-listed  stocks are exempted from pre-trade transparency requirements on SIs and that 90% of the remaining 14% of Euronext-listed stocks considered as with a liquid markets are exempted from pre-trade transparency for SIs dealing between 0 and €10K. Considering that the median sizes on SI is 6k for blue chips and 2k for SMEs (source: AMF, 2020), it means that de facto most of Euronext-listed stocks are traded in the dark on SIs.</w:t>
      </w:r>
    </w:p>
    <w:p w14:paraId="341EB3F2" w14:textId="77777777" w:rsidR="00F55932" w:rsidRPr="003560DF" w:rsidRDefault="00F55932" w:rsidP="00F55932">
      <w:pPr>
        <w:pStyle w:val="ListParagraph"/>
        <w:spacing w:after="0"/>
        <w:rPr>
          <w:rFonts w:eastAsia="Arial"/>
          <w:szCs w:val="22"/>
        </w:rPr>
      </w:pPr>
    </w:p>
    <w:p w14:paraId="18EA0F2D" w14:textId="77777777" w:rsidR="00F55932" w:rsidRPr="003560DF" w:rsidRDefault="00F55932" w:rsidP="00F55932">
      <w:pPr>
        <w:spacing w:after="0"/>
        <w:rPr>
          <w:rFonts w:eastAsia="Arial"/>
          <w:szCs w:val="22"/>
        </w:rPr>
      </w:pPr>
      <w:r w:rsidRPr="003560DF">
        <w:rPr>
          <w:rFonts w:eastAsia="Arial"/>
          <w:szCs w:val="22"/>
        </w:rPr>
        <w:t xml:space="preserve">The SMS methodology should be reviewed and brought closer to the LIS: the ranges of SMS should be based on the liquidity of the stock (i.e. the ability to absorb large incoming orders) rather than on the average size of transactions, which is not a relevant proxy for liquidity and market impact risk. </w:t>
      </w:r>
    </w:p>
    <w:p w14:paraId="6654F707" w14:textId="77777777" w:rsidR="00F55932" w:rsidRPr="003560DF" w:rsidRDefault="00F55932" w:rsidP="00F55932">
      <w:pPr>
        <w:spacing w:after="0"/>
        <w:rPr>
          <w:rFonts w:eastAsia="Arial"/>
          <w:szCs w:val="22"/>
        </w:rPr>
      </w:pPr>
    </w:p>
    <w:p w14:paraId="6495C4E5" w14:textId="77777777" w:rsidR="00F55932" w:rsidRPr="003560DF" w:rsidRDefault="00F55932" w:rsidP="00F55932">
      <w:pPr>
        <w:spacing w:after="0"/>
        <w:rPr>
          <w:b/>
          <w:bCs/>
          <w:szCs w:val="22"/>
        </w:rPr>
      </w:pPr>
      <w:r w:rsidRPr="003560DF">
        <w:rPr>
          <w:rFonts w:eastAsia="Verdana"/>
          <w:b/>
          <w:bCs/>
          <w:color w:val="000000" w:themeColor="text1"/>
          <w:szCs w:val="22"/>
        </w:rPr>
        <w:t>Euronext Proposal:</w:t>
      </w:r>
    </w:p>
    <w:p w14:paraId="60AF80F9" w14:textId="77777777" w:rsidR="00F55932" w:rsidRPr="003560DF" w:rsidRDefault="00F55932" w:rsidP="00F55932">
      <w:pPr>
        <w:spacing w:after="0"/>
        <w:rPr>
          <w:szCs w:val="22"/>
        </w:rPr>
      </w:pPr>
      <w:r w:rsidRPr="003560DF">
        <w:rPr>
          <w:rFonts w:eastAsia="Verdana"/>
          <w:color w:val="000000" w:themeColor="text1"/>
          <w:szCs w:val="22"/>
        </w:rPr>
        <w:t xml:space="preserve"> </w:t>
      </w:r>
    </w:p>
    <w:p w14:paraId="47F3ACFE" w14:textId="77777777" w:rsidR="00F55932" w:rsidRPr="003560DF" w:rsidRDefault="00F55932" w:rsidP="00F55932">
      <w:pPr>
        <w:spacing w:after="0"/>
        <w:rPr>
          <w:rFonts w:eastAsia="Verdana"/>
          <w:color w:val="000000" w:themeColor="text1"/>
          <w:szCs w:val="22"/>
        </w:rPr>
      </w:pPr>
      <w:r w:rsidRPr="003560DF">
        <w:rPr>
          <w:rFonts w:eastAsia="Verdana"/>
          <w:color w:val="000000" w:themeColor="text1"/>
          <w:szCs w:val="22"/>
        </w:rPr>
        <w:t>SMS to be defined based on  ADT as per the below</w:t>
      </w:r>
    </w:p>
    <w:p w14:paraId="6A4072A0" w14:textId="77777777" w:rsidR="00F55932" w:rsidRPr="003560DF" w:rsidRDefault="00F55932" w:rsidP="00F55932">
      <w:pPr>
        <w:spacing w:after="0"/>
        <w:rPr>
          <w:rFonts w:eastAsia="Verdana"/>
          <w:color w:val="000000" w:themeColor="text1"/>
          <w:szCs w:val="22"/>
        </w:rPr>
      </w:pPr>
    </w:p>
    <w:tbl>
      <w:tblPr>
        <w:tblW w:w="98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683"/>
        <w:gridCol w:w="776"/>
        <w:gridCol w:w="836"/>
        <w:gridCol w:w="870"/>
        <w:gridCol w:w="929"/>
        <w:gridCol w:w="963"/>
        <w:gridCol w:w="1022"/>
        <w:gridCol w:w="1056"/>
        <w:gridCol w:w="1056"/>
      </w:tblGrid>
      <w:tr w:rsidR="00F55932" w:rsidRPr="003560DF" w14:paraId="09BF6574" w14:textId="77777777" w:rsidTr="009A7FA6">
        <w:trPr>
          <w:trHeight w:val="270"/>
        </w:trPr>
        <w:tc>
          <w:tcPr>
            <w:tcW w:w="1636" w:type="dxa"/>
            <w:tcMar>
              <w:left w:w="108" w:type="dxa"/>
              <w:right w:w="108" w:type="dxa"/>
            </w:tcMar>
            <w:vAlign w:val="center"/>
          </w:tcPr>
          <w:p w14:paraId="457A429C" w14:textId="77777777" w:rsidR="00F55932" w:rsidRPr="00DA4611" w:rsidRDefault="00F55932" w:rsidP="009A7FA6">
            <w:pPr>
              <w:spacing w:after="0"/>
              <w:rPr>
                <w:sz w:val="16"/>
                <w:szCs w:val="16"/>
              </w:rPr>
            </w:pPr>
            <w:r w:rsidRPr="00DA4611">
              <w:rPr>
                <w:rFonts w:eastAsia="Aptos"/>
                <w:sz w:val="16"/>
                <w:szCs w:val="16"/>
              </w:rPr>
              <w:t>ADT</w:t>
            </w:r>
          </w:p>
        </w:tc>
        <w:tc>
          <w:tcPr>
            <w:tcW w:w="683" w:type="dxa"/>
            <w:tcMar>
              <w:left w:w="108" w:type="dxa"/>
              <w:right w:w="108" w:type="dxa"/>
            </w:tcMar>
            <w:vAlign w:val="center"/>
          </w:tcPr>
          <w:p w14:paraId="7E5A3661" w14:textId="77777777" w:rsidR="00F55932" w:rsidRPr="00DA4611" w:rsidRDefault="00F55932" w:rsidP="009A7FA6">
            <w:pPr>
              <w:spacing w:after="0"/>
              <w:rPr>
                <w:sz w:val="16"/>
                <w:szCs w:val="16"/>
              </w:rPr>
            </w:pPr>
            <w:r w:rsidRPr="00DA4611">
              <w:rPr>
                <w:rFonts w:eastAsia="Aptos"/>
                <w:sz w:val="16"/>
                <w:szCs w:val="16"/>
              </w:rPr>
              <w:t>0-50000</w:t>
            </w:r>
          </w:p>
        </w:tc>
        <w:tc>
          <w:tcPr>
            <w:tcW w:w="776" w:type="dxa"/>
            <w:tcMar>
              <w:left w:w="108" w:type="dxa"/>
              <w:right w:w="108" w:type="dxa"/>
            </w:tcMar>
            <w:vAlign w:val="center"/>
          </w:tcPr>
          <w:p w14:paraId="65E53407" w14:textId="77777777" w:rsidR="00F55932" w:rsidRPr="00DA4611" w:rsidRDefault="00F55932" w:rsidP="009A7FA6">
            <w:pPr>
              <w:spacing w:after="0"/>
              <w:rPr>
                <w:sz w:val="16"/>
                <w:szCs w:val="16"/>
              </w:rPr>
            </w:pPr>
            <w:r w:rsidRPr="00DA4611">
              <w:rPr>
                <w:rFonts w:eastAsia="Aptos"/>
                <w:sz w:val="16"/>
                <w:szCs w:val="16"/>
              </w:rPr>
              <w:t>50000-100000</w:t>
            </w:r>
          </w:p>
        </w:tc>
        <w:tc>
          <w:tcPr>
            <w:tcW w:w="836" w:type="dxa"/>
            <w:tcMar>
              <w:left w:w="108" w:type="dxa"/>
              <w:right w:w="108" w:type="dxa"/>
            </w:tcMar>
            <w:vAlign w:val="center"/>
          </w:tcPr>
          <w:p w14:paraId="2509D613" w14:textId="77777777" w:rsidR="00F55932" w:rsidRPr="00DA4611" w:rsidRDefault="00F55932" w:rsidP="009A7FA6">
            <w:pPr>
              <w:spacing w:after="0"/>
              <w:rPr>
                <w:sz w:val="16"/>
                <w:szCs w:val="16"/>
              </w:rPr>
            </w:pPr>
            <w:r w:rsidRPr="00DA4611">
              <w:rPr>
                <w:rFonts w:eastAsia="Aptos"/>
                <w:sz w:val="16"/>
                <w:szCs w:val="16"/>
              </w:rPr>
              <w:t>100000-500000</w:t>
            </w:r>
          </w:p>
        </w:tc>
        <w:tc>
          <w:tcPr>
            <w:tcW w:w="870" w:type="dxa"/>
            <w:tcMar>
              <w:left w:w="108" w:type="dxa"/>
              <w:right w:w="108" w:type="dxa"/>
            </w:tcMar>
            <w:vAlign w:val="center"/>
          </w:tcPr>
          <w:p w14:paraId="05664F1A" w14:textId="77777777" w:rsidR="00F55932" w:rsidRPr="00DA4611" w:rsidRDefault="00F55932" w:rsidP="009A7FA6">
            <w:pPr>
              <w:spacing w:after="0"/>
              <w:rPr>
                <w:sz w:val="16"/>
                <w:szCs w:val="16"/>
              </w:rPr>
            </w:pPr>
            <w:r w:rsidRPr="00DA4611">
              <w:rPr>
                <w:rFonts w:eastAsia="Aptos"/>
                <w:sz w:val="16"/>
                <w:szCs w:val="16"/>
              </w:rPr>
              <w:t>500000-1000000</w:t>
            </w:r>
          </w:p>
        </w:tc>
        <w:tc>
          <w:tcPr>
            <w:tcW w:w="929" w:type="dxa"/>
            <w:tcMar>
              <w:left w:w="108" w:type="dxa"/>
              <w:right w:w="108" w:type="dxa"/>
            </w:tcMar>
            <w:vAlign w:val="center"/>
          </w:tcPr>
          <w:p w14:paraId="40F554C3" w14:textId="77777777" w:rsidR="00F55932" w:rsidRPr="00DA4611" w:rsidRDefault="00F55932" w:rsidP="009A7FA6">
            <w:pPr>
              <w:spacing w:after="0"/>
              <w:rPr>
                <w:sz w:val="16"/>
                <w:szCs w:val="16"/>
              </w:rPr>
            </w:pPr>
            <w:r w:rsidRPr="00DA4611">
              <w:rPr>
                <w:rFonts w:eastAsia="Aptos"/>
                <w:sz w:val="16"/>
                <w:szCs w:val="16"/>
              </w:rPr>
              <w:t>1000000-5000000</w:t>
            </w:r>
          </w:p>
        </w:tc>
        <w:tc>
          <w:tcPr>
            <w:tcW w:w="963" w:type="dxa"/>
            <w:tcMar>
              <w:left w:w="108" w:type="dxa"/>
              <w:right w:w="108" w:type="dxa"/>
            </w:tcMar>
            <w:vAlign w:val="center"/>
          </w:tcPr>
          <w:p w14:paraId="1EC19F26" w14:textId="77777777" w:rsidR="00F55932" w:rsidRPr="00DA4611" w:rsidRDefault="00F55932" w:rsidP="009A7FA6">
            <w:pPr>
              <w:spacing w:after="0"/>
              <w:rPr>
                <w:sz w:val="16"/>
                <w:szCs w:val="16"/>
              </w:rPr>
            </w:pPr>
            <w:r w:rsidRPr="00DA4611">
              <w:rPr>
                <w:rFonts w:eastAsia="Aptos"/>
                <w:sz w:val="16"/>
                <w:szCs w:val="16"/>
              </w:rPr>
              <w:t>5000000-25000000</w:t>
            </w:r>
          </w:p>
        </w:tc>
        <w:tc>
          <w:tcPr>
            <w:tcW w:w="1022" w:type="dxa"/>
            <w:tcMar>
              <w:left w:w="108" w:type="dxa"/>
              <w:right w:w="108" w:type="dxa"/>
            </w:tcMar>
            <w:vAlign w:val="center"/>
          </w:tcPr>
          <w:p w14:paraId="05033446" w14:textId="77777777" w:rsidR="00F55932" w:rsidRPr="00DA4611" w:rsidRDefault="00F55932" w:rsidP="009A7FA6">
            <w:pPr>
              <w:spacing w:after="0"/>
              <w:rPr>
                <w:sz w:val="16"/>
                <w:szCs w:val="16"/>
              </w:rPr>
            </w:pPr>
            <w:r w:rsidRPr="00DA4611">
              <w:rPr>
                <w:rFonts w:eastAsia="Aptos"/>
                <w:sz w:val="16"/>
                <w:szCs w:val="16"/>
              </w:rPr>
              <w:t>25000000-50000000</w:t>
            </w:r>
          </w:p>
        </w:tc>
        <w:tc>
          <w:tcPr>
            <w:tcW w:w="1056" w:type="dxa"/>
            <w:tcMar>
              <w:left w:w="108" w:type="dxa"/>
              <w:right w:w="108" w:type="dxa"/>
            </w:tcMar>
            <w:vAlign w:val="center"/>
          </w:tcPr>
          <w:p w14:paraId="66F90F22" w14:textId="77777777" w:rsidR="00F55932" w:rsidRPr="00DA4611" w:rsidRDefault="00F55932" w:rsidP="009A7FA6">
            <w:pPr>
              <w:spacing w:after="0"/>
              <w:rPr>
                <w:sz w:val="16"/>
                <w:szCs w:val="16"/>
              </w:rPr>
            </w:pPr>
            <w:r w:rsidRPr="00DA4611">
              <w:rPr>
                <w:rFonts w:eastAsia="Aptos"/>
                <w:sz w:val="16"/>
                <w:szCs w:val="16"/>
              </w:rPr>
              <w:t>50000000-100000000</w:t>
            </w:r>
          </w:p>
        </w:tc>
        <w:tc>
          <w:tcPr>
            <w:tcW w:w="1056" w:type="dxa"/>
            <w:tcMar>
              <w:left w:w="108" w:type="dxa"/>
              <w:right w:w="108" w:type="dxa"/>
            </w:tcMar>
            <w:vAlign w:val="center"/>
          </w:tcPr>
          <w:p w14:paraId="7BC683E8" w14:textId="77777777" w:rsidR="00F55932" w:rsidRPr="00DA4611" w:rsidRDefault="00F55932" w:rsidP="009A7FA6">
            <w:pPr>
              <w:spacing w:after="0"/>
              <w:rPr>
                <w:sz w:val="16"/>
                <w:szCs w:val="16"/>
              </w:rPr>
            </w:pPr>
            <w:r w:rsidRPr="00DA4611">
              <w:rPr>
                <w:rFonts w:eastAsia="Aptos"/>
                <w:sz w:val="16"/>
                <w:szCs w:val="16"/>
              </w:rPr>
              <w:t>100000000 and above</w:t>
            </w:r>
          </w:p>
        </w:tc>
      </w:tr>
      <w:tr w:rsidR="00F55932" w:rsidRPr="003560DF" w14:paraId="698CDF56" w14:textId="77777777" w:rsidTr="009A7FA6">
        <w:trPr>
          <w:trHeight w:val="270"/>
        </w:trPr>
        <w:tc>
          <w:tcPr>
            <w:tcW w:w="1636" w:type="dxa"/>
            <w:tcMar>
              <w:left w:w="108" w:type="dxa"/>
              <w:right w:w="108" w:type="dxa"/>
            </w:tcMar>
            <w:vAlign w:val="center"/>
          </w:tcPr>
          <w:p w14:paraId="0EA3C486" w14:textId="77777777" w:rsidR="00F55932" w:rsidRPr="00DA4611" w:rsidRDefault="00F55932" w:rsidP="009A7FA6">
            <w:pPr>
              <w:spacing w:after="0"/>
              <w:rPr>
                <w:sz w:val="16"/>
                <w:szCs w:val="16"/>
              </w:rPr>
            </w:pPr>
            <w:r w:rsidRPr="00DA4611">
              <w:rPr>
                <w:rFonts w:eastAsia="Aptos"/>
                <w:i/>
                <w:iCs/>
                <w:sz w:val="16"/>
                <w:szCs w:val="16"/>
              </w:rPr>
              <w:t>LIS</w:t>
            </w:r>
          </w:p>
        </w:tc>
        <w:tc>
          <w:tcPr>
            <w:tcW w:w="683" w:type="dxa"/>
            <w:tcMar>
              <w:left w:w="108" w:type="dxa"/>
              <w:right w:w="108" w:type="dxa"/>
            </w:tcMar>
            <w:vAlign w:val="center"/>
          </w:tcPr>
          <w:p w14:paraId="3BB6F0B1" w14:textId="77777777" w:rsidR="00F55932" w:rsidRPr="00DA4611" w:rsidRDefault="00F55932" w:rsidP="009A7FA6">
            <w:pPr>
              <w:spacing w:after="0"/>
              <w:jc w:val="right"/>
              <w:rPr>
                <w:sz w:val="16"/>
                <w:szCs w:val="16"/>
              </w:rPr>
            </w:pPr>
            <w:r w:rsidRPr="00DA4611">
              <w:rPr>
                <w:rFonts w:eastAsia="Aptos"/>
                <w:i/>
                <w:iCs/>
                <w:sz w:val="16"/>
                <w:szCs w:val="16"/>
              </w:rPr>
              <w:t>15000</w:t>
            </w:r>
          </w:p>
        </w:tc>
        <w:tc>
          <w:tcPr>
            <w:tcW w:w="776" w:type="dxa"/>
            <w:tcMar>
              <w:left w:w="108" w:type="dxa"/>
              <w:right w:w="108" w:type="dxa"/>
            </w:tcMar>
            <w:vAlign w:val="center"/>
          </w:tcPr>
          <w:p w14:paraId="743C8FFD" w14:textId="77777777" w:rsidR="00F55932" w:rsidRPr="00DA4611" w:rsidRDefault="00F55932" w:rsidP="009A7FA6">
            <w:pPr>
              <w:spacing w:after="0"/>
              <w:jc w:val="right"/>
              <w:rPr>
                <w:sz w:val="16"/>
                <w:szCs w:val="16"/>
              </w:rPr>
            </w:pPr>
            <w:r w:rsidRPr="00DA4611">
              <w:rPr>
                <w:rFonts w:eastAsia="Aptos"/>
                <w:i/>
                <w:iCs/>
                <w:sz w:val="16"/>
                <w:szCs w:val="16"/>
              </w:rPr>
              <w:t>30000</w:t>
            </w:r>
          </w:p>
        </w:tc>
        <w:tc>
          <w:tcPr>
            <w:tcW w:w="836" w:type="dxa"/>
            <w:tcMar>
              <w:left w:w="108" w:type="dxa"/>
              <w:right w:w="108" w:type="dxa"/>
            </w:tcMar>
            <w:vAlign w:val="center"/>
          </w:tcPr>
          <w:p w14:paraId="526CC702" w14:textId="77777777" w:rsidR="00F55932" w:rsidRPr="00DA4611" w:rsidRDefault="00F55932" w:rsidP="009A7FA6">
            <w:pPr>
              <w:spacing w:after="0"/>
              <w:jc w:val="right"/>
              <w:rPr>
                <w:sz w:val="16"/>
                <w:szCs w:val="16"/>
              </w:rPr>
            </w:pPr>
            <w:r w:rsidRPr="00DA4611">
              <w:rPr>
                <w:rFonts w:eastAsia="Aptos"/>
                <w:i/>
                <w:iCs/>
                <w:sz w:val="16"/>
                <w:szCs w:val="16"/>
              </w:rPr>
              <w:t>60000</w:t>
            </w:r>
          </w:p>
        </w:tc>
        <w:tc>
          <w:tcPr>
            <w:tcW w:w="870" w:type="dxa"/>
            <w:tcMar>
              <w:left w:w="108" w:type="dxa"/>
              <w:right w:w="108" w:type="dxa"/>
            </w:tcMar>
            <w:vAlign w:val="center"/>
          </w:tcPr>
          <w:p w14:paraId="321B795C" w14:textId="77777777" w:rsidR="00F55932" w:rsidRPr="00DA4611" w:rsidRDefault="00F55932" w:rsidP="009A7FA6">
            <w:pPr>
              <w:spacing w:after="0"/>
              <w:jc w:val="right"/>
              <w:rPr>
                <w:sz w:val="16"/>
                <w:szCs w:val="16"/>
              </w:rPr>
            </w:pPr>
            <w:r w:rsidRPr="00DA4611">
              <w:rPr>
                <w:rFonts w:eastAsia="Aptos"/>
                <w:i/>
                <w:iCs/>
                <w:sz w:val="16"/>
                <w:szCs w:val="16"/>
              </w:rPr>
              <w:t>100000</w:t>
            </w:r>
          </w:p>
        </w:tc>
        <w:tc>
          <w:tcPr>
            <w:tcW w:w="929" w:type="dxa"/>
            <w:tcMar>
              <w:left w:w="108" w:type="dxa"/>
              <w:right w:w="108" w:type="dxa"/>
            </w:tcMar>
            <w:vAlign w:val="center"/>
          </w:tcPr>
          <w:p w14:paraId="630B8BE5" w14:textId="77777777" w:rsidR="00F55932" w:rsidRPr="00DA4611" w:rsidRDefault="00F55932" w:rsidP="009A7FA6">
            <w:pPr>
              <w:spacing w:after="0"/>
              <w:jc w:val="right"/>
              <w:rPr>
                <w:sz w:val="16"/>
                <w:szCs w:val="16"/>
              </w:rPr>
            </w:pPr>
            <w:r w:rsidRPr="00DA4611">
              <w:rPr>
                <w:rFonts w:eastAsia="Aptos"/>
                <w:i/>
                <w:iCs/>
                <w:sz w:val="16"/>
                <w:szCs w:val="16"/>
              </w:rPr>
              <w:t>200000</w:t>
            </w:r>
          </w:p>
        </w:tc>
        <w:tc>
          <w:tcPr>
            <w:tcW w:w="963" w:type="dxa"/>
            <w:tcMar>
              <w:left w:w="108" w:type="dxa"/>
              <w:right w:w="108" w:type="dxa"/>
            </w:tcMar>
            <w:vAlign w:val="center"/>
          </w:tcPr>
          <w:p w14:paraId="4D02C95A" w14:textId="77777777" w:rsidR="00F55932" w:rsidRPr="00DA4611" w:rsidRDefault="00F55932" w:rsidP="009A7FA6">
            <w:pPr>
              <w:spacing w:after="0"/>
              <w:jc w:val="right"/>
              <w:rPr>
                <w:sz w:val="16"/>
                <w:szCs w:val="16"/>
              </w:rPr>
            </w:pPr>
            <w:r w:rsidRPr="00DA4611">
              <w:rPr>
                <w:rFonts w:eastAsia="Aptos"/>
                <w:i/>
                <w:iCs/>
                <w:sz w:val="16"/>
                <w:szCs w:val="16"/>
              </w:rPr>
              <w:t>300000</w:t>
            </w:r>
          </w:p>
        </w:tc>
        <w:tc>
          <w:tcPr>
            <w:tcW w:w="1022" w:type="dxa"/>
            <w:tcMar>
              <w:left w:w="108" w:type="dxa"/>
              <w:right w:w="108" w:type="dxa"/>
            </w:tcMar>
            <w:vAlign w:val="center"/>
          </w:tcPr>
          <w:p w14:paraId="7EF35084" w14:textId="77777777" w:rsidR="00F55932" w:rsidRPr="00DA4611" w:rsidRDefault="00F55932" w:rsidP="009A7FA6">
            <w:pPr>
              <w:spacing w:after="0"/>
              <w:jc w:val="right"/>
              <w:rPr>
                <w:sz w:val="16"/>
                <w:szCs w:val="16"/>
              </w:rPr>
            </w:pPr>
            <w:r w:rsidRPr="00DA4611">
              <w:rPr>
                <w:rFonts w:eastAsia="Aptos"/>
                <w:i/>
                <w:iCs/>
                <w:sz w:val="16"/>
                <w:szCs w:val="16"/>
              </w:rPr>
              <w:t>400000</w:t>
            </w:r>
          </w:p>
        </w:tc>
        <w:tc>
          <w:tcPr>
            <w:tcW w:w="1056" w:type="dxa"/>
            <w:tcMar>
              <w:left w:w="108" w:type="dxa"/>
              <w:right w:w="108" w:type="dxa"/>
            </w:tcMar>
            <w:vAlign w:val="center"/>
          </w:tcPr>
          <w:p w14:paraId="5764DB74" w14:textId="77777777" w:rsidR="00F55932" w:rsidRPr="00DA4611" w:rsidRDefault="00F55932" w:rsidP="009A7FA6">
            <w:pPr>
              <w:spacing w:after="0"/>
              <w:jc w:val="right"/>
              <w:rPr>
                <w:sz w:val="16"/>
                <w:szCs w:val="16"/>
              </w:rPr>
            </w:pPr>
            <w:r w:rsidRPr="00DA4611">
              <w:rPr>
                <w:rFonts w:eastAsia="Aptos"/>
                <w:i/>
                <w:iCs/>
                <w:sz w:val="16"/>
                <w:szCs w:val="16"/>
              </w:rPr>
              <w:t>500000</w:t>
            </w:r>
          </w:p>
        </w:tc>
        <w:tc>
          <w:tcPr>
            <w:tcW w:w="1056" w:type="dxa"/>
            <w:tcMar>
              <w:left w:w="108" w:type="dxa"/>
              <w:right w:w="108" w:type="dxa"/>
            </w:tcMar>
            <w:vAlign w:val="center"/>
          </w:tcPr>
          <w:p w14:paraId="5343C296" w14:textId="77777777" w:rsidR="00F55932" w:rsidRPr="00DA4611" w:rsidRDefault="00F55932" w:rsidP="009A7FA6">
            <w:pPr>
              <w:spacing w:after="0"/>
              <w:jc w:val="right"/>
              <w:rPr>
                <w:sz w:val="16"/>
                <w:szCs w:val="16"/>
              </w:rPr>
            </w:pPr>
            <w:r w:rsidRPr="00DA4611">
              <w:rPr>
                <w:rFonts w:eastAsia="Aptos"/>
                <w:i/>
                <w:iCs/>
                <w:sz w:val="16"/>
                <w:szCs w:val="16"/>
              </w:rPr>
              <w:t>650000</w:t>
            </w:r>
          </w:p>
        </w:tc>
      </w:tr>
      <w:tr w:rsidR="00F55932" w:rsidRPr="003560DF" w14:paraId="0955ADE9" w14:textId="77777777" w:rsidTr="009A7FA6">
        <w:trPr>
          <w:trHeight w:val="540"/>
        </w:trPr>
        <w:tc>
          <w:tcPr>
            <w:tcW w:w="1636" w:type="dxa"/>
            <w:tcMar>
              <w:left w:w="108" w:type="dxa"/>
              <w:right w:w="108" w:type="dxa"/>
            </w:tcMar>
            <w:vAlign w:val="center"/>
          </w:tcPr>
          <w:p w14:paraId="5C60E731" w14:textId="77777777" w:rsidR="00F55932" w:rsidRPr="00DA4611" w:rsidRDefault="00F55932" w:rsidP="009A7FA6">
            <w:pPr>
              <w:spacing w:after="0"/>
              <w:rPr>
                <w:sz w:val="16"/>
                <w:szCs w:val="16"/>
              </w:rPr>
            </w:pPr>
            <w:r w:rsidRPr="00DA4611">
              <w:rPr>
                <w:rFonts w:eastAsia="Aptos"/>
                <w:b/>
                <w:bCs/>
                <w:sz w:val="16"/>
                <w:szCs w:val="16"/>
              </w:rPr>
              <w:t>New proposed SMS</w:t>
            </w:r>
          </w:p>
        </w:tc>
        <w:tc>
          <w:tcPr>
            <w:tcW w:w="683" w:type="dxa"/>
            <w:tcMar>
              <w:left w:w="108" w:type="dxa"/>
              <w:right w:w="108" w:type="dxa"/>
            </w:tcMar>
            <w:vAlign w:val="center"/>
          </w:tcPr>
          <w:p w14:paraId="0C9233CC" w14:textId="77777777" w:rsidR="00F55932" w:rsidRPr="00DA4611" w:rsidRDefault="00F55932" w:rsidP="009A7FA6">
            <w:pPr>
              <w:spacing w:after="0"/>
              <w:jc w:val="right"/>
              <w:rPr>
                <w:sz w:val="16"/>
                <w:szCs w:val="16"/>
              </w:rPr>
            </w:pPr>
            <w:r w:rsidRPr="00DA4611">
              <w:rPr>
                <w:rFonts w:eastAsia="Aptos"/>
                <w:b/>
                <w:bCs/>
                <w:sz w:val="16"/>
                <w:szCs w:val="16"/>
              </w:rPr>
              <w:t>7500</w:t>
            </w:r>
          </w:p>
        </w:tc>
        <w:tc>
          <w:tcPr>
            <w:tcW w:w="776" w:type="dxa"/>
            <w:tcMar>
              <w:left w:w="108" w:type="dxa"/>
              <w:right w:w="108" w:type="dxa"/>
            </w:tcMar>
            <w:vAlign w:val="center"/>
          </w:tcPr>
          <w:p w14:paraId="5FD9C949" w14:textId="77777777" w:rsidR="00F55932" w:rsidRPr="00DA4611" w:rsidRDefault="00F55932" w:rsidP="009A7FA6">
            <w:pPr>
              <w:spacing w:after="0"/>
              <w:jc w:val="right"/>
              <w:rPr>
                <w:sz w:val="16"/>
                <w:szCs w:val="16"/>
              </w:rPr>
            </w:pPr>
            <w:r w:rsidRPr="00DA4611">
              <w:rPr>
                <w:rFonts w:eastAsia="Aptos"/>
                <w:b/>
                <w:bCs/>
                <w:sz w:val="16"/>
                <w:szCs w:val="16"/>
              </w:rPr>
              <w:t>10000</w:t>
            </w:r>
          </w:p>
        </w:tc>
        <w:tc>
          <w:tcPr>
            <w:tcW w:w="836" w:type="dxa"/>
            <w:tcMar>
              <w:left w:w="108" w:type="dxa"/>
              <w:right w:w="108" w:type="dxa"/>
            </w:tcMar>
            <w:vAlign w:val="center"/>
          </w:tcPr>
          <w:p w14:paraId="410BEDDB" w14:textId="77777777" w:rsidR="00F55932" w:rsidRPr="00DA4611" w:rsidRDefault="00F55932" w:rsidP="009A7FA6">
            <w:pPr>
              <w:spacing w:after="0"/>
              <w:jc w:val="right"/>
              <w:rPr>
                <w:sz w:val="16"/>
                <w:szCs w:val="16"/>
              </w:rPr>
            </w:pPr>
            <w:r w:rsidRPr="00DA4611">
              <w:rPr>
                <w:rFonts w:eastAsia="Aptos"/>
                <w:b/>
                <w:bCs/>
                <w:sz w:val="16"/>
                <w:szCs w:val="16"/>
              </w:rPr>
              <w:t>20000</w:t>
            </w:r>
          </w:p>
        </w:tc>
        <w:tc>
          <w:tcPr>
            <w:tcW w:w="870" w:type="dxa"/>
            <w:tcMar>
              <w:left w:w="108" w:type="dxa"/>
              <w:right w:w="108" w:type="dxa"/>
            </w:tcMar>
            <w:vAlign w:val="center"/>
          </w:tcPr>
          <w:p w14:paraId="01B0B976" w14:textId="77777777" w:rsidR="00F55932" w:rsidRPr="00DA4611" w:rsidRDefault="00F55932" w:rsidP="009A7FA6">
            <w:pPr>
              <w:spacing w:after="0"/>
              <w:jc w:val="right"/>
              <w:rPr>
                <w:sz w:val="16"/>
                <w:szCs w:val="16"/>
              </w:rPr>
            </w:pPr>
            <w:r w:rsidRPr="00DA4611">
              <w:rPr>
                <w:rFonts w:eastAsia="Aptos"/>
                <w:b/>
                <w:bCs/>
                <w:sz w:val="16"/>
                <w:szCs w:val="16"/>
              </w:rPr>
              <w:t>40000</w:t>
            </w:r>
          </w:p>
        </w:tc>
        <w:tc>
          <w:tcPr>
            <w:tcW w:w="929" w:type="dxa"/>
            <w:tcMar>
              <w:left w:w="108" w:type="dxa"/>
              <w:right w:w="108" w:type="dxa"/>
            </w:tcMar>
            <w:vAlign w:val="center"/>
          </w:tcPr>
          <w:p w14:paraId="73C7A19B" w14:textId="77777777" w:rsidR="00F55932" w:rsidRPr="00DA4611" w:rsidRDefault="00F55932" w:rsidP="009A7FA6">
            <w:pPr>
              <w:spacing w:after="0"/>
              <w:jc w:val="right"/>
              <w:rPr>
                <w:sz w:val="16"/>
                <w:szCs w:val="16"/>
              </w:rPr>
            </w:pPr>
            <w:r w:rsidRPr="00DA4611">
              <w:rPr>
                <w:rFonts w:eastAsia="Aptos"/>
                <w:b/>
                <w:bCs/>
                <w:sz w:val="16"/>
                <w:szCs w:val="16"/>
              </w:rPr>
              <w:t>70000</w:t>
            </w:r>
          </w:p>
        </w:tc>
        <w:tc>
          <w:tcPr>
            <w:tcW w:w="963" w:type="dxa"/>
            <w:tcMar>
              <w:left w:w="108" w:type="dxa"/>
              <w:right w:w="108" w:type="dxa"/>
            </w:tcMar>
            <w:vAlign w:val="center"/>
          </w:tcPr>
          <w:p w14:paraId="4C8FAAED" w14:textId="77777777" w:rsidR="00F55932" w:rsidRPr="00DA4611" w:rsidRDefault="00F55932" w:rsidP="009A7FA6">
            <w:pPr>
              <w:spacing w:after="0"/>
              <w:jc w:val="right"/>
              <w:rPr>
                <w:sz w:val="16"/>
                <w:szCs w:val="16"/>
              </w:rPr>
            </w:pPr>
            <w:r w:rsidRPr="00DA4611">
              <w:rPr>
                <w:rFonts w:eastAsia="Aptos"/>
                <w:b/>
                <w:bCs/>
                <w:sz w:val="16"/>
                <w:szCs w:val="16"/>
              </w:rPr>
              <w:t>110000</w:t>
            </w:r>
          </w:p>
        </w:tc>
        <w:tc>
          <w:tcPr>
            <w:tcW w:w="1022" w:type="dxa"/>
            <w:tcMar>
              <w:left w:w="108" w:type="dxa"/>
              <w:right w:w="108" w:type="dxa"/>
            </w:tcMar>
            <w:vAlign w:val="center"/>
          </w:tcPr>
          <w:p w14:paraId="3E9D1AFE" w14:textId="77777777" w:rsidR="00F55932" w:rsidRPr="00DA4611" w:rsidRDefault="00F55932" w:rsidP="009A7FA6">
            <w:pPr>
              <w:spacing w:after="0"/>
              <w:jc w:val="right"/>
              <w:rPr>
                <w:sz w:val="16"/>
                <w:szCs w:val="16"/>
              </w:rPr>
            </w:pPr>
            <w:r w:rsidRPr="00DA4611">
              <w:rPr>
                <w:rFonts w:eastAsia="Aptos"/>
                <w:b/>
                <w:bCs/>
                <w:sz w:val="16"/>
                <w:szCs w:val="16"/>
              </w:rPr>
              <w:t>150000</w:t>
            </w:r>
          </w:p>
        </w:tc>
        <w:tc>
          <w:tcPr>
            <w:tcW w:w="1056" w:type="dxa"/>
            <w:tcMar>
              <w:left w:w="108" w:type="dxa"/>
              <w:right w:w="108" w:type="dxa"/>
            </w:tcMar>
            <w:vAlign w:val="center"/>
          </w:tcPr>
          <w:p w14:paraId="2C215465" w14:textId="77777777" w:rsidR="00F55932" w:rsidRPr="00DA4611" w:rsidRDefault="00F55932" w:rsidP="009A7FA6">
            <w:pPr>
              <w:spacing w:after="0"/>
              <w:jc w:val="right"/>
              <w:rPr>
                <w:sz w:val="16"/>
                <w:szCs w:val="16"/>
              </w:rPr>
            </w:pPr>
            <w:r w:rsidRPr="00DA4611">
              <w:rPr>
                <w:rFonts w:eastAsia="Aptos"/>
                <w:b/>
                <w:bCs/>
                <w:sz w:val="16"/>
                <w:szCs w:val="16"/>
              </w:rPr>
              <w:t>200000</w:t>
            </w:r>
          </w:p>
        </w:tc>
        <w:tc>
          <w:tcPr>
            <w:tcW w:w="1056" w:type="dxa"/>
            <w:tcMar>
              <w:left w:w="108" w:type="dxa"/>
              <w:right w:w="108" w:type="dxa"/>
            </w:tcMar>
            <w:vAlign w:val="center"/>
          </w:tcPr>
          <w:p w14:paraId="15AF8388" w14:textId="77777777" w:rsidR="00F55932" w:rsidRPr="00DA4611" w:rsidRDefault="00F55932" w:rsidP="009A7FA6">
            <w:pPr>
              <w:spacing w:after="0"/>
              <w:jc w:val="right"/>
              <w:rPr>
                <w:sz w:val="16"/>
                <w:szCs w:val="16"/>
              </w:rPr>
            </w:pPr>
            <w:r w:rsidRPr="00DA4611">
              <w:rPr>
                <w:rFonts w:eastAsia="Aptos"/>
                <w:b/>
                <w:bCs/>
                <w:sz w:val="16"/>
                <w:szCs w:val="16"/>
              </w:rPr>
              <w:t>25000</w:t>
            </w:r>
          </w:p>
        </w:tc>
      </w:tr>
      <w:tr w:rsidR="00F55932" w:rsidRPr="003560DF" w14:paraId="3462A495" w14:textId="77777777" w:rsidTr="009A7FA6">
        <w:trPr>
          <w:trHeight w:val="810"/>
        </w:trPr>
        <w:tc>
          <w:tcPr>
            <w:tcW w:w="1636" w:type="dxa"/>
            <w:tcMar>
              <w:left w:w="108" w:type="dxa"/>
              <w:right w:w="108" w:type="dxa"/>
            </w:tcMar>
            <w:vAlign w:val="center"/>
          </w:tcPr>
          <w:p w14:paraId="36FD6B48" w14:textId="77777777" w:rsidR="00F55932" w:rsidRPr="00DA4611" w:rsidRDefault="00F55932" w:rsidP="009A7FA6">
            <w:pPr>
              <w:spacing w:after="0"/>
              <w:rPr>
                <w:sz w:val="16"/>
                <w:szCs w:val="16"/>
              </w:rPr>
            </w:pPr>
            <w:r w:rsidRPr="00DA4611">
              <w:rPr>
                <w:rFonts w:eastAsia="Aptos"/>
                <w:sz w:val="16"/>
                <w:szCs w:val="16"/>
              </w:rPr>
              <w:t>SI transparency threshold (2*SMS)</w:t>
            </w:r>
          </w:p>
        </w:tc>
        <w:tc>
          <w:tcPr>
            <w:tcW w:w="683" w:type="dxa"/>
            <w:tcMar>
              <w:left w:w="108" w:type="dxa"/>
              <w:right w:w="108" w:type="dxa"/>
            </w:tcMar>
            <w:vAlign w:val="center"/>
          </w:tcPr>
          <w:p w14:paraId="3309865E" w14:textId="77777777" w:rsidR="00F55932" w:rsidRPr="00DA4611" w:rsidRDefault="00F55932" w:rsidP="009A7FA6">
            <w:pPr>
              <w:spacing w:after="0"/>
              <w:jc w:val="right"/>
              <w:rPr>
                <w:sz w:val="16"/>
                <w:szCs w:val="16"/>
              </w:rPr>
            </w:pPr>
            <w:r w:rsidRPr="00DA4611">
              <w:rPr>
                <w:rFonts w:eastAsia="Aptos"/>
                <w:sz w:val="16"/>
                <w:szCs w:val="16"/>
              </w:rPr>
              <w:t>15000</w:t>
            </w:r>
          </w:p>
        </w:tc>
        <w:tc>
          <w:tcPr>
            <w:tcW w:w="776" w:type="dxa"/>
            <w:tcMar>
              <w:left w:w="108" w:type="dxa"/>
              <w:right w:w="108" w:type="dxa"/>
            </w:tcMar>
            <w:vAlign w:val="center"/>
          </w:tcPr>
          <w:p w14:paraId="0F749C7E" w14:textId="77777777" w:rsidR="00F55932" w:rsidRPr="00DA4611" w:rsidRDefault="00F55932" w:rsidP="009A7FA6">
            <w:pPr>
              <w:spacing w:after="0"/>
              <w:jc w:val="right"/>
              <w:rPr>
                <w:sz w:val="16"/>
                <w:szCs w:val="16"/>
              </w:rPr>
            </w:pPr>
            <w:r w:rsidRPr="00DA4611">
              <w:rPr>
                <w:rFonts w:eastAsia="Aptos"/>
                <w:sz w:val="16"/>
                <w:szCs w:val="16"/>
              </w:rPr>
              <w:t>20000</w:t>
            </w:r>
          </w:p>
        </w:tc>
        <w:tc>
          <w:tcPr>
            <w:tcW w:w="836" w:type="dxa"/>
            <w:tcMar>
              <w:left w:w="108" w:type="dxa"/>
              <w:right w:w="108" w:type="dxa"/>
            </w:tcMar>
            <w:vAlign w:val="center"/>
          </w:tcPr>
          <w:p w14:paraId="07A4472C" w14:textId="77777777" w:rsidR="00F55932" w:rsidRPr="00DA4611" w:rsidRDefault="00F55932" w:rsidP="009A7FA6">
            <w:pPr>
              <w:spacing w:after="0"/>
              <w:jc w:val="right"/>
              <w:rPr>
                <w:sz w:val="16"/>
                <w:szCs w:val="16"/>
              </w:rPr>
            </w:pPr>
            <w:r w:rsidRPr="00DA4611">
              <w:rPr>
                <w:rFonts w:eastAsia="Aptos"/>
                <w:sz w:val="16"/>
                <w:szCs w:val="16"/>
              </w:rPr>
              <w:t>40000</w:t>
            </w:r>
          </w:p>
        </w:tc>
        <w:tc>
          <w:tcPr>
            <w:tcW w:w="870" w:type="dxa"/>
            <w:tcMar>
              <w:left w:w="108" w:type="dxa"/>
              <w:right w:w="108" w:type="dxa"/>
            </w:tcMar>
            <w:vAlign w:val="center"/>
          </w:tcPr>
          <w:p w14:paraId="444B1BB5" w14:textId="77777777" w:rsidR="00F55932" w:rsidRPr="00DA4611" w:rsidRDefault="00F55932" w:rsidP="009A7FA6">
            <w:pPr>
              <w:spacing w:after="0"/>
              <w:jc w:val="right"/>
              <w:rPr>
                <w:sz w:val="16"/>
                <w:szCs w:val="16"/>
              </w:rPr>
            </w:pPr>
            <w:r w:rsidRPr="00DA4611">
              <w:rPr>
                <w:rFonts w:eastAsia="Aptos"/>
                <w:sz w:val="16"/>
                <w:szCs w:val="16"/>
              </w:rPr>
              <w:t>80000</w:t>
            </w:r>
          </w:p>
        </w:tc>
        <w:tc>
          <w:tcPr>
            <w:tcW w:w="929" w:type="dxa"/>
            <w:tcMar>
              <w:left w:w="108" w:type="dxa"/>
              <w:right w:w="108" w:type="dxa"/>
            </w:tcMar>
            <w:vAlign w:val="center"/>
          </w:tcPr>
          <w:p w14:paraId="1072B57D" w14:textId="77777777" w:rsidR="00F55932" w:rsidRPr="00DA4611" w:rsidRDefault="00F55932" w:rsidP="009A7FA6">
            <w:pPr>
              <w:spacing w:after="0"/>
              <w:jc w:val="right"/>
              <w:rPr>
                <w:sz w:val="16"/>
                <w:szCs w:val="16"/>
              </w:rPr>
            </w:pPr>
            <w:r w:rsidRPr="00DA4611">
              <w:rPr>
                <w:rFonts w:eastAsia="Aptos"/>
                <w:sz w:val="16"/>
                <w:szCs w:val="16"/>
              </w:rPr>
              <w:t>140000</w:t>
            </w:r>
          </w:p>
        </w:tc>
        <w:tc>
          <w:tcPr>
            <w:tcW w:w="963" w:type="dxa"/>
            <w:tcMar>
              <w:left w:w="108" w:type="dxa"/>
              <w:right w:w="108" w:type="dxa"/>
            </w:tcMar>
            <w:vAlign w:val="center"/>
          </w:tcPr>
          <w:p w14:paraId="1BA941DF" w14:textId="77777777" w:rsidR="00F55932" w:rsidRPr="00DA4611" w:rsidRDefault="00F55932" w:rsidP="009A7FA6">
            <w:pPr>
              <w:spacing w:after="0"/>
              <w:jc w:val="right"/>
              <w:rPr>
                <w:sz w:val="16"/>
                <w:szCs w:val="16"/>
              </w:rPr>
            </w:pPr>
            <w:r w:rsidRPr="00DA4611">
              <w:rPr>
                <w:rFonts w:eastAsia="Aptos"/>
                <w:sz w:val="16"/>
                <w:szCs w:val="16"/>
              </w:rPr>
              <w:t>220000</w:t>
            </w:r>
          </w:p>
        </w:tc>
        <w:tc>
          <w:tcPr>
            <w:tcW w:w="1022" w:type="dxa"/>
            <w:tcMar>
              <w:left w:w="108" w:type="dxa"/>
              <w:right w:w="108" w:type="dxa"/>
            </w:tcMar>
            <w:vAlign w:val="center"/>
          </w:tcPr>
          <w:p w14:paraId="4750CA19" w14:textId="77777777" w:rsidR="00F55932" w:rsidRPr="00DA4611" w:rsidRDefault="00F55932" w:rsidP="009A7FA6">
            <w:pPr>
              <w:spacing w:after="0"/>
              <w:jc w:val="right"/>
              <w:rPr>
                <w:sz w:val="16"/>
                <w:szCs w:val="16"/>
              </w:rPr>
            </w:pPr>
            <w:r w:rsidRPr="00DA4611">
              <w:rPr>
                <w:rFonts w:eastAsia="Aptos"/>
                <w:sz w:val="16"/>
                <w:szCs w:val="16"/>
              </w:rPr>
              <w:t>300000</w:t>
            </w:r>
          </w:p>
        </w:tc>
        <w:tc>
          <w:tcPr>
            <w:tcW w:w="1056" w:type="dxa"/>
            <w:tcMar>
              <w:left w:w="108" w:type="dxa"/>
              <w:right w:w="108" w:type="dxa"/>
            </w:tcMar>
            <w:vAlign w:val="center"/>
          </w:tcPr>
          <w:p w14:paraId="016602DE" w14:textId="77777777" w:rsidR="00F55932" w:rsidRPr="00DA4611" w:rsidRDefault="00F55932" w:rsidP="009A7FA6">
            <w:pPr>
              <w:spacing w:after="0"/>
              <w:jc w:val="right"/>
              <w:rPr>
                <w:sz w:val="16"/>
                <w:szCs w:val="16"/>
              </w:rPr>
            </w:pPr>
            <w:r w:rsidRPr="00DA4611">
              <w:rPr>
                <w:rFonts w:eastAsia="Aptos"/>
                <w:sz w:val="16"/>
                <w:szCs w:val="16"/>
              </w:rPr>
              <w:t>400000</w:t>
            </w:r>
          </w:p>
        </w:tc>
        <w:tc>
          <w:tcPr>
            <w:tcW w:w="1056" w:type="dxa"/>
            <w:tcMar>
              <w:left w:w="108" w:type="dxa"/>
              <w:right w:w="108" w:type="dxa"/>
            </w:tcMar>
            <w:vAlign w:val="center"/>
          </w:tcPr>
          <w:p w14:paraId="4188B3B3" w14:textId="77777777" w:rsidR="00F55932" w:rsidRPr="00DA4611" w:rsidRDefault="00F55932" w:rsidP="009A7FA6">
            <w:pPr>
              <w:spacing w:after="0"/>
              <w:jc w:val="right"/>
              <w:rPr>
                <w:sz w:val="16"/>
                <w:szCs w:val="16"/>
              </w:rPr>
            </w:pPr>
            <w:r w:rsidRPr="00DA4611">
              <w:rPr>
                <w:rFonts w:eastAsia="Aptos"/>
                <w:sz w:val="16"/>
                <w:szCs w:val="16"/>
              </w:rPr>
              <w:t>50000</w:t>
            </w:r>
          </w:p>
        </w:tc>
      </w:tr>
      <w:tr w:rsidR="00F55932" w:rsidRPr="003560DF" w14:paraId="7AE9CF2D" w14:textId="77777777" w:rsidTr="009A7FA6">
        <w:trPr>
          <w:trHeight w:val="810"/>
        </w:trPr>
        <w:tc>
          <w:tcPr>
            <w:tcW w:w="1636" w:type="dxa"/>
            <w:tcMar>
              <w:left w:w="108" w:type="dxa"/>
              <w:right w:w="108" w:type="dxa"/>
            </w:tcMar>
            <w:vAlign w:val="center"/>
          </w:tcPr>
          <w:p w14:paraId="4750C32B" w14:textId="77777777" w:rsidR="00F55932" w:rsidRPr="00DA4611" w:rsidRDefault="00F55932" w:rsidP="009A7FA6">
            <w:pPr>
              <w:spacing w:after="0"/>
              <w:rPr>
                <w:sz w:val="16"/>
                <w:szCs w:val="16"/>
              </w:rPr>
            </w:pPr>
            <w:r w:rsidRPr="00DA4611">
              <w:rPr>
                <w:rFonts w:eastAsia="Aptos"/>
                <w:sz w:val="16"/>
                <w:szCs w:val="16"/>
              </w:rPr>
              <w:t>Estimated # of Euronext-listed stocks per band if all Euronext-listed stocks considered as liquid</w:t>
            </w:r>
          </w:p>
        </w:tc>
        <w:tc>
          <w:tcPr>
            <w:tcW w:w="683" w:type="dxa"/>
            <w:tcMar>
              <w:left w:w="108" w:type="dxa"/>
              <w:right w:w="108" w:type="dxa"/>
            </w:tcMar>
          </w:tcPr>
          <w:p w14:paraId="005C16B3" w14:textId="77777777" w:rsidR="00F55932" w:rsidRPr="00DA4611" w:rsidRDefault="00F55932" w:rsidP="009A7FA6">
            <w:pPr>
              <w:spacing w:after="0"/>
              <w:jc w:val="right"/>
              <w:rPr>
                <w:sz w:val="16"/>
                <w:szCs w:val="16"/>
              </w:rPr>
            </w:pPr>
            <w:r w:rsidRPr="00DA4611">
              <w:rPr>
                <w:rFonts w:eastAsia="Aptos"/>
                <w:sz w:val="16"/>
                <w:szCs w:val="16"/>
              </w:rPr>
              <w:t>1159</w:t>
            </w:r>
          </w:p>
        </w:tc>
        <w:tc>
          <w:tcPr>
            <w:tcW w:w="776" w:type="dxa"/>
            <w:tcMar>
              <w:left w:w="108" w:type="dxa"/>
              <w:right w:w="108" w:type="dxa"/>
            </w:tcMar>
          </w:tcPr>
          <w:p w14:paraId="67DF8ED7" w14:textId="77777777" w:rsidR="00F55932" w:rsidRPr="00DA4611" w:rsidRDefault="00F55932" w:rsidP="009A7FA6">
            <w:pPr>
              <w:spacing w:after="0"/>
              <w:jc w:val="right"/>
              <w:rPr>
                <w:sz w:val="16"/>
                <w:szCs w:val="16"/>
              </w:rPr>
            </w:pPr>
            <w:r w:rsidRPr="00DA4611">
              <w:rPr>
                <w:rFonts w:eastAsia="Aptos"/>
                <w:sz w:val="16"/>
                <w:szCs w:val="16"/>
              </w:rPr>
              <w:t>196</w:t>
            </w:r>
          </w:p>
        </w:tc>
        <w:tc>
          <w:tcPr>
            <w:tcW w:w="836" w:type="dxa"/>
            <w:tcMar>
              <w:left w:w="108" w:type="dxa"/>
              <w:right w:w="108" w:type="dxa"/>
            </w:tcMar>
          </w:tcPr>
          <w:p w14:paraId="0677C8B2" w14:textId="77777777" w:rsidR="00F55932" w:rsidRPr="00DA4611" w:rsidRDefault="00F55932" w:rsidP="009A7FA6">
            <w:pPr>
              <w:spacing w:after="0"/>
              <w:jc w:val="right"/>
              <w:rPr>
                <w:sz w:val="16"/>
                <w:szCs w:val="16"/>
              </w:rPr>
            </w:pPr>
            <w:r w:rsidRPr="00DA4611">
              <w:rPr>
                <w:rFonts w:eastAsia="Aptos"/>
                <w:sz w:val="16"/>
                <w:szCs w:val="16"/>
              </w:rPr>
              <w:t>442</w:t>
            </w:r>
          </w:p>
        </w:tc>
        <w:tc>
          <w:tcPr>
            <w:tcW w:w="870" w:type="dxa"/>
            <w:tcMar>
              <w:left w:w="108" w:type="dxa"/>
              <w:right w:w="108" w:type="dxa"/>
            </w:tcMar>
          </w:tcPr>
          <w:p w14:paraId="3C5AF675" w14:textId="77777777" w:rsidR="00F55932" w:rsidRPr="00DA4611" w:rsidRDefault="00F55932" w:rsidP="009A7FA6">
            <w:pPr>
              <w:spacing w:after="0"/>
              <w:jc w:val="right"/>
              <w:rPr>
                <w:sz w:val="16"/>
                <w:szCs w:val="16"/>
              </w:rPr>
            </w:pPr>
            <w:r w:rsidRPr="00DA4611">
              <w:rPr>
                <w:rFonts w:eastAsia="Aptos"/>
                <w:sz w:val="16"/>
                <w:szCs w:val="16"/>
              </w:rPr>
              <w:t>125</w:t>
            </w:r>
          </w:p>
        </w:tc>
        <w:tc>
          <w:tcPr>
            <w:tcW w:w="929" w:type="dxa"/>
            <w:tcMar>
              <w:left w:w="108" w:type="dxa"/>
              <w:right w:w="108" w:type="dxa"/>
            </w:tcMar>
          </w:tcPr>
          <w:p w14:paraId="08ADBD46" w14:textId="77777777" w:rsidR="00F55932" w:rsidRPr="00DA4611" w:rsidRDefault="00F55932" w:rsidP="009A7FA6">
            <w:pPr>
              <w:spacing w:after="0"/>
              <w:jc w:val="right"/>
              <w:rPr>
                <w:sz w:val="16"/>
                <w:szCs w:val="16"/>
              </w:rPr>
            </w:pPr>
            <w:r w:rsidRPr="00DA4611">
              <w:rPr>
                <w:rFonts w:eastAsia="Aptos"/>
                <w:sz w:val="16"/>
                <w:szCs w:val="16"/>
              </w:rPr>
              <w:t>251</w:t>
            </w:r>
          </w:p>
        </w:tc>
        <w:tc>
          <w:tcPr>
            <w:tcW w:w="963" w:type="dxa"/>
            <w:tcMar>
              <w:left w:w="108" w:type="dxa"/>
              <w:right w:w="108" w:type="dxa"/>
            </w:tcMar>
          </w:tcPr>
          <w:p w14:paraId="0C42E6F2" w14:textId="77777777" w:rsidR="00F55932" w:rsidRPr="00DA4611" w:rsidRDefault="00F55932" w:rsidP="009A7FA6">
            <w:pPr>
              <w:spacing w:after="0"/>
              <w:jc w:val="right"/>
              <w:rPr>
                <w:sz w:val="16"/>
                <w:szCs w:val="16"/>
              </w:rPr>
            </w:pPr>
            <w:r w:rsidRPr="00DA4611">
              <w:rPr>
                <w:rFonts w:eastAsia="Aptos"/>
                <w:sz w:val="16"/>
                <w:szCs w:val="16"/>
              </w:rPr>
              <w:t>180</w:t>
            </w:r>
          </w:p>
        </w:tc>
        <w:tc>
          <w:tcPr>
            <w:tcW w:w="1022" w:type="dxa"/>
            <w:tcMar>
              <w:left w:w="108" w:type="dxa"/>
              <w:right w:w="108" w:type="dxa"/>
            </w:tcMar>
          </w:tcPr>
          <w:p w14:paraId="7DA29472" w14:textId="77777777" w:rsidR="00F55932" w:rsidRPr="00DA4611" w:rsidRDefault="00F55932" w:rsidP="009A7FA6">
            <w:pPr>
              <w:spacing w:after="0"/>
              <w:jc w:val="right"/>
              <w:rPr>
                <w:sz w:val="16"/>
                <w:szCs w:val="16"/>
              </w:rPr>
            </w:pPr>
            <w:r w:rsidRPr="00DA4611">
              <w:rPr>
                <w:rFonts w:eastAsia="Aptos"/>
                <w:sz w:val="16"/>
                <w:szCs w:val="16"/>
              </w:rPr>
              <w:t>49</w:t>
            </w:r>
          </w:p>
        </w:tc>
        <w:tc>
          <w:tcPr>
            <w:tcW w:w="1056" w:type="dxa"/>
            <w:tcMar>
              <w:left w:w="108" w:type="dxa"/>
              <w:right w:w="108" w:type="dxa"/>
            </w:tcMar>
          </w:tcPr>
          <w:p w14:paraId="6125E501" w14:textId="77777777" w:rsidR="00F55932" w:rsidRPr="00DA4611" w:rsidRDefault="00F55932" w:rsidP="009A7FA6">
            <w:pPr>
              <w:spacing w:after="0"/>
              <w:jc w:val="right"/>
              <w:rPr>
                <w:sz w:val="16"/>
                <w:szCs w:val="16"/>
              </w:rPr>
            </w:pPr>
            <w:r w:rsidRPr="00DA4611">
              <w:rPr>
                <w:rFonts w:eastAsia="Aptos"/>
                <w:sz w:val="16"/>
                <w:szCs w:val="16"/>
              </w:rPr>
              <w:t>44</w:t>
            </w:r>
          </w:p>
        </w:tc>
        <w:tc>
          <w:tcPr>
            <w:tcW w:w="1056" w:type="dxa"/>
            <w:tcMar>
              <w:left w:w="108" w:type="dxa"/>
              <w:right w:w="108" w:type="dxa"/>
            </w:tcMar>
          </w:tcPr>
          <w:p w14:paraId="05CF407E" w14:textId="77777777" w:rsidR="00F55932" w:rsidRPr="00DA4611" w:rsidRDefault="00F55932" w:rsidP="009A7FA6">
            <w:pPr>
              <w:spacing w:after="0"/>
              <w:jc w:val="right"/>
              <w:rPr>
                <w:sz w:val="16"/>
                <w:szCs w:val="16"/>
              </w:rPr>
            </w:pPr>
            <w:r w:rsidRPr="00DA4611">
              <w:rPr>
                <w:rFonts w:eastAsia="Aptos"/>
                <w:sz w:val="16"/>
                <w:szCs w:val="16"/>
              </w:rPr>
              <w:t>81</w:t>
            </w:r>
          </w:p>
        </w:tc>
      </w:tr>
      <w:tr w:rsidR="00F55932" w:rsidRPr="003560DF" w14:paraId="73122A3E" w14:textId="77777777" w:rsidTr="009A7FA6">
        <w:trPr>
          <w:trHeight w:val="810"/>
        </w:trPr>
        <w:tc>
          <w:tcPr>
            <w:tcW w:w="1636" w:type="dxa"/>
            <w:tcMar>
              <w:left w:w="108" w:type="dxa"/>
              <w:right w:w="108" w:type="dxa"/>
            </w:tcMar>
            <w:vAlign w:val="center"/>
          </w:tcPr>
          <w:p w14:paraId="76BDF465" w14:textId="77777777" w:rsidR="00F55932" w:rsidRPr="00DA4611" w:rsidRDefault="00F55932" w:rsidP="009A7FA6">
            <w:pPr>
              <w:spacing w:after="0"/>
              <w:rPr>
                <w:rFonts w:eastAsia="Aptos"/>
                <w:sz w:val="16"/>
                <w:szCs w:val="16"/>
              </w:rPr>
            </w:pPr>
            <w:r w:rsidRPr="00DA4611">
              <w:rPr>
                <w:rFonts w:eastAsia="Aptos"/>
                <w:sz w:val="16"/>
                <w:szCs w:val="16"/>
              </w:rPr>
              <w:lastRenderedPageBreak/>
              <w:t>Estimated # of Euronext-listed stocks per band (only including stocks falling into the liquid market definition)</w:t>
            </w:r>
          </w:p>
        </w:tc>
        <w:tc>
          <w:tcPr>
            <w:tcW w:w="683" w:type="dxa"/>
            <w:tcMar>
              <w:left w:w="108" w:type="dxa"/>
              <w:right w:w="108" w:type="dxa"/>
            </w:tcMar>
          </w:tcPr>
          <w:p w14:paraId="7055BB0D" w14:textId="77777777" w:rsidR="00F55932" w:rsidRPr="00DA4611" w:rsidRDefault="00F55932" w:rsidP="009A7FA6">
            <w:pPr>
              <w:spacing w:after="0"/>
              <w:jc w:val="right"/>
              <w:rPr>
                <w:rFonts w:eastAsia="Aptos"/>
                <w:sz w:val="16"/>
                <w:szCs w:val="16"/>
              </w:rPr>
            </w:pPr>
            <w:r w:rsidRPr="00DA4611">
              <w:rPr>
                <w:rFonts w:eastAsia="Aptos"/>
                <w:sz w:val="16"/>
                <w:szCs w:val="16"/>
              </w:rPr>
              <w:t>177</w:t>
            </w:r>
          </w:p>
        </w:tc>
        <w:tc>
          <w:tcPr>
            <w:tcW w:w="776" w:type="dxa"/>
            <w:tcMar>
              <w:left w:w="108" w:type="dxa"/>
              <w:right w:w="108" w:type="dxa"/>
            </w:tcMar>
          </w:tcPr>
          <w:p w14:paraId="23F5E560" w14:textId="77777777" w:rsidR="00F55932" w:rsidRPr="00DA4611" w:rsidRDefault="00F55932" w:rsidP="009A7FA6">
            <w:pPr>
              <w:spacing w:after="0"/>
              <w:jc w:val="right"/>
              <w:rPr>
                <w:rFonts w:eastAsia="Aptos"/>
                <w:sz w:val="16"/>
                <w:szCs w:val="16"/>
              </w:rPr>
            </w:pPr>
            <w:r w:rsidRPr="00DA4611">
              <w:rPr>
                <w:rFonts w:eastAsia="Aptos"/>
                <w:sz w:val="16"/>
                <w:szCs w:val="16"/>
              </w:rPr>
              <w:t>41</w:t>
            </w:r>
          </w:p>
        </w:tc>
        <w:tc>
          <w:tcPr>
            <w:tcW w:w="836" w:type="dxa"/>
            <w:tcMar>
              <w:left w:w="108" w:type="dxa"/>
              <w:right w:w="108" w:type="dxa"/>
            </w:tcMar>
          </w:tcPr>
          <w:p w14:paraId="2B6D4CE6" w14:textId="77777777" w:rsidR="00F55932" w:rsidRPr="00DA4611" w:rsidRDefault="00F55932" w:rsidP="009A7FA6">
            <w:pPr>
              <w:spacing w:after="0"/>
              <w:jc w:val="right"/>
              <w:rPr>
                <w:rFonts w:eastAsia="Aptos"/>
                <w:sz w:val="16"/>
                <w:szCs w:val="16"/>
              </w:rPr>
            </w:pPr>
            <w:r w:rsidRPr="00DA4611">
              <w:rPr>
                <w:rFonts w:eastAsia="Aptos"/>
                <w:sz w:val="16"/>
                <w:szCs w:val="16"/>
              </w:rPr>
              <w:t>77</w:t>
            </w:r>
          </w:p>
        </w:tc>
        <w:tc>
          <w:tcPr>
            <w:tcW w:w="870" w:type="dxa"/>
            <w:tcMar>
              <w:left w:w="108" w:type="dxa"/>
              <w:right w:w="108" w:type="dxa"/>
            </w:tcMar>
          </w:tcPr>
          <w:p w14:paraId="1B2BCFCD" w14:textId="77777777" w:rsidR="00F55932" w:rsidRPr="00DA4611" w:rsidRDefault="00F55932" w:rsidP="009A7FA6">
            <w:pPr>
              <w:spacing w:after="0"/>
              <w:jc w:val="right"/>
              <w:rPr>
                <w:rFonts w:eastAsia="Aptos"/>
                <w:sz w:val="16"/>
                <w:szCs w:val="16"/>
              </w:rPr>
            </w:pPr>
            <w:r w:rsidRPr="00DA4611">
              <w:rPr>
                <w:rFonts w:eastAsia="Aptos"/>
                <w:sz w:val="16"/>
                <w:szCs w:val="16"/>
              </w:rPr>
              <w:t>31</w:t>
            </w:r>
          </w:p>
        </w:tc>
        <w:tc>
          <w:tcPr>
            <w:tcW w:w="929" w:type="dxa"/>
            <w:tcMar>
              <w:left w:w="108" w:type="dxa"/>
              <w:right w:w="108" w:type="dxa"/>
            </w:tcMar>
          </w:tcPr>
          <w:p w14:paraId="7ACFA072" w14:textId="77777777" w:rsidR="00F55932" w:rsidRPr="00DA4611" w:rsidRDefault="00F55932" w:rsidP="009A7FA6">
            <w:pPr>
              <w:spacing w:after="0"/>
              <w:jc w:val="right"/>
              <w:rPr>
                <w:rFonts w:eastAsia="Aptos"/>
                <w:sz w:val="16"/>
                <w:szCs w:val="16"/>
              </w:rPr>
            </w:pPr>
            <w:r w:rsidRPr="00DA4611">
              <w:rPr>
                <w:rFonts w:eastAsia="Aptos"/>
                <w:sz w:val="16"/>
                <w:szCs w:val="16"/>
              </w:rPr>
              <w:t>57</w:t>
            </w:r>
          </w:p>
        </w:tc>
        <w:tc>
          <w:tcPr>
            <w:tcW w:w="963" w:type="dxa"/>
            <w:tcMar>
              <w:left w:w="108" w:type="dxa"/>
              <w:right w:w="108" w:type="dxa"/>
            </w:tcMar>
          </w:tcPr>
          <w:p w14:paraId="0A4B1F5E" w14:textId="77777777" w:rsidR="00F55932" w:rsidRPr="00DA4611" w:rsidRDefault="00F55932" w:rsidP="009A7FA6">
            <w:pPr>
              <w:spacing w:after="0"/>
              <w:jc w:val="right"/>
              <w:rPr>
                <w:rFonts w:eastAsia="Aptos"/>
                <w:sz w:val="16"/>
                <w:szCs w:val="16"/>
              </w:rPr>
            </w:pPr>
            <w:r w:rsidRPr="00DA4611">
              <w:rPr>
                <w:rFonts w:eastAsia="Aptos"/>
                <w:sz w:val="16"/>
                <w:szCs w:val="16"/>
              </w:rPr>
              <w:t>43</w:t>
            </w:r>
          </w:p>
        </w:tc>
        <w:tc>
          <w:tcPr>
            <w:tcW w:w="1022" w:type="dxa"/>
            <w:tcMar>
              <w:left w:w="108" w:type="dxa"/>
              <w:right w:w="108" w:type="dxa"/>
            </w:tcMar>
          </w:tcPr>
          <w:p w14:paraId="7EFF06A0" w14:textId="77777777" w:rsidR="00F55932" w:rsidRPr="00DA4611" w:rsidRDefault="00F55932" w:rsidP="009A7FA6">
            <w:pPr>
              <w:spacing w:after="0"/>
              <w:jc w:val="right"/>
              <w:rPr>
                <w:rFonts w:eastAsia="Aptos"/>
                <w:sz w:val="16"/>
                <w:szCs w:val="16"/>
              </w:rPr>
            </w:pPr>
            <w:r w:rsidRPr="00DA4611">
              <w:rPr>
                <w:rFonts w:eastAsia="Aptos"/>
                <w:sz w:val="16"/>
                <w:szCs w:val="16"/>
              </w:rPr>
              <w:t>19</w:t>
            </w:r>
          </w:p>
        </w:tc>
        <w:tc>
          <w:tcPr>
            <w:tcW w:w="1056" w:type="dxa"/>
            <w:tcMar>
              <w:left w:w="108" w:type="dxa"/>
              <w:right w:w="108" w:type="dxa"/>
            </w:tcMar>
          </w:tcPr>
          <w:p w14:paraId="18AE3225" w14:textId="77777777" w:rsidR="00F55932" w:rsidRPr="00DA4611" w:rsidRDefault="00F55932" w:rsidP="009A7FA6">
            <w:pPr>
              <w:spacing w:after="0"/>
              <w:jc w:val="right"/>
              <w:rPr>
                <w:rFonts w:eastAsia="Aptos"/>
                <w:sz w:val="16"/>
                <w:szCs w:val="16"/>
              </w:rPr>
            </w:pPr>
            <w:r w:rsidRPr="00DA4611">
              <w:rPr>
                <w:rFonts w:eastAsia="Aptos"/>
                <w:sz w:val="16"/>
                <w:szCs w:val="16"/>
              </w:rPr>
              <w:t>19</w:t>
            </w:r>
          </w:p>
        </w:tc>
        <w:tc>
          <w:tcPr>
            <w:tcW w:w="1056" w:type="dxa"/>
            <w:tcMar>
              <w:left w:w="108" w:type="dxa"/>
              <w:right w:w="108" w:type="dxa"/>
            </w:tcMar>
          </w:tcPr>
          <w:p w14:paraId="6DC67F65" w14:textId="77777777" w:rsidR="00F55932" w:rsidRPr="00DA4611" w:rsidRDefault="00F55932" w:rsidP="009A7FA6">
            <w:pPr>
              <w:spacing w:after="0"/>
              <w:jc w:val="right"/>
              <w:rPr>
                <w:rFonts w:eastAsia="Aptos"/>
                <w:sz w:val="16"/>
                <w:szCs w:val="16"/>
              </w:rPr>
            </w:pPr>
            <w:r w:rsidRPr="00DA4611">
              <w:rPr>
                <w:rFonts w:eastAsia="Aptos"/>
                <w:sz w:val="16"/>
                <w:szCs w:val="16"/>
              </w:rPr>
              <w:t>33</w:t>
            </w:r>
          </w:p>
        </w:tc>
      </w:tr>
    </w:tbl>
    <w:p w14:paraId="1AEB83BD" w14:textId="77777777" w:rsidR="00F55932" w:rsidRPr="003560DF" w:rsidRDefault="00F55932" w:rsidP="00F55932">
      <w:pPr>
        <w:spacing w:after="0"/>
        <w:rPr>
          <w:szCs w:val="22"/>
        </w:rPr>
      </w:pPr>
    </w:p>
    <w:p w14:paraId="58299CD6" w14:textId="77777777" w:rsidR="00F55932" w:rsidRPr="003560DF" w:rsidRDefault="00F55932" w:rsidP="00F55932">
      <w:pPr>
        <w:spacing w:after="0"/>
        <w:rPr>
          <w:szCs w:val="22"/>
        </w:rPr>
      </w:pPr>
      <w:r w:rsidRPr="003560DF">
        <w:rPr>
          <w:rFonts w:eastAsia="Verdana"/>
          <w:color w:val="000000" w:themeColor="text1"/>
          <w:szCs w:val="22"/>
        </w:rPr>
        <w:t xml:space="preserve"> </w:t>
      </w:r>
    </w:p>
    <w:p w14:paraId="4F7299E7" w14:textId="77777777" w:rsidR="00F55932" w:rsidRPr="003560DF" w:rsidRDefault="00F55932" w:rsidP="00F55932">
      <w:pPr>
        <w:rPr>
          <w:rFonts w:eastAsia="Arial"/>
          <w:szCs w:val="22"/>
        </w:rPr>
      </w:pPr>
      <w:r w:rsidRPr="003560DF">
        <w:rPr>
          <w:rFonts w:eastAsia="Verdana"/>
          <w:szCs w:val="22"/>
        </w:rPr>
        <w:t>As a final note, should the current SMS methodology be maintained,</w:t>
      </w:r>
      <w:r w:rsidRPr="003560DF">
        <w:rPr>
          <w:rFonts w:eastAsia="Arial"/>
          <w:szCs w:val="22"/>
        </w:rPr>
        <w:t xml:space="preserve"> we believe that:</w:t>
      </w:r>
    </w:p>
    <w:p w14:paraId="7A871CCA" w14:textId="77777777" w:rsidR="00F55932" w:rsidRPr="003560DF" w:rsidRDefault="00F55932" w:rsidP="00F55932">
      <w:pPr>
        <w:pStyle w:val="ListParagraph"/>
        <w:numPr>
          <w:ilvl w:val="0"/>
          <w:numId w:val="40"/>
        </w:numPr>
        <w:spacing w:after="160"/>
        <w:rPr>
          <w:rFonts w:eastAsia="Verdana"/>
          <w:szCs w:val="22"/>
        </w:rPr>
      </w:pPr>
      <w:r w:rsidRPr="003560DF">
        <w:rPr>
          <w:rFonts w:eastAsia="Verdana"/>
          <w:szCs w:val="22"/>
        </w:rPr>
        <w:t xml:space="preserve">the threshold should definitely be raised for the bucket 0-10.000 EUR. The ‘new’ SMS is half of the current SMS for the first bucket: the definition of the SMS shall be adjusted, and not set equal to the midpoint of the bucket (this is very arbitrary). </w:t>
      </w:r>
    </w:p>
    <w:p w14:paraId="2C686479" w14:textId="77777777" w:rsidR="00F55932" w:rsidRPr="003560DF" w:rsidRDefault="00F55932" w:rsidP="00F55932">
      <w:pPr>
        <w:pStyle w:val="ListParagraph"/>
        <w:numPr>
          <w:ilvl w:val="0"/>
          <w:numId w:val="40"/>
        </w:numPr>
        <w:spacing w:after="160"/>
        <w:rPr>
          <w:rFonts w:eastAsia="Verdana"/>
          <w:szCs w:val="22"/>
        </w:rPr>
      </w:pPr>
      <w:r w:rsidRPr="003560DF">
        <w:rPr>
          <w:rFonts w:eastAsia="Verdana"/>
          <w:szCs w:val="22"/>
        </w:rPr>
        <w:t xml:space="preserve">ESMA should consider other means to determine the SMS, based for example on the distribution of trade sizes for the ISINs included in each bucket (i.e. 75% percentile?). </w:t>
      </w:r>
    </w:p>
    <w:p w14:paraId="24AE9925" w14:textId="70BA2361" w:rsidR="00CC59BB" w:rsidRDefault="00F55932" w:rsidP="00D92C92">
      <w:pPr>
        <w:pStyle w:val="ListParagraph"/>
        <w:numPr>
          <w:ilvl w:val="0"/>
          <w:numId w:val="40"/>
        </w:numPr>
        <w:spacing w:after="0"/>
      </w:pPr>
      <w:r w:rsidRPr="00F55932">
        <w:rPr>
          <w:rFonts w:eastAsia="Verdana"/>
          <w:szCs w:val="22"/>
        </w:rPr>
        <w:t>Looking at the table on page 64, the ratio between the bucket top range and the 2x SMS threshold, for bucket 1, looks totally inconsistent with the other buckets (5.000 vs 10.000 for bucket 1; 11.000 vs. 12.000 for bucket 2 etc.).</w:t>
      </w:r>
    </w:p>
    <w:permEnd w:id="1951602752"/>
    <w:p w14:paraId="5935F509" w14:textId="63AAAC3B" w:rsidR="00CC59BB" w:rsidRDefault="00CC59BB" w:rsidP="00C54034">
      <w:pPr>
        <w:spacing w:after="0"/>
      </w:pPr>
      <w:r>
        <w:t>&lt;ESMA_QUESTION</w:t>
      </w:r>
      <w:r w:rsidR="005D4F78">
        <w:t>_CP3_</w:t>
      </w:r>
      <w:r>
        <w:t>13&gt;</w:t>
      </w:r>
    </w:p>
    <w:p w14:paraId="060636E2" w14:textId="77777777" w:rsidR="00CC59BB" w:rsidRDefault="00CC59BB" w:rsidP="00F716D4"/>
    <w:p w14:paraId="3774430F" w14:textId="32024F7C" w:rsidR="00CC59BB" w:rsidRDefault="005D4F78" w:rsidP="007C5BD5">
      <w:pPr>
        <w:pStyle w:val="Questionstyle"/>
      </w:pPr>
      <w:r w:rsidRPr="005D4F78">
        <w:t>Do you agree with ESMA’s proposal of the new threshold#1 for shares? Please explain</w:t>
      </w:r>
      <w:r>
        <w:t>.</w:t>
      </w:r>
    </w:p>
    <w:p w14:paraId="023D70D1" w14:textId="44F2F1C9" w:rsidR="00CC59BB" w:rsidRDefault="00CC59BB" w:rsidP="00C54034">
      <w:pPr>
        <w:spacing w:after="0"/>
      </w:pPr>
      <w:r>
        <w:t>&lt;ESMA_QUESTION</w:t>
      </w:r>
      <w:r w:rsidR="005D4F78">
        <w:t>_CP3_</w:t>
      </w:r>
      <w:r>
        <w:t>14&gt;</w:t>
      </w:r>
    </w:p>
    <w:p w14:paraId="2EA5254E" w14:textId="77777777" w:rsidR="007C79D7" w:rsidRDefault="007C79D7" w:rsidP="00C54034">
      <w:pPr>
        <w:spacing w:after="0"/>
        <w:rPr>
          <w:szCs w:val="22"/>
        </w:rPr>
      </w:pPr>
      <w:permStart w:id="871322226" w:edGrp="everyone"/>
      <w:r>
        <w:rPr>
          <w:szCs w:val="22"/>
        </w:rPr>
        <w:t>Please s</w:t>
      </w:r>
      <w:r w:rsidRPr="003560DF">
        <w:rPr>
          <w:szCs w:val="22"/>
        </w:rPr>
        <w:t>ee our response to Q. 13.</w:t>
      </w:r>
    </w:p>
    <w:permEnd w:id="871322226"/>
    <w:p w14:paraId="311B3E37" w14:textId="565FA761" w:rsidR="00CC59BB" w:rsidRDefault="00CC59BB" w:rsidP="00C54034">
      <w:pPr>
        <w:spacing w:after="0"/>
      </w:pPr>
      <w:r>
        <w:t>&lt;ESMA_QUESTION</w:t>
      </w:r>
      <w:r w:rsidR="005D4F78">
        <w:t>_CP3_</w:t>
      </w:r>
      <w:r>
        <w:t>14&gt;</w:t>
      </w:r>
    </w:p>
    <w:p w14:paraId="7D2E8574" w14:textId="77777777" w:rsidR="00CC59BB" w:rsidRDefault="00CC59BB" w:rsidP="00F716D4"/>
    <w:p w14:paraId="7CC2C104" w14:textId="6593E945" w:rsidR="00CC59BB" w:rsidRDefault="005D4F78" w:rsidP="007C5BD5">
      <w:pPr>
        <w:pStyle w:val="Questionstyle"/>
      </w:pPr>
      <w:r w:rsidRPr="005D4F78">
        <w:t>Do you agree with ESMA’s proposal of the new threshold#2 for shares? Please explain</w:t>
      </w:r>
      <w:r>
        <w:t>.</w:t>
      </w:r>
    </w:p>
    <w:p w14:paraId="5673A113" w14:textId="2D650B84" w:rsidR="00CC59BB" w:rsidRDefault="00CC59BB" w:rsidP="00C54034">
      <w:pPr>
        <w:spacing w:after="0"/>
      </w:pPr>
      <w:r>
        <w:t>&lt;ESMA_QUESTION</w:t>
      </w:r>
      <w:r w:rsidR="005D4F78">
        <w:t>_CP3_</w:t>
      </w:r>
      <w:r>
        <w:t>15&gt;</w:t>
      </w:r>
    </w:p>
    <w:p w14:paraId="2CF74206" w14:textId="77777777" w:rsidR="00CC59BB" w:rsidRDefault="00CC59BB" w:rsidP="00C54034">
      <w:pPr>
        <w:spacing w:after="0"/>
      </w:pPr>
      <w:permStart w:id="1530005966" w:edGrp="everyone"/>
      <w:r>
        <w:t>TYPE YOUR TEXT HERE</w:t>
      </w:r>
    </w:p>
    <w:permEnd w:id="1530005966"/>
    <w:p w14:paraId="24ACBE24" w14:textId="3E9A31DA" w:rsidR="00CC59BB" w:rsidRDefault="00CC59BB" w:rsidP="00C54034">
      <w:pPr>
        <w:spacing w:after="0"/>
      </w:pPr>
      <w:r>
        <w:t>&lt;ESMA_QUESTION</w:t>
      </w:r>
      <w:r w:rsidR="005D4F78">
        <w:t>_CP3_</w:t>
      </w:r>
      <w:r>
        <w:t>15&gt;</w:t>
      </w:r>
    </w:p>
    <w:p w14:paraId="746337AF" w14:textId="77777777" w:rsidR="00FA4100" w:rsidRDefault="00FA4100" w:rsidP="00C54034">
      <w:pPr>
        <w:spacing w:after="0"/>
      </w:pPr>
    </w:p>
    <w:p w14:paraId="3AA40BC9" w14:textId="44C4A3C2" w:rsidR="00CC59BB" w:rsidRDefault="005D4F78" w:rsidP="007C5BD5">
      <w:pPr>
        <w:pStyle w:val="Questionstyle"/>
      </w:pPr>
      <w:r w:rsidRPr="005D4F78">
        <w:t>Do you agree with the new AVT buckets and related SMS? Would you set a lower SMS for the AVT bucket [0-10000) (e.g. 5,000)? Please explain</w:t>
      </w:r>
      <w:r>
        <w:t>.</w:t>
      </w:r>
    </w:p>
    <w:p w14:paraId="426500DA" w14:textId="48597787" w:rsidR="00CC59BB" w:rsidRDefault="00CC59BB" w:rsidP="00C54034">
      <w:pPr>
        <w:spacing w:after="0"/>
      </w:pPr>
      <w:r>
        <w:t>&lt;ESMA_QUESTION</w:t>
      </w:r>
      <w:r w:rsidR="005D4F78">
        <w:t>_CP3_</w:t>
      </w:r>
      <w:r>
        <w:t>16&gt;</w:t>
      </w:r>
    </w:p>
    <w:p w14:paraId="312870BB" w14:textId="77777777" w:rsidR="001C47FD" w:rsidRPr="003560DF" w:rsidRDefault="001C47FD" w:rsidP="001C47FD">
      <w:pPr>
        <w:rPr>
          <w:szCs w:val="22"/>
        </w:rPr>
      </w:pPr>
      <w:permStart w:id="1731550419" w:edGrp="everyone"/>
      <w:r w:rsidRPr="003560DF">
        <w:rPr>
          <w:szCs w:val="22"/>
        </w:rPr>
        <w:t>The approach needs to be aligned as for shares so see please our response to Q. 13.</w:t>
      </w:r>
    </w:p>
    <w:permEnd w:id="1731550419"/>
    <w:p w14:paraId="6C3E377C" w14:textId="040D99B9" w:rsidR="00CC59BB" w:rsidRDefault="00CC59BB" w:rsidP="00C54034">
      <w:pPr>
        <w:spacing w:after="0"/>
      </w:pPr>
      <w:r>
        <w:t>&lt;ESMA_QUESTION</w:t>
      </w:r>
      <w:r w:rsidR="005D4F78">
        <w:t>_CP3_</w:t>
      </w:r>
      <w:r>
        <w:t>16&gt;</w:t>
      </w:r>
    </w:p>
    <w:p w14:paraId="29E38B3B" w14:textId="77777777" w:rsidR="00CC59BB" w:rsidRDefault="00CC59BB" w:rsidP="00F716D4"/>
    <w:p w14:paraId="5A94C218" w14:textId="77777777" w:rsidR="005D4F78" w:rsidRDefault="005D4F78" w:rsidP="00F716D4"/>
    <w:p w14:paraId="1141B94C" w14:textId="77777777" w:rsidR="005D4F78" w:rsidRDefault="005D4F78" w:rsidP="00F716D4"/>
    <w:p w14:paraId="19612197" w14:textId="03192E1F" w:rsidR="00CC59BB" w:rsidRDefault="005D4F78" w:rsidP="007C5BD5">
      <w:pPr>
        <w:pStyle w:val="Questionstyle"/>
      </w:pPr>
      <w:r w:rsidRPr="005D4F78">
        <w:t>Do you agree with ESMA’s proposal of the new threshold#1 for DRs? Please explain</w:t>
      </w:r>
      <w:r>
        <w:t>.</w:t>
      </w:r>
    </w:p>
    <w:p w14:paraId="3E525873" w14:textId="5B324935" w:rsidR="00CC59BB" w:rsidRDefault="00CC59BB" w:rsidP="00C54034">
      <w:pPr>
        <w:spacing w:after="0"/>
      </w:pPr>
      <w:r>
        <w:t>&lt;ESMA_QUESTION</w:t>
      </w:r>
      <w:r w:rsidR="005D4F78">
        <w:t>_CP3_</w:t>
      </w:r>
      <w:r>
        <w:t>17&gt;</w:t>
      </w:r>
    </w:p>
    <w:p w14:paraId="78180F43" w14:textId="035D5314" w:rsidR="00CC59BB" w:rsidRDefault="001C47FD" w:rsidP="001C47FD">
      <w:permStart w:id="1212295819" w:edGrp="everyone"/>
      <w:r w:rsidRPr="003560DF">
        <w:rPr>
          <w:szCs w:val="22"/>
        </w:rPr>
        <w:t>The approach needs to be aligned as for shares so see please our response to Q. 13.</w:t>
      </w:r>
    </w:p>
    <w:permEnd w:id="1212295819"/>
    <w:p w14:paraId="4E0E7539" w14:textId="3A512CAF" w:rsidR="00CC59BB" w:rsidRDefault="00CC59BB" w:rsidP="00C54034">
      <w:pPr>
        <w:spacing w:after="0"/>
      </w:pPr>
      <w:r>
        <w:t>&lt;ESMA_QUESTION</w:t>
      </w:r>
      <w:r w:rsidR="005D4F78">
        <w:t>_CP3_</w:t>
      </w:r>
      <w:r>
        <w:t>17&gt;</w:t>
      </w:r>
    </w:p>
    <w:p w14:paraId="7BFA240B" w14:textId="2354D4FE" w:rsidR="00692ADF" w:rsidRDefault="00692ADF" w:rsidP="00692ADF">
      <w:pPr>
        <w:spacing w:after="0" w:line="240" w:lineRule="auto"/>
        <w:jc w:val="left"/>
      </w:pPr>
    </w:p>
    <w:p w14:paraId="6311D425" w14:textId="2F2FD307" w:rsidR="00CC59BB" w:rsidRDefault="005D4F78" w:rsidP="007C5BD5">
      <w:pPr>
        <w:pStyle w:val="Questionstyle"/>
      </w:pPr>
      <w:r w:rsidRPr="005D4F78">
        <w:t>Do you agree with ESMA’s proposal of the new threshold#2 for DRs? Please explain</w:t>
      </w:r>
      <w:r w:rsidR="00C05202">
        <w:t>.</w:t>
      </w:r>
    </w:p>
    <w:p w14:paraId="3E0480CF" w14:textId="4E0DC190" w:rsidR="00CC59BB" w:rsidRDefault="00CC59BB" w:rsidP="00C54034">
      <w:pPr>
        <w:spacing w:after="0"/>
      </w:pPr>
      <w:r>
        <w:t>&lt;ESMA_QUESTION</w:t>
      </w:r>
      <w:r w:rsidR="005D4F78">
        <w:t>_CP3_</w:t>
      </w:r>
      <w:r>
        <w:t>18&gt;</w:t>
      </w:r>
    </w:p>
    <w:p w14:paraId="4DCE5838" w14:textId="77777777" w:rsidR="00CC59BB" w:rsidRDefault="00CC59BB" w:rsidP="00C54034">
      <w:pPr>
        <w:spacing w:after="0"/>
      </w:pPr>
      <w:permStart w:id="1367754514" w:edGrp="everyone"/>
      <w:r>
        <w:t>TYPE YOUR TEXT HERE</w:t>
      </w:r>
    </w:p>
    <w:permEnd w:id="1367754514"/>
    <w:p w14:paraId="001B4014" w14:textId="01A26F4F" w:rsidR="00CC59BB" w:rsidRDefault="00CC59BB" w:rsidP="00C54034">
      <w:pPr>
        <w:spacing w:after="0"/>
      </w:pPr>
      <w:r>
        <w:t>&lt;ESMA_QUESTION</w:t>
      </w:r>
      <w:r w:rsidR="005D4F78">
        <w:t>_CP3_</w:t>
      </w:r>
      <w:r>
        <w:t>18&gt;</w:t>
      </w:r>
    </w:p>
    <w:p w14:paraId="7CD11F2A" w14:textId="77777777" w:rsidR="00692ADF" w:rsidRDefault="00692ADF" w:rsidP="00C54034">
      <w:pPr>
        <w:spacing w:after="0"/>
      </w:pPr>
    </w:p>
    <w:p w14:paraId="36926459" w14:textId="3028F189" w:rsidR="00CC59BB" w:rsidRDefault="005D4F78" w:rsidP="007C5BD5">
      <w:pPr>
        <w:pStyle w:val="Questionstyle"/>
      </w:pPr>
      <w:r w:rsidRPr="005D4F78">
        <w:t>Do you agree with the new AVT buckets and related SMS? Please explain</w:t>
      </w:r>
      <w:r>
        <w:t>.</w:t>
      </w:r>
    </w:p>
    <w:p w14:paraId="29206BAC" w14:textId="1F06CCBA" w:rsidR="00CC59BB" w:rsidRDefault="00CC59BB" w:rsidP="00C54034">
      <w:pPr>
        <w:spacing w:after="0"/>
      </w:pPr>
      <w:r>
        <w:t>&lt;ESMA_QUESTION</w:t>
      </w:r>
      <w:r w:rsidR="005D4F78">
        <w:t>_CP3_</w:t>
      </w:r>
      <w:r>
        <w:t>19&gt;</w:t>
      </w:r>
    </w:p>
    <w:p w14:paraId="2F067CF6" w14:textId="77777777" w:rsidR="00015F29" w:rsidRPr="003560DF" w:rsidRDefault="00015F29" w:rsidP="00015F29">
      <w:pPr>
        <w:rPr>
          <w:szCs w:val="22"/>
        </w:rPr>
      </w:pPr>
      <w:permStart w:id="1244420503" w:edGrp="everyone"/>
      <w:r w:rsidRPr="003560DF">
        <w:rPr>
          <w:szCs w:val="22"/>
        </w:rPr>
        <w:t>Similar to our response to Q. 13 on shares, we suggest further analysis is done to determine thresholds that will result in increased transparency for ETFs in the market.  The proposed approach will have little meaningful impact and we believe is a missed opportunity to improve the situation.</w:t>
      </w:r>
    </w:p>
    <w:p w14:paraId="6E95C637" w14:textId="77777777" w:rsidR="00015F29" w:rsidRDefault="00015F29" w:rsidP="00C54034">
      <w:pPr>
        <w:spacing w:after="0"/>
        <w:rPr>
          <w:szCs w:val="22"/>
        </w:rPr>
      </w:pPr>
      <w:r w:rsidRPr="003560DF">
        <w:rPr>
          <w:szCs w:val="22"/>
        </w:rPr>
        <w:t xml:space="preserve">The ETF market already faces challenges in this respect given the shift of flow to RFQ models. The large majority of trading is now done on RFQ trading systems which is very concerning as they provide extremely limited transparency in comparison with lit order book trading systems. The combination of using such models and also SIs where market share is also growing means increasing flow is becoming less transparent. This may have a detrimental impact on the price formation process and the accessibility and liquidity of the overall ETF market in the long term. We urge ESMA to consider this further and propose changes that will have a more positive impact for transparency to the benefit of investors and the overall market. </w:t>
      </w:r>
    </w:p>
    <w:permEnd w:id="1244420503"/>
    <w:p w14:paraId="3ED38D2D" w14:textId="23D99E2C" w:rsidR="00CC59BB" w:rsidRDefault="00CC59BB" w:rsidP="00C54034">
      <w:pPr>
        <w:spacing w:after="0"/>
      </w:pPr>
      <w:r>
        <w:t>&lt;ESMA_QUESTION</w:t>
      </w:r>
      <w:r w:rsidR="005D4F78">
        <w:t>_CP3_</w:t>
      </w:r>
      <w:r>
        <w:t>19&gt;</w:t>
      </w:r>
    </w:p>
    <w:p w14:paraId="54DBBE27" w14:textId="48F30A10" w:rsidR="00CC59BB" w:rsidRDefault="00CC59BB" w:rsidP="00F716D4"/>
    <w:p w14:paraId="0D1AD0F6" w14:textId="20DA4018" w:rsidR="00CC59BB" w:rsidRDefault="005D4F78" w:rsidP="007C5BD5">
      <w:pPr>
        <w:pStyle w:val="Questionstyle"/>
      </w:pPr>
      <w:r w:rsidRPr="005D4F78">
        <w:t>Do you agree with ESMA’s proposal of the new threshold#1 for ETFs? Please explain</w:t>
      </w:r>
      <w:r w:rsidR="00C05202">
        <w:t>.</w:t>
      </w:r>
    </w:p>
    <w:p w14:paraId="58CF2B55" w14:textId="6E42F771" w:rsidR="00CC59BB" w:rsidRDefault="00CC59BB" w:rsidP="00C54034">
      <w:pPr>
        <w:spacing w:after="0"/>
      </w:pPr>
      <w:r>
        <w:t>&lt;ESMA_QUESTION</w:t>
      </w:r>
      <w:r w:rsidR="005D4F78">
        <w:t>_CP3_</w:t>
      </w:r>
      <w:r>
        <w:t>20&gt;</w:t>
      </w:r>
    </w:p>
    <w:p w14:paraId="0DE4EC32" w14:textId="77777777" w:rsidR="00694DA4" w:rsidRPr="003560DF" w:rsidRDefault="00694DA4" w:rsidP="00694DA4">
      <w:pPr>
        <w:rPr>
          <w:szCs w:val="22"/>
        </w:rPr>
      </w:pPr>
      <w:permStart w:id="356003362" w:edGrp="everyone"/>
      <w:r w:rsidRPr="003560DF">
        <w:rPr>
          <w:szCs w:val="22"/>
        </w:rPr>
        <w:t>Please see our response to Q. 19.</w:t>
      </w:r>
    </w:p>
    <w:permEnd w:id="356003362"/>
    <w:p w14:paraId="035EB72A" w14:textId="2EAD9BFC" w:rsidR="00CC59BB" w:rsidRDefault="00CC59BB" w:rsidP="00C54034">
      <w:pPr>
        <w:spacing w:after="0"/>
      </w:pPr>
      <w:r>
        <w:lastRenderedPageBreak/>
        <w:t>&lt;ESMA_QUESTION</w:t>
      </w:r>
      <w:r w:rsidR="005D4F78">
        <w:t>_CP3_</w:t>
      </w:r>
      <w:r>
        <w:t>20&gt;</w:t>
      </w:r>
    </w:p>
    <w:p w14:paraId="63A57C34" w14:textId="48CD184D" w:rsidR="00CC59BB" w:rsidRDefault="00CC59BB" w:rsidP="00F716D4"/>
    <w:p w14:paraId="5E9ACEB3" w14:textId="469B1208" w:rsidR="00CC59BB" w:rsidRDefault="005D4F78" w:rsidP="007C5BD5">
      <w:pPr>
        <w:pStyle w:val="Questionstyle"/>
      </w:pPr>
      <w:r w:rsidRPr="005D4F78">
        <w:t>Do you agree with ESMA’s proposal of the new threshold#2 for ETFs? Please explain</w:t>
      </w:r>
      <w:r w:rsidR="00C05202">
        <w:t>.</w:t>
      </w:r>
    </w:p>
    <w:p w14:paraId="73F893DF" w14:textId="74C717F0" w:rsidR="00CC59BB" w:rsidRDefault="00CC59BB" w:rsidP="00C54034">
      <w:pPr>
        <w:spacing w:after="0"/>
      </w:pPr>
      <w:r>
        <w:t>&lt;ESMA_QUESTION</w:t>
      </w:r>
      <w:r w:rsidR="005D4F78">
        <w:t>_CP3_</w:t>
      </w:r>
      <w:r>
        <w:t>21&gt;</w:t>
      </w:r>
    </w:p>
    <w:p w14:paraId="224DD2F7" w14:textId="77777777" w:rsidR="00CC59BB" w:rsidRDefault="00CC59BB" w:rsidP="00C54034">
      <w:pPr>
        <w:spacing w:after="0"/>
      </w:pPr>
      <w:permStart w:id="780153713" w:edGrp="everyone"/>
      <w:r>
        <w:t>TYPE YOUR TEXT HERE</w:t>
      </w:r>
    </w:p>
    <w:permEnd w:id="780153713"/>
    <w:p w14:paraId="1EA31870" w14:textId="150401B4" w:rsidR="00CC59BB" w:rsidRDefault="00CC59BB" w:rsidP="00C54034">
      <w:pPr>
        <w:spacing w:after="0"/>
      </w:pPr>
      <w:r>
        <w:t>&lt;ESMA_QUESTION</w:t>
      </w:r>
      <w:r w:rsidR="005D4F78">
        <w:t>_CP3_</w:t>
      </w:r>
      <w:r>
        <w:t>21&gt;</w:t>
      </w:r>
    </w:p>
    <w:p w14:paraId="2E6F99E7" w14:textId="0A700019" w:rsidR="00C05202" w:rsidRDefault="00C05202" w:rsidP="00F716D4"/>
    <w:p w14:paraId="3483DA98" w14:textId="7AEEC0B8" w:rsidR="00CC59BB" w:rsidRDefault="005D4F78" w:rsidP="007C5BD5">
      <w:pPr>
        <w:pStyle w:val="Questionstyle"/>
      </w:pPr>
      <w:r w:rsidRPr="005D4F78">
        <w:t>Do you agree with the proposed amendments to Article 11 of RTS 1? Please explain</w:t>
      </w:r>
      <w:r>
        <w:t>.</w:t>
      </w:r>
    </w:p>
    <w:p w14:paraId="4165C891" w14:textId="10437859" w:rsidR="00CC59BB" w:rsidRDefault="00CC59BB" w:rsidP="00C54034">
      <w:pPr>
        <w:spacing w:after="0"/>
      </w:pPr>
      <w:r>
        <w:t>&lt;ESMA_QUESTION</w:t>
      </w:r>
      <w:r w:rsidR="005D4F78">
        <w:t>_CP3_</w:t>
      </w:r>
      <w:r>
        <w:t>22&gt;</w:t>
      </w:r>
    </w:p>
    <w:p w14:paraId="0E56016D" w14:textId="77777777" w:rsidR="00646026" w:rsidRPr="003560DF" w:rsidRDefault="00646026" w:rsidP="00646026">
      <w:pPr>
        <w:rPr>
          <w:b/>
          <w:bCs/>
          <w:szCs w:val="22"/>
        </w:rPr>
      </w:pPr>
      <w:permStart w:id="1310265670" w:edGrp="everyone"/>
      <w:r w:rsidRPr="003560DF">
        <w:rPr>
          <w:szCs w:val="22"/>
        </w:rPr>
        <w:t>As per our response to Q. 13</w:t>
      </w:r>
      <w:r w:rsidRPr="003560DF">
        <w:rPr>
          <w:b/>
          <w:bCs/>
          <w:szCs w:val="22"/>
        </w:rPr>
        <w:t>.</w:t>
      </w:r>
    </w:p>
    <w:permEnd w:id="1310265670"/>
    <w:p w14:paraId="50486DF5" w14:textId="70821199" w:rsidR="00CC59BB" w:rsidRDefault="00CC59BB" w:rsidP="00C54034">
      <w:pPr>
        <w:spacing w:after="0"/>
      </w:pPr>
      <w:r>
        <w:t>&lt;ESMA_QUESTION</w:t>
      </w:r>
      <w:r w:rsidR="005D4F78">
        <w:t>_CP3_</w:t>
      </w:r>
      <w:r>
        <w:t>22&gt;</w:t>
      </w:r>
    </w:p>
    <w:p w14:paraId="2DCDBF28" w14:textId="386CD270" w:rsidR="00CC59BB" w:rsidRDefault="005D4F78" w:rsidP="007C5BD5">
      <w:pPr>
        <w:pStyle w:val="Questionstyle"/>
      </w:pPr>
      <w:r w:rsidRPr="005D4F78">
        <w:t>Do you agree with the proposed new Article 11a of RTS 1? Please explain</w:t>
      </w:r>
      <w:r>
        <w:t>.</w:t>
      </w:r>
    </w:p>
    <w:p w14:paraId="492B30E1" w14:textId="55522286" w:rsidR="00CC59BB" w:rsidRDefault="00CC59BB" w:rsidP="00C54034">
      <w:pPr>
        <w:spacing w:after="0"/>
      </w:pPr>
      <w:r>
        <w:t>&lt;ESMA_QUESTION</w:t>
      </w:r>
      <w:r w:rsidR="005D4F78">
        <w:t>_CP3_</w:t>
      </w:r>
      <w:r>
        <w:t>23&gt;</w:t>
      </w:r>
    </w:p>
    <w:p w14:paraId="0498B8C8" w14:textId="6ED8B545" w:rsidR="00CC6C43" w:rsidRPr="003560DF" w:rsidRDefault="00CC6C43" w:rsidP="00CC6C43">
      <w:pPr>
        <w:rPr>
          <w:rFonts w:eastAsia="Verdana"/>
          <w:szCs w:val="22"/>
        </w:rPr>
      </w:pPr>
      <w:permStart w:id="1711693936" w:edGrp="everyone"/>
      <w:r w:rsidRPr="003560DF">
        <w:rPr>
          <w:rFonts w:eastAsia="Verdana"/>
          <w:szCs w:val="22"/>
        </w:rPr>
        <w:t>This seems fine but we suggest it needs to be linked to the final solution for the determination of bucket 1 as above</w:t>
      </w:r>
      <w:r>
        <w:rPr>
          <w:rFonts w:eastAsia="Verdana"/>
          <w:szCs w:val="22"/>
        </w:rPr>
        <w:t xml:space="preserve"> in our response to Q. 13</w:t>
      </w:r>
      <w:r w:rsidRPr="003560DF">
        <w:rPr>
          <w:rFonts w:eastAsia="Verdana"/>
          <w:szCs w:val="22"/>
        </w:rPr>
        <w:t>.</w:t>
      </w:r>
    </w:p>
    <w:permEnd w:id="1711693936"/>
    <w:p w14:paraId="0BFA64C6" w14:textId="5BDBDBA1" w:rsidR="00CC59BB" w:rsidRDefault="00CC59BB" w:rsidP="00C54034">
      <w:pPr>
        <w:spacing w:after="0"/>
      </w:pPr>
      <w:r>
        <w:t>&lt;ESMA_QUESTION</w:t>
      </w:r>
      <w:r w:rsidR="005D4F78">
        <w:t>_CP3_</w:t>
      </w:r>
      <w:r>
        <w:t>23&gt;</w:t>
      </w:r>
    </w:p>
    <w:p w14:paraId="1FF8C012" w14:textId="19050DD2" w:rsidR="00CC59BB" w:rsidRDefault="00CC59BB" w:rsidP="00F716D4"/>
    <w:p w14:paraId="24ED3899" w14:textId="35DD18A1" w:rsidR="00CC59BB" w:rsidRDefault="005D4F78" w:rsidP="007C5BD5">
      <w:pPr>
        <w:pStyle w:val="Questionstyle"/>
      </w:pPr>
      <w:r w:rsidRPr="005D4F78">
        <w:t>Do you agree with the proposed new Article 11b of RTS 1? Please explain</w:t>
      </w:r>
      <w:r w:rsidR="00C05202">
        <w:t>.</w:t>
      </w:r>
    </w:p>
    <w:p w14:paraId="3BA1190E" w14:textId="4AC403BF" w:rsidR="00CC59BB" w:rsidRDefault="00CC59BB" w:rsidP="00C54034">
      <w:pPr>
        <w:spacing w:after="0"/>
      </w:pPr>
      <w:r>
        <w:t>&lt;ESMA_QUESTION</w:t>
      </w:r>
      <w:r w:rsidR="005D4F78">
        <w:t>_CP3_</w:t>
      </w:r>
      <w:r>
        <w:t>24&gt;</w:t>
      </w:r>
    </w:p>
    <w:p w14:paraId="0512A491" w14:textId="77777777" w:rsidR="00CC6C43" w:rsidRDefault="00CC6C43" w:rsidP="00C54034">
      <w:pPr>
        <w:spacing w:after="0"/>
        <w:rPr>
          <w:rFonts w:eastAsia="Verdana"/>
          <w:szCs w:val="22"/>
        </w:rPr>
      </w:pPr>
      <w:permStart w:id="1126446852" w:edGrp="everyone"/>
      <w:r w:rsidRPr="003560DF">
        <w:rPr>
          <w:rFonts w:eastAsia="Verdana"/>
          <w:szCs w:val="22"/>
        </w:rPr>
        <w:t>This seems fine but we suggest it needs to be linked to the final solution for the determination of bucket 1 as above</w:t>
      </w:r>
      <w:r>
        <w:rPr>
          <w:rFonts w:eastAsia="Verdana"/>
          <w:szCs w:val="22"/>
        </w:rPr>
        <w:t xml:space="preserve"> in our response to Q. 13</w:t>
      </w:r>
      <w:r w:rsidRPr="003560DF">
        <w:rPr>
          <w:rFonts w:eastAsia="Verdana"/>
          <w:szCs w:val="22"/>
        </w:rPr>
        <w:t>.</w:t>
      </w:r>
    </w:p>
    <w:permEnd w:id="1126446852"/>
    <w:p w14:paraId="0BBBCBF8" w14:textId="5E6C8AB8" w:rsidR="00CC59BB" w:rsidRDefault="00CC59BB" w:rsidP="00C54034">
      <w:pPr>
        <w:spacing w:after="0"/>
      </w:pPr>
      <w:r>
        <w:t>&lt;ESMA_QUESTION</w:t>
      </w:r>
      <w:r w:rsidR="005D4F78">
        <w:t>_CP3_</w:t>
      </w:r>
      <w:r>
        <w:t>24&gt;</w:t>
      </w:r>
    </w:p>
    <w:p w14:paraId="3E8C977A" w14:textId="4421F2F7" w:rsidR="00CC59BB" w:rsidRDefault="00CC59BB" w:rsidP="00F716D4"/>
    <w:p w14:paraId="329BE782" w14:textId="764EF967" w:rsidR="00CC59BB" w:rsidRDefault="005D4F78" w:rsidP="007C5BD5">
      <w:pPr>
        <w:pStyle w:val="Questionstyle"/>
      </w:pPr>
      <w:r w:rsidRPr="005D4F78">
        <w:t>Do you agree with the proposed amendments to Article 12 of RTS 1? Please explain</w:t>
      </w:r>
      <w:r w:rsidR="00FA4100">
        <w:t>.</w:t>
      </w:r>
    </w:p>
    <w:p w14:paraId="220D24F2" w14:textId="2616DBF1" w:rsidR="00CC59BB" w:rsidRDefault="00CC59BB" w:rsidP="00C54034">
      <w:pPr>
        <w:spacing w:after="0"/>
      </w:pPr>
      <w:r>
        <w:t>&lt;ESMA_QUESTION</w:t>
      </w:r>
      <w:r w:rsidR="005D4F78">
        <w:t>_CP3_</w:t>
      </w:r>
      <w:r>
        <w:t>25&gt;</w:t>
      </w:r>
    </w:p>
    <w:p w14:paraId="5F314370" w14:textId="1F1EC81B" w:rsidR="00DC7B03" w:rsidRPr="003560DF" w:rsidRDefault="00DC7B03" w:rsidP="00DC7B03">
      <w:pPr>
        <w:rPr>
          <w:rFonts w:eastAsia="Verdana"/>
          <w:szCs w:val="22"/>
        </w:rPr>
      </w:pPr>
      <w:permStart w:id="1428125549" w:edGrp="everyone"/>
      <w:r>
        <w:rPr>
          <w:rFonts w:eastAsia="Verdana"/>
          <w:szCs w:val="22"/>
        </w:rPr>
        <w:t>Euronext</w:t>
      </w:r>
      <w:r w:rsidRPr="003560DF">
        <w:rPr>
          <w:rFonts w:eastAsia="Verdana"/>
          <w:szCs w:val="22"/>
        </w:rPr>
        <w:t xml:space="preserve"> do</w:t>
      </w:r>
      <w:r>
        <w:rPr>
          <w:rFonts w:eastAsia="Verdana"/>
          <w:szCs w:val="22"/>
        </w:rPr>
        <w:t>es</w:t>
      </w:r>
      <w:r w:rsidRPr="003560DF">
        <w:rPr>
          <w:rFonts w:eastAsia="Verdana"/>
          <w:szCs w:val="22"/>
        </w:rPr>
        <w:t xml:space="preserve"> not support the change to Art. 1 related to the standardization of the ‘column’ names. This would imply a huge impact to our existing MDG market data feed, and in particular to the trade messages. While this can be understood in the context of the data provided to the </w:t>
      </w:r>
      <w:r w:rsidRPr="003560DF">
        <w:rPr>
          <w:rFonts w:eastAsia="Verdana"/>
          <w:szCs w:val="22"/>
        </w:rPr>
        <w:lastRenderedPageBreak/>
        <w:t>CTP, a trading venue should have freedom to technically organize its ‘key’ public data feed, in a competitive environment, in the way that it determines to be the most efficient.</w:t>
      </w:r>
    </w:p>
    <w:permEnd w:id="1428125549"/>
    <w:p w14:paraId="0CA5AACE" w14:textId="6BBDACAE" w:rsidR="00CC59BB" w:rsidRDefault="00CC59BB" w:rsidP="00C54034">
      <w:pPr>
        <w:spacing w:after="0"/>
      </w:pPr>
      <w:r>
        <w:t>&lt;ESMA_QUESTION</w:t>
      </w:r>
      <w:r w:rsidR="005D4F78">
        <w:t>_CP3_</w:t>
      </w:r>
      <w:r>
        <w:t>25&gt;</w:t>
      </w:r>
    </w:p>
    <w:p w14:paraId="16356BB2" w14:textId="77777777" w:rsidR="00692ADF" w:rsidRDefault="00692ADF" w:rsidP="00C54034">
      <w:pPr>
        <w:spacing w:after="0"/>
      </w:pPr>
    </w:p>
    <w:p w14:paraId="051EC7E0" w14:textId="190EA725" w:rsidR="00CC59BB" w:rsidRDefault="005D4F78" w:rsidP="007C5BD5">
      <w:pPr>
        <w:pStyle w:val="Questionstyle"/>
      </w:pPr>
      <w:r w:rsidRPr="005D4F78">
        <w:t>Do you agree with the proposed amendments to Table 3 of Annex I of RTS 1? Please explain</w:t>
      </w:r>
      <w:r w:rsidR="00C05202">
        <w:t>.</w:t>
      </w:r>
    </w:p>
    <w:p w14:paraId="08E68E81" w14:textId="38259166" w:rsidR="00CC59BB" w:rsidRDefault="00CC59BB" w:rsidP="00C54034">
      <w:pPr>
        <w:spacing w:after="0"/>
      </w:pPr>
      <w:r>
        <w:t>&lt;ESMA_QUESTION</w:t>
      </w:r>
      <w:r w:rsidR="005D4F78">
        <w:t>_CP3_</w:t>
      </w:r>
      <w:r>
        <w:t>26&gt;</w:t>
      </w:r>
    </w:p>
    <w:p w14:paraId="66F4C99D" w14:textId="3F04F486" w:rsidR="00C27306" w:rsidRPr="003560DF" w:rsidRDefault="00C27306" w:rsidP="00C27306">
      <w:pPr>
        <w:spacing w:after="0"/>
        <w:rPr>
          <w:rFonts w:eastAsia="Verdana"/>
          <w:szCs w:val="22"/>
        </w:rPr>
      </w:pPr>
      <w:permStart w:id="1672500431" w:edGrp="everyone"/>
      <w:r w:rsidRPr="003560DF">
        <w:rPr>
          <w:rFonts w:eastAsia="Verdana"/>
          <w:szCs w:val="22"/>
        </w:rPr>
        <w:t>Firstly, this table continues to include referential data (as per the current MiFID approach) that we understand is already reported elsewhere (price currency, price notation, trading system etc.)</w:t>
      </w:r>
    </w:p>
    <w:p w14:paraId="57E787AA" w14:textId="77777777" w:rsidR="00C27306" w:rsidRPr="003560DF" w:rsidRDefault="00C27306" w:rsidP="00C27306">
      <w:pPr>
        <w:spacing w:after="0"/>
        <w:rPr>
          <w:rFonts w:eastAsia="Verdana"/>
          <w:szCs w:val="22"/>
        </w:rPr>
      </w:pPr>
    </w:p>
    <w:p w14:paraId="684C79B8" w14:textId="77777777" w:rsidR="00C27306" w:rsidRPr="003560DF" w:rsidRDefault="00C27306" w:rsidP="00C27306">
      <w:pPr>
        <w:spacing w:after="0" w:line="278" w:lineRule="auto"/>
        <w:jc w:val="left"/>
        <w:rPr>
          <w:rFonts w:eastAsiaTheme="minorHAnsi"/>
          <w:szCs w:val="22"/>
          <w:lang w:eastAsia="en-GB"/>
        </w:rPr>
      </w:pPr>
      <w:r w:rsidRPr="003560DF">
        <w:rPr>
          <w:rFonts w:eastAsia="Verdana"/>
          <w:b/>
          <w:bCs/>
          <w:szCs w:val="22"/>
        </w:rPr>
        <w:t>Field #8 Venue of execution:</w:t>
      </w:r>
      <w:r w:rsidRPr="003560DF">
        <w:rPr>
          <w:rFonts w:eastAsia="Verdana"/>
          <w:szCs w:val="22"/>
        </w:rPr>
        <w:t xml:space="preserve"> we suggest the SI should be identified via delayed post-trade report (e.g. delay of 1 month)</w:t>
      </w:r>
      <w:r w:rsidRPr="003560DF">
        <w:rPr>
          <w:bCs/>
          <w:szCs w:val="22"/>
        </w:rPr>
        <w:t xml:space="preserve"> </w:t>
      </w:r>
      <w:r w:rsidRPr="003560DF">
        <w:rPr>
          <w:rFonts w:eastAsia="Verdana"/>
          <w:szCs w:val="22"/>
        </w:rPr>
        <w:t xml:space="preserve">and this should be done via a MIC for each SI and potentially each relevant asset class, not via the simplistic value SINT. We believe this is important so as not to deprive investors from valuable information on available liquidity. This could also be done via delayed post-trade reports if need be (even with a 1 month delay). Indeed, being able to get at some point information on where liquidity is executed in the EU by being able to identify on which SI this is done is critical. </w:t>
      </w:r>
    </w:p>
    <w:p w14:paraId="58E67670" w14:textId="77777777" w:rsidR="00C27306" w:rsidRPr="003560DF" w:rsidRDefault="00C27306" w:rsidP="00C27306">
      <w:pPr>
        <w:spacing w:after="0"/>
        <w:rPr>
          <w:rFonts w:eastAsia="Verdana"/>
          <w:szCs w:val="22"/>
        </w:rPr>
      </w:pPr>
    </w:p>
    <w:p w14:paraId="1C5A846D" w14:textId="0181633F" w:rsidR="00C27306" w:rsidRPr="003560DF" w:rsidRDefault="00C27306" w:rsidP="00C27306">
      <w:pPr>
        <w:spacing w:after="0"/>
        <w:rPr>
          <w:rFonts w:eastAsia="Verdana"/>
          <w:szCs w:val="22"/>
        </w:rPr>
      </w:pPr>
      <w:r w:rsidRPr="003560DF">
        <w:rPr>
          <w:rFonts w:eastAsia="Verdana"/>
          <w:szCs w:val="22"/>
        </w:rPr>
        <w:t>It is worth mentioning that this is already the case in the US, where similar type</w:t>
      </w:r>
      <w:r w:rsidR="003F3E80">
        <w:rPr>
          <w:rFonts w:eastAsia="Verdana"/>
          <w:szCs w:val="22"/>
        </w:rPr>
        <w:t>s</w:t>
      </w:r>
      <w:r w:rsidRPr="003560DF">
        <w:rPr>
          <w:rFonts w:eastAsia="Verdana"/>
          <w:szCs w:val="22"/>
        </w:rPr>
        <w:t xml:space="preserve"> of execution brokers are identified for the purposes of post-trade transparency. For more visibility on the variation on the quality of information available in the US and the EU as a result please see for instance the US liquidity map </w:t>
      </w:r>
      <w:hyperlink r:id="rId29">
        <w:r w:rsidRPr="003560DF">
          <w:rPr>
            <w:rStyle w:val="Hyperlink"/>
            <w:rFonts w:eastAsia="Verdana"/>
            <w:color w:val="auto"/>
            <w:szCs w:val="22"/>
          </w:rPr>
          <w:t>https://www.bmlltech.com/news/market-insight/bmll-market-lens-us-liquidity-maps</w:t>
        </w:r>
      </w:hyperlink>
      <w:r w:rsidRPr="003560DF">
        <w:rPr>
          <w:rFonts w:eastAsia="Verdana"/>
          <w:szCs w:val="22"/>
        </w:rPr>
        <w:t xml:space="preserve"> and the EU liquidity map </w:t>
      </w:r>
      <w:hyperlink r:id="rId30">
        <w:r w:rsidRPr="003560DF">
          <w:rPr>
            <w:rStyle w:val="Hyperlink"/>
            <w:rFonts w:eastAsia="Verdana"/>
            <w:color w:val="auto"/>
            <w:szCs w:val="22"/>
          </w:rPr>
          <w:t>https://www.bmlltech.com/news/market-insight/bmll-market-lens-liquidity-maps</w:t>
        </w:r>
      </w:hyperlink>
      <w:r w:rsidRPr="003560DF">
        <w:rPr>
          <w:rStyle w:val="Hyperlink"/>
          <w:rFonts w:eastAsia="Verdana"/>
          <w:color w:val="auto"/>
          <w:szCs w:val="22"/>
        </w:rPr>
        <w:t>.</w:t>
      </w:r>
      <w:r w:rsidRPr="003560DF">
        <w:rPr>
          <w:rFonts w:eastAsia="Verdana"/>
          <w:szCs w:val="22"/>
        </w:rPr>
        <w:t xml:space="preserve">  </w:t>
      </w:r>
      <w:r w:rsidRPr="003560DF">
        <w:rPr>
          <w:szCs w:val="22"/>
        </w:rPr>
        <w:t xml:space="preserve"> </w:t>
      </w:r>
    </w:p>
    <w:p w14:paraId="579705FD" w14:textId="77777777" w:rsidR="00C27306" w:rsidRPr="003560DF" w:rsidRDefault="00C27306" w:rsidP="00C27306">
      <w:pPr>
        <w:spacing w:after="0"/>
        <w:rPr>
          <w:rFonts w:eastAsia="Verdana"/>
          <w:szCs w:val="22"/>
        </w:rPr>
      </w:pPr>
    </w:p>
    <w:p w14:paraId="57CDA42F" w14:textId="77777777" w:rsidR="00C27306" w:rsidRPr="003560DF" w:rsidRDefault="00C27306" w:rsidP="00C27306">
      <w:pPr>
        <w:spacing w:after="0"/>
        <w:rPr>
          <w:szCs w:val="22"/>
          <w:lang w:eastAsia="en-GB"/>
        </w:rPr>
      </w:pPr>
      <w:r w:rsidRPr="003560DF">
        <w:rPr>
          <w:rFonts w:eastAsia="Verdana"/>
          <w:b/>
          <w:bCs/>
          <w:szCs w:val="22"/>
        </w:rPr>
        <w:t>Field #10 trading systems:</w:t>
      </w:r>
      <w:r w:rsidRPr="003560DF">
        <w:rPr>
          <w:rFonts w:eastAsia="Verdana"/>
          <w:szCs w:val="22"/>
        </w:rPr>
        <w:t xml:space="preserve"> </w:t>
      </w:r>
      <w:r w:rsidRPr="003F3E80">
        <w:rPr>
          <w:rStyle w:val="Hyperlink"/>
          <w:rFonts w:eastAsia="Verdana"/>
          <w:color w:val="auto"/>
          <w:szCs w:val="22"/>
          <w:u w:val="none"/>
        </w:rPr>
        <w:t>The values for this field shall solely be based on the taxonomy established in Table 1 of Annex 1, which is not modified following changes in the Level 1 texts – those are only for non-equity instruments. We believe that the value CLOB shall not be included as only defined in RTS 2.</w:t>
      </w:r>
      <w:r w:rsidRPr="003F3E80">
        <w:rPr>
          <w:szCs w:val="22"/>
          <w:lang w:eastAsia="en-GB"/>
        </w:rPr>
        <w:t xml:space="preserve"> </w:t>
      </w:r>
    </w:p>
    <w:p w14:paraId="072080C9" w14:textId="77777777" w:rsidR="00C27306" w:rsidRPr="003560DF" w:rsidRDefault="00C27306" w:rsidP="00C27306">
      <w:pPr>
        <w:pStyle w:val="ListParagraph"/>
        <w:spacing w:after="0"/>
        <w:rPr>
          <w:rFonts w:eastAsia="Verdana"/>
          <w:szCs w:val="22"/>
        </w:rPr>
      </w:pPr>
    </w:p>
    <w:p w14:paraId="04F94D1B" w14:textId="77777777" w:rsidR="00C27306" w:rsidRPr="003560DF" w:rsidRDefault="00C27306" w:rsidP="00C27306">
      <w:pPr>
        <w:spacing w:after="0"/>
        <w:rPr>
          <w:rFonts w:eastAsia="Verdana"/>
          <w:szCs w:val="22"/>
        </w:rPr>
      </w:pPr>
      <w:r w:rsidRPr="003560DF">
        <w:rPr>
          <w:rFonts w:eastAsia="Verdana"/>
          <w:b/>
          <w:bCs/>
          <w:szCs w:val="22"/>
        </w:rPr>
        <w:t>Field #14 “Flags”:</w:t>
      </w:r>
      <w:r w:rsidRPr="003560DF">
        <w:rPr>
          <w:rFonts w:eastAsia="Verdana"/>
          <w:szCs w:val="22"/>
        </w:rPr>
        <w:t xml:space="preserve"> the format proposed by ESMA is not in line with FIX MMT. It is essential that a harmonised approach is taken so we suggest this is further reviewed by ESMA. This should be harmonized with FIXMMT format, content and architecture</w:t>
      </w:r>
    </w:p>
    <w:p w14:paraId="6B0FAD1E" w14:textId="77777777" w:rsidR="00C27306" w:rsidRPr="003560DF" w:rsidRDefault="00C27306" w:rsidP="00C27306">
      <w:pPr>
        <w:pStyle w:val="ListParagraph"/>
        <w:numPr>
          <w:ilvl w:val="1"/>
          <w:numId w:val="41"/>
        </w:numPr>
        <w:spacing w:after="160" w:line="278" w:lineRule="auto"/>
        <w:rPr>
          <w:rFonts w:eastAsia="Verdana"/>
          <w:szCs w:val="22"/>
        </w:rPr>
      </w:pPr>
      <w:r w:rsidRPr="003560DF">
        <w:rPr>
          <w:rFonts w:eastAsia="Verdana"/>
          <w:szCs w:val="22"/>
        </w:rPr>
        <w:t>MMT is based on an architecture at different levels that should be reflected here</w:t>
      </w:r>
    </w:p>
    <w:p w14:paraId="0FF5B233" w14:textId="2D26B7D7" w:rsidR="00CC59BB" w:rsidRDefault="00C27306" w:rsidP="0072271A">
      <w:pPr>
        <w:pStyle w:val="ListParagraph"/>
        <w:numPr>
          <w:ilvl w:val="2"/>
          <w:numId w:val="41"/>
        </w:numPr>
        <w:spacing w:after="0" w:line="278" w:lineRule="auto"/>
      </w:pPr>
      <w:r w:rsidRPr="00C27306">
        <w:rPr>
          <w:rFonts w:eastAsia="Verdana"/>
          <w:szCs w:val="22"/>
        </w:rPr>
        <w:t xml:space="preserve">Level 1: Field #10 Trading system </w:t>
      </w:r>
    </w:p>
    <w:permEnd w:id="1672500431"/>
    <w:p w14:paraId="5FC1FF01" w14:textId="1EFA18A7" w:rsidR="00CC59BB" w:rsidRDefault="00CC59BB" w:rsidP="00C54034">
      <w:pPr>
        <w:spacing w:after="0"/>
      </w:pPr>
      <w:r>
        <w:t>&lt;ESMA_QUESTION</w:t>
      </w:r>
      <w:r w:rsidR="005D4F78">
        <w:t>_CP3_</w:t>
      </w:r>
      <w:r>
        <w:t>26&gt;</w:t>
      </w:r>
    </w:p>
    <w:p w14:paraId="67599B58" w14:textId="73A98038" w:rsidR="00157BC9" w:rsidRDefault="00157BC9" w:rsidP="00C54034">
      <w:pPr>
        <w:spacing w:after="0"/>
      </w:pPr>
    </w:p>
    <w:p w14:paraId="1D34A573" w14:textId="06ADA2A7" w:rsidR="00FA4100" w:rsidRDefault="005D4F78" w:rsidP="007C5BD5">
      <w:pPr>
        <w:pStyle w:val="Questionstyle"/>
      </w:pPr>
      <w:r w:rsidRPr="005D4F78">
        <w:t>Do you agree with the proposed amendments to Table 4 of Annex I of RTS 1? Please explain</w:t>
      </w:r>
      <w:r w:rsidR="00FA4100">
        <w:t>.</w:t>
      </w:r>
    </w:p>
    <w:p w14:paraId="07BBE19B" w14:textId="748DEC87" w:rsidR="00FA4100" w:rsidRDefault="00FA4100" w:rsidP="00FA4100">
      <w:pPr>
        <w:spacing w:after="0"/>
      </w:pPr>
      <w:r>
        <w:lastRenderedPageBreak/>
        <w:t>&lt;ESMA_QUESTION</w:t>
      </w:r>
      <w:r w:rsidR="005D4F78">
        <w:t>_CP3_</w:t>
      </w:r>
      <w:r>
        <w:t>2</w:t>
      </w:r>
      <w:r w:rsidR="00737DD9">
        <w:t>7</w:t>
      </w:r>
      <w:r>
        <w:t>&gt;</w:t>
      </w:r>
    </w:p>
    <w:p w14:paraId="3839454A" w14:textId="77777777" w:rsidR="0002324A" w:rsidRPr="003560DF" w:rsidRDefault="0002324A" w:rsidP="0002324A">
      <w:pPr>
        <w:rPr>
          <w:rFonts w:eastAsia="Verdana"/>
          <w:szCs w:val="22"/>
        </w:rPr>
      </w:pPr>
      <w:permStart w:id="1840853704" w:edGrp="everyone"/>
      <w:r w:rsidRPr="003560DF">
        <w:rPr>
          <w:rFonts w:eastAsia="Verdana"/>
          <w:szCs w:val="22"/>
        </w:rPr>
        <w:t>The RTS 1 review is first and foremost an opportunity to clean the information published to the market, in order to give local and foreign investors the most granular view possible on liquidity available on EU equities. This is especially critical in the context of the CT. Hence we believe the transaction flags should be extensively reviewed as per the table below.</w:t>
      </w:r>
    </w:p>
    <w:p w14:paraId="0823FFA1" w14:textId="77777777" w:rsidR="0002324A" w:rsidRPr="003560DF" w:rsidRDefault="0002324A" w:rsidP="0002324A">
      <w:pPr>
        <w:spacing w:after="0"/>
        <w:rPr>
          <w:szCs w:val="22"/>
          <w:lang w:eastAsia="en-GB"/>
        </w:rPr>
      </w:pPr>
      <w:r w:rsidRPr="003560DF">
        <w:rPr>
          <w:rFonts w:eastAsia="Verdana"/>
          <w:szCs w:val="22"/>
        </w:rPr>
        <w:t>In particular, we would highlight that granular SI flags should be retained and in addition, a new midpoint flag is critical and also a new flag to identify the side of the SI (with a delay in the disclosure if necessary). Note that some of those flags have been adopted in the UK and apply since April 2024 (</w:t>
      </w:r>
      <w:hyperlink r:id="rId31" w:history="1">
        <w:r w:rsidRPr="003560DF">
          <w:rPr>
            <w:szCs w:val="22"/>
          </w:rPr>
          <w:t>https://www.fca.org.uk/publication/policy/ps23-4.pdf</w:t>
        </w:r>
      </w:hyperlink>
      <w:r w:rsidRPr="003560DF">
        <w:rPr>
          <w:rFonts w:eastAsia="Verdana"/>
          <w:szCs w:val="22"/>
        </w:rPr>
        <w:t xml:space="preserve"> and </w:t>
      </w:r>
      <w:hyperlink r:id="rId32" w:history="1">
        <w:r w:rsidRPr="003560DF">
          <w:rPr>
            <w:szCs w:val="22"/>
          </w:rPr>
          <w:t>https://www.handbook.fca.org.uk/instrument/2023/FCA_2023_19.pdf</w:t>
        </w:r>
      </w:hyperlink>
      <w:r w:rsidRPr="003560DF">
        <w:rPr>
          <w:rFonts w:eastAsia="Verdana"/>
          <w:szCs w:val="22"/>
        </w:rPr>
        <w:t>), such as the ‘CLSE’ and ‘TNCP’ flags. These two flags, along with ‘NI’, are also included in MMT.</w:t>
      </w:r>
      <w:r w:rsidRPr="003560DF">
        <w:rPr>
          <w:szCs w:val="22"/>
          <w:lang w:eastAsia="en-GB"/>
        </w:rPr>
        <w:t xml:space="preserve"> </w:t>
      </w:r>
    </w:p>
    <w:p w14:paraId="2DE50C92" w14:textId="77777777" w:rsidR="0002324A" w:rsidRDefault="0002324A" w:rsidP="0002324A">
      <w:pPr>
        <w:rPr>
          <w:rFonts w:eastAsia="Verdana"/>
          <w:szCs w:val="22"/>
        </w:rPr>
      </w:pPr>
    </w:p>
    <w:p w14:paraId="25B2E731" w14:textId="0CEAFC7D" w:rsidR="0002324A" w:rsidRPr="003560DF" w:rsidRDefault="0002324A" w:rsidP="0002324A">
      <w:pPr>
        <w:rPr>
          <w:rFonts w:eastAsia="Verdana"/>
          <w:szCs w:val="22"/>
        </w:rPr>
      </w:pPr>
      <w:r w:rsidRPr="003560DF">
        <w:rPr>
          <w:rFonts w:eastAsia="Verdana"/>
          <w:szCs w:val="22"/>
        </w:rPr>
        <w:t>We welcome the removal of ACTX – agency cross as it reflects the new definition of the share trading obligation and should not be allowed on SIs.</w:t>
      </w:r>
    </w:p>
    <w:tbl>
      <w:tblPr>
        <w:tblW w:w="9773"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54"/>
        <w:gridCol w:w="2357"/>
        <w:gridCol w:w="1276"/>
        <w:gridCol w:w="5386"/>
      </w:tblGrid>
      <w:tr w:rsidR="0002324A" w:rsidRPr="003560DF" w14:paraId="693B3E79" w14:textId="77777777" w:rsidTr="009A7FA6">
        <w:trPr>
          <w:trHeight w:val="1185"/>
        </w:trPr>
        <w:tc>
          <w:tcPr>
            <w:tcW w:w="754" w:type="dxa"/>
            <w:tcBorders>
              <w:top w:val="single" w:sz="6" w:space="0" w:color="auto"/>
              <w:left w:val="single" w:sz="6" w:space="0" w:color="auto"/>
              <w:bottom w:val="single" w:sz="6" w:space="0" w:color="auto"/>
              <w:right w:val="single" w:sz="6" w:space="0" w:color="auto"/>
            </w:tcBorders>
            <w:tcMar>
              <w:left w:w="105" w:type="dxa"/>
              <w:right w:w="105" w:type="dxa"/>
            </w:tcMar>
          </w:tcPr>
          <w:p w14:paraId="5B5C0689" w14:textId="77777777" w:rsidR="0002324A" w:rsidRPr="00815F3D" w:rsidRDefault="0002324A" w:rsidP="009A7FA6">
            <w:pPr>
              <w:spacing w:after="0" w:line="240" w:lineRule="auto"/>
              <w:rPr>
                <w:rFonts w:eastAsia="Aptos"/>
                <w:sz w:val="18"/>
                <w:szCs w:val="18"/>
              </w:rPr>
            </w:pPr>
            <w:r w:rsidRPr="00815F3D">
              <w:rPr>
                <w:rFonts w:eastAsia="Aptos"/>
                <w:b/>
                <w:bCs/>
                <w:sz w:val="18"/>
                <w:szCs w:val="18"/>
              </w:rPr>
              <w:t>Flag</w:t>
            </w:r>
          </w:p>
        </w:tc>
        <w:tc>
          <w:tcPr>
            <w:tcW w:w="2357" w:type="dxa"/>
            <w:tcBorders>
              <w:top w:val="single" w:sz="6" w:space="0" w:color="auto"/>
              <w:left w:val="single" w:sz="6" w:space="0" w:color="auto"/>
              <w:bottom w:val="single" w:sz="6" w:space="0" w:color="auto"/>
              <w:right w:val="single" w:sz="6" w:space="0" w:color="auto"/>
            </w:tcBorders>
            <w:tcMar>
              <w:left w:w="105" w:type="dxa"/>
              <w:right w:w="105" w:type="dxa"/>
            </w:tcMar>
          </w:tcPr>
          <w:p w14:paraId="74739766" w14:textId="77777777" w:rsidR="0002324A" w:rsidRPr="00815F3D" w:rsidRDefault="0002324A" w:rsidP="009A7FA6">
            <w:pPr>
              <w:spacing w:after="0" w:line="240" w:lineRule="auto"/>
              <w:rPr>
                <w:rFonts w:eastAsia="Aptos"/>
                <w:sz w:val="18"/>
                <w:szCs w:val="18"/>
              </w:rPr>
            </w:pPr>
            <w:r w:rsidRPr="00815F3D">
              <w:rPr>
                <w:rFonts w:eastAsia="Aptos"/>
                <w:b/>
                <w:bCs/>
                <w:sz w:val="18"/>
                <w:szCs w:val="18"/>
              </w:rPr>
              <w:t>Name</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118417E6" w14:textId="77777777" w:rsidR="0002324A" w:rsidRPr="00815F3D" w:rsidRDefault="0002324A" w:rsidP="009A7FA6">
            <w:pPr>
              <w:spacing w:after="0" w:line="240" w:lineRule="auto"/>
              <w:rPr>
                <w:rFonts w:eastAsia="Aptos"/>
                <w:sz w:val="18"/>
                <w:szCs w:val="18"/>
              </w:rPr>
            </w:pPr>
            <w:r w:rsidRPr="00815F3D">
              <w:rPr>
                <w:rFonts w:eastAsia="Aptos"/>
                <w:b/>
                <w:bCs/>
                <w:sz w:val="18"/>
                <w:szCs w:val="18"/>
              </w:rPr>
              <w:t>Type of execution or publication venue</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13957F24" w14:textId="77777777" w:rsidR="0002324A" w:rsidRPr="00815F3D" w:rsidRDefault="0002324A" w:rsidP="009A7FA6">
            <w:pPr>
              <w:spacing w:after="0" w:line="240" w:lineRule="auto"/>
              <w:rPr>
                <w:rFonts w:eastAsia="Aptos"/>
                <w:sz w:val="18"/>
                <w:szCs w:val="18"/>
              </w:rPr>
            </w:pPr>
            <w:r w:rsidRPr="00815F3D">
              <w:rPr>
                <w:rFonts w:eastAsia="Aptos"/>
                <w:b/>
                <w:bCs/>
                <w:sz w:val="18"/>
                <w:szCs w:val="18"/>
              </w:rPr>
              <w:t>Description</w:t>
            </w:r>
          </w:p>
        </w:tc>
      </w:tr>
      <w:tr w:rsidR="0002324A" w:rsidRPr="003560DF" w14:paraId="31FA471A" w14:textId="77777777" w:rsidTr="009A7FA6">
        <w:trPr>
          <w:trHeight w:val="240"/>
        </w:trPr>
        <w:tc>
          <w:tcPr>
            <w:tcW w:w="9773"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14:paraId="20D8A337" w14:textId="77777777" w:rsidR="0002324A" w:rsidRPr="00815F3D" w:rsidRDefault="0002324A" w:rsidP="009A7FA6">
            <w:pPr>
              <w:spacing w:after="0" w:line="240" w:lineRule="auto"/>
              <w:rPr>
                <w:rFonts w:eastAsia="Aptos"/>
                <w:sz w:val="18"/>
                <w:szCs w:val="18"/>
              </w:rPr>
            </w:pPr>
            <w:r w:rsidRPr="00815F3D">
              <w:rPr>
                <w:rFonts w:eastAsia="Aptos"/>
                <w:b/>
                <w:bCs/>
                <w:sz w:val="18"/>
                <w:szCs w:val="18"/>
              </w:rPr>
              <w:t>New Flags that should be included</w:t>
            </w:r>
          </w:p>
        </w:tc>
      </w:tr>
      <w:tr w:rsidR="0002324A" w:rsidRPr="003560DF" w14:paraId="37903A0E" w14:textId="77777777" w:rsidTr="0002324A">
        <w:trPr>
          <w:trHeight w:val="735"/>
        </w:trPr>
        <w:tc>
          <w:tcPr>
            <w:tcW w:w="754" w:type="dxa"/>
            <w:tcBorders>
              <w:top w:val="single" w:sz="6" w:space="0" w:color="auto"/>
              <w:left w:val="single" w:sz="6" w:space="0" w:color="auto"/>
              <w:bottom w:val="single" w:sz="6" w:space="0" w:color="auto"/>
              <w:right w:val="single" w:sz="6" w:space="0" w:color="auto"/>
            </w:tcBorders>
            <w:tcMar>
              <w:left w:w="105" w:type="dxa"/>
              <w:right w:w="105" w:type="dxa"/>
            </w:tcMar>
          </w:tcPr>
          <w:p w14:paraId="69868D47" w14:textId="77777777" w:rsidR="0002324A" w:rsidRPr="00815F3D" w:rsidRDefault="0002324A" w:rsidP="009A7FA6">
            <w:pPr>
              <w:spacing w:after="0" w:line="240" w:lineRule="auto"/>
              <w:rPr>
                <w:rFonts w:eastAsia="Aptos"/>
                <w:b/>
                <w:bCs/>
                <w:color w:val="FF0000"/>
                <w:sz w:val="18"/>
                <w:szCs w:val="18"/>
                <w:u w:val="single"/>
              </w:rPr>
            </w:pPr>
            <w:r w:rsidRPr="00815F3D">
              <w:rPr>
                <w:rFonts w:eastAsia="Aptos"/>
                <w:b/>
                <w:bCs/>
                <w:color w:val="FF0000"/>
                <w:sz w:val="18"/>
                <w:szCs w:val="18"/>
                <w:u w:val="single"/>
              </w:rPr>
              <w:t>MIDP</w:t>
            </w:r>
          </w:p>
        </w:tc>
        <w:tc>
          <w:tcPr>
            <w:tcW w:w="2357" w:type="dxa"/>
            <w:tcBorders>
              <w:top w:val="single" w:sz="6" w:space="0" w:color="auto"/>
              <w:left w:val="single" w:sz="6" w:space="0" w:color="auto"/>
              <w:bottom w:val="single" w:sz="6" w:space="0" w:color="auto"/>
              <w:right w:val="single" w:sz="6" w:space="0" w:color="auto"/>
            </w:tcBorders>
            <w:tcMar>
              <w:left w:w="105" w:type="dxa"/>
              <w:right w:w="105" w:type="dxa"/>
            </w:tcMar>
          </w:tcPr>
          <w:p w14:paraId="69E6DF04" w14:textId="77777777" w:rsidR="0002324A" w:rsidRPr="00815F3D" w:rsidRDefault="0002324A" w:rsidP="009A7FA6">
            <w:pPr>
              <w:spacing w:after="0" w:line="240" w:lineRule="auto"/>
              <w:rPr>
                <w:rFonts w:eastAsia="Aptos"/>
                <w:b/>
                <w:bCs/>
                <w:color w:val="FF0000"/>
                <w:sz w:val="18"/>
                <w:szCs w:val="18"/>
                <w:u w:val="single"/>
              </w:rPr>
            </w:pPr>
            <w:r w:rsidRPr="00815F3D">
              <w:rPr>
                <w:rFonts w:eastAsia="Aptos"/>
                <w:b/>
                <w:bCs/>
                <w:color w:val="FF0000"/>
                <w:sz w:val="18"/>
                <w:szCs w:val="18"/>
                <w:u w:val="single"/>
              </w:rPr>
              <w:t>Midpoint transaction</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590690D1" w14:textId="77777777" w:rsidR="0002324A" w:rsidRPr="00815F3D" w:rsidRDefault="0002324A" w:rsidP="009A7FA6">
            <w:pPr>
              <w:spacing w:after="0" w:line="240" w:lineRule="auto"/>
              <w:rPr>
                <w:rFonts w:eastAsia="Aptos"/>
                <w:b/>
                <w:bCs/>
                <w:color w:val="FF0000"/>
                <w:sz w:val="18"/>
                <w:szCs w:val="18"/>
                <w:u w:val="single"/>
              </w:rPr>
            </w:pPr>
            <w:r w:rsidRPr="00815F3D">
              <w:rPr>
                <w:rFonts w:eastAsia="Aptos"/>
                <w:b/>
                <w:bCs/>
                <w:color w:val="FF0000"/>
                <w:sz w:val="18"/>
                <w:szCs w:val="18"/>
                <w:u w:val="single"/>
              </w:rPr>
              <w:t>APA</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6BEE7F22" w14:textId="77777777" w:rsidR="0002324A" w:rsidRPr="00815F3D" w:rsidRDefault="0002324A" w:rsidP="009A7FA6">
            <w:pPr>
              <w:spacing w:after="0" w:line="240" w:lineRule="auto"/>
              <w:rPr>
                <w:rFonts w:eastAsia="Aptos"/>
                <w:b/>
                <w:bCs/>
                <w:color w:val="FF0000"/>
                <w:sz w:val="18"/>
                <w:szCs w:val="18"/>
                <w:u w:val="single"/>
              </w:rPr>
            </w:pPr>
            <w:r w:rsidRPr="00815F3D">
              <w:rPr>
                <w:rFonts w:eastAsia="Aptos"/>
                <w:b/>
                <w:bCs/>
                <w:color w:val="FF0000"/>
                <w:sz w:val="18"/>
                <w:szCs w:val="18"/>
                <w:u w:val="single"/>
              </w:rPr>
              <w:t>Transactions executed at midpoint for the purpose of Article 17a.2 of Regulation (EU) No 791/2024</w:t>
            </w:r>
          </w:p>
        </w:tc>
      </w:tr>
      <w:tr w:rsidR="0002324A" w:rsidRPr="003560DF" w14:paraId="20C6FCB5" w14:textId="77777777" w:rsidTr="0002324A">
        <w:trPr>
          <w:trHeight w:val="1257"/>
        </w:trPr>
        <w:tc>
          <w:tcPr>
            <w:tcW w:w="754" w:type="dxa"/>
            <w:tcBorders>
              <w:top w:val="single" w:sz="6" w:space="0" w:color="auto"/>
              <w:left w:val="single" w:sz="6" w:space="0" w:color="auto"/>
              <w:bottom w:val="single" w:sz="6" w:space="0" w:color="auto"/>
              <w:right w:val="single" w:sz="6" w:space="0" w:color="auto"/>
            </w:tcBorders>
            <w:tcMar>
              <w:left w:w="105" w:type="dxa"/>
              <w:right w:w="105" w:type="dxa"/>
            </w:tcMar>
          </w:tcPr>
          <w:p w14:paraId="33100AEC" w14:textId="77777777" w:rsidR="0002324A" w:rsidRPr="00815F3D" w:rsidRDefault="0002324A" w:rsidP="009A7FA6">
            <w:pPr>
              <w:spacing w:after="0" w:line="240" w:lineRule="auto"/>
              <w:rPr>
                <w:rFonts w:eastAsia="Aptos"/>
                <w:b/>
                <w:bCs/>
                <w:color w:val="FF0000"/>
                <w:sz w:val="18"/>
                <w:szCs w:val="18"/>
                <w:u w:val="single"/>
              </w:rPr>
            </w:pPr>
            <w:r w:rsidRPr="00815F3D">
              <w:rPr>
                <w:rFonts w:eastAsia="Aptos"/>
                <w:b/>
                <w:bCs/>
                <w:color w:val="FF0000"/>
                <w:sz w:val="18"/>
                <w:szCs w:val="18"/>
                <w:u w:val="single"/>
              </w:rPr>
              <w:t>LIST</w:t>
            </w:r>
          </w:p>
        </w:tc>
        <w:tc>
          <w:tcPr>
            <w:tcW w:w="2357" w:type="dxa"/>
            <w:tcBorders>
              <w:top w:val="single" w:sz="6" w:space="0" w:color="auto"/>
              <w:left w:val="single" w:sz="6" w:space="0" w:color="auto"/>
              <w:bottom w:val="single" w:sz="6" w:space="0" w:color="auto"/>
              <w:right w:val="single" w:sz="6" w:space="0" w:color="auto"/>
            </w:tcBorders>
            <w:tcMar>
              <w:left w:w="105" w:type="dxa"/>
              <w:right w:w="105" w:type="dxa"/>
            </w:tcMar>
          </w:tcPr>
          <w:p w14:paraId="097FBF6D" w14:textId="77777777" w:rsidR="0002324A" w:rsidRPr="00815F3D" w:rsidRDefault="0002324A" w:rsidP="009A7FA6">
            <w:pPr>
              <w:spacing w:after="0" w:line="240" w:lineRule="auto"/>
              <w:rPr>
                <w:rFonts w:eastAsia="Aptos"/>
                <w:b/>
                <w:bCs/>
                <w:color w:val="FF0000"/>
                <w:sz w:val="18"/>
                <w:szCs w:val="18"/>
                <w:u w:val="single"/>
              </w:rPr>
            </w:pPr>
            <w:r w:rsidRPr="00815F3D">
              <w:rPr>
                <w:rFonts w:eastAsia="Aptos"/>
                <w:b/>
                <w:bCs/>
                <w:color w:val="FF0000"/>
                <w:sz w:val="18"/>
                <w:szCs w:val="18"/>
                <w:u w:val="single"/>
              </w:rPr>
              <w:t>Large in scale transaction</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04DF7B36" w14:textId="77777777" w:rsidR="0002324A" w:rsidRPr="00815F3D" w:rsidRDefault="0002324A" w:rsidP="009A7FA6">
            <w:pPr>
              <w:spacing w:after="0" w:line="240" w:lineRule="auto"/>
              <w:rPr>
                <w:rFonts w:eastAsia="Aptos"/>
                <w:b/>
                <w:bCs/>
                <w:color w:val="FF0000"/>
                <w:sz w:val="18"/>
                <w:szCs w:val="18"/>
                <w:u w:val="single"/>
              </w:rPr>
            </w:pPr>
            <w:r w:rsidRPr="00815F3D">
              <w:rPr>
                <w:rFonts w:eastAsia="Aptos"/>
                <w:b/>
                <w:bCs/>
                <w:color w:val="FF0000"/>
                <w:sz w:val="18"/>
                <w:szCs w:val="18"/>
                <w:u w:val="single"/>
              </w:rPr>
              <w:t>RM, MTF</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0C868C74" w14:textId="4990774E" w:rsidR="0002324A" w:rsidRPr="00815F3D" w:rsidRDefault="0002324A" w:rsidP="009A7FA6">
            <w:pPr>
              <w:spacing w:after="0" w:line="240" w:lineRule="auto"/>
              <w:rPr>
                <w:rFonts w:eastAsia="Aptos"/>
                <w:b/>
                <w:bCs/>
                <w:color w:val="FF0000"/>
                <w:sz w:val="18"/>
                <w:szCs w:val="18"/>
                <w:u w:val="single"/>
              </w:rPr>
            </w:pPr>
            <w:r w:rsidRPr="00815F3D">
              <w:rPr>
                <w:rFonts w:eastAsia="Aptos"/>
                <w:b/>
                <w:bCs/>
                <w:color w:val="FF0000"/>
                <w:sz w:val="18"/>
                <w:szCs w:val="18"/>
                <w:u w:val="single"/>
              </w:rPr>
              <w:t>Transaction executed as a result of the application of the large in scale waiver for at least one of the matched orders for the purpose of Article 4.1 c) of Regulation (EU) No 600/2014 except if deferred publication applies</w:t>
            </w:r>
          </w:p>
        </w:tc>
      </w:tr>
      <w:tr w:rsidR="0002324A" w:rsidRPr="003560DF" w14:paraId="017C5A6F" w14:textId="77777777" w:rsidTr="0002324A">
        <w:trPr>
          <w:trHeight w:val="835"/>
        </w:trPr>
        <w:tc>
          <w:tcPr>
            <w:tcW w:w="754" w:type="dxa"/>
            <w:tcBorders>
              <w:top w:val="single" w:sz="6" w:space="0" w:color="auto"/>
              <w:left w:val="single" w:sz="6" w:space="0" w:color="auto"/>
              <w:bottom w:val="single" w:sz="6" w:space="0" w:color="auto"/>
              <w:right w:val="single" w:sz="6" w:space="0" w:color="auto"/>
            </w:tcBorders>
            <w:tcMar>
              <w:left w:w="105" w:type="dxa"/>
              <w:right w:w="105" w:type="dxa"/>
            </w:tcMar>
          </w:tcPr>
          <w:p w14:paraId="0CD978EF" w14:textId="77777777" w:rsidR="0002324A" w:rsidRPr="00815F3D" w:rsidRDefault="0002324A" w:rsidP="009A7FA6">
            <w:pPr>
              <w:spacing w:after="0" w:line="240" w:lineRule="auto"/>
              <w:rPr>
                <w:rFonts w:eastAsia="Aptos"/>
                <w:b/>
                <w:bCs/>
                <w:color w:val="FF0000"/>
                <w:sz w:val="18"/>
                <w:szCs w:val="18"/>
                <w:u w:val="single"/>
              </w:rPr>
            </w:pPr>
            <w:r w:rsidRPr="00815F3D">
              <w:rPr>
                <w:rFonts w:eastAsia="Aptos"/>
                <w:b/>
                <w:bCs/>
                <w:color w:val="FF0000"/>
                <w:sz w:val="18"/>
                <w:szCs w:val="18"/>
                <w:u w:val="single"/>
              </w:rPr>
              <w:t>BAGR</w:t>
            </w:r>
          </w:p>
        </w:tc>
        <w:tc>
          <w:tcPr>
            <w:tcW w:w="2357" w:type="dxa"/>
            <w:tcBorders>
              <w:top w:val="single" w:sz="6" w:space="0" w:color="auto"/>
              <w:left w:val="single" w:sz="6" w:space="0" w:color="auto"/>
              <w:bottom w:val="single" w:sz="6" w:space="0" w:color="auto"/>
              <w:right w:val="single" w:sz="6" w:space="0" w:color="auto"/>
            </w:tcBorders>
            <w:tcMar>
              <w:left w:w="105" w:type="dxa"/>
              <w:right w:w="105" w:type="dxa"/>
            </w:tcMar>
          </w:tcPr>
          <w:p w14:paraId="0E011FC0" w14:textId="77777777" w:rsidR="0002324A" w:rsidRPr="00815F3D" w:rsidRDefault="0002324A" w:rsidP="009A7FA6">
            <w:pPr>
              <w:spacing w:after="0" w:line="240" w:lineRule="auto"/>
              <w:rPr>
                <w:rFonts w:eastAsia="Aptos"/>
                <w:b/>
                <w:bCs/>
                <w:color w:val="FF0000"/>
                <w:sz w:val="18"/>
                <w:szCs w:val="18"/>
                <w:u w:val="single"/>
              </w:rPr>
            </w:pPr>
            <w:r w:rsidRPr="00815F3D">
              <w:rPr>
                <w:rFonts w:eastAsia="Aptos"/>
                <w:b/>
                <w:bCs/>
                <w:color w:val="FF0000"/>
                <w:sz w:val="18"/>
                <w:szCs w:val="18"/>
                <w:u w:val="single"/>
              </w:rPr>
              <w:t xml:space="preserve">Transactions where the SI is on the buy side </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5C2BC1B2" w14:textId="77777777" w:rsidR="0002324A" w:rsidRPr="00815F3D" w:rsidRDefault="0002324A" w:rsidP="009A7FA6">
            <w:pPr>
              <w:spacing w:after="0" w:line="240" w:lineRule="auto"/>
              <w:rPr>
                <w:rFonts w:eastAsia="Aptos"/>
                <w:b/>
                <w:bCs/>
                <w:color w:val="FF0000"/>
                <w:sz w:val="18"/>
                <w:szCs w:val="18"/>
                <w:u w:val="single"/>
              </w:rPr>
            </w:pPr>
            <w:r w:rsidRPr="00815F3D">
              <w:rPr>
                <w:rFonts w:eastAsia="Aptos"/>
                <w:b/>
                <w:bCs/>
                <w:color w:val="FF0000"/>
                <w:sz w:val="18"/>
                <w:szCs w:val="18"/>
                <w:u w:val="single"/>
              </w:rPr>
              <w:t>APA</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15B2A54E" w14:textId="77777777" w:rsidR="0002324A" w:rsidRPr="00815F3D" w:rsidRDefault="0002324A" w:rsidP="009A7FA6">
            <w:pPr>
              <w:spacing w:after="0" w:line="240" w:lineRule="auto"/>
              <w:rPr>
                <w:rFonts w:eastAsia="Aptos"/>
                <w:b/>
                <w:bCs/>
                <w:color w:val="FF0000"/>
                <w:sz w:val="18"/>
                <w:szCs w:val="18"/>
                <w:u w:val="single"/>
              </w:rPr>
            </w:pPr>
            <w:r w:rsidRPr="00815F3D">
              <w:rPr>
                <w:rFonts w:eastAsia="Aptos"/>
                <w:b/>
                <w:bCs/>
                <w:color w:val="FF0000"/>
                <w:sz w:val="18"/>
                <w:szCs w:val="18"/>
                <w:u w:val="single"/>
              </w:rPr>
              <w:t xml:space="preserve">Transactions where the systematic </w:t>
            </w:r>
            <w:proofErr w:type="spellStart"/>
            <w:r w:rsidRPr="00815F3D">
              <w:rPr>
                <w:rFonts w:eastAsia="Aptos"/>
                <w:b/>
                <w:bCs/>
                <w:color w:val="FF0000"/>
                <w:sz w:val="18"/>
                <w:szCs w:val="18"/>
                <w:u w:val="single"/>
              </w:rPr>
              <w:t>internaliser</w:t>
            </w:r>
            <w:proofErr w:type="spellEnd"/>
            <w:r w:rsidRPr="00815F3D">
              <w:rPr>
                <w:rFonts w:eastAsia="Aptos"/>
                <w:b/>
                <w:bCs/>
                <w:color w:val="FF0000"/>
                <w:sz w:val="18"/>
                <w:szCs w:val="18"/>
                <w:u w:val="single"/>
              </w:rPr>
              <w:t xml:space="preserve"> is on the buy side</w:t>
            </w:r>
          </w:p>
        </w:tc>
      </w:tr>
      <w:tr w:rsidR="0002324A" w:rsidRPr="003560DF" w14:paraId="5651A192" w14:textId="77777777" w:rsidTr="0002324A">
        <w:trPr>
          <w:trHeight w:val="774"/>
        </w:trPr>
        <w:tc>
          <w:tcPr>
            <w:tcW w:w="754" w:type="dxa"/>
            <w:tcBorders>
              <w:top w:val="single" w:sz="6" w:space="0" w:color="auto"/>
              <w:left w:val="single" w:sz="6" w:space="0" w:color="auto"/>
              <w:bottom w:val="single" w:sz="6" w:space="0" w:color="auto"/>
              <w:right w:val="single" w:sz="6" w:space="0" w:color="auto"/>
            </w:tcBorders>
            <w:tcMar>
              <w:left w:w="105" w:type="dxa"/>
              <w:right w:w="105" w:type="dxa"/>
            </w:tcMar>
          </w:tcPr>
          <w:p w14:paraId="1AA6178A" w14:textId="77777777" w:rsidR="0002324A" w:rsidRPr="00815F3D" w:rsidRDefault="0002324A" w:rsidP="009A7FA6">
            <w:pPr>
              <w:spacing w:after="0" w:line="240" w:lineRule="auto"/>
              <w:rPr>
                <w:rFonts w:eastAsia="Aptos"/>
                <w:b/>
                <w:bCs/>
                <w:color w:val="FF0000"/>
                <w:sz w:val="18"/>
                <w:szCs w:val="18"/>
                <w:u w:val="single"/>
              </w:rPr>
            </w:pPr>
            <w:r w:rsidRPr="00815F3D">
              <w:rPr>
                <w:rFonts w:eastAsia="Aptos"/>
                <w:b/>
                <w:bCs/>
                <w:color w:val="FF0000"/>
                <w:sz w:val="18"/>
                <w:szCs w:val="18"/>
                <w:u w:val="single"/>
              </w:rPr>
              <w:t>SAGR</w:t>
            </w:r>
          </w:p>
        </w:tc>
        <w:tc>
          <w:tcPr>
            <w:tcW w:w="2357" w:type="dxa"/>
            <w:tcBorders>
              <w:top w:val="single" w:sz="6" w:space="0" w:color="auto"/>
              <w:left w:val="single" w:sz="6" w:space="0" w:color="auto"/>
              <w:bottom w:val="single" w:sz="6" w:space="0" w:color="auto"/>
              <w:right w:val="single" w:sz="6" w:space="0" w:color="auto"/>
            </w:tcBorders>
            <w:tcMar>
              <w:left w:w="105" w:type="dxa"/>
              <w:right w:w="105" w:type="dxa"/>
            </w:tcMar>
          </w:tcPr>
          <w:p w14:paraId="70E1B9FC" w14:textId="77777777" w:rsidR="0002324A" w:rsidRPr="00815F3D" w:rsidRDefault="0002324A" w:rsidP="009A7FA6">
            <w:pPr>
              <w:spacing w:after="0" w:line="240" w:lineRule="auto"/>
              <w:rPr>
                <w:rFonts w:eastAsia="Aptos"/>
                <w:b/>
                <w:bCs/>
                <w:color w:val="FF0000"/>
                <w:sz w:val="18"/>
                <w:szCs w:val="18"/>
                <w:u w:val="single"/>
              </w:rPr>
            </w:pPr>
            <w:r w:rsidRPr="00815F3D">
              <w:rPr>
                <w:rFonts w:eastAsia="Aptos"/>
                <w:b/>
                <w:bCs/>
                <w:color w:val="FF0000"/>
                <w:sz w:val="18"/>
                <w:szCs w:val="18"/>
                <w:u w:val="single"/>
              </w:rPr>
              <w:t>Transactions where the SI is on the sell side</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1EA8EE60" w14:textId="77777777" w:rsidR="0002324A" w:rsidRPr="00815F3D" w:rsidRDefault="0002324A" w:rsidP="009A7FA6">
            <w:pPr>
              <w:spacing w:after="0" w:line="240" w:lineRule="auto"/>
              <w:rPr>
                <w:rFonts w:eastAsia="Aptos"/>
                <w:b/>
                <w:bCs/>
                <w:color w:val="FF0000"/>
                <w:sz w:val="18"/>
                <w:szCs w:val="18"/>
                <w:u w:val="single"/>
              </w:rPr>
            </w:pPr>
            <w:r w:rsidRPr="00815F3D">
              <w:rPr>
                <w:rFonts w:eastAsia="Aptos"/>
                <w:b/>
                <w:bCs/>
                <w:color w:val="FF0000"/>
                <w:sz w:val="18"/>
                <w:szCs w:val="18"/>
                <w:u w:val="single"/>
              </w:rPr>
              <w:t>APA</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51CD9172" w14:textId="77777777" w:rsidR="0002324A" w:rsidRPr="00815F3D" w:rsidRDefault="0002324A" w:rsidP="009A7FA6">
            <w:pPr>
              <w:spacing w:after="0" w:line="240" w:lineRule="auto"/>
              <w:rPr>
                <w:rFonts w:eastAsia="Aptos"/>
                <w:b/>
                <w:bCs/>
                <w:color w:val="FF0000"/>
                <w:sz w:val="18"/>
                <w:szCs w:val="18"/>
                <w:u w:val="single"/>
              </w:rPr>
            </w:pPr>
            <w:r w:rsidRPr="00815F3D">
              <w:rPr>
                <w:rFonts w:eastAsia="Aptos"/>
                <w:b/>
                <w:bCs/>
                <w:color w:val="FF0000"/>
                <w:sz w:val="18"/>
                <w:szCs w:val="18"/>
                <w:u w:val="single"/>
              </w:rPr>
              <w:t xml:space="preserve">Transactions where the systematic </w:t>
            </w:r>
            <w:proofErr w:type="spellStart"/>
            <w:r w:rsidRPr="00815F3D">
              <w:rPr>
                <w:rFonts w:eastAsia="Aptos"/>
                <w:b/>
                <w:bCs/>
                <w:color w:val="FF0000"/>
                <w:sz w:val="18"/>
                <w:szCs w:val="18"/>
                <w:u w:val="single"/>
              </w:rPr>
              <w:t>internaliser</w:t>
            </w:r>
            <w:proofErr w:type="spellEnd"/>
            <w:r w:rsidRPr="00815F3D">
              <w:rPr>
                <w:rFonts w:eastAsia="Aptos"/>
                <w:b/>
                <w:bCs/>
                <w:color w:val="FF0000"/>
                <w:sz w:val="18"/>
                <w:szCs w:val="18"/>
                <w:u w:val="single"/>
              </w:rPr>
              <w:t xml:space="preserve"> is on the sell side </w:t>
            </w:r>
          </w:p>
        </w:tc>
      </w:tr>
      <w:tr w:rsidR="0002324A" w:rsidRPr="003560DF" w14:paraId="7F33E789" w14:textId="77777777" w:rsidTr="009A7FA6">
        <w:trPr>
          <w:trHeight w:val="1920"/>
        </w:trPr>
        <w:tc>
          <w:tcPr>
            <w:tcW w:w="754" w:type="dxa"/>
            <w:tcBorders>
              <w:top w:val="single" w:sz="6" w:space="0" w:color="auto"/>
              <w:left w:val="single" w:sz="6" w:space="0" w:color="auto"/>
              <w:bottom w:val="single" w:sz="6" w:space="0" w:color="auto"/>
              <w:right w:val="single" w:sz="6" w:space="0" w:color="auto"/>
            </w:tcBorders>
            <w:tcMar>
              <w:left w:w="105" w:type="dxa"/>
              <w:right w:w="105" w:type="dxa"/>
            </w:tcMar>
          </w:tcPr>
          <w:p w14:paraId="14B0521B" w14:textId="6CB501BE" w:rsidR="0002324A" w:rsidRPr="00815F3D" w:rsidRDefault="0002324A" w:rsidP="009A7FA6">
            <w:pPr>
              <w:spacing w:after="0" w:line="240" w:lineRule="auto"/>
              <w:rPr>
                <w:rFonts w:eastAsia="Aptos"/>
                <w:b/>
                <w:bCs/>
                <w:color w:val="FF0000"/>
                <w:sz w:val="18"/>
                <w:szCs w:val="18"/>
                <w:u w:val="single"/>
              </w:rPr>
            </w:pPr>
            <w:r w:rsidRPr="00815F3D">
              <w:rPr>
                <w:rFonts w:eastAsia="Aptos"/>
                <w:b/>
                <w:bCs/>
                <w:color w:val="FF0000"/>
                <w:sz w:val="18"/>
                <w:szCs w:val="18"/>
                <w:u w:val="single"/>
              </w:rPr>
              <w:t xml:space="preserve">TNCP </w:t>
            </w:r>
          </w:p>
        </w:tc>
        <w:tc>
          <w:tcPr>
            <w:tcW w:w="2357" w:type="dxa"/>
            <w:tcBorders>
              <w:top w:val="single" w:sz="6" w:space="0" w:color="auto"/>
              <w:left w:val="single" w:sz="6" w:space="0" w:color="auto"/>
              <w:bottom w:val="single" w:sz="6" w:space="0" w:color="auto"/>
              <w:right w:val="single" w:sz="6" w:space="0" w:color="auto"/>
            </w:tcBorders>
            <w:tcMar>
              <w:left w:w="105" w:type="dxa"/>
              <w:right w:w="105" w:type="dxa"/>
            </w:tcMar>
          </w:tcPr>
          <w:p w14:paraId="4B4A9725" w14:textId="77777777" w:rsidR="0002324A" w:rsidRPr="00815F3D" w:rsidRDefault="0002324A" w:rsidP="009A7FA6">
            <w:pPr>
              <w:spacing w:after="0" w:line="240" w:lineRule="auto"/>
              <w:rPr>
                <w:rFonts w:eastAsia="Aptos"/>
                <w:b/>
                <w:bCs/>
                <w:color w:val="FF0000"/>
                <w:sz w:val="18"/>
                <w:szCs w:val="18"/>
                <w:u w:val="single"/>
              </w:rPr>
            </w:pPr>
            <w:r w:rsidRPr="00815F3D">
              <w:rPr>
                <w:rFonts w:eastAsia="Aptos"/>
                <w:b/>
                <w:bCs/>
                <w:color w:val="FF0000"/>
                <w:sz w:val="18"/>
                <w:szCs w:val="18"/>
                <w:u w:val="single"/>
              </w:rPr>
              <w:t xml:space="preserve">Transactions not contributing to the price discovery process for the purposes of Article 23 of Regulation (EU) No 600/2014 flag </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07954F45" w14:textId="77777777" w:rsidR="0002324A" w:rsidRPr="00815F3D" w:rsidRDefault="0002324A" w:rsidP="009A7FA6">
            <w:pPr>
              <w:spacing w:after="0" w:line="240" w:lineRule="auto"/>
              <w:rPr>
                <w:rFonts w:eastAsia="Aptos"/>
                <w:b/>
                <w:bCs/>
                <w:color w:val="FF0000"/>
                <w:sz w:val="18"/>
                <w:szCs w:val="18"/>
                <w:u w:val="single"/>
              </w:rPr>
            </w:pPr>
            <w:r w:rsidRPr="00815F3D">
              <w:rPr>
                <w:rFonts w:eastAsia="Aptos"/>
                <w:b/>
                <w:bCs/>
                <w:color w:val="FF0000"/>
                <w:sz w:val="18"/>
                <w:szCs w:val="18"/>
                <w:u w:val="single"/>
              </w:rPr>
              <w:t xml:space="preserve">RM, MTF APA  </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060EC1F7" w14:textId="77777777" w:rsidR="0002324A" w:rsidRPr="00815F3D" w:rsidRDefault="0002324A" w:rsidP="009A7FA6">
            <w:pPr>
              <w:spacing w:after="0" w:line="240" w:lineRule="auto"/>
              <w:rPr>
                <w:rFonts w:eastAsia="Aptos"/>
                <w:b/>
                <w:bCs/>
                <w:color w:val="FF0000"/>
                <w:sz w:val="18"/>
                <w:szCs w:val="18"/>
                <w:u w:val="single"/>
              </w:rPr>
            </w:pPr>
            <w:r w:rsidRPr="00815F3D">
              <w:rPr>
                <w:rFonts w:eastAsia="Aptos"/>
                <w:b/>
                <w:bCs/>
                <w:color w:val="FF0000"/>
                <w:sz w:val="18"/>
                <w:szCs w:val="18"/>
                <w:u w:val="single"/>
              </w:rPr>
              <w:t>Transaction not contributing to the price discovery process for the purposes of Article 23 of Regulation (EU) No 600/2014 and as set out in Article 2.  except from transactions flagged as CONT, BENC and PORT</w:t>
            </w:r>
          </w:p>
        </w:tc>
      </w:tr>
      <w:tr w:rsidR="0002324A" w:rsidRPr="003560DF" w14:paraId="584983AC" w14:textId="77777777" w:rsidTr="009A7FA6">
        <w:trPr>
          <w:trHeight w:val="1185"/>
        </w:trPr>
        <w:tc>
          <w:tcPr>
            <w:tcW w:w="754" w:type="dxa"/>
            <w:tcBorders>
              <w:top w:val="single" w:sz="6" w:space="0" w:color="auto"/>
              <w:left w:val="single" w:sz="6" w:space="0" w:color="auto"/>
              <w:bottom w:val="single" w:sz="6" w:space="0" w:color="auto"/>
              <w:right w:val="single" w:sz="6" w:space="0" w:color="auto"/>
            </w:tcBorders>
            <w:tcMar>
              <w:left w:w="105" w:type="dxa"/>
              <w:right w:w="105" w:type="dxa"/>
            </w:tcMar>
          </w:tcPr>
          <w:p w14:paraId="05466590" w14:textId="6A4B7ADB" w:rsidR="0002324A" w:rsidRPr="00815F3D" w:rsidRDefault="0002324A" w:rsidP="009A7FA6">
            <w:pPr>
              <w:spacing w:after="0" w:line="240" w:lineRule="auto"/>
              <w:rPr>
                <w:rFonts w:eastAsia="Aptos"/>
                <w:b/>
                <w:bCs/>
                <w:color w:val="FF0000"/>
                <w:sz w:val="18"/>
                <w:szCs w:val="18"/>
                <w:u w:val="single"/>
              </w:rPr>
            </w:pPr>
            <w:r w:rsidRPr="00815F3D">
              <w:rPr>
                <w:rFonts w:eastAsia="Aptos"/>
                <w:b/>
                <w:bCs/>
                <w:color w:val="FF0000"/>
                <w:sz w:val="18"/>
                <w:szCs w:val="18"/>
                <w:u w:val="single"/>
              </w:rPr>
              <w:lastRenderedPageBreak/>
              <w:t>CLS</w:t>
            </w:r>
            <w:r w:rsidR="00F36CA6">
              <w:rPr>
                <w:rFonts w:eastAsia="Aptos"/>
                <w:b/>
                <w:bCs/>
                <w:color w:val="FF0000"/>
                <w:sz w:val="18"/>
                <w:szCs w:val="18"/>
                <w:u w:val="single"/>
              </w:rPr>
              <w:t>E</w:t>
            </w:r>
          </w:p>
        </w:tc>
        <w:tc>
          <w:tcPr>
            <w:tcW w:w="2357" w:type="dxa"/>
            <w:tcBorders>
              <w:top w:val="single" w:sz="6" w:space="0" w:color="auto"/>
              <w:left w:val="single" w:sz="6" w:space="0" w:color="auto"/>
              <w:bottom w:val="single" w:sz="6" w:space="0" w:color="auto"/>
              <w:right w:val="single" w:sz="6" w:space="0" w:color="auto"/>
            </w:tcBorders>
            <w:tcMar>
              <w:left w:w="105" w:type="dxa"/>
              <w:right w:w="105" w:type="dxa"/>
            </w:tcMar>
          </w:tcPr>
          <w:p w14:paraId="78B30346" w14:textId="77777777" w:rsidR="0002324A" w:rsidRPr="00815F3D" w:rsidRDefault="0002324A" w:rsidP="009A7FA6">
            <w:pPr>
              <w:spacing w:after="0" w:line="240" w:lineRule="auto"/>
              <w:rPr>
                <w:rFonts w:eastAsia="Aptos"/>
                <w:b/>
                <w:bCs/>
                <w:color w:val="FF0000"/>
                <w:sz w:val="18"/>
                <w:szCs w:val="18"/>
                <w:u w:val="single"/>
              </w:rPr>
            </w:pPr>
            <w:r w:rsidRPr="00815F3D">
              <w:rPr>
                <w:rFonts w:eastAsia="Aptos"/>
                <w:b/>
                <w:bCs/>
                <w:color w:val="FF0000"/>
                <w:sz w:val="18"/>
                <w:szCs w:val="18"/>
                <w:u w:val="single"/>
              </w:rPr>
              <w:t>Benchmark Transaction Executed at the Market Closing Price</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06919CF4" w14:textId="77777777" w:rsidR="0002324A" w:rsidRPr="00815F3D" w:rsidRDefault="0002324A" w:rsidP="009A7FA6">
            <w:pPr>
              <w:spacing w:after="0" w:line="240" w:lineRule="auto"/>
              <w:rPr>
                <w:rFonts w:eastAsia="Aptos"/>
                <w:b/>
                <w:bCs/>
                <w:color w:val="FF0000"/>
                <w:sz w:val="18"/>
                <w:szCs w:val="18"/>
                <w:u w:val="single"/>
              </w:rPr>
            </w:pPr>
            <w:r w:rsidRPr="00815F3D">
              <w:rPr>
                <w:rFonts w:eastAsia="Aptos"/>
                <w:b/>
                <w:bCs/>
                <w:color w:val="FF0000"/>
                <w:sz w:val="18"/>
                <w:szCs w:val="18"/>
                <w:u w:val="single"/>
              </w:rPr>
              <w:t>RM, MTF, APA</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1B3EEE52" w14:textId="77777777" w:rsidR="0002324A" w:rsidRPr="00815F3D" w:rsidRDefault="0002324A" w:rsidP="009A7FA6">
            <w:pPr>
              <w:spacing w:after="0" w:line="240" w:lineRule="auto"/>
              <w:rPr>
                <w:rFonts w:eastAsia="Aptos"/>
                <w:b/>
                <w:bCs/>
                <w:color w:val="FF0000"/>
                <w:sz w:val="18"/>
                <w:szCs w:val="18"/>
                <w:u w:val="single"/>
              </w:rPr>
            </w:pPr>
            <w:r w:rsidRPr="00815F3D">
              <w:rPr>
                <w:rFonts w:eastAsia="Aptos"/>
                <w:b/>
                <w:bCs/>
                <w:color w:val="FF0000"/>
                <w:sz w:val="18"/>
                <w:szCs w:val="18"/>
                <w:u w:val="single"/>
              </w:rPr>
              <w:t>Transaction executed at the market closing price benchmark</w:t>
            </w:r>
          </w:p>
        </w:tc>
      </w:tr>
      <w:tr w:rsidR="0002324A" w:rsidRPr="003560DF" w14:paraId="15B4D79F" w14:textId="77777777" w:rsidTr="009A7FA6">
        <w:trPr>
          <w:trHeight w:val="1185"/>
        </w:trPr>
        <w:tc>
          <w:tcPr>
            <w:tcW w:w="754" w:type="dxa"/>
            <w:tcBorders>
              <w:top w:val="single" w:sz="6" w:space="0" w:color="auto"/>
              <w:left w:val="single" w:sz="6" w:space="0" w:color="auto"/>
              <w:bottom w:val="single" w:sz="6" w:space="0" w:color="auto"/>
              <w:right w:val="single" w:sz="6" w:space="0" w:color="auto"/>
            </w:tcBorders>
            <w:tcMar>
              <w:left w:w="105" w:type="dxa"/>
              <w:right w:w="105" w:type="dxa"/>
            </w:tcMar>
          </w:tcPr>
          <w:p w14:paraId="174D4D0E" w14:textId="7710BC39" w:rsidR="0002324A" w:rsidRPr="00815F3D" w:rsidRDefault="0002324A" w:rsidP="009A7FA6">
            <w:pPr>
              <w:spacing w:after="0" w:line="240" w:lineRule="auto"/>
              <w:rPr>
                <w:rFonts w:eastAsia="Aptos"/>
                <w:b/>
                <w:bCs/>
                <w:color w:val="FF0000"/>
                <w:sz w:val="18"/>
                <w:szCs w:val="18"/>
                <w:u w:val="single"/>
              </w:rPr>
            </w:pPr>
            <w:r w:rsidRPr="00815F3D">
              <w:rPr>
                <w:rFonts w:eastAsia="Aptos"/>
                <w:b/>
                <w:bCs/>
                <w:color w:val="FF0000"/>
                <w:sz w:val="18"/>
                <w:szCs w:val="18"/>
                <w:u w:val="single"/>
              </w:rPr>
              <w:t>NI</w:t>
            </w:r>
          </w:p>
        </w:tc>
        <w:tc>
          <w:tcPr>
            <w:tcW w:w="2357" w:type="dxa"/>
            <w:tcBorders>
              <w:top w:val="single" w:sz="6" w:space="0" w:color="auto"/>
              <w:left w:val="single" w:sz="6" w:space="0" w:color="auto"/>
              <w:bottom w:val="single" w:sz="6" w:space="0" w:color="auto"/>
              <w:right w:val="single" w:sz="6" w:space="0" w:color="auto"/>
            </w:tcBorders>
            <w:tcMar>
              <w:left w:w="105" w:type="dxa"/>
              <w:right w:w="105" w:type="dxa"/>
            </w:tcMar>
          </w:tcPr>
          <w:p w14:paraId="0B91D753" w14:textId="77777777" w:rsidR="0002324A" w:rsidRPr="00815F3D" w:rsidRDefault="0002324A" w:rsidP="009A7FA6">
            <w:pPr>
              <w:spacing w:after="0" w:line="240" w:lineRule="auto"/>
              <w:rPr>
                <w:rFonts w:eastAsia="Aptos"/>
                <w:b/>
                <w:bCs/>
                <w:color w:val="FF0000"/>
                <w:sz w:val="18"/>
                <w:szCs w:val="18"/>
                <w:u w:val="single"/>
              </w:rPr>
            </w:pPr>
            <w:r w:rsidRPr="00815F3D">
              <w:rPr>
                <w:rFonts w:eastAsia="Aptos"/>
                <w:b/>
                <w:bCs/>
                <w:color w:val="FF0000"/>
                <w:sz w:val="18"/>
                <w:szCs w:val="18"/>
                <w:u w:val="single"/>
              </w:rPr>
              <w:t>Non-Immediate Publication</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74FE3855" w14:textId="77777777" w:rsidR="0002324A" w:rsidRPr="00815F3D" w:rsidRDefault="0002324A" w:rsidP="009A7FA6">
            <w:pPr>
              <w:spacing w:after="0" w:line="240" w:lineRule="auto"/>
              <w:rPr>
                <w:rFonts w:eastAsia="Aptos"/>
                <w:b/>
                <w:bCs/>
                <w:color w:val="FF0000"/>
                <w:sz w:val="18"/>
                <w:szCs w:val="18"/>
                <w:u w:val="single"/>
              </w:rPr>
            </w:pPr>
            <w:r w:rsidRPr="00815F3D">
              <w:rPr>
                <w:rFonts w:eastAsia="Aptos"/>
                <w:b/>
                <w:bCs/>
                <w:color w:val="FF0000"/>
                <w:sz w:val="18"/>
                <w:szCs w:val="18"/>
                <w:u w:val="single"/>
              </w:rPr>
              <w:t>RM, MTF, APA</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57C40306" w14:textId="77777777" w:rsidR="0002324A" w:rsidRPr="00815F3D" w:rsidRDefault="0002324A" w:rsidP="009A7FA6">
            <w:pPr>
              <w:spacing w:after="0" w:line="240" w:lineRule="auto"/>
              <w:rPr>
                <w:rFonts w:eastAsia="Aptos"/>
                <w:b/>
                <w:bCs/>
                <w:color w:val="FF0000"/>
                <w:sz w:val="18"/>
                <w:szCs w:val="18"/>
                <w:u w:val="single"/>
              </w:rPr>
            </w:pPr>
            <w:r w:rsidRPr="00815F3D">
              <w:rPr>
                <w:rFonts w:eastAsia="Aptos"/>
                <w:b/>
                <w:bCs/>
                <w:color w:val="FF0000"/>
                <w:sz w:val="18"/>
                <w:szCs w:val="18"/>
                <w:u w:val="single"/>
              </w:rPr>
              <w:t>Transaction for which publication has been deferred for other reasons than their size for the purpose of Article 7.1 of Regulation (EU) No 600/2014</w:t>
            </w:r>
          </w:p>
        </w:tc>
      </w:tr>
      <w:tr w:rsidR="0002324A" w:rsidRPr="003560DF" w14:paraId="7146C7E2" w14:textId="77777777" w:rsidTr="009A7FA6">
        <w:trPr>
          <w:trHeight w:val="240"/>
        </w:trPr>
        <w:tc>
          <w:tcPr>
            <w:tcW w:w="754"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5C0AB74" w14:textId="77777777" w:rsidR="0002324A" w:rsidRPr="00815F3D" w:rsidRDefault="0002324A" w:rsidP="009A7FA6">
            <w:pPr>
              <w:spacing w:after="0" w:line="240" w:lineRule="auto"/>
              <w:rPr>
                <w:rFonts w:eastAsia="Aptos"/>
                <w:sz w:val="18"/>
                <w:szCs w:val="18"/>
              </w:rPr>
            </w:pPr>
          </w:p>
        </w:tc>
        <w:tc>
          <w:tcPr>
            <w:tcW w:w="2357"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B7E5FEC" w14:textId="77777777" w:rsidR="0002324A" w:rsidRPr="00815F3D" w:rsidRDefault="0002324A" w:rsidP="009A7FA6">
            <w:pPr>
              <w:spacing w:after="0" w:line="240" w:lineRule="auto"/>
              <w:rPr>
                <w:rFonts w:eastAsia="Times New Roman"/>
                <w:sz w:val="18"/>
                <w:szCs w:val="18"/>
              </w:rPr>
            </w:pP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A32D853" w14:textId="77777777" w:rsidR="0002324A" w:rsidRPr="00815F3D" w:rsidRDefault="0002324A" w:rsidP="009A7FA6">
            <w:pPr>
              <w:spacing w:after="0" w:line="240" w:lineRule="auto"/>
              <w:rPr>
                <w:rFonts w:eastAsia="Times New Roman"/>
                <w:sz w:val="18"/>
                <w:szCs w:val="18"/>
              </w:rPr>
            </w:pP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BA197BC" w14:textId="77777777" w:rsidR="0002324A" w:rsidRPr="00815F3D" w:rsidRDefault="0002324A" w:rsidP="009A7FA6">
            <w:pPr>
              <w:spacing w:after="0" w:line="240" w:lineRule="auto"/>
              <w:rPr>
                <w:rFonts w:eastAsia="Times New Roman"/>
                <w:sz w:val="18"/>
                <w:szCs w:val="18"/>
              </w:rPr>
            </w:pPr>
          </w:p>
        </w:tc>
      </w:tr>
      <w:tr w:rsidR="0002324A" w:rsidRPr="003560DF" w14:paraId="181DC347" w14:textId="77777777" w:rsidTr="009A7FA6">
        <w:trPr>
          <w:trHeight w:val="240"/>
        </w:trPr>
        <w:tc>
          <w:tcPr>
            <w:tcW w:w="9773"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14:paraId="436F18F8" w14:textId="77777777" w:rsidR="0002324A" w:rsidRPr="00815F3D" w:rsidRDefault="0002324A" w:rsidP="009A7FA6">
            <w:pPr>
              <w:spacing w:after="0" w:line="240" w:lineRule="auto"/>
              <w:rPr>
                <w:rFonts w:eastAsia="Aptos"/>
                <w:sz w:val="18"/>
                <w:szCs w:val="18"/>
              </w:rPr>
            </w:pPr>
            <w:r w:rsidRPr="00815F3D">
              <w:rPr>
                <w:rFonts w:eastAsia="Aptos"/>
                <w:b/>
                <w:bCs/>
                <w:sz w:val="18"/>
                <w:szCs w:val="18"/>
              </w:rPr>
              <w:t>Flags that should be removed</w:t>
            </w:r>
          </w:p>
        </w:tc>
      </w:tr>
      <w:tr w:rsidR="0002324A" w:rsidRPr="003560DF" w14:paraId="297E1219" w14:textId="77777777" w:rsidTr="009A7FA6">
        <w:trPr>
          <w:trHeight w:val="1440"/>
        </w:trPr>
        <w:tc>
          <w:tcPr>
            <w:tcW w:w="754" w:type="dxa"/>
            <w:tcBorders>
              <w:top w:val="single" w:sz="6" w:space="0" w:color="auto"/>
              <w:left w:val="single" w:sz="6" w:space="0" w:color="auto"/>
              <w:bottom w:val="single" w:sz="6" w:space="0" w:color="auto"/>
              <w:right w:val="single" w:sz="6" w:space="0" w:color="auto"/>
            </w:tcBorders>
            <w:tcMar>
              <w:left w:w="105" w:type="dxa"/>
              <w:right w:w="105" w:type="dxa"/>
            </w:tcMar>
          </w:tcPr>
          <w:p w14:paraId="48D944D2" w14:textId="77777777" w:rsidR="0002324A" w:rsidRPr="00815F3D" w:rsidRDefault="0002324A" w:rsidP="009A7FA6">
            <w:pPr>
              <w:spacing w:after="0" w:line="240" w:lineRule="auto"/>
              <w:rPr>
                <w:rFonts w:eastAsia="Aptos"/>
                <w:sz w:val="18"/>
                <w:szCs w:val="18"/>
              </w:rPr>
            </w:pPr>
            <w:r w:rsidRPr="00815F3D">
              <w:rPr>
                <w:rFonts w:eastAsia="Aptos"/>
                <w:sz w:val="18"/>
                <w:szCs w:val="18"/>
              </w:rPr>
              <w:t xml:space="preserve">ACTX’ </w:t>
            </w:r>
          </w:p>
        </w:tc>
        <w:tc>
          <w:tcPr>
            <w:tcW w:w="2357" w:type="dxa"/>
            <w:tcBorders>
              <w:top w:val="single" w:sz="6" w:space="0" w:color="auto"/>
              <w:left w:val="single" w:sz="6" w:space="0" w:color="auto"/>
              <w:bottom w:val="single" w:sz="6" w:space="0" w:color="auto"/>
              <w:right w:val="single" w:sz="6" w:space="0" w:color="auto"/>
            </w:tcBorders>
            <w:tcMar>
              <w:left w:w="105" w:type="dxa"/>
              <w:right w:w="105" w:type="dxa"/>
            </w:tcMar>
          </w:tcPr>
          <w:p w14:paraId="523217CF" w14:textId="77777777" w:rsidR="0002324A" w:rsidRPr="00815F3D" w:rsidRDefault="0002324A" w:rsidP="009A7FA6">
            <w:pPr>
              <w:spacing w:after="0" w:line="240" w:lineRule="auto"/>
              <w:rPr>
                <w:rFonts w:eastAsia="Aptos"/>
                <w:sz w:val="18"/>
                <w:szCs w:val="18"/>
              </w:rPr>
            </w:pPr>
            <w:r w:rsidRPr="00815F3D">
              <w:rPr>
                <w:rFonts w:eastAsia="Aptos"/>
                <w:sz w:val="18"/>
                <w:szCs w:val="18"/>
              </w:rPr>
              <w:t xml:space="preserve">Agency cross transactions flag </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66C85323" w14:textId="77777777" w:rsidR="0002324A" w:rsidRPr="00815F3D" w:rsidRDefault="0002324A" w:rsidP="009A7FA6">
            <w:pPr>
              <w:spacing w:after="0" w:line="240" w:lineRule="auto"/>
              <w:rPr>
                <w:rFonts w:eastAsia="Aptos"/>
                <w:sz w:val="18"/>
                <w:szCs w:val="18"/>
              </w:rPr>
            </w:pPr>
            <w:r w:rsidRPr="00815F3D">
              <w:rPr>
                <w:rFonts w:eastAsia="Aptos"/>
                <w:sz w:val="18"/>
                <w:szCs w:val="18"/>
              </w:rPr>
              <w:t xml:space="preserve">APA  </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2E2A57FB" w14:textId="77777777" w:rsidR="0002324A" w:rsidRPr="00815F3D" w:rsidRDefault="0002324A" w:rsidP="009A7FA6">
            <w:pPr>
              <w:spacing w:after="0" w:line="240" w:lineRule="auto"/>
              <w:rPr>
                <w:rFonts w:eastAsia="Aptos"/>
                <w:sz w:val="18"/>
                <w:szCs w:val="18"/>
              </w:rPr>
            </w:pPr>
            <w:r w:rsidRPr="00815F3D">
              <w:rPr>
                <w:rFonts w:eastAsia="Aptos"/>
                <w:sz w:val="18"/>
                <w:szCs w:val="18"/>
              </w:rPr>
              <w:t xml:space="preserve">Transactions where an investment firm has brought together clients’ orders with the purchase and the sale conducted as one transaction and involving the same volume and price. </w:t>
            </w:r>
          </w:p>
        </w:tc>
      </w:tr>
      <w:tr w:rsidR="0002324A" w:rsidRPr="003560DF" w14:paraId="6ACC2F56" w14:textId="77777777" w:rsidTr="009A7FA6">
        <w:trPr>
          <w:trHeight w:val="240"/>
        </w:trPr>
        <w:tc>
          <w:tcPr>
            <w:tcW w:w="754" w:type="dxa"/>
            <w:tcBorders>
              <w:top w:val="single" w:sz="6" w:space="0" w:color="auto"/>
              <w:left w:val="single" w:sz="6" w:space="0" w:color="auto"/>
              <w:bottom w:val="single" w:sz="6" w:space="0" w:color="auto"/>
              <w:right w:val="single" w:sz="6" w:space="0" w:color="auto"/>
            </w:tcBorders>
            <w:tcMar>
              <w:left w:w="105" w:type="dxa"/>
              <w:right w:w="105" w:type="dxa"/>
            </w:tcMar>
          </w:tcPr>
          <w:p w14:paraId="648921B8" w14:textId="77777777" w:rsidR="0002324A" w:rsidRPr="00815F3D" w:rsidRDefault="0002324A" w:rsidP="009A7FA6">
            <w:pPr>
              <w:spacing w:after="0" w:line="240" w:lineRule="auto"/>
              <w:rPr>
                <w:rFonts w:eastAsia="Aptos"/>
                <w:sz w:val="18"/>
                <w:szCs w:val="18"/>
              </w:rPr>
            </w:pPr>
          </w:p>
        </w:tc>
        <w:tc>
          <w:tcPr>
            <w:tcW w:w="2357" w:type="dxa"/>
            <w:tcBorders>
              <w:top w:val="single" w:sz="6" w:space="0" w:color="auto"/>
              <w:left w:val="single" w:sz="6" w:space="0" w:color="auto"/>
              <w:bottom w:val="single" w:sz="6" w:space="0" w:color="auto"/>
              <w:right w:val="single" w:sz="6" w:space="0" w:color="auto"/>
            </w:tcBorders>
            <w:tcMar>
              <w:left w:w="105" w:type="dxa"/>
              <w:right w:w="105" w:type="dxa"/>
            </w:tcMar>
          </w:tcPr>
          <w:p w14:paraId="7BDF8B79" w14:textId="77777777" w:rsidR="0002324A" w:rsidRPr="00815F3D" w:rsidRDefault="0002324A" w:rsidP="009A7FA6">
            <w:pPr>
              <w:spacing w:after="0" w:line="240" w:lineRule="auto"/>
              <w:rPr>
                <w:rFonts w:eastAsia="Times New Roman"/>
                <w:sz w:val="18"/>
                <w:szCs w:val="18"/>
              </w:rPr>
            </w:pP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49F695EB" w14:textId="77777777" w:rsidR="0002324A" w:rsidRPr="00815F3D" w:rsidRDefault="0002324A" w:rsidP="009A7FA6">
            <w:pPr>
              <w:spacing w:after="0" w:line="240" w:lineRule="auto"/>
              <w:rPr>
                <w:rFonts w:eastAsia="Times New Roman"/>
                <w:sz w:val="18"/>
                <w:szCs w:val="18"/>
              </w:rPr>
            </w:pP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13E2470B" w14:textId="77777777" w:rsidR="0002324A" w:rsidRPr="00815F3D" w:rsidRDefault="0002324A" w:rsidP="009A7FA6">
            <w:pPr>
              <w:spacing w:after="0" w:line="240" w:lineRule="auto"/>
              <w:rPr>
                <w:rFonts w:eastAsia="Times New Roman"/>
                <w:sz w:val="18"/>
                <w:szCs w:val="18"/>
              </w:rPr>
            </w:pPr>
          </w:p>
        </w:tc>
      </w:tr>
      <w:tr w:rsidR="0002324A" w:rsidRPr="003560DF" w14:paraId="70337F19" w14:textId="77777777" w:rsidTr="009A7FA6">
        <w:trPr>
          <w:trHeight w:val="240"/>
        </w:trPr>
        <w:tc>
          <w:tcPr>
            <w:tcW w:w="9773"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14:paraId="3640D4E1" w14:textId="77777777" w:rsidR="0002324A" w:rsidRPr="00815F3D" w:rsidRDefault="0002324A" w:rsidP="009A7FA6">
            <w:pPr>
              <w:spacing w:after="0" w:line="240" w:lineRule="auto"/>
              <w:rPr>
                <w:rFonts w:eastAsia="Aptos"/>
                <w:sz w:val="18"/>
                <w:szCs w:val="18"/>
              </w:rPr>
            </w:pPr>
            <w:r w:rsidRPr="00815F3D">
              <w:rPr>
                <w:rFonts w:eastAsia="Aptos"/>
                <w:b/>
                <w:bCs/>
                <w:sz w:val="18"/>
                <w:szCs w:val="18"/>
              </w:rPr>
              <w:t>Flags that should be amended</w:t>
            </w:r>
          </w:p>
        </w:tc>
      </w:tr>
      <w:tr w:rsidR="0002324A" w:rsidRPr="003560DF" w14:paraId="0FC2CFCB" w14:textId="77777777" w:rsidTr="009A7FA6">
        <w:trPr>
          <w:trHeight w:val="1440"/>
        </w:trPr>
        <w:tc>
          <w:tcPr>
            <w:tcW w:w="754" w:type="dxa"/>
            <w:tcBorders>
              <w:top w:val="single" w:sz="6" w:space="0" w:color="auto"/>
              <w:left w:val="single" w:sz="6" w:space="0" w:color="auto"/>
              <w:bottom w:val="single" w:sz="6" w:space="0" w:color="auto"/>
              <w:right w:val="single" w:sz="6" w:space="0" w:color="auto"/>
            </w:tcBorders>
            <w:tcMar>
              <w:left w:w="105" w:type="dxa"/>
              <w:right w:w="105" w:type="dxa"/>
            </w:tcMar>
          </w:tcPr>
          <w:p w14:paraId="029FC73D" w14:textId="77777777" w:rsidR="0002324A" w:rsidRPr="00815F3D" w:rsidRDefault="0002324A" w:rsidP="009A7FA6">
            <w:pPr>
              <w:spacing w:after="0" w:line="240" w:lineRule="auto"/>
              <w:rPr>
                <w:rFonts w:eastAsia="Aptos"/>
                <w:sz w:val="18"/>
                <w:szCs w:val="18"/>
              </w:rPr>
            </w:pPr>
            <w:r w:rsidRPr="00815F3D">
              <w:rPr>
                <w:rFonts w:eastAsia="Aptos"/>
                <w:sz w:val="18"/>
                <w:szCs w:val="18"/>
              </w:rPr>
              <w:t xml:space="preserve">PRIC’ </w:t>
            </w:r>
          </w:p>
        </w:tc>
        <w:tc>
          <w:tcPr>
            <w:tcW w:w="2357" w:type="dxa"/>
            <w:tcBorders>
              <w:top w:val="single" w:sz="6" w:space="0" w:color="auto"/>
              <w:left w:val="single" w:sz="6" w:space="0" w:color="auto"/>
              <w:bottom w:val="single" w:sz="6" w:space="0" w:color="auto"/>
              <w:right w:val="single" w:sz="6" w:space="0" w:color="auto"/>
            </w:tcBorders>
            <w:tcMar>
              <w:left w:w="105" w:type="dxa"/>
              <w:right w:w="105" w:type="dxa"/>
            </w:tcMar>
          </w:tcPr>
          <w:p w14:paraId="46AB2B07" w14:textId="77777777" w:rsidR="0002324A" w:rsidRPr="00815F3D" w:rsidRDefault="0002324A" w:rsidP="009A7FA6">
            <w:pPr>
              <w:spacing w:after="0" w:line="240" w:lineRule="auto"/>
              <w:rPr>
                <w:rFonts w:eastAsia="Aptos"/>
                <w:sz w:val="18"/>
                <w:szCs w:val="18"/>
              </w:rPr>
            </w:pPr>
            <w:r w:rsidRPr="00815F3D">
              <w:rPr>
                <w:rFonts w:eastAsia="Aptos"/>
                <w:sz w:val="18"/>
                <w:szCs w:val="18"/>
              </w:rPr>
              <w:t xml:space="preserve">Negotiated transaction subject to conditions other than the current market price flag </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2F9E8A68" w14:textId="77777777" w:rsidR="0002324A" w:rsidRPr="00815F3D" w:rsidRDefault="0002324A" w:rsidP="009A7FA6">
            <w:pPr>
              <w:spacing w:after="0" w:line="240" w:lineRule="auto"/>
              <w:rPr>
                <w:rFonts w:eastAsia="Aptos"/>
                <w:sz w:val="18"/>
                <w:szCs w:val="18"/>
              </w:rPr>
            </w:pPr>
            <w:r w:rsidRPr="00815F3D">
              <w:rPr>
                <w:rFonts w:eastAsia="Aptos"/>
                <w:sz w:val="18"/>
                <w:szCs w:val="18"/>
              </w:rPr>
              <w:t xml:space="preserve">RM, MTF  </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7030809C" w14:textId="77777777" w:rsidR="0002324A" w:rsidRPr="00815F3D" w:rsidRDefault="0002324A" w:rsidP="009A7FA6">
            <w:pPr>
              <w:spacing w:after="0" w:line="240" w:lineRule="auto"/>
              <w:rPr>
                <w:rFonts w:eastAsia="Aptos"/>
                <w:sz w:val="18"/>
                <w:szCs w:val="18"/>
              </w:rPr>
            </w:pPr>
            <w:r w:rsidRPr="00815F3D">
              <w:rPr>
                <w:rFonts w:eastAsia="Aptos"/>
                <w:sz w:val="18"/>
                <w:szCs w:val="18"/>
              </w:rPr>
              <w:t>Transactions executed in accordance with Article 4(1)(b)(iii) of Regulation (EU) No 600/2014 and as set out in Article 6.</w:t>
            </w:r>
            <w:r w:rsidRPr="00815F3D">
              <w:rPr>
                <w:rFonts w:eastAsia="Aptos"/>
                <w:b/>
                <w:bCs/>
                <w:sz w:val="18"/>
                <w:szCs w:val="18"/>
                <w:u w:val="single"/>
              </w:rPr>
              <w:t xml:space="preserve"> </w:t>
            </w:r>
            <w:r w:rsidRPr="00815F3D">
              <w:rPr>
                <w:rFonts w:eastAsia="Aptos"/>
                <w:b/>
                <w:bCs/>
                <w:color w:val="FF0000"/>
                <w:sz w:val="18"/>
                <w:szCs w:val="18"/>
                <w:u w:val="single"/>
              </w:rPr>
              <w:t>except from transactions flagged as CONT, BENC and PORT</w:t>
            </w:r>
          </w:p>
        </w:tc>
      </w:tr>
      <w:tr w:rsidR="0002324A" w:rsidRPr="003560DF" w14:paraId="55B7E514" w14:textId="77777777" w:rsidTr="009A7FA6">
        <w:trPr>
          <w:trHeight w:val="240"/>
        </w:trPr>
        <w:tc>
          <w:tcPr>
            <w:tcW w:w="754" w:type="dxa"/>
            <w:tcBorders>
              <w:top w:val="single" w:sz="6" w:space="0" w:color="auto"/>
              <w:left w:val="single" w:sz="6" w:space="0" w:color="auto"/>
              <w:bottom w:val="single" w:sz="6" w:space="0" w:color="auto"/>
              <w:right w:val="single" w:sz="6" w:space="0" w:color="auto"/>
            </w:tcBorders>
            <w:tcMar>
              <w:left w:w="105" w:type="dxa"/>
              <w:right w:w="105" w:type="dxa"/>
            </w:tcMar>
          </w:tcPr>
          <w:p w14:paraId="3FAA609C" w14:textId="77777777" w:rsidR="0002324A" w:rsidRPr="00815F3D" w:rsidRDefault="0002324A" w:rsidP="009A7FA6">
            <w:pPr>
              <w:spacing w:after="0" w:line="240" w:lineRule="auto"/>
              <w:rPr>
                <w:rFonts w:eastAsia="Aptos"/>
                <w:sz w:val="18"/>
                <w:szCs w:val="18"/>
              </w:rPr>
            </w:pPr>
          </w:p>
        </w:tc>
        <w:tc>
          <w:tcPr>
            <w:tcW w:w="2357" w:type="dxa"/>
            <w:tcBorders>
              <w:top w:val="single" w:sz="6" w:space="0" w:color="auto"/>
              <w:left w:val="single" w:sz="6" w:space="0" w:color="auto"/>
              <w:bottom w:val="single" w:sz="6" w:space="0" w:color="auto"/>
              <w:right w:val="single" w:sz="6" w:space="0" w:color="auto"/>
            </w:tcBorders>
            <w:tcMar>
              <w:left w:w="105" w:type="dxa"/>
              <w:right w:w="105" w:type="dxa"/>
            </w:tcMar>
          </w:tcPr>
          <w:p w14:paraId="06490D8D" w14:textId="77777777" w:rsidR="0002324A" w:rsidRPr="00815F3D" w:rsidRDefault="0002324A" w:rsidP="009A7FA6">
            <w:pPr>
              <w:spacing w:after="0" w:line="240" w:lineRule="auto"/>
              <w:rPr>
                <w:rFonts w:eastAsia="Times New Roman"/>
                <w:sz w:val="18"/>
                <w:szCs w:val="18"/>
              </w:rPr>
            </w:pP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3B999BA3" w14:textId="77777777" w:rsidR="0002324A" w:rsidRPr="00815F3D" w:rsidRDefault="0002324A" w:rsidP="009A7FA6">
            <w:pPr>
              <w:spacing w:after="0" w:line="240" w:lineRule="auto"/>
              <w:rPr>
                <w:rFonts w:eastAsia="Times New Roman"/>
                <w:sz w:val="18"/>
                <w:szCs w:val="18"/>
              </w:rPr>
            </w:pP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0EF485A6" w14:textId="77777777" w:rsidR="0002324A" w:rsidRPr="00815F3D" w:rsidRDefault="0002324A" w:rsidP="009A7FA6">
            <w:pPr>
              <w:spacing w:after="0" w:line="240" w:lineRule="auto"/>
              <w:rPr>
                <w:rFonts w:eastAsia="Times New Roman"/>
                <w:sz w:val="18"/>
                <w:szCs w:val="18"/>
              </w:rPr>
            </w:pPr>
          </w:p>
        </w:tc>
      </w:tr>
      <w:tr w:rsidR="0002324A" w:rsidRPr="003560DF" w14:paraId="39707D78" w14:textId="77777777" w:rsidTr="009A7FA6">
        <w:trPr>
          <w:trHeight w:val="240"/>
        </w:trPr>
        <w:tc>
          <w:tcPr>
            <w:tcW w:w="9773"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14:paraId="0ADC1DD0" w14:textId="77777777" w:rsidR="0002324A" w:rsidRPr="00815F3D" w:rsidRDefault="0002324A" w:rsidP="009A7FA6">
            <w:pPr>
              <w:spacing w:after="0" w:line="240" w:lineRule="auto"/>
              <w:rPr>
                <w:rFonts w:eastAsia="Aptos"/>
                <w:sz w:val="18"/>
                <w:szCs w:val="18"/>
              </w:rPr>
            </w:pPr>
            <w:r w:rsidRPr="00815F3D">
              <w:rPr>
                <w:rFonts w:eastAsia="Aptos"/>
                <w:b/>
                <w:bCs/>
                <w:sz w:val="18"/>
                <w:szCs w:val="18"/>
              </w:rPr>
              <w:t>Flags that should be maintained</w:t>
            </w:r>
          </w:p>
        </w:tc>
      </w:tr>
      <w:tr w:rsidR="0002324A" w:rsidRPr="003560DF" w14:paraId="39E41D3F" w14:textId="77777777" w:rsidTr="009A7FA6">
        <w:trPr>
          <w:trHeight w:val="1185"/>
        </w:trPr>
        <w:tc>
          <w:tcPr>
            <w:tcW w:w="754" w:type="dxa"/>
            <w:tcBorders>
              <w:top w:val="single" w:sz="6" w:space="0" w:color="auto"/>
              <w:left w:val="single" w:sz="6" w:space="0" w:color="auto"/>
              <w:bottom w:val="single" w:sz="6" w:space="0" w:color="auto"/>
              <w:right w:val="single" w:sz="6" w:space="0" w:color="auto"/>
            </w:tcBorders>
            <w:tcMar>
              <w:left w:w="105" w:type="dxa"/>
              <w:right w:w="105" w:type="dxa"/>
            </w:tcMar>
          </w:tcPr>
          <w:p w14:paraId="2B8A3452" w14:textId="2726F03C" w:rsidR="0002324A" w:rsidRPr="00815F3D" w:rsidRDefault="0002324A" w:rsidP="009A7FA6">
            <w:pPr>
              <w:spacing w:after="0" w:line="240" w:lineRule="auto"/>
              <w:rPr>
                <w:rFonts w:eastAsia="Aptos"/>
                <w:sz w:val="18"/>
                <w:szCs w:val="18"/>
              </w:rPr>
            </w:pPr>
            <w:r w:rsidRPr="00815F3D">
              <w:rPr>
                <w:rFonts w:eastAsia="Aptos"/>
                <w:sz w:val="18"/>
                <w:szCs w:val="18"/>
              </w:rPr>
              <w:t xml:space="preserve">ALGO </w:t>
            </w:r>
          </w:p>
        </w:tc>
        <w:tc>
          <w:tcPr>
            <w:tcW w:w="2357" w:type="dxa"/>
            <w:tcBorders>
              <w:top w:val="single" w:sz="6" w:space="0" w:color="auto"/>
              <w:left w:val="single" w:sz="6" w:space="0" w:color="auto"/>
              <w:bottom w:val="single" w:sz="6" w:space="0" w:color="auto"/>
              <w:right w:val="single" w:sz="6" w:space="0" w:color="auto"/>
            </w:tcBorders>
            <w:tcMar>
              <w:left w:w="105" w:type="dxa"/>
              <w:right w:w="105" w:type="dxa"/>
            </w:tcMar>
          </w:tcPr>
          <w:p w14:paraId="7005EB74" w14:textId="77777777" w:rsidR="0002324A" w:rsidRPr="00815F3D" w:rsidRDefault="0002324A" w:rsidP="009A7FA6">
            <w:pPr>
              <w:spacing w:after="0" w:line="240" w:lineRule="auto"/>
              <w:rPr>
                <w:rFonts w:eastAsia="Aptos"/>
                <w:sz w:val="18"/>
                <w:szCs w:val="18"/>
              </w:rPr>
            </w:pPr>
            <w:r w:rsidRPr="00815F3D">
              <w:rPr>
                <w:rFonts w:eastAsia="Aptos"/>
                <w:sz w:val="18"/>
                <w:szCs w:val="18"/>
              </w:rPr>
              <w:t xml:space="preserve">Algorithmic transaction flag </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2E26ADCA" w14:textId="77777777" w:rsidR="0002324A" w:rsidRPr="00815F3D" w:rsidRDefault="0002324A" w:rsidP="009A7FA6">
            <w:pPr>
              <w:spacing w:after="0" w:line="240" w:lineRule="auto"/>
              <w:rPr>
                <w:rFonts w:eastAsia="Aptos"/>
                <w:sz w:val="18"/>
                <w:szCs w:val="18"/>
              </w:rPr>
            </w:pPr>
            <w:r w:rsidRPr="00815F3D">
              <w:rPr>
                <w:rFonts w:eastAsia="Aptos"/>
                <w:sz w:val="18"/>
                <w:szCs w:val="18"/>
              </w:rPr>
              <w:t xml:space="preserve">RM, MTF  </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1CE5E08C" w14:textId="77777777" w:rsidR="0002324A" w:rsidRPr="00815F3D" w:rsidRDefault="0002324A" w:rsidP="009A7FA6">
            <w:pPr>
              <w:spacing w:after="0" w:line="240" w:lineRule="auto"/>
              <w:rPr>
                <w:rFonts w:eastAsia="Aptos"/>
                <w:sz w:val="18"/>
                <w:szCs w:val="18"/>
              </w:rPr>
            </w:pPr>
            <w:r w:rsidRPr="00815F3D">
              <w:rPr>
                <w:rFonts w:eastAsia="Aptos"/>
                <w:sz w:val="18"/>
                <w:szCs w:val="18"/>
              </w:rPr>
              <w:t xml:space="preserve">Transactions executed as a result of an investment firm engaging in algorithmic trading as defined in Article 4(1)(39) of Directive 2014/65/EU. </w:t>
            </w:r>
          </w:p>
        </w:tc>
      </w:tr>
      <w:tr w:rsidR="0002324A" w:rsidRPr="003560DF" w14:paraId="4BF66501" w14:textId="77777777" w:rsidTr="009A7FA6">
        <w:trPr>
          <w:trHeight w:val="480"/>
        </w:trPr>
        <w:tc>
          <w:tcPr>
            <w:tcW w:w="754" w:type="dxa"/>
            <w:tcBorders>
              <w:top w:val="single" w:sz="6" w:space="0" w:color="auto"/>
              <w:left w:val="single" w:sz="6" w:space="0" w:color="auto"/>
              <w:bottom w:val="single" w:sz="6" w:space="0" w:color="auto"/>
              <w:right w:val="single" w:sz="6" w:space="0" w:color="auto"/>
            </w:tcBorders>
            <w:tcMar>
              <w:left w:w="105" w:type="dxa"/>
              <w:right w:w="105" w:type="dxa"/>
            </w:tcMar>
          </w:tcPr>
          <w:p w14:paraId="7F42D12D" w14:textId="3A064950" w:rsidR="0002324A" w:rsidRPr="00815F3D" w:rsidRDefault="0002324A" w:rsidP="009A7FA6">
            <w:pPr>
              <w:spacing w:after="0" w:line="240" w:lineRule="auto"/>
              <w:rPr>
                <w:rFonts w:eastAsia="Aptos"/>
                <w:sz w:val="18"/>
                <w:szCs w:val="18"/>
              </w:rPr>
            </w:pPr>
            <w:r w:rsidRPr="00815F3D">
              <w:rPr>
                <w:rFonts w:eastAsia="Aptos"/>
                <w:sz w:val="18"/>
                <w:szCs w:val="18"/>
              </w:rPr>
              <w:t>AMND</w:t>
            </w:r>
          </w:p>
        </w:tc>
        <w:tc>
          <w:tcPr>
            <w:tcW w:w="2357" w:type="dxa"/>
            <w:tcBorders>
              <w:top w:val="single" w:sz="6" w:space="0" w:color="auto"/>
              <w:left w:val="single" w:sz="6" w:space="0" w:color="auto"/>
              <w:bottom w:val="single" w:sz="6" w:space="0" w:color="auto"/>
              <w:right w:val="single" w:sz="6" w:space="0" w:color="auto"/>
            </w:tcBorders>
            <w:tcMar>
              <w:left w:w="105" w:type="dxa"/>
              <w:right w:w="105" w:type="dxa"/>
            </w:tcMar>
          </w:tcPr>
          <w:p w14:paraId="415F9CA4" w14:textId="77777777" w:rsidR="0002324A" w:rsidRPr="00815F3D" w:rsidRDefault="0002324A" w:rsidP="009A7FA6">
            <w:pPr>
              <w:spacing w:after="0" w:line="240" w:lineRule="auto"/>
              <w:rPr>
                <w:rFonts w:eastAsia="Aptos"/>
                <w:sz w:val="18"/>
                <w:szCs w:val="18"/>
              </w:rPr>
            </w:pPr>
            <w:r w:rsidRPr="00815F3D">
              <w:rPr>
                <w:rFonts w:eastAsia="Aptos"/>
                <w:sz w:val="18"/>
                <w:szCs w:val="18"/>
              </w:rPr>
              <w:t xml:space="preserve">Amendment flag </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0C090BA2" w14:textId="77777777" w:rsidR="0002324A" w:rsidRPr="00815F3D" w:rsidRDefault="0002324A" w:rsidP="009A7FA6">
            <w:pPr>
              <w:spacing w:after="0" w:line="240" w:lineRule="auto"/>
              <w:rPr>
                <w:rFonts w:eastAsia="Aptos"/>
                <w:sz w:val="18"/>
                <w:szCs w:val="18"/>
              </w:rPr>
            </w:pPr>
            <w:r w:rsidRPr="00815F3D">
              <w:rPr>
                <w:rFonts w:eastAsia="Aptos"/>
                <w:sz w:val="18"/>
                <w:szCs w:val="18"/>
              </w:rPr>
              <w:t xml:space="preserve">RM, MTF APA  </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52100757" w14:textId="77777777" w:rsidR="0002324A" w:rsidRPr="00815F3D" w:rsidRDefault="0002324A" w:rsidP="009A7FA6">
            <w:pPr>
              <w:spacing w:after="0" w:line="240" w:lineRule="auto"/>
              <w:rPr>
                <w:rFonts w:eastAsia="Aptos"/>
                <w:sz w:val="18"/>
                <w:szCs w:val="18"/>
              </w:rPr>
            </w:pPr>
            <w:r w:rsidRPr="00815F3D">
              <w:rPr>
                <w:rFonts w:eastAsia="Aptos"/>
                <w:sz w:val="18"/>
                <w:szCs w:val="18"/>
              </w:rPr>
              <w:t xml:space="preserve">When a previously published transaction is amended. </w:t>
            </w:r>
          </w:p>
        </w:tc>
      </w:tr>
      <w:tr w:rsidR="0002324A" w:rsidRPr="003560DF" w14:paraId="0AC2FE56" w14:textId="77777777" w:rsidTr="0002324A">
        <w:trPr>
          <w:trHeight w:val="1165"/>
        </w:trPr>
        <w:tc>
          <w:tcPr>
            <w:tcW w:w="754" w:type="dxa"/>
            <w:tcBorders>
              <w:top w:val="single" w:sz="6" w:space="0" w:color="auto"/>
              <w:left w:val="single" w:sz="6" w:space="0" w:color="auto"/>
              <w:bottom w:val="single" w:sz="6" w:space="0" w:color="auto"/>
              <w:right w:val="single" w:sz="6" w:space="0" w:color="auto"/>
            </w:tcBorders>
            <w:tcMar>
              <w:left w:w="105" w:type="dxa"/>
              <w:right w:w="105" w:type="dxa"/>
            </w:tcMar>
          </w:tcPr>
          <w:p w14:paraId="468DAD62" w14:textId="0D3A9D17" w:rsidR="0002324A" w:rsidRPr="00815F3D" w:rsidRDefault="0002324A" w:rsidP="009A7FA6">
            <w:pPr>
              <w:spacing w:after="0" w:line="240" w:lineRule="auto"/>
              <w:rPr>
                <w:rFonts w:eastAsia="Aptos"/>
                <w:sz w:val="18"/>
                <w:szCs w:val="18"/>
              </w:rPr>
            </w:pPr>
            <w:r w:rsidRPr="00815F3D">
              <w:rPr>
                <w:rFonts w:eastAsia="Aptos"/>
                <w:sz w:val="18"/>
                <w:szCs w:val="18"/>
              </w:rPr>
              <w:t xml:space="preserve">BENC </w:t>
            </w:r>
          </w:p>
        </w:tc>
        <w:tc>
          <w:tcPr>
            <w:tcW w:w="2357" w:type="dxa"/>
            <w:tcBorders>
              <w:top w:val="single" w:sz="6" w:space="0" w:color="auto"/>
              <w:left w:val="single" w:sz="6" w:space="0" w:color="auto"/>
              <w:bottom w:val="single" w:sz="6" w:space="0" w:color="auto"/>
              <w:right w:val="single" w:sz="6" w:space="0" w:color="auto"/>
            </w:tcBorders>
            <w:tcMar>
              <w:left w:w="105" w:type="dxa"/>
              <w:right w:w="105" w:type="dxa"/>
            </w:tcMar>
          </w:tcPr>
          <w:p w14:paraId="44415028" w14:textId="77777777" w:rsidR="0002324A" w:rsidRPr="00815F3D" w:rsidRDefault="0002324A" w:rsidP="009A7FA6">
            <w:pPr>
              <w:spacing w:after="0" w:line="240" w:lineRule="auto"/>
              <w:rPr>
                <w:rFonts w:eastAsia="Aptos"/>
                <w:sz w:val="18"/>
                <w:szCs w:val="18"/>
              </w:rPr>
            </w:pPr>
            <w:r w:rsidRPr="00815F3D">
              <w:rPr>
                <w:rFonts w:eastAsia="Aptos"/>
                <w:sz w:val="18"/>
                <w:szCs w:val="18"/>
              </w:rPr>
              <w:t xml:space="preserve">Benchmark transactions flag </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18ACFA48" w14:textId="77777777" w:rsidR="0002324A" w:rsidRPr="00815F3D" w:rsidRDefault="0002324A" w:rsidP="009A7FA6">
            <w:pPr>
              <w:spacing w:after="0" w:line="240" w:lineRule="auto"/>
              <w:rPr>
                <w:rFonts w:eastAsia="Aptos"/>
                <w:sz w:val="18"/>
                <w:szCs w:val="18"/>
              </w:rPr>
            </w:pPr>
            <w:r w:rsidRPr="00815F3D">
              <w:rPr>
                <w:rFonts w:eastAsia="Aptos"/>
                <w:sz w:val="18"/>
                <w:szCs w:val="18"/>
              </w:rPr>
              <w:t xml:space="preserve">RM, MTF APA  </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3F0A5746" w14:textId="77777777" w:rsidR="0002324A" w:rsidRPr="00815F3D" w:rsidRDefault="0002324A" w:rsidP="009A7FA6">
            <w:pPr>
              <w:spacing w:after="0" w:line="240" w:lineRule="auto"/>
              <w:rPr>
                <w:rFonts w:eastAsia="Aptos"/>
                <w:sz w:val="18"/>
                <w:szCs w:val="18"/>
              </w:rPr>
            </w:pPr>
            <w:r w:rsidRPr="00815F3D">
              <w:rPr>
                <w:rFonts w:eastAsia="Aptos"/>
                <w:sz w:val="18"/>
                <w:szCs w:val="18"/>
              </w:rPr>
              <w:t>Transactions executed in reference to a price that is calculated over multiple time instances according to a given benchmark, such as volume-weighted average price or timeweighted average price. ‘</w:t>
            </w:r>
          </w:p>
        </w:tc>
      </w:tr>
      <w:tr w:rsidR="0002324A" w:rsidRPr="003560DF" w14:paraId="1283D29B" w14:textId="77777777" w:rsidTr="009A7FA6">
        <w:trPr>
          <w:trHeight w:val="480"/>
        </w:trPr>
        <w:tc>
          <w:tcPr>
            <w:tcW w:w="754" w:type="dxa"/>
            <w:tcBorders>
              <w:top w:val="single" w:sz="6" w:space="0" w:color="auto"/>
              <w:left w:val="single" w:sz="6" w:space="0" w:color="auto"/>
              <w:bottom w:val="single" w:sz="6" w:space="0" w:color="auto"/>
              <w:right w:val="single" w:sz="6" w:space="0" w:color="auto"/>
            </w:tcBorders>
            <w:tcMar>
              <w:left w:w="105" w:type="dxa"/>
              <w:right w:w="105" w:type="dxa"/>
            </w:tcMar>
          </w:tcPr>
          <w:p w14:paraId="75A3DDEA" w14:textId="7B51F18A" w:rsidR="0002324A" w:rsidRPr="00815F3D" w:rsidRDefault="0002324A" w:rsidP="009A7FA6">
            <w:pPr>
              <w:spacing w:after="0" w:line="240" w:lineRule="auto"/>
              <w:rPr>
                <w:rFonts w:eastAsia="Aptos"/>
                <w:sz w:val="18"/>
                <w:szCs w:val="18"/>
              </w:rPr>
            </w:pPr>
            <w:r w:rsidRPr="00815F3D">
              <w:rPr>
                <w:rFonts w:eastAsia="Aptos"/>
                <w:sz w:val="18"/>
                <w:szCs w:val="18"/>
              </w:rPr>
              <w:t>CANC</w:t>
            </w:r>
          </w:p>
        </w:tc>
        <w:tc>
          <w:tcPr>
            <w:tcW w:w="2357" w:type="dxa"/>
            <w:tcBorders>
              <w:top w:val="single" w:sz="6" w:space="0" w:color="auto"/>
              <w:left w:val="single" w:sz="6" w:space="0" w:color="auto"/>
              <w:bottom w:val="single" w:sz="6" w:space="0" w:color="auto"/>
              <w:right w:val="single" w:sz="6" w:space="0" w:color="auto"/>
            </w:tcBorders>
            <w:tcMar>
              <w:left w:w="105" w:type="dxa"/>
              <w:right w:w="105" w:type="dxa"/>
            </w:tcMar>
          </w:tcPr>
          <w:p w14:paraId="2A854E73" w14:textId="77777777" w:rsidR="0002324A" w:rsidRPr="00815F3D" w:rsidRDefault="0002324A" w:rsidP="009A7FA6">
            <w:pPr>
              <w:spacing w:after="0" w:line="240" w:lineRule="auto"/>
              <w:rPr>
                <w:rFonts w:eastAsia="Aptos"/>
                <w:sz w:val="18"/>
                <w:szCs w:val="18"/>
              </w:rPr>
            </w:pPr>
            <w:r w:rsidRPr="00815F3D">
              <w:rPr>
                <w:rFonts w:eastAsia="Aptos"/>
                <w:sz w:val="18"/>
                <w:szCs w:val="18"/>
              </w:rPr>
              <w:t xml:space="preserve">Cancellation flag </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571F4FBE" w14:textId="77777777" w:rsidR="0002324A" w:rsidRPr="00815F3D" w:rsidRDefault="0002324A" w:rsidP="009A7FA6">
            <w:pPr>
              <w:spacing w:after="0" w:line="240" w:lineRule="auto"/>
              <w:rPr>
                <w:rFonts w:eastAsia="Aptos"/>
                <w:sz w:val="18"/>
                <w:szCs w:val="18"/>
              </w:rPr>
            </w:pPr>
            <w:r w:rsidRPr="00815F3D">
              <w:rPr>
                <w:rFonts w:eastAsia="Aptos"/>
                <w:sz w:val="18"/>
                <w:szCs w:val="18"/>
              </w:rPr>
              <w:t xml:space="preserve">RM, MTF APA  </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67430E2D" w14:textId="77777777" w:rsidR="0002324A" w:rsidRPr="00815F3D" w:rsidRDefault="0002324A" w:rsidP="009A7FA6">
            <w:pPr>
              <w:spacing w:after="0" w:line="240" w:lineRule="auto"/>
              <w:rPr>
                <w:rFonts w:eastAsia="Aptos"/>
                <w:sz w:val="18"/>
                <w:szCs w:val="18"/>
              </w:rPr>
            </w:pPr>
            <w:r w:rsidRPr="00815F3D">
              <w:rPr>
                <w:rFonts w:eastAsia="Aptos"/>
                <w:sz w:val="18"/>
                <w:szCs w:val="18"/>
              </w:rPr>
              <w:t xml:space="preserve">When a previously published transaction is cancelled. </w:t>
            </w:r>
          </w:p>
        </w:tc>
      </w:tr>
      <w:tr w:rsidR="0002324A" w:rsidRPr="003560DF" w14:paraId="3BF27BF9" w14:textId="77777777" w:rsidTr="0002324A">
        <w:trPr>
          <w:trHeight w:val="1058"/>
        </w:trPr>
        <w:tc>
          <w:tcPr>
            <w:tcW w:w="754" w:type="dxa"/>
            <w:tcBorders>
              <w:top w:val="single" w:sz="6" w:space="0" w:color="auto"/>
              <w:left w:val="single" w:sz="6" w:space="0" w:color="auto"/>
              <w:bottom w:val="single" w:sz="6" w:space="0" w:color="auto"/>
              <w:right w:val="single" w:sz="6" w:space="0" w:color="auto"/>
            </w:tcBorders>
            <w:tcMar>
              <w:left w:w="105" w:type="dxa"/>
              <w:right w:w="105" w:type="dxa"/>
            </w:tcMar>
          </w:tcPr>
          <w:p w14:paraId="66333A41" w14:textId="1816BC70" w:rsidR="0002324A" w:rsidRPr="00815F3D" w:rsidRDefault="0002324A" w:rsidP="009A7FA6">
            <w:pPr>
              <w:spacing w:after="0" w:line="240" w:lineRule="auto"/>
              <w:rPr>
                <w:rFonts w:eastAsia="Aptos"/>
                <w:sz w:val="18"/>
                <w:szCs w:val="18"/>
              </w:rPr>
            </w:pPr>
            <w:r w:rsidRPr="00815F3D">
              <w:rPr>
                <w:rFonts w:eastAsia="Aptos"/>
                <w:sz w:val="18"/>
                <w:szCs w:val="18"/>
              </w:rPr>
              <w:t>CONT</w:t>
            </w:r>
          </w:p>
        </w:tc>
        <w:tc>
          <w:tcPr>
            <w:tcW w:w="2357" w:type="dxa"/>
            <w:tcBorders>
              <w:top w:val="single" w:sz="6" w:space="0" w:color="auto"/>
              <w:left w:val="single" w:sz="6" w:space="0" w:color="auto"/>
              <w:bottom w:val="single" w:sz="6" w:space="0" w:color="auto"/>
              <w:right w:val="single" w:sz="6" w:space="0" w:color="auto"/>
            </w:tcBorders>
            <w:tcMar>
              <w:left w:w="105" w:type="dxa"/>
              <w:right w:w="105" w:type="dxa"/>
            </w:tcMar>
          </w:tcPr>
          <w:p w14:paraId="564EC76C" w14:textId="77777777" w:rsidR="0002324A" w:rsidRPr="00815F3D" w:rsidRDefault="0002324A" w:rsidP="009A7FA6">
            <w:pPr>
              <w:spacing w:after="0" w:line="240" w:lineRule="auto"/>
              <w:rPr>
                <w:rFonts w:eastAsia="Aptos"/>
                <w:sz w:val="18"/>
                <w:szCs w:val="18"/>
              </w:rPr>
            </w:pPr>
            <w:r w:rsidRPr="00815F3D">
              <w:rPr>
                <w:rFonts w:eastAsia="Aptos"/>
                <w:sz w:val="18"/>
                <w:szCs w:val="18"/>
              </w:rPr>
              <w:t xml:space="preserve">Contingent transactions flag </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27456515" w14:textId="77777777" w:rsidR="0002324A" w:rsidRPr="00815F3D" w:rsidRDefault="0002324A" w:rsidP="009A7FA6">
            <w:pPr>
              <w:spacing w:after="0" w:line="240" w:lineRule="auto"/>
              <w:rPr>
                <w:rFonts w:eastAsia="Aptos"/>
                <w:sz w:val="18"/>
                <w:szCs w:val="18"/>
              </w:rPr>
            </w:pPr>
            <w:r w:rsidRPr="00815F3D">
              <w:rPr>
                <w:rFonts w:eastAsia="Aptos"/>
                <w:sz w:val="18"/>
                <w:szCs w:val="18"/>
              </w:rPr>
              <w:t xml:space="preserve">RM, MTF APA  </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2C43B138" w14:textId="77777777" w:rsidR="0002324A" w:rsidRPr="00815F3D" w:rsidRDefault="0002324A" w:rsidP="009A7FA6">
            <w:pPr>
              <w:spacing w:after="0" w:line="240" w:lineRule="auto"/>
              <w:rPr>
                <w:rFonts w:eastAsia="Aptos"/>
                <w:sz w:val="18"/>
                <w:szCs w:val="18"/>
              </w:rPr>
            </w:pPr>
            <w:r w:rsidRPr="00815F3D">
              <w:rPr>
                <w:rFonts w:eastAsia="Aptos"/>
                <w:sz w:val="18"/>
                <w:szCs w:val="18"/>
              </w:rPr>
              <w:t xml:space="preserve">Transactions that are contingent on the purchase, sale, creation or redemption of a derivative contract or other financial instrument where all the components of the trade are meant to be executed as a single lot. </w:t>
            </w:r>
          </w:p>
        </w:tc>
      </w:tr>
      <w:tr w:rsidR="0002324A" w:rsidRPr="003560DF" w14:paraId="1AF84583" w14:textId="77777777" w:rsidTr="0002324A">
        <w:trPr>
          <w:trHeight w:val="1058"/>
        </w:trPr>
        <w:tc>
          <w:tcPr>
            <w:tcW w:w="754" w:type="dxa"/>
            <w:tcBorders>
              <w:top w:val="single" w:sz="6" w:space="0" w:color="auto"/>
              <w:left w:val="single" w:sz="6" w:space="0" w:color="auto"/>
              <w:bottom w:val="single" w:sz="6" w:space="0" w:color="auto"/>
              <w:right w:val="single" w:sz="6" w:space="0" w:color="auto"/>
            </w:tcBorders>
            <w:tcMar>
              <w:left w:w="105" w:type="dxa"/>
              <w:right w:w="105" w:type="dxa"/>
            </w:tcMar>
          </w:tcPr>
          <w:p w14:paraId="608AD5FF" w14:textId="77777777" w:rsidR="0002324A" w:rsidRPr="00815F3D" w:rsidRDefault="0002324A" w:rsidP="009A7FA6">
            <w:pPr>
              <w:spacing w:after="0" w:line="240" w:lineRule="auto"/>
              <w:rPr>
                <w:rFonts w:eastAsia="Aptos"/>
                <w:sz w:val="18"/>
                <w:szCs w:val="18"/>
              </w:rPr>
            </w:pPr>
            <w:r w:rsidRPr="00815F3D">
              <w:rPr>
                <w:rFonts w:eastAsia="Aptos"/>
                <w:sz w:val="18"/>
                <w:szCs w:val="18"/>
              </w:rPr>
              <w:lastRenderedPageBreak/>
              <w:t xml:space="preserve">ILQD’ </w:t>
            </w:r>
          </w:p>
        </w:tc>
        <w:tc>
          <w:tcPr>
            <w:tcW w:w="2357" w:type="dxa"/>
            <w:tcBorders>
              <w:top w:val="single" w:sz="6" w:space="0" w:color="auto"/>
              <w:left w:val="single" w:sz="6" w:space="0" w:color="auto"/>
              <w:bottom w:val="single" w:sz="6" w:space="0" w:color="auto"/>
              <w:right w:val="single" w:sz="6" w:space="0" w:color="auto"/>
            </w:tcBorders>
            <w:tcMar>
              <w:left w:w="105" w:type="dxa"/>
              <w:right w:w="105" w:type="dxa"/>
            </w:tcMar>
          </w:tcPr>
          <w:p w14:paraId="49408FF9" w14:textId="77777777" w:rsidR="0002324A" w:rsidRPr="00815F3D" w:rsidRDefault="0002324A" w:rsidP="009A7FA6">
            <w:pPr>
              <w:spacing w:after="0" w:line="240" w:lineRule="auto"/>
              <w:rPr>
                <w:rFonts w:eastAsia="Aptos"/>
                <w:sz w:val="18"/>
                <w:szCs w:val="18"/>
              </w:rPr>
            </w:pPr>
            <w:r w:rsidRPr="00815F3D">
              <w:rPr>
                <w:rFonts w:eastAsia="Aptos"/>
                <w:sz w:val="18"/>
                <w:szCs w:val="18"/>
              </w:rPr>
              <w:t xml:space="preserve">Illiquid instrument transaction flag </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4CE0125B" w14:textId="77777777" w:rsidR="0002324A" w:rsidRPr="00815F3D" w:rsidRDefault="0002324A" w:rsidP="009A7FA6">
            <w:pPr>
              <w:spacing w:after="0" w:line="240" w:lineRule="auto"/>
              <w:rPr>
                <w:rFonts w:eastAsia="Aptos"/>
                <w:sz w:val="18"/>
                <w:szCs w:val="18"/>
              </w:rPr>
            </w:pPr>
            <w:r w:rsidRPr="00815F3D">
              <w:rPr>
                <w:rFonts w:eastAsia="Aptos"/>
                <w:sz w:val="18"/>
                <w:szCs w:val="18"/>
              </w:rPr>
              <w:t xml:space="preserve">APA  </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4B2D112A" w14:textId="77777777" w:rsidR="0002324A" w:rsidRPr="00815F3D" w:rsidRDefault="0002324A" w:rsidP="009A7FA6">
            <w:pPr>
              <w:spacing w:after="0" w:line="240" w:lineRule="auto"/>
              <w:rPr>
                <w:rFonts w:eastAsia="Aptos"/>
                <w:sz w:val="18"/>
                <w:szCs w:val="18"/>
              </w:rPr>
            </w:pPr>
            <w:r w:rsidRPr="00815F3D">
              <w:rPr>
                <w:rFonts w:eastAsia="Aptos"/>
                <w:sz w:val="18"/>
                <w:szCs w:val="18"/>
              </w:rPr>
              <w:t>Transactions in illiquid instruments as determined in accordance with Articles 1 to 9 of Commission Delegated Regulation [</w:t>
            </w:r>
            <w:proofErr w:type="spellStart"/>
            <w:r w:rsidRPr="00815F3D">
              <w:rPr>
                <w:rFonts w:eastAsia="Aptos"/>
                <w:sz w:val="18"/>
                <w:szCs w:val="18"/>
              </w:rPr>
              <w:t>MiFIR</w:t>
            </w:r>
            <w:proofErr w:type="spellEnd"/>
            <w:r w:rsidRPr="00815F3D">
              <w:rPr>
                <w:rFonts w:eastAsia="Aptos"/>
                <w:sz w:val="18"/>
                <w:szCs w:val="18"/>
              </w:rPr>
              <w:t xml:space="preserve"> Level 2] executed on a systematic </w:t>
            </w:r>
            <w:proofErr w:type="spellStart"/>
            <w:r w:rsidRPr="00815F3D">
              <w:rPr>
                <w:rFonts w:eastAsia="Aptos"/>
                <w:sz w:val="18"/>
                <w:szCs w:val="18"/>
              </w:rPr>
              <w:t>internaliser</w:t>
            </w:r>
            <w:proofErr w:type="spellEnd"/>
            <w:r w:rsidRPr="00815F3D">
              <w:rPr>
                <w:rFonts w:eastAsia="Aptos"/>
                <w:sz w:val="18"/>
                <w:szCs w:val="18"/>
              </w:rPr>
              <w:t xml:space="preserve">. </w:t>
            </w:r>
          </w:p>
        </w:tc>
      </w:tr>
      <w:tr w:rsidR="0002324A" w:rsidRPr="003560DF" w14:paraId="546C69DE" w14:textId="77777777" w:rsidTr="0002324A">
        <w:trPr>
          <w:trHeight w:val="1506"/>
        </w:trPr>
        <w:tc>
          <w:tcPr>
            <w:tcW w:w="754" w:type="dxa"/>
            <w:tcBorders>
              <w:top w:val="single" w:sz="6" w:space="0" w:color="auto"/>
              <w:left w:val="single" w:sz="6" w:space="0" w:color="auto"/>
              <w:bottom w:val="single" w:sz="6" w:space="0" w:color="auto"/>
              <w:right w:val="single" w:sz="6" w:space="0" w:color="auto"/>
            </w:tcBorders>
            <w:tcMar>
              <w:left w:w="105" w:type="dxa"/>
              <w:right w:w="105" w:type="dxa"/>
            </w:tcMar>
          </w:tcPr>
          <w:p w14:paraId="418F707B" w14:textId="4BEAE406" w:rsidR="0002324A" w:rsidRPr="00815F3D" w:rsidRDefault="0002324A" w:rsidP="009A7FA6">
            <w:pPr>
              <w:spacing w:after="0" w:line="240" w:lineRule="auto"/>
              <w:rPr>
                <w:rFonts w:eastAsia="Aptos"/>
                <w:sz w:val="18"/>
                <w:szCs w:val="18"/>
              </w:rPr>
            </w:pPr>
            <w:r w:rsidRPr="00815F3D">
              <w:rPr>
                <w:rFonts w:eastAsia="Aptos"/>
                <w:sz w:val="18"/>
                <w:szCs w:val="18"/>
              </w:rPr>
              <w:t>LRGS</w:t>
            </w:r>
          </w:p>
        </w:tc>
        <w:tc>
          <w:tcPr>
            <w:tcW w:w="2357" w:type="dxa"/>
            <w:tcBorders>
              <w:top w:val="single" w:sz="6" w:space="0" w:color="auto"/>
              <w:left w:val="single" w:sz="6" w:space="0" w:color="auto"/>
              <w:bottom w:val="single" w:sz="6" w:space="0" w:color="auto"/>
              <w:right w:val="single" w:sz="6" w:space="0" w:color="auto"/>
            </w:tcBorders>
            <w:tcMar>
              <w:left w:w="105" w:type="dxa"/>
              <w:right w:w="105" w:type="dxa"/>
            </w:tcMar>
          </w:tcPr>
          <w:p w14:paraId="36DAF9DF" w14:textId="77777777" w:rsidR="0002324A" w:rsidRPr="00815F3D" w:rsidRDefault="0002324A" w:rsidP="009A7FA6">
            <w:pPr>
              <w:spacing w:after="0" w:line="240" w:lineRule="auto"/>
              <w:rPr>
                <w:rFonts w:eastAsia="Aptos"/>
                <w:sz w:val="18"/>
                <w:szCs w:val="18"/>
              </w:rPr>
            </w:pPr>
            <w:r w:rsidRPr="00815F3D">
              <w:rPr>
                <w:rFonts w:eastAsia="Aptos"/>
                <w:sz w:val="18"/>
                <w:szCs w:val="18"/>
              </w:rPr>
              <w:t xml:space="preserve">Post-trade large in scale transaction flag </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09B0BC07" w14:textId="77777777" w:rsidR="0002324A" w:rsidRPr="00815F3D" w:rsidRDefault="0002324A" w:rsidP="009A7FA6">
            <w:pPr>
              <w:spacing w:after="0" w:line="240" w:lineRule="auto"/>
              <w:rPr>
                <w:rFonts w:eastAsia="Aptos"/>
                <w:sz w:val="18"/>
                <w:szCs w:val="18"/>
              </w:rPr>
            </w:pPr>
            <w:r w:rsidRPr="00815F3D">
              <w:rPr>
                <w:rFonts w:eastAsia="Aptos"/>
                <w:sz w:val="18"/>
                <w:szCs w:val="18"/>
              </w:rPr>
              <w:t xml:space="preserve">RM, MTF APA  </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5C2A0E1E" w14:textId="77777777" w:rsidR="0002324A" w:rsidRPr="00815F3D" w:rsidRDefault="0002324A" w:rsidP="009A7FA6">
            <w:pPr>
              <w:spacing w:after="0" w:line="240" w:lineRule="auto"/>
              <w:rPr>
                <w:rFonts w:eastAsia="Aptos"/>
                <w:sz w:val="18"/>
                <w:szCs w:val="18"/>
              </w:rPr>
            </w:pPr>
            <w:r w:rsidRPr="00815F3D">
              <w:rPr>
                <w:rFonts w:eastAsia="Aptos"/>
                <w:sz w:val="18"/>
                <w:szCs w:val="18"/>
              </w:rPr>
              <w:t>Transactions that are large in scale compared with normal market size for which deferred publication is permitted under Article 14. ‘RFPT’ Reference price transaction flag RM, MTF  Transactions which are executed under systems operating in accordance with Article 4(1)(a) of Regulation (EU) No 600/2014.</w:t>
            </w:r>
          </w:p>
        </w:tc>
      </w:tr>
      <w:tr w:rsidR="0002324A" w:rsidRPr="003560DF" w14:paraId="06932902" w14:textId="77777777" w:rsidTr="009A7FA6">
        <w:trPr>
          <w:trHeight w:val="960"/>
        </w:trPr>
        <w:tc>
          <w:tcPr>
            <w:tcW w:w="754" w:type="dxa"/>
            <w:tcBorders>
              <w:top w:val="single" w:sz="6" w:space="0" w:color="auto"/>
              <w:left w:val="single" w:sz="6" w:space="0" w:color="auto"/>
              <w:bottom w:val="single" w:sz="6" w:space="0" w:color="auto"/>
              <w:right w:val="single" w:sz="6" w:space="0" w:color="auto"/>
            </w:tcBorders>
            <w:tcMar>
              <w:left w:w="105" w:type="dxa"/>
              <w:right w:w="105" w:type="dxa"/>
            </w:tcMar>
          </w:tcPr>
          <w:p w14:paraId="5E2642BD" w14:textId="201D8292" w:rsidR="0002324A" w:rsidRPr="00815F3D" w:rsidRDefault="0002324A" w:rsidP="009A7FA6">
            <w:pPr>
              <w:spacing w:after="0" w:line="240" w:lineRule="auto"/>
              <w:rPr>
                <w:rFonts w:eastAsia="Aptos"/>
                <w:sz w:val="18"/>
                <w:szCs w:val="18"/>
              </w:rPr>
            </w:pPr>
            <w:r w:rsidRPr="00815F3D">
              <w:rPr>
                <w:rFonts w:eastAsia="Aptos"/>
                <w:sz w:val="18"/>
                <w:szCs w:val="18"/>
              </w:rPr>
              <w:t>NLIQ</w:t>
            </w:r>
          </w:p>
        </w:tc>
        <w:tc>
          <w:tcPr>
            <w:tcW w:w="2357" w:type="dxa"/>
            <w:tcBorders>
              <w:top w:val="single" w:sz="6" w:space="0" w:color="auto"/>
              <w:left w:val="single" w:sz="6" w:space="0" w:color="auto"/>
              <w:bottom w:val="single" w:sz="6" w:space="0" w:color="auto"/>
              <w:right w:val="single" w:sz="6" w:space="0" w:color="auto"/>
            </w:tcBorders>
            <w:tcMar>
              <w:left w:w="105" w:type="dxa"/>
              <w:right w:w="105" w:type="dxa"/>
            </w:tcMar>
          </w:tcPr>
          <w:p w14:paraId="7CDB255F" w14:textId="77777777" w:rsidR="0002324A" w:rsidRPr="00815F3D" w:rsidRDefault="0002324A" w:rsidP="009A7FA6">
            <w:pPr>
              <w:spacing w:after="0" w:line="240" w:lineRule="auto"/>
              <w:rPr>
                <w:rFonts w:eastAsia="Aptos"/>
                <w:sz w:val="18"/>
                <w:szCs w:val="18"/>
              </w:rPr>
            </w:pPr>
            <w:r w:rsidRPr="00815F3D">
              <w:rPr>
                <w:rFonts w:eastAsia="Aptos"/>
                <w:sz w:val="18"/>
                <w:szCs w:val="18"/>
              </w:rPr>
              <w:t xml:space="preserve">Negotiated transaction in liquid financial instruments flag </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7E35B01C" w14:textId="77777777" w:rsidR="0002324A" w:rsidRPr="00815F3D" w:rsidRDefault="0002324A" w:rsidP="009A7FA6">
            <w:pPr>
              <w:spacing w:after="0" w:line="240" w:lineRule="auto"/>
              <w:rPr>
                <w:rFonts w:eastAsia="Aptos"/>
                <w:sz w:val="18"/>
                <w:szCs w:val="18"/>
              </w:rPr>
            </w:pPr>
            <w:r w:rsidRPr="00815F3D">
              <w:rPr>
                <w:rFonts w:eastAsia="Aptos"/>
                <w:sz w:val="18"/>
                <w:szCs w:val="18"/>
              </w:rPr>
              <w:t xml:space="preserve">RM, MTF  </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6CB21316" w14:textId="77777777" w:rsidR="0002324A" w:rsidRPr="00815F3D" w:rsidRDefault="0002324A" w:rsidP="009A7FA6">
            <w:pPr>
              <w:spacing w:after="0" w:line="240" w:lineRule="auto"/>
              <w:rPr>
                <w:rFonts w:eastAsia="Aptos"/>
                <w:sz w:val="18"/>
                <w:szCs w:val="18"/>
              </w:rPr>
            </w:pPr>
            <w:r w:rsidRPr="00815F3D">
              <w:rPr>
                <w:rFonts w:eastAsia="Aptos"/>
                <w:sz w:val="18"/>
                <w:szCs w:val="18"/>
              </w:rPr>
              <w:t>Transactions executed in accordance with Article 4(1)(b)(</w:t>
            </w:r>
            <w:proofErr w:type="spellStart"/>
            <w:r w:rsidRPr="00815F3D">
              <w:rPr>
                <w:rFonts w:eastAsia="Aptos"/>
                <w:sz w:val="18"/>
                <w:szCs w:val="18"/>
              </w:rPr>
              <w:t>i</w:t>
            </w:r>
            <w:proofErr w:type="spellEnd"/>
            <w:r w:rsidRPr="00815F3D">
              <w:rPr>
                <w:rFonts w:eastAsia="Aptos"/>
                <w:sz w:val="18"/>
                <w:szCs w:val="18"/>
              </w:rPr>
              <w:t xml:space="preserve">) of Regulation (EU) No 600/2014. </w:t>
            </w:r>
          </w:p>
        </w:tc>
      </w:tr>
      <w:tr w:rsidR="0002324A" w:rsidRPr="003560DF" w14:paraId="1B845E64" w14:textId="77777777" w:rsidTr="0002324A">
        <w:trPr>
          <w:trHeight w:val="895"/>
        </w:trPr>
        <w:tc>
          <w:tcPr>
            <w:tcW w:w="754" w:type="dxa"/>
            <w:tcBorders>
              <w:top w:val="single" w:sz="6" w:space="0" w:color="auto"/>
              <w:left w:val="single" w:sz="6" w:space="0" w:color="auto"/>
              <w:bottom w:val="single" w:sz="6" w:space="0" w:color="auto"/>
              <w:right w:val="single" w:sz="6" w:space="0" w:color="auto"/>
            </w:tcBorders>
            <w:tcMar>
              <w:left w:w="105" w:type="dxa"/>
              <w:right w:w="105" w:type="dxa"/>
            </w:tcMar>
          </w:tcPr>
          <w:p w14:paraId="5698E880" w14:textId="77777777" w:rsidR="0002324A" w:rsidRPr="00815F3D" w:rsidRDefault="0002324A" w:rsidP="009A7FA6">
            <w:pPr>
              <w:spacing w:after="0" w:line="240" w:lineRule="auto"/>
              <w:rPr>
                <w:rFonts w:eastAsia="Aptos"/>
                <w:sz w:val="18"/>
                <w:szCs w:val="18"/>
              </w:rPr>
            </w:pPr>
            <w:r w:rsidRPr="00815F3D">
              <w:rPr>
                <w:rFonts w:eastAsia="Aptos"/>
                <w:sz w:val="18"/>
                <w:szCs w:val="18"/>
              </w:rPr>
              <w:t xml:space="preserve">NPFT’ </w:t>
            </w:r>
          </w:p>
        </w:tc>
        <w:tc>
          <w:tcPr>
            <w:tcW w:w="2357" w:type="dxa"/>
            <w:tcBorders>
              <w:top w:val="single" w:sz="6" w:space="0" w:color="auto"/>
              <w:left w:val="single" w:sz="6" w:space="0" w:color="auto"/>
              <w:bottom w:val="single" w:sz="6" w:space="0" w:color="auto"/>
              <w:right w:val="single" w:sz="6" w:space="0" w:color="auto"/>
            </w:tcBorders>
            <w:tcMar>
              <w:left w:w="105" w:type="dxa"/>
              <w:right w:w="105" w:type="dxa"/>
            </w:tcMar>
          </w:tcPr>
          <w:p w14:paraId="431C47DF" w14:textId="77777777" w:rsidR="0002324A" w:rsidRPr="00815F3D" w:rsidRDefault="0002324A" w:rsidP="009A7FA6">
            <w:pPr>
              <w:spacing w:after="0" w:line="240" w:lineRule="auto"/>
              <w:rPr>
                <w:rFonts w:eastAsia="Aptos"/>
                <w:sz w:val="18"/>
                <w:szCs w:val="18"/>
              </w:rPr>
            </w:pPr>
            <w:r w:rsidRPr="00815F3D">
              <w:rPr>
                <w:rFonts w:eastAsia="Aptos"/>
                <w:sz w:val="18"/>
                <w:szCs w:val="18"/>
              </w:rPr>
              <w:t xml:space="preserve">Non-price forming transactions flag </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2EFE19E4" w14:textId="77777777" w:rsidR="0002324A" w:rsidRPr="00815F3D" w:rsidRDefault="0002324A" w:rsidP="009A7FA6">
            <w:pPr>
              <w:spacing w:after="0" w:line="240" w:lineRule="auto"/>
              <w:rPr>
                <w:rFonts w:eastAsia="Aptos"/>
                <w:sz w:val="18"/>
                <w:szCs w:val="18"/>
              </w:rPr>
            </w:pPr>
            <w:r w:rsidRPr="00815F3D">
              <w:rPr>
                <w:rFonts w:eastAsia="Aptos"/>
                <w:sz w:val="18"/>
                <w:szCs w:val="18"/>
              </w:rPr>
              <w:t xml:space="preserve">RM, MTF, </w:t>
            </w:r>
            <w:r w:rsidRPr="00815F3D">
              <w:rPr>
                <w:rFonts w:eastAsia="Aptos"/>
                <w:color w:val="FF0000"/>
                <w:sz w:val="18"/>
                <w:szCs w:val="18"/>
              </w:rPr>
              <w:t xml:space="preserve">APA  </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65341E89" w14:textId="77777777" w:rsidR="0002324A" w:rsidRPr="00815F3D" w:rsidRDefault="0002324A" w:rsidP="009A7FA6">
            <w:pPr>
              <w:spacing w:after="0" w:line="240" w:lineRule="auto"/>
              <w:rPr>
                <w:rFonts w:eastAsia="Aptos"/>
                <w:sz w:val="18"/>
                <w:szCs w:val="18"/>
              </w:rPr>
            </w:pPr>
            <w:r w:rsidRPr="00815F3D">
              <w:rPr>
                <w:rFonts w:eastAsia="Aptos"/>
                <w:sz w:val="18"/>
                <w:szCs w:val="18"/>
              </w:rPr>
              <w:t>Non-price forming transactions as set out in Article 2(5) of Delegated Regulation (EU) 2017/590.</w:t>
            </w:r>
          </w:p>
        </w:tc>
      </w:tr>
      <w:tr w:rsidR="0002324A" w:rsidRPr="003560DF" w14:paraId="3CE0440F" w14:textId="77777777" w:rsidTr="009A7FA6">
        <w:trPr>
          <w:trHeight w:val="960"/>
        </w:trPr>
        <w:tc>
          <w:tcPr>
            <w:tcW w:w="754" w:type="dxa"/>
            <w:tcBorders>
              <w:top w:val="single" w:sz="6" w:space="0" w:color="auto"/>
              <w:left w:val="single" w:sz="6" w:space="0" w:color="auto"/>
              <w:bottom w:val="single" w:sz="6" w:space="0" w:color="auto"/>
              <w:right w:val="single" w:sz="6" w:space="0" w:color="auto"/>
            </w:tcBorders>
            <w:tcMar>
              <w:left w:w="105" w:type="dxa"/>
              <w:right w:w="105" w:type="dxa"/>
            </w:tcMar>
          </w:tcPr>
          <w:p w14:paraId="4025D607" w14:textId="1E375F6D" w:rsidR="0002324A" w:rsidRPr="00815F3D" w:rsidRDefault="0002324A" w:rsidP="009A7FA6">
            <w:pPr>
              <w:spacing w:after="0" w:line="240" w:lineRule="auto"/>
              <w:rPr>
                <w:rFonts w:eastAsia="Aptos"/>
                <w:sz w:val="18"/>
                <w:szCs w:val="18"/>
              </w:rPr>
            </w:pPr>
            <w:r w:rsidRPr="00815F3D">
              <w:rPr>
                <w:rFonts w:eastAsia="Aptos"/>
                <w:sz w:val="18"/>
                <w:szCs w:val="18"/>
              </w:rPr>
              <w:t xml:space="preserve">OILQ </w:t>
            </w:r>
          </w:p>
        </w:tc>
        <w:tc>
          <w:tcPr>
            <w:tcW w:w="2357" w:type="dxa"/>
            <w:tcBorders>
              <w:top w:val="single" w:sz="6" w:space="0" w:color="auto"/>
              <w:left w:val="single" w:sz="6" w:space="0" w:color="auto"/>
              <w:bottom w:val="single" w:sz="6" w:space="0" w:color="auto"/>
              <w:right w:val="single" w:sz="6" w:space="0" w:color="auto"/>
            </w:tcBorders>
            <w:tcMar>
              <w:left w:w="105" w:type="dxa"/>
              <w:right w:w="105" w:type="dxa"/>
            </w:tcMar>
          </w:tcPr>
          <w:p w14:paraId="0690B120" w14:textId="77777777" w:rsidR="0002324A" w:rsidRPr="00815F3D" w:rsidRDefault="0002324A" w:rsidP="009A7FA6">
            <w:pPr>
              <w:spacing w:after="0" w:line="240" w:lineRule="auto"/>
              <w:rPr>
                <w:rFonts w:eastAsia="Aptos"/>
                <w:sz w:val="18"/>
                <w:szCs w:val="18"/>
              </w:rPr>
            </w:pPr>
            <w:r w:rsidRPr="00815F3D">
              <w:rPr>
                <w:rFonts w:eastAsia="Aptos"/>
                <w:sz w:val="18"/>
                <w:szCs w:val="18"/>
              </w:rPr>
              <w:t xml:space="preserve">Negotiated transaction in illiquid financial instruments flag </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77E7BF49" w14:textId="77777777" w:rsidR="0002324A" w:rsidRPr="00815F3D" w:rsidRDefault="0002324A" w:rsidP="009A7FA6">
            <w:pPr>
              <w:spacing w:after="0" w:line="240" w:lineRule="auto"/>
              <w:rPr>
                <w:rFonts w:eastAsia="Aptos"/>
                <w:sz w:val="18"/>
                <w:szCs w:val="18"/>
              </w:rPr>
            </w:pPr>
            <w:r w:rsidRPr="00815F3D">
              <w:rPr>
                <w:rFonts w:eastAsia="Aptos"/>
                <w:sz w:val="18"/>
                <w:szCs w:val="18"/>
              </w:rPr>
              <w:t xml:space="preserve">RM, MTF  </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10A2493C" w14:textId="77777777" w:rsidR="0002324A" w:rsidRPr="00815F3D" w:rsidRDefault="0002324A" w:rsidP="009A7FA6">
            <w:pPr>
              <w:spacing w:after="0" w:line="240" w:lineRule="auto"/>
              <w:rPr>
                <w:rFonts w:eastAsia="Aptos"/>
                <w:sz w:val="18"/>
                <w:szCs w:val="18"/>
              </w:rPr>
            </w:pPr>
            <w:r w:rsidRPr="00815F3D">
              <w:rPr>
                <w:rFonts w:eastAsia="Aptos"/>
                <w:sz w:val="18"/>
                <w:szCs w:val="18"/>
              </w:rPr>
              <w:t xml:space="preserve">Transactions executed in accordance with Article 4(1)(b)(ii) of Regulation (EU) No 600/2014. </w:t>
            </w:r>
          </w:p>
        </w:tc>
      </w:tr>
      <w:tr w:rsidR="0002324A" w:rsidRPr="003560DF" w14:paraId="17502AE5" w14:textId="77777777" w:rsidTr="0002324A">
        <w:trPr>
          <w:trHeight w:val="993"/>
        </w:trPr>
        <w:tc>
          <w:tcPr>
            <w:tcW w:w="754" w:type="dxa"/>
            <w:tcBorders>
              <w:top w:val="single" w:sz="6" w:space="0" w:color="auto"/>
              <w:left w:val="single" w:sz="6" w:space="0" w:color="auto"/>
              <w:bottom w:val="single" w:sz="6" w:space="0" w:color="auto"/>
              <w:right w:val="single" w:sz="6" w:space="0" w:color="auto"/>
            </w:tcBorders>
            <w:tcMar>
              <w:left w:w="105" w:type="dxa"/>
              <w:right w:w="105" w:type="dxa"/>
            </w:tcMar>
          </w:tcPr>
          <w:p w14:paraId="029FD54F" w14:textId="4D549883" w:rsidR="0002324A" w:rsidRPr="00815F3D" w:rsidRDefault="0002324A" w:rsidP="009A7FA6">
            <w:pPr>
              <w:spacing w:after="0" w:line="240" w:lineRule="auto"/>
              <w:rPr>
                <w:rFonts w:eastAsia="Aptos"/>
                <w:sz w:val="18"/>
                <w:szCs w:val="18"/>
              </w:rPr>
            </w:pPr>
            <w:r w:rsidRPr="00815F3D">
              <w:rPr>
                <w:rFonts w:eastAsia="Aptos"/>
                <w:sz w:val="18"/>
                <w:szCs w:val="18"/>
              </w:rPr>
              <w:t xml:space="preserve">PORT </w:t>
            </w:r>
          </w:p>
        </w:tc>
        <w:tc>
          <w:tcPr>
            <w:tcW w:w="2357" w:type="dxa"/>
            <w:tcBorders>
              <w:top w:val="single" w:sz="6" w:space="0" w:color="auto"/>
              <w:left w:val="single" w:sz="6" w:space="0" w:color="auto"/>
              <w:bottom w:val="single" w:sz="6" w:space="0" w:color="auto"/>
              <w:right w:val="single" w:sz="6" w:space="0" w:color="auto"/>
            </w:tcBorders>
            <w:tcMar>
              <w:left w:w="105" w:type="dxa"/>
              <w:right w:w="105" w:type="dxa"/>
            </w:tcMar>
          </w:tcPr>
          <w:p w14:paraId="48C6F3B7" w14:textId="77777777" w:rsidR="0002324A" w:rsidRPr="00815F3D" w:rsidRDefault="0002324A" w:rsidP="009A7FA6">
            <w:pPr>
              <w:spacing w:after="0" w:line="240" w:lineRule="auto"/>
              <w:rPr>
                <w:rFonts w:eastAsia="Aptos"/>
                <w:sz w:val="18"/>
                <w:szCs w:val="18"/>
              </w:rPr>
            </w:pPr>
            <w:r w:rsidRPr="00815F3D">
              <w:rPr>
                <w:rFonts w:eastAsia="Aptos"/>
                <w:sz w:val="18"/>
                <w:szCs w:val="18"/>
              </w:rPr>
              <w:t xml:space="preserve">portfolio transactions flag </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1380A048" w14:textId="77777777" w:rsidR="0002324A" w:rsidRPr="00815F3D" w:rsidRDefault="0002324A" w:rsidP="009A7FA6">
            <w:pPr>
              <w:spacing w:after="0" w:line="240" w:lineRule="auto"/>
              <w:rPr>
                <w:rFonts w:eastAsia="Aptos"/>
                <w:sz w:val="18"/>
                <w:szCs w:val="18"/>
              </w:rPr>
            </w:pPr>
            <w:r w:rsidRPr="00815F3D">
              <w:rPr>
                <w:rFonts w:eastAsia="Aptos"/>
                <w:sz w:val="18"/>
                <w:szCs w:val="18"/>
              </w:rPr>
              <w:t xml:space="preserve">RM, MTF APA  </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4891AABF" w14:textId="77777777" w:rsidR="0002324A" w:rsidRPr="00815F3D" w:rsidRDefault="0002324A" w:rsidP="009A7FA6">
            <w:pPr>
              <w:spacing w:after="0" w:line="240" w:lineRule="auto"/>
              <w:rPr>
                <w:rFonts w:eastAsia="Aptos"/>
                <w:sz w:val="18"/>
                <w:szCs w:val="18"/>
              </w:rPr>
            </w:pPr>
            <w:r w:rsidRPr="00815F3D">
              <w:rPr>
                <w:rFonts w:eastAsia="Aptos"/>
                <w:sz w:val="18"/>
                <w:szCs w:val="18"/>
              </w:rPr>
              <w:t xml:space="preserve">Transactions in five or more different financial instruments where those transactions are traded at the same time by the same client and as a single lot against a specific reference price. </w:t>
            </w:r>
          </w:p>
        </w:tc>
      </w:tr>
      <w:tr w:rsidR="0002324A" w:rsidRPr="003560DF" w14:paraId="20BED1FD" w14:textId="77777777" w:rsidTr="009A7FA6">
        <w:trPr>
          <w:trHeight w:val="1185"/>
        </w:trPr>
        <w:tc>
          <w:tcPr>
            <w:tcW w:w="754" w:type="dxa"/>
            <w:tcBorders>
              <w:top w:val="single" w:sz="6" w:space="0" w:color="auto"/>
              <w:left w:val="single" w:sz="6" w:space="0" w:color="auto"/>
              <w:bottom w:val="single" w:sz="6" w:space="0" w:color="auto"/>
              <w:right w:val="single" w:sz="6" w:space="0" w:color="auto"/>
            </w:tcBorders>
            <w:tcMar>
              <w:left w:w="105" w:type="dxa"/>
              <w:right w:w="105" w:type="dxa"/>
            </w:tcMar>
          </w:tcPr>
          <w:p w14:paraId="798A4DEF" w14:textId="77777777" w:rsidR="0002324A" w:rsidRPr="00815F3D" w:rsidRDefault="0002324A" w:rsidP="009A7FA6">
            <w:pPr>
              <w:spacing w:after="0" w:line="240" w:lineRule="auto"/>
              <w:rPr>
                <w:rFonts w:eastAsia="Aptos"/>
                <w:sz w:val="18"/>
                <w:szCs w:val="18"/>
              </w:rPr>
            </w:pPr>
            <w:r w:rsidRPr="00815F3D">
              <w:rPr>
                <w:rFonts w:eastAsia="Aptos"/>
                <w:sz w:val="18"/>
                <w:szCs w:val="18"/>
              </w:rPr>
              <w:t xml:space="preserve">RFPT” </w:t>
            </w:r>
          </w:p>
        </w:tc>
        <w:tc>
          <w:tcPr>
            <w:tcW w:w="2357" w:type="dxa"/>
            <w:tcBorders>
              <w:top w:val="single" w:sz="6" w:space="0" w:color="auto"/>
              <w:left w:val="single" w:sz="6" w:space="0" w:color="auto"/>
              <w:bottom w:val="single" w:sz="6" w:space="0" w:color="auto"/>
              <w:right w:val="single" w:sz="6" w:space="0" w:color="auto"/>
            </w:tcBorders>
            <w:tcMar>
              <w:left w:w="105" w:type="dxa"/>
              <w:right w:w="105" w:type="dxa"/>
            </w:tcMar>
          </w:tcPr>
          <w:p w14:paraId="49DCB340" w14:textId="77777777" w:rsidR="0002324A" w:rsidRPr="00815F3D" w:rsidRDefault="0002324A" w:rsidP="009A7FA6">
            <w:pPr>
              <w:spacing w:after="0" w:line="240" w:lineRule="auto"/>
              <w:rPr>
                <w:rFonts w:eastAsia="Aptos"/>
                <w:sz w:val="18"/>
                <w:szCs w:val="18"/>
              </w:rPr>
            </w:pPr>
            <w:r w:rsidRPr="00815F3D">
              <w:rPr>
                <w:rFonts w:eastAsia="Aptos"/>
                <w:sz w:val="18"/>
                <w:szCs w:val="18"/>
              </w:rPr>
              <w:t xml:space="preserve">Reference price transaction flag </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32D5679B" w14:textId="77777777" w:rsidR="0002324A" w:rsidRPr="00815F3D" w:rsidRDefault="0002324A" w:rsidP="009A7FA6">
            <w:pPr>
              <w:spacing w:after="0" w:line="240" w:lineRule="auto"/>
              <w:rPr>
                <w:rFonts w:eastAsia="Aptos"/>
                <w:sz w:val="18"/>
                <w:szCs w:val="18"/>
              </w:rPr>
            </w:pPr>
            <w:r w:rsidRPr="00815F3D">
              <w:rPr>
                <w:rFonts w:eastAsia="Aptos"/>
                <w:sz w:val="18"/>
                <w:szCs w:val="18"/>
              </w:rPr>
              <w:t xml:space="preserve">RM, MTF  </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3FF4787B" w14:textId="77777777" w:rsidR="0002324A" w:rsidRPr="00815F3D" w:rsidRDefault="0002324A" w:rsidP="009A7FA6">
            <w:pPr>
              <w:spacing w:after="0" w:line="240" w:lineRule="auto"/>
              <w:rPr>
                <w:rFonts w:eastAsia="Aptos"/>
                <w:sz w:val="18"/>
                <w:szCs w:val="18"/>
              </w:rPr>
            </w:pPr>
            <w:r w:rsidRPr="00815F3D">
              <w:rPr>
                <w:rFonts w:eastAsia="Aptos"/>
                <w:sz w:val="18"/>
                <w:szCs w:val="18"/>
              </w:rPr>
              <w:t xml:space="preserve">Transactions which are executed under systems operating in accordance with Article 4(1), point (a), of Regulation (EU) No 600/2014. </w:t>
            </w:r>
          </w:p>
        </w:tc>
      </w:tr>
      <w:tr w:rsidR="0002324A" w:rsidRPr="003560DF" w14:paraId="1E89854A" w14:textId="77777777" w:rsidTr="009A7FA6">
        <w:trPr>
          <w:trHeight w:val="1185"/>
        </w:trPr>
        <w:tc>
          <w:tcPr>
            <w:tcW w:w="754" w:type="dxa"/>
            <w:tcBorders>
              <w:top w:val="single" w:sz="6" w:space="0" w:color="auto"/>
              <w:left w:val="single" w:sz="6" w:space="0" w:color="auto"/>
              <w:bottom w:val="single" w:sz="6" w:space="0" w:color="auto"/>
              <w:right w:val="single" w:sz="6" w:space="0" w:color="auto"/>
            </w:tcBorders>
            <w:tcMar>
              <w:left w:w="105" w:type="dxa"/>
              <w:right w:w="105" w:type="dxa"/>
            </w:tcMar>
          </w:tcPr>
          <w:p w14:paraId="538A9F71" w14:textId="77777777" w:rsidR="0002324A" w:rsidRPr="00815F3D" w:rsidRDefault="0002324A" w:rsidP="009A7FA6">
            <w:pPr>
              <w:spacing w:after="0" w:line="240" w:lineRule="auto"/>
              <w:rPr>
                <w:rFonts w:eastAsia="Aptos"/>
                <w:sz w:val="18"/>
                <w:szCs w:val="18"/>
              </w:rPr>
            </w:pPr>
            <w:r w:rsidRPr="00815F3D">
              <w:rPr>
                <w:rFonts w:eastAsia="Aptos"/>
                <w:sz w:val="18"/>
                <w:szCs w:val="18"/>
              </w:rPr>
              <w:t xml:space="preserve">RPRI’ </w:t>
            </w:r>
          </w:p>
        </w:tc>
        <w:tc>
          <w:tcPr>
            <w:tcW w:w="2357" w:type="dxa"/>
            <w:tcBorders>
              <w:top w:val="single" w:sz="6" w:space="0" w:color="auto"/>
              <w:left w:val="single" w:sz="6" w:space="0" w:color="auto"/>
              <w:bottom w:val="single" w:sz="6" w:space="0" w:color="auto"/>
              <w:right w:val="single" w:sz="6" w:space="0" w:color="auto"/>
            </w:tcBorders>
            <w:tcMar>
              <w:left w:w="105" w:type="dxa"/>
              <w:right w:w="105" w:type="dxa"/>
            </w:tcMar>
          </w:tcPr>
          <w:p w14:paraId="0813854D" w14:textId="77777777" w:rsidR="0002324A" w:rsidRPr="00815F3D" w:rsidRDefault="0002324A" w:rsidP="009A7FA6">
            <w:pPr>
              <w:spacing w:after="0" w:line="240" w:lineRule="auto"/>
              <w:rPr>
                <w:rFonts w:eastAsia="Aptos"/>
                <w:sz w:val="18"/>
                <w:szCs w:val="18"/>
              </w:rPr>
            </w:pPr>
            <w:r w:rsidRPr="00815F3D">
              <w:rPr>
                <w:rFonts w:eastAsia="Aptos"/>
                <w:sz w:val="18"/>
                <w:szCs w:val="18"/>
              </w:rPr>
              <w:t xml:space="preserve">Transactions which have received price improvement flag </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6FED86E1" w14:textId="77777777" w:rsidR="0002324A" w:rsidRPr="00815F3D" w:rsidRDefault="0002324A" w:rsidP="009A7FA6">
            <w:pPr>
              <w:spacing w:after="0" w:line="240" w:lineRule="auto"/>
              <w:rPr>
                <w:rFonts w:eastAsia="Aptos"/>
                <w:sz w:val="18"/>
                <w:szCs w:val="18"/>
              </w:rPr>
            </w:pPr>
            <w:r w:rsidRPr="00815F3D">
              <w:rPr>
                <w:rFonts w:eastAsia="Aptos"/>
                <w:sz w:val="18"/>
                <w:szCs w:val="18"/>
              </w:rPr>
              <w:t xml:space="preserve">APA  </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065C5084" w14:textId="77777777" w:rsidR="0002324A" w:rsidRPr="00815F3D" w:rsidRDefault="0002324A" w:rsidP="009A7FA6">
            <w:pPr>
              <w:spacing w:after="0" w:line="240" w:lineRule="auto"/>
              <w:rPr>
                <w:rFonts w:eastAsia="Aptos"/>
                <w:sz w:val="18"/>
                <w:szCs w:val="18"/>
              </w:rPr>
            </w:pPr>
            <w:r w:rsidRPr="00815F3D">
              <w:rPr>
                <w:rFonts w:eastAsia="Aptos"/>
                <w:sz w:val="18"/>
                <w:szCs w:val="18"/>
              </w:rPr>
              <w:t xml:space="preserve">Transactions executed on a systematic </w:t>
            </w:r>
            <w:proofErr w:type="spellStart"/>
            <w:r w:rsidRPr="00815F3D">
              <w:rPr>
                <w:rFonts w:eastAsia="Aptos"/>
                <w:sz w:val="18"/>
                <w:szCs w:val="18"/>
              </w:rPr>
              <w:t>internaliser</w:t>
            </w:r>
            <w:proofErr w:type="spellEnd"/>
            <w:r w:rsidRPr="00815F3D">
              <w:rPr>
                <w:rFonts w:eastAsia="Aptos"/>
                <w:sz w:val="18"/>
                <w:szCs w:val="18"/>
              </w:rPr>
              <w:t xml:space="preserve"> with a price improvement in accordance with Article 15(2) of Regulation (EU) No 600/2014. </w:t>
            </w:r>
          </w:p>
        </w:tc>
      </w:tr>
      <w:tr w:rsidR="0002324A" w:rsidRPr="003560DF" w14:paraId="27196384" w14:textId="77777777" w:rsidTr="009A7FA6">
        <w:trPr>
          <w:trHeight w:val="2160"/>
        </w:trPr>
        <w:tc>
          <w:tcPr>
            <w:tcW w:w="754" w:type="dxa"/>
            <w:tcBorders>
              <w:top w:val="single" w:sz="6" w:space="0" w:color="auto"/>
              <w:left w:val="single" w:sz="6" w:space="0" w:color="auto"/>
              <w:bottom w:val="single" w:sz="6" w:space="0" w:color="auto"/>
              <w:right w:val="single" w:sz="6" w:space="0" w:color="auto"/>
            </w:tcBorders>
            <w:tcMar>
              <w:left w:w="105" w:type="dxa"/>
              <w:right w:w="105" w:type="dxa"/>
            </w:tcMar>
          </w:tcPr>
          <w:p w14:paraId="1CCB173D" w14:textId="416BB11B" w:rsidR="0002324A" w:rsidRPr="00815F3D" w:rsidRDefault="0002324A" w:rsidP="009A7FA6">
            <w:pPr>
              <w:spacing w:after="0" w:line="240" w:lineRule="auto"/>
              <w:rPr>
                <w:rFonts w:eastAsia="Aptos"/>
                <w:sz w:val="18"/>
                <w:szCs w:val="18"/>
              </w:rPr>
            </w:pPr>
            <w:r w:rsidRPr="00815F3D">
              <w:rPr>
                <w:rFonts w:eastAsia="Aptos"/>
                <w:sz w:val="18"/>
                <w:szCs w:val="18"/>
              </w:rPr>
              <w:t xml:space="preserve">SDIV </w:t>
            </w:r>
          </w:p>
        </w:tc>
        <w:tc>
          <w:tcPr>
            <w:tcW w:w="2357" w:type="dxa"/>
            <w:tcBorders>
              <w:top w:val="single" w:sz="6" w:space="0" w:color="auto"/>
              <w:left w:val="single" w:sz="6" w:space="0" w:color="auto"/>
              <w:bottom w:val="single" w:sz="6" w:space="0" w:color="auto"/>
              <w:right w:val="single" w:sz="6" w:space="0" w:color="auto"/>
            </w:tcBorders>
            <w:tcMar>
              <w:left w:w="105" w:type="dxa"/>
              <w:right w:w="105" w:type="dxa"/>
            </w:tcMar>
          </w:tcPr>
          <w:p w14:paraId="36475135" w14:textId="77777777" w:rsidR="0002324A" w:rsidRPr="00815F3D" w:rsidRDefault="0002324A" w:rsidP="009A7FA6">
            <w:pPr>
              <w:spacing w:after="0" w:line="240" w:lineRule="auto"/>
              <w:rPr>
                <w:rFonts w:eastAsia="Aptos"/>
                <w:sz w:val="18"/>
                <w:szCs w:val="18"/>
              </w:rPr>
            </w:pPr>
            <w:r w:rsidRPr="00815F3D">
              <w:rPr>
                <w:rFonts w:eastAsia="Aptos"/>
                <w:sz w:val="18"/>
                <w:szCs w:val="18"/>
              </w:rPr>
              <w:t xml:space="preserve">Special dividend transaction flag </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6903341F" w14:textId="77777777" w:rsidR="0002324A" w:rsidRPr="00815F3D" w:rsidRDefault="0002324A" w:rsidP="009A7FA6">
            <w:pPr>
              <w:spacing w:after="0" w:line="240" w:lineRule="auto"/>
              <w:rPr>
                <w:rFonts w:eastAsia="Aptos"/>
                <w:sz w:val="18"/>
                <w:szCs w:val="18"/>
              </w:rPr>
            </w:pPr>
            <w:r w:rsidRPr="00815F3D">
              <w:rPr>
                <w:rFonts w:eastAsia="Aptos"/>
                <w:sz w:val="18"/>
                <w:szCs w:val="18"/>
              </w:rPr>
              <w:t xml:space="preserve">RM, MTF APA  </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3AF3693F" w14:textId="77777777" w:rsidR="0002324A" w:rsidRPr="00815F3D" w:rsidRDefault="0002324A" w:rsidP="009A7FA6">
            <w:pPr>
              <w:spacing w:after="0" w:line="240" w:lineRule="auto"/>
              <w:rPr>
                <w:rFonts w:eastAsia="Aptos"/>
                <w:sz w:val="18"/>
                <w:szCs w:val="18"/>
              </w:rPr>
            </w:pPr>
            <w:r w:rsidRPr="00815F3D">
              <w:rPr>
                <w:rFonts w:eastAsia="Aptos"/>
                <w:sz w:val="18"/>
                <w:szCs w:val="18"/>
              </w:rPr>
              <w:t xml:space="preserve">Transactions that are either: executed during the </w:t>
            </w:r>
            <w:proofErr w:type="spellStart"/>
            <w:r w:rsidRPr="00815F3D">
              <w:rPr>
                <w:rFonts w:eastAsia="Aptos"/>
                <w:sz w:val="18"/>
                <w:szCs w:val="18"/>
              </w:rPr>
              <w:t>exdividend</w:t>
            </w:r>
            <w:proofErr w:type="spellEnd"/>
            <w:r w:rsidRPr="00815F3D">
              <w:rPr>
                <w:rFonts w:eastAsia="Aptos"/>
                <w:sz w:val="18"/>
                <w:szCs w:val="18"/>
              </w:rPr>
              <w:t xml:space="preserve"> period where the dividend or other form of distribution accrues to the buyer instead of the seller; or executed during the </w:t>
            </w:r>
            <w:proofErr w:type="spellStart"/>
            <w:r w:rsidRPr="00815F3D">
              <w:rPr>
                <w:rFonts w:eastAsia="Aptos"/>
                <w:sz w:val="18"/>
                <w:szCs w:val="18"/>
              </w:rPr>
              <w:t>cumdividend</w:t>
            </w:r>
            <w:proofErr w:type="spellEnd"/>
            <w:r w:rsidRPr="00815F3D">
              <w:rPr>
                <w:rFonts w:eastAsia="Aptos"/>
                <w:sz w:val="18"/>
                <w:szCs w:val="18"/>
              </w:rPr>
              <w:t xml:space="preserve"> period where the dividend or other form of distribution accrues to the seller instead of the buyer</w:t>
            </w:r>
          </w:p>
        </w:tc>
      </w:tr>
      <w:tr w:rsidR="0002324A" w:rsidRPr="003560DF" w14:paraId="4F446273" w14:textId="77777777" w:rsidTr="009A7FA6">
        <w:trPr>
          <w:trHeight w:val="1440"/>
        </w:trPr>
        <w:tc>
          <w:tcPr>
            <w:tcW w:w="754" w:type="dxa"/>
            <w:tcBorders>
              <w:top w:val="single" w:sz="6" w:space="0" w:color="auto"/>
              <w:left w:val="single" w:sz="6" w:space="0" w:color="auto"/>
              <w:bottom w:val="single" w:sz="6" w:space="0" w:color="auto"/>
              <w:right w:val="single" w:sz="6" w:space="0" w:color="auto"/>
            </w:tcBorders>
            <w:tcMar>
              <w:left w:w="105" w:type="dxa"/>
              <w:right w:w="105" w:type="dxa"/>
            </w:tcMar>
          </w:tcPr>
          <w:p w14:paraId="140B7953" w14:textId="5B7638A4" w:rsidR="0002324A" w:rsidRPr="00815F3D" w:rsidRDefault="0002324A" w:rsidP="009A7FA6">
            <w:pPr>
              <w:spacing w:after="0" w:line="240" w:lineRule="auto"/>
              <w:rPr>
                <w:rFonts w:eastAsia="Aptos"/>
                <w:sz w:val="18"/>
                <w:szCs w:val="18"/>
              </w:rPr>
            </w:pPr>
            <w:r w:rsidRPr="00815F3D">
              <w:rPr>
                <w:rFonts w:eastAsia="Aptos"/>
                <w:sz w:val="18"/>
                <w:szCs w:val="18"/>
              </w:rPr>
              <w:lastRenderedPageBreak/>
              <w:t xml:space="preserve">SIZE </w:t>
            </w:r>
          </w:p>
        </w:tc>
        <w:tc>
          <w:tcPr>
            <w:tcW w:w="2357" w:type="dxa"/>
            <w:tcBorders>
              <w:top w:val="single" w:sz="6" w:space="0" w:color="auto"/>
              <w:left w:val="single" w:sz="6" w:space="0" w:color="auto"/>
              <w:bottom w:val="single" w:sz="6" w:space="0" w:color="auto"/>
              <w:right w:val="single" w:sz="6" w:space="0" w:color="auto"/>
            </w:tcBorders>
            <w:tcMar>
              <w:left w:w="105" w:type="dxa"/>
              <w:right w:w="105" w:type="dxa"/>
            </w:tcMar>
          </w:tcPr>
          <w:p w14:paraId="173A2BBD" w14:textId="77777777" w:rsidR="0002324A" w:rsidRPr="00815F3D" w:rsidRDefault="0002324A" w:rsidP="009A7FA6">
            <w:pPr>
              <w:spacing w:after="0" w:line="240" w:lineRule="auto"/>
              <w:rPr>
                <w:rFonts w:eastAsia="Aptos"/>
                <w:sz w:val="18"/>
                <w:szCs w:val="18"/>
              </w:rPr>
            </w:pPr>
            <w:r w:rsidRPr="00815F3D">
              <w:rPr>
                <w:rFonts w:eastAsia="Aptos"/>
                <w:sz w:val="18"/>
                <w:szCs w:val="18"/>
              </w:rPr>
              <w:t xml:space="preserve">Transaction above the standard market size flag </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2DACA92F" w14:textId="77777777" w:rsidR="0002324A" w:rsidRPr="00815F3D" w:rsidRDefault="0002324A" w:rsidP="009A7FA6">
            <w:pPr>
              <w:spacing w:after="0" w:line="240" w:lineRule="auto"/>
              <w:rPr>
                <w:rFonts w:eastAsia="Aptos"/>
                <w:sz w:val="18"/>
                <w:szCs w:val="18"/>
              </w:rPr>
            </w:pPr>
            <w:r w:rsidRPr="00815F3D">
              <w:rPr>
                <w:rFonts w:eastAsia="Aptos"/>
                <w:sz w:val="18"/>
                <w:szCs w:val="18"/>
              </w:rPr>
              <w:t xml:space="preserve">APA  </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53E33A67" w14:textId="77777777" w:rsidR="0002324A" w:rsidRPr="00815F3D" w:rsidRDefault="0002324A" w:rsidP="009A7FA6">
            <w:pPr>
              <w:spacing w:after="0" w:line="240" w:lineRule="auto"/>
              <w:rPr>
                <w:rFonts w:eastAsia="Aptos"/>
                <w:sz w:val="18"/>
                <w:szCs w:val="18"/>
              </w:rPr>
            </w:pPr>
            <w:r w:rsidRPr="00815F3D">
              <w:rPr>
                <w:rFonts w:eastAsia="Aptos"/>
                <w:sz w:val="18"/>
                <w:szCs w:val="18"/>
              </w:rPr>
              <w:t xml:space="preserve">Transactions executed on a systematic </w:t>
            </w:r>
            <w:proofErr w:type="spellStart"/>
            <w:r w:rsidRPr="00815F3D">
              <w:rPr>
                <w:rFonts w:eastAsia="Aptos"/>
                <w:sz w:val="18"/>
                <w:szCs w:val="18"/>
              </w:rPr>
              <w:t>internaliser</w:t>
            </w:r>
            <w:proofErr w:type="spellEnd"/>
            <w:r w:rsidRPr="00815F3D">
              <w:rPr>
                <w:rFonts w:eastAsia="Aptos"/>
                <w:sz w:val="18"/>
                <w:szCs w:val="18"/>
              </w:rPr>
              <w:t xml:space="preserve"> where the size of the incoming order was above the standard market size as determined in accordance with Article 11. </w:t>
            </w:r>
          </w:p>
        </w:tc>
      </w:tr>
    </w:tbl>
    <w:p w14:paraId="4DCAACF5" w14:textId="24047BCA" w:rsidR="00FA4100" w:rsidRDefault="00FA4100" w:rsidP="00FA4100">
      <w:pPr>
        <w:spacing w:after="0"/>
      </w:pPr>
    </w:p>
    <w:permEnd w:id="1840853704"/>
    <w:p w14:paraId="735A0EF0" w14:textId="3FB82A1F" w:rsidR="00FA4100" w:rsidRDefault="00FA4100" w:rsidP="00FA4100">
      <w:pPr>
        <w:spacing w:after="0"/>
      </w:pPr>
      <w:r>
        <w:t>&lt;ESMA_QUESTION</w:t>
      </w:r>
      <w:r w:rsidR="005D4F78">
        <w:t>_CP3_</w:t>
      </w:r>
      <w:r>
        <w:t>2</w:t>
      </w:r>
      <w:r w:rsidR="00737DD9">
        <w:t>7</w:t>
      </w:r>
      <w:r>
        <w:t>&gt;</w:t>
      </w:r>
    </w:p>
    <w:p w14:paraId="65817743" w14:textId="77777777" w:rsidR="00FA4100" w:rsidRDefault="00FA4100" w:rsidP="00C54034">
      <w:pPr>
        <w:spacing w:after="0"/>
      </w:pPr>
    </w:p>
    <w:p w14:paraId="2642CDA4" w14:textId="3BD2F1A1" w:rsidR="00FA4100" w:rsidRDefault="005D4F78" w:rsidP="007C5BD5">
      <w:pPr>
        <w:pStyle w:val="Questionstyle"/>
      </w:pPr>
      <w:r w:rsidRPr="005D4F78">
        <w:t>Would you consider that the SIZE, ILQD, RPRI flags could be removed? Please, explain</w:t>
      </w:r>
      <w:r w:rsidR="00FA4100">
        <w:t>.</w:t>
      </w:r>
    </w:p>
    <w:p w14:paraId="6BD7C393" w14:textId="5E95EBF8" w:rsidR="00FA4100" w:rsidRDefault="00FA4100" w:rsidP="00FA4100">
      <w:pPr>
        <w:spacing w:after="0"/>
      </w:pPr>
      <w:r>
        <w:t>&lt;ESMA_QUESTION</w:t>
      </w:r>
      <w:r w:rsidR="005D4F78">
        <w:t>_CP3_</w:t>
      </w:r>
      <w:r>
        <w:t>2</w:t>
      </w:r>
      <w:r w:rsidR="00737DD9">
        <w:t>8</w:t>
      </w:r>
      <w:r>
        <w:t>&gt;</w:t>
      </w:r>
    </w:p>
    <w:p w14:paraId="07148391" w14:textId="77777777" w:rsidR="00DF4242" w:rsidRPr="003560DF" w:rsidRDefault="00DF4242" w:rsidP="00DF4242">
      <w:pPr>
        <w:rPr>
          <w:rFonts w:eastAsia="Verdana"/>
          <w:szCs w:val="22"/>
        </w:rPr>
      </w:pPr>
      <w:permStart w:id="636686123" w:edGrp="everyone"/>
      <w:r w:rsidRPr="003560DF">
        <w:rPr>
          <w:rFonts w:eastAsia="Verdana"/>
          <w:szCs w:val="22"/>
        </w:rPr>
        <w:t>We do not understand the rationale for removing the SIZE &amp; ILQD &amp; RPRI flags, as there are specific provisions for SIs that apply to trades above and below the related threshold.</w:t>
      </w:r>
    </w:p>
    <w:p w14:paraId="3907F50B" w14:textId="77777777" w:rsidR="00DF4242" w:rsidRPr="003560DF" w:rsidRDefault="00DF4242" w:rsidP="00DF4242">
      <w:pPr>
        <w:rPr>
          <w:rFonts w:eastAsia="Verdana"/>
          <w:szCs w:val="22"/>
        </w:rPr>
      </w:pPr>
      <w:r w:rsidRPr="003560DF">
        <w:rPr>
          <w:rFonts w:eastAsia="Verdana"/>
          <w:szCs w:val="22"/>
        </w:rPr>
        <w:t>The poor data quality should not be a reason for removal, instead owners of SIs – as execution venues – should do their effort to contribute to better transparency in the market.</w:t>
      </w:r>
    </w:p>
    <w:p w14:paraId="015076A6" w14:textId="67D1AEC5" w:rsidR="00DF4242" w:rsidRPr="003560DF" w:rsidRDefault="00DF4242" w:rsidP="00DF4242">
      <w:pPr>
        <w:rPr>
          <w:rFonts w:eastAsia="Verdana"/>
          <w:szCs w:val="22"/>
        </w:rPr>
      </w:pPr>
      <w:r w:rsidRPr="003560DF">
        <w:rPr>
          <w:rFonts w:eastAsia="Verdana"/>
          <w:szCs w:val="22"/>
        </w:rPr>
        <w:t xml:space="preserve">These are critical to equip investors with an informed view of </w:t>
      </w:r>
      <w:r w:rsidR="00D20A05">
        <w:rPr>
          <w:rFonts w:eastAsia="Verdana"/>
          <w:szCs w:val="22"/>
        </w:rPr>
        <w:t xml:space="preserve">liquidity; </w:t>
      </w:r>
      <w:r w:rsidRPr="003560DF">
        <w:rPr>
          <w:rFonts w:eastAsia="Verdana"/>
          <w:szCs w:val="22"/>
        </w:rPr>
        <w:t xml:space="preserve">without </w:t>
      </w:r>
      <w:r w:rsidR="00D20A05">
        <w:rPr>
          <w:rFonts w:eastAsia="Verdana"/>
          <w:szCs w:val="22"/>
        </w:rPr>
        <w:t>them it</w:t>
      </w:r>
      <w:r w:rsidRPr="003560DF">
        <w:rPr>
          <w:rFonts w:eastAsia="Verdana"/>
          <w:szCs w:val="22"/>
        </w:rPr>
        <w:t xml:space="preserve"> will mean a step back in the quality of information given to market participants. All these flags and the other additional ones we suggest in Q27 are critical, including more specifically for SIs the addition of midpoint flag. SIs account for more than 13% of liquidity in the EU (source: </w:t>
      </w:r>
      <w:proofErr w:type="spellStart"/>
      <w:r w:rsidRPr="003560DF">
        <w:rPr>
          <w:rFonts w:eastAsia="Verdana"/>
          <w:szCs w:val="22"/>
        </w:rPr>
        <w:t>BigXYT</w:t>
      </w:r>
      <w:proofErr w:type="spellEnd"/>
      <w:r w:rsidRPr="003560DF">
        <w:rPr>
          <w:rFonts w:eastAsia="Verdana"/>
          <w:szCs w:val="22"/>
        </w:rPr>
        <w:t>, Jun 2024)</w:t>
      </w:r>
      <w:r w:rsidR="008754B8">
        <w:rPr>
          <w:rFonts w:eastAsia="Verdana"/>
          <w:szCs w:val="22"/>
        </w:rPr>
        <w:t xml:space="preserve"> </w:t>
      </w:r>
      <w:r w:rsidRPr="003560DF">
        <w:rPr>
          <w:rFonts w:eastAsia="Verdana"/>
          <w:szCs w:val="22"/>
        </w:rPr>
        <w:t xml:space="preserve">and so deserve proper flagging. </w:t>
      </w:r>
    </w:p>
    <w:p w14:paraId="06E47502" w14:textId="77777777" w:rsidR="00DF4242" w:rsidRPr="003560DF" w:rsidRDefault="00DF4242" w:rsidP="00DF4242">
      <w:pPr>
        <w:rPr>
          <w:rFonts w:eastAsia="Verdana"/>
          <w:szCs w:val="22"/>
        </w:rPr>
      </w:pPr>
      <w:r w:rsidRPr="003560DF">
        <w:rPr>
          <w:rFonts w:eastAsia="Verdana"/>
          <w:szCs w:val="22"/>
        </w:rPr>
        <w:t xml:space="preserve">In addition, we also believe that </w:t>
      </w:r>
    </w:p>
    <w:p w14:paraId="056971C6" w14:textId="77777777" w:rsidR="00DF4242" w:rsidRPr="003560DF" w:rsidRDefault="00DF4242" w:rsidP="00DF4242">
      <w:pPr>
        <w:pStyle w:val="ListParagraph"/>
        <w:numPr>
          <w:ilvl w:val="0"/>
          <w:numId w:val="42"/>
        </w:numPr>
        <w:spacing w:after="160" w:line="278" w:lineRule="auto"/>
        <w:rPr>
          <w:rFonts w:eastAsia="Verdana"/>
          <w:szCs w:val="22"/>
        </w:rPr>
      </w:pPr>
      <w:r w:rsidRPr="003560DF">
        <w:rPr>
          <w:rFonts w:eastAsia="Verdana"/>
          <w:szCs w:val="22"/>
        </w:rPr>
        <w:t xml:space="preserve">given the new midpoint matching possibilities open for SIs as a result of the level 1 review, a new MIDP flag should be included and </w:t>
      </w:r>
    </w:p>
    <w:p w14:paraId="4F76C4AE" w14:textId="1D34028D" w:rsidR="00FA4100" w:rsidRPr="00DF4242" w:rsidRDefault="00DF4242" w:rsidP="00DF4242">
      <w:pPr>
        <w:pStyle w:val="ListParagraph"/>
        <w:numPr>
          <w:ilvl w:val="0"/>
          <w:numId w:val="42"/>
        </w:numPr>
        <w:spacing w:after="160" w:line="278" w:lineRule="auto"/>
        <w:rPr>
          <w:rFonts w:eastAsia="Verdana"/>
          <w:color w:val="D13438"/>
          <w:szCs w:val="22"/>
        </w:rPr>
      </w:pPr>
      <w:r w:rsidRPr="003560DF">
        <w:rPr>
          <w:rFonts w:eastAsia="Verdana"/>
          <w:szCs w:val="22"/>
        </w:rPr>
        <w:t>in order to allow market participants to appropriately conduct transaction costs analysis and especially toxicity analysis, SIs transaction publication should be flagged to indicate the direction of the transaction (whether the SI is on the buy or sell side). Even if this specific flag is only published with a one month delay it would already be highly valuable for the industry</w:t>
      </w:r>
    </w:p>
    <w:permEnd w:id="636686123"/>
    <w:p w14:paraId="1A641ECE" w14:textId="31470DE2" w:rsidR="00FA4100" w:rsidRDefault="00FA4100" w:rsidP="00FA4100">
      <w:pPr>
        <w:spacing w:after="0"/>
      </w:pPr>
      <w:r>
        <w:t>&lt;ESMA_QUESTION</w:t>
      </w:r>
      <w:r w:rsidR="005D4F78">
        <w:t>_CP3_</w:t>
      </w:r>
      <w:r>
        <w:t>2</w:t>
      </w:r>
      <w:r w:rsidR="00737DD9">
        <w:t>8</w:t>
      </w:r>
      <w:r>
        <w:t>&gt;</w:t>
      </w:r>
    </w:p>
    <w:p w14:paraId="6CB66BAB" w14:textId="77777777" w:rsidR="00FA4100" w:rsidRDefault="00FA4100" w:rsidP="00C54034">
      <w:pPr>
        <w:spacing w:after="0"/>
      </w:pPr>
    </w:p>
    <w:p w14:paraId="58D9979E" w14:textId="77777777" w:rsidR="005D4F78" w:rsidRDefault="005D4F78" w:rsidP="00C54034">
      <w:pPr>
        <w:spacing w:after="0"/>
      </w:pPr>
    </w:p>
    <w:p w14:paraId="19F46DD0" w14:textId="0AF7656C" w:rsidR="00FA4100" w:rsidRDefault="005D4F78" w:rsidP="007C5BD5">
      <w:pPr>
        <w:pStyle w:val="Questionstyle"/>
      </w:pPr>
      <w:r w:rsidRPr="005D4F78">
        <w:t>Would you consider that the ACTX flag could be removed? Please, explain</w:t>
      </w:r>
      <w:r w:rsidR="00FA4100">
        <w:t>.</w:t>
      </w:r>
    </w:p>
    <w:p w14:paraId="51257258" w14:textId="41D8492E" w:rsidR="00FA4100" w:rsidRDefault="00FA4100" w:rsidP="00FA4100">
      <w:pPr>
        <w:spacing w:after="0"/>
      </w:pPr>
      <w:r>
        <w:t>&lt;ESMA_QUESTION</w:t>
      </w:r>
      <w:r w:rsidR="005D4F78">
        <w:t>_CP3_</w:t>
      </w:r>
      <w:r>
        <w:t>2</w:t>
      </w:r>
      <w:r w:rsidR="00737DD9">
        <w:t>9</w:t>
      </w:r>
      <w:r>
        <w:t>&gt;</w:t>
      </w:r>
    </w:p>
    <w:p w14:paraId="783669B8" w14:textId="2A107DE8" w:rsidR="00835071" w:rsidRPr="003560DF" w:rsidRDefault="00835071" w:rsidP="00835071">
      <w:pPr>
        <w:spacing w:after="0"/>
        <w:rPr>
          <w:rFonts w:eastAsia="Verdana"/>
          <w:szCs w:val="22"/>
        </w:rPr>
      </w:pPr>
      <w:permStart w:id="1539128939" w:edGrp="everyone"/>
      <w:r w:rsidRPr="003560DF">
        <w:rPr>
          <w:rFonts w:eastAsia="Verdana"/>
          <w:szCs w:val="22"/>
        </w:rPr>
        <w:lastRenderedPageBreak/>
        <w:t>Euronext welcomes</w:t>
      </w:r>
      <w:r w:rsidR="008754B8">
        <w:rPr>
          <w:rFonts w:eastAsia="Verdana"/>
          <w:szCs w:val="22"/>
        </w:rPr>
        <w:t xml:space="preserve"> the</w:t>
      </w:r>
      <w:r w:rsidRPr="003560DF">
        <w:rPr>
          <w:rFonts w:eastAsia="Verdana"/>
          <w:szCs w:val="22"/>
        </w:rPr>
        <w:t xml:space="preserve"> removal of ACTX as this practice should not be allowed OTC or on SI either. This is multilateral trading, and the orders should have interacted with other market participants</w:t>
      </w:r>
      <w:r w:rsidR="00F5650E">
        <w:rPr>
          <w:rFonts w:eastAsia="Verdana"/>
          <w:szCs w:val="22"/>
        </w:rPr>
        <w:t>; o</w:t>
      </w:r>
      <w:r w:rsidRPr="003560DF">
        <w:rPr>
          <w:rFonts w:eastAsia="Verdana"/>
          <w:szCs w:val="22"/>
        </w:rPr>
        <w:t>therwise, there is a risk to execution and a risk of replicating BCNs.</w:t>
      </w:r>
    </w:p>
    <w:permEnd w:id="1539128939"/>
    <w:p w14:paraId="3A6DBF09" w14:textId="38B698B2" w:rsidR="00FA4100" w:rsidRDefault="00FA4100" w:rsidP="00FA4100">
      <w:pPr>
        <w:spacing w:after="0"/>
      </w:pPr>
      <w:r>
        <w:t>&lt;ESMA_QUESTION</w:t>
      </w:r>
      <w:r w:rsidR="005D4F78">
        <w:t>_CP3_</w:t>
      </w:r>
      <w:r>
        <w:t>2</w:t>
      </w:r>
      <w:r w:rsidR="00737DD9">
        <w:t>9</w:t>
      </w:r>
      <w:r>
        <w:t>&gt;</w:t>
      </w:r>
    </w:p>
    <w:p w14:paraId="2C972B7E" w14:textId="77777777" w:rsidR="00FA4100" w:rsidRDefault="00FA4100" w:rsidP="00C54034">
      <w:pPr>
        <w:spacing w:after="0"/>
      </w:pPr>
    </w:p>
    <w:p w14:paraId="3B1A378E" w14:textId="547855B5" w:rsidR="00FA4100" w:rsidRDefault="005D4F78" w:rsidP="007C5BD5">
      <w:pPr>
        <w:pStyle w:val="Questionstyle"/>
      </w:pPr>
      <w:r w:rsidRPr="005D4F78">
        <w:t>Would you further reduce the maximum time for disclosing pre-trade transparency “as close to real-time as technically possible”? If so, what maximum limit would you suggest? Please explain</w:t>
      </w:r>
      <w:r w:rsidR="00FA4100">
        <w:t>.</w:t>
      </w:r>
    </w:p>
    <w:p w14:paraId="77D215FA" w14:textId="123D6053" w:rsidR="00FA4100" w:rsidRDefault="00FA4100" w:rsidP="00FA4100">
      <w:pPr>
        <w:spacing w:after="0"/>
      </w:pPr>
      <w:r>
        <w:t>&lt;ESMA_QUESTION</w:t>
      </w:r>
      <w:r w:rsidR="005D4F78">
        <w:t>_CP3_</w:t>
      </w:r>
      <w:r w:rsidR="00737DD9">
        <w:t>30</w:t>
      </w:r>
      <w:r>
        <w:t>&gt;</w:t>
      </w:r>
    </w:p>
    <w:p w14:paraId="37614E9D" w14:textId="2B11A7D1" w:rsidR="00313D0E" w:rsidRDefault="00313D0E" w:rsidP="00FA4100">
      <w:pPr>
        <w:spacing w:after="0"/>
      </w:pPr>
      <w:permStart w:id="307052998" w:edGrp="everyone"/>
      <w:r w:rsidRPr="003560DF">
        <w:rPr>
          <w:szCs w:val="22"/>
        </w:rPr>
        <w:t>We don’t see a need to change this</w:t>
      </w:r>
      <w:r>
        <w:rPr>
          <w:szCs w:val="22"/>
        </w:rPr>
        <w:t>.</w:t>
      </w:r>
      <w:r>
        <w:t xml:space="preserve"> </w:t>
      </w:r>
    </w:p>
    <w:permEnd w:id="307052998"/>
    <w:p w14:paraId="5374C4DC" w14:textId="3696199C" w:rsidR="00FA4100" w:rsidRDefault="00FA4100" w:rsidP="00FA4100">
      <w:pPr>
        <w:spacing w:after="0"/>
      </w:pPr>
      <w:r>
        <w:t>&lt;ESMA_QUESTION</w:t>
      </w:r>
      <w:r w:rsidR="005D4F78">
        <w:t>_CP3_</w:t>
      </w:r>
      <w:r w:rsidR="00737DD9">
        <w:t>30</w:t>
      </w:r>
      <w:r>
        <w:t>&gt;</w:t>
      </w:r>
    </w:p>
    <w:p w14:paraId="3A8F8E3D" w14:textId="77777777" w:rsidR="00FA4100" w:rsidRDefault="00FA4100" w:rsidP="00C54034">
      <w:pPr>
        <w:spacing w:after="0"/>
      </w:pPr>
    </w:p>
    <w:p w14:paraId="79891AB7" w14:textId="06286ADA" w:rsidR="00FA4100" w:rsidRDefault="005D4F78" w:rsidP="007C5BD5">
      <w:pPr>
        <w:pStyle w:val="Questionstyle"/>
      </w:pPr>
      <w:r w:rsidRPr="005D4F78">
        <w:t>Do you agree with the proposed amendments to Article 15 of RTS 1? If not, please explain</w:t>
      </w:r>
      <w:r>
        <w:t>.</w:t>
      </w:r>
    </w:p>
    <w:p w14:paraId="1BD2E774" w14:textId="4C9F11E5" w:rsidR="00FA4100" w:rsidRDefault="00FA4100" w:rsidP="00FA4100">
      <w:pPr>
        <w:spacing w:after="0"/>
      </w:pPr>
      <w:r>
        <w:t>&lt;ESMA_QUESTION</w:t>
      </w:r>
      <w:r w:rsidR="005D4F78">
        <w:t>_CP3_</w:t>
      </w:r>
      <w:r w:rsidR="00737DD9">
        <w:t>31</w:t>
      </w:r>
      <w:r>
        <w:t>&gt;</w:t>
      </w:r>
    </w:p>
    <w:p w14:paraId="43B8B2DE" w14:textId="77777777" w:rsidR="00B5430D" w:rsidRPr="003560DF" w:rsidRDefault="00B5430D" w:rsidP="00B5430D">
      <w:pPr>
        <w:rPr>
          <w:color w:val="FF0000"/>
          <w:szCs w:val="22"/>
        </w:rPr>
      </w:pPr>
      <w:permStart w:id="884149456" w:edGrp="everyone"/>
      <w:r w:rsidRPr="003560DF">
        <w:rPr>
          <w:szCs w:val="22"/>
        </w:rPr>
        <w:t>Yes Euronext agrees.</w:t>
      </w:r>
      <w:r w:rsidRPr="003560DF">
        <w:rPr>
          <w:color w:val="FF0000"/>
          <w:szCs w:val="22"/>
        </w:rPr>
        <w:t xml:space="preserve"> </w:t>
      </w:r>
    </w:p>
    <w:permEnd w:id="884149456"/>
    <w:p w14:paraId="528BFC7C" w14:textId="43741789" w:rsidR="00FA4100" w:rsidRDefault="00FA4100" w:rsidP="00FA4100">
      <w:pPr>
        <w:spacing w:after="0"/>
      </w:pPr>
      <w:r>
        <w:t>&lt;ESMA_QUESTION</w:t>
      </w:r>
      <w:r w:rsidR="005D4F78">
        <w:t>_CP3_</w:t>
      </w:r>
      <w:r w:rsidR="00737DD9">
        <w:t>31</w:t>
      </w:r>
      <w:r>
        <w:t>&gt;</w:t>
      </w:r>
    </w:p>
    <w:p w14:paraId="21A49323" w14:textId="77777777" w:rsidR="00FA4100" w:rsidRDefault="00FA4100" w:rsidP="00C54034">
      <w:pPr>
        <w:spacing w:after="0"/>
      </w:pPr>
    </w:p>
    <w:p w14:paraId="459FE465" w14:textId="695885F0" w:rsidR="00FA4100" w:rsidRDefault="005D4F78" w:rsidP="007C5BD5">
      <w:pPr>
        <w:pStyle w:val="Questionstyle"/>
      </w:pPr>
      <w:r w:rsidRPr="005D4F78">
        <w:t>Which option do you prefer: Option A (status quo), Option B (add layer for technical trades), Option C (add layer for technical trades and waivers)? Please explain</w:t>
      </w:r>
      <w:r w:rsidR="00FA4100">
        <w:t>.</w:t>
      </w:r>
    </w:p>
    <w:p w14:paraId="2209DF71" w14:textId="3DA36BAA" w:rsidR="00FA4100" w:rsidRDefault="00FA4100" w:rsidP="00FA4100">
      <w:pPr>
        <w:spacing w:after="0"/>
      </w:pPr>
      <w:r>
        <w:t>&lt;ESMA_QUESTION</w:t>
      </w:r>
      <w:r w:rsidR="005D4F78">
        <w:t>_CP3_</w:t>
      </w:r>
      <w:r w:rsidR="00737DD9">
        <w:t>32</w:t>
      </w:r>
      <w:r>
        <w:t>&gt;</w:t>
      </w:r>
    </w:p>
    <w:p w14:paraId="6FCDC957" w14:textId="49B30180" w:rsidR="00FA4100" w:rsidRDefault="00371781" w:rsidP="00371781">
      <w:permStart w:id="1310215157" w:edGrp="everyone"/>
      <w:r w:rsidRPr="003560DF">
        <w:rPr>
          <w:rFonts w:eastAsia="Verdana"/>
          <w:szCs w:val="22"/>
        </w:rPr>
        <w:t xml:space="preserve">Euronext is in </w:t>
      </w:r>
      <w:proofErr w:type="spellStart"/>
      <w:r w:rsidRPr="003560DF">
        <w:rPr>
          <w:rFonts w:eastAsia="Verdana"/>
          <w:szCs w:val="22"/>
        </w:rPr>
        <w:t>favor</w:t>
      </w:r>
      <w:proofErr w:type="spellEnd"/>
      <w:r w:rsidRPr="003560DF">
        <w:rPr>
          <w:rFonts w:eastAsia="Verdana"/>
          <w:szCs w:val="22"/>
        </w:rPr>
        <w:t xml:space="preserve"> of option C. In our view, this data submission would then eliminate the need for any duplicative reporting  (such as RTS 1, 2 and 3 quantitative data). See also  our comment to question 2.</w:t>
      </w:r>
    </w:p>
    <w:permEnd w:id="1310215157"/>
    <w:p w14:paraId="44B1FFE6" w14:textId="08FD85C4" w:rsidR="00FA4100" w:rsidRDefault="00FA4100" w:rsidP="00FA4100">
      <w:pPr>
        <w:spacing w:after="0"/>
      </w:pPr>
      <w:r>
        <w:t>&lt;ESMA_QUESTION</w:t>
      </w:r>
      <w:r w:rsidR="005D4F78">
        <w:t>_CP3_</w:t>
      </w:r>
      <w:r w:rsidR="00737DD9">
        <w:t>32</w:t>
      </w:r>
      <w:r>
        <w:t>&gt;</w:t>
      </w:r>
    </w:p>
    <w:p w14:paraId="72745F76" w14:textId="77777777" w:rsidR="00FA4100" w:rsidRDefault="00FA4100" w:rsidP="00C54034">
      <w:pPr>
        <w:spacing w:after="0"/>
      </w:pPr>
    </w:p>
    <w:p w14:paraId="3D16B195" w14:textId="4FD1D71D" w:rsidR="00FA4100" w:rsidRDefault="005D4F78" w:rsidP="007C5BD5">
      <w:pPr>
        <w:pStyle w:val="Questionstyle"/>
      </w:pPr>
      <w:r w:rsidRPr="005D4F78">
        <w:t>Do you agree with the proposed amendments to Annex IV of RTS 1 in relation to Option B and Option C? Please explain</w:t>
      </w:r>
      <w:r w:rsidR="00FA4100">
        <w:t>.</w:t>
      </w:r>
    </w:p>
    <w:p w14:paraId="2AA780BD" w14:textId="2DDB3611" w:rsidR="00FA4100" w:rsidRDefault="00FA4100" w:rsidP="00FA4100">
      <w:pPr>
        <w:spacing w:after="0"/>
      </w:pPr>
      <w:r>
        <w:t>&lt;ESMA_QUESTION</w:t>
      </w:r>
      <w:r w:rsidR="005D4F78">
        <w:t>_CP3_</w:t>
      </w:r>
      <w:r w:rsidR="00737DD9">
        <w:t>33</w:t>
      </w:r>
      <w:r>
        <w:t>&gt;</w:t>
      </w:r>
    </w:p>
    <w:p w14:paraId="510AFF81" w14:textId="77777777" w:rsidR="00F026C1" w:rsidRDefault="00F026C1" w:rsidP="00FA4100">
      <w:pPr>
        <w:spacing w:after="0"/>
        <w:rPr>
          <w:rFonts w:eastAsia="Verdana"/>
          <w:szCs w:val="22"/>
        </w:rPr>
      </w:pPr>
      <w:permStart w:id="1461735347" w:edGrp="everyone"/>
      <w:r w:rsidRPr="003560DF">
        <w:rPr>
          <w:rFonts w:eastAsia="Verdana"/>
          <w:szCs w:val="22"/>
        </w:rPr>
        <w:t>Yes, but we don’t understand field 21</w:t>
      </w:r>
    </w:p>
    <w:permEnd w:id="1461735347"/>
    <w:p w14:paraId="3B530B2D" w14:textId="2970376C" w:rsidR="00FA4100" w:rsidRDefault="00FA4100" w:rsidP="00FA4100">
      <w:pPr>
        <w:spacing w:after="0"/>
      </w:pPr>
      <w:r>
        <w:t>&lt;ESMA_QUESTION</w:t>
      </w:r>
      <w:r w:rsidR="005D4F78">
        <w:t>_CP3_</w:t>
      </w:r>
      <w:r w:rsidR="00737DD9">
        <w:t>33</w:t>
      </w:r>
      <w:r>
        <w:t>&gt;</w:t>
      </w:r>
    </w:p>
    <w:p w14:paraId="2BFF0314" w14:textId="77777777" w:rsidR="00FA4100" w:rsidRDefault="00FA4100" w:rsidP="00C54034">
      <w:pPr>
        <w:spacing w:after="0"/>
      </w:pPr>
    </w:p>
    <w:p w14:paraId="4A79DB36" w14:textId="0821E5F7" w:rsidR="00FA4100" w:rsidRDefault="005D4F78" w:rsidP="007C5BD5">
      <w:pPr>
        <w:pStyle w:val="Questionstyle"/>
      </w:pPr>
      <w:r w:rsidRPr="005D4F78">
        <w:t>Do you agree with the proposed amendments to Articles 16 to 19 of RTS 1? Please explain</w:t>
      </w:r>
      <w:r w:rsidR="00FA4100">
        <w:t>.</w:t>
      </w:r>
    </w:p>
    <w:p w14:paraId="3FDB778A" w14:textId="1850B609" w:rsidR="00FA4100" w:rsidRDefault="00FA4100" w:rsidP="00FA4100">
      <w:pPr>
        <w:spacing w:after="0"/>
      </w:pPr>
      <w:r>
        <w:lastRenderedPageBreak/>
        <w:t>&lt;ESMA_QUESTION</w:t>
      </w:r>
      <w:r w:rsidR="005D4F78">
        <w:t>_CP3_</w:t>
      </w:r>
      <w:r w:rsidR="00737DD9">
        <w:t>34</w:t>
      </w:r>
      <w:r>
        <w:t>&gt;</w:t>
      </w:r>
    </w:p>
    <w:p w14:paraId="6185C990" w14:textId="77777777" w:rsidR="00FA4100" w:rsidRDefault="00FA4100" w:rsidP="00FA4100">
      <w:pPr>
        <w:spacing w:after="0"/>
      </w:pPr>
      <w:permStart w:id="526140180" w:edGrp="everyone"/>
      <w:r>
        <w:t>TYPE YOUR TEXT HERE</w:t>
      </w:r>
    </w:p>
    <w:permEnd w:id="526140180"/>
    <w:p w14:paraId="649290BF" w14:textId="7EA8BD75" w:rsidR="00FA4100" w:rsidRDefault="00FA4100" w:rsidP="00FA4100">
      <w:pPr>
        <w:spacing w:after="0"/>
      </w:pPr>
      <w:r>
        <w:t>&lt;ESMA_QUESTION</w:t>
      </w:r>
      <w:r w:rsidR="005D4F78">
        <w:t>_CP3_</w:t>
      </w:r>
      <w:r w:rsidR="00737DD9">
        <w:t>34</w:t>
      </w:r>
      <w:r>
        <w:t>&gt;</w:t>
      </w:r>
    </w:p>
    <w:p w14:paraId="6853A49D" w14:textId="5B559923" w:rsidR="00FA4100" w:rsidRDefault="005D4F78" w:rsidP="007C5BD5">
      <w:pPr>
        <w:pStyle w:val="Questionstyle"/>
      </w:pPr>
      <w:r w:rsidRPr="005D4F78">
        <w:t>Do you agree with the proposed different application dates for the different provisions in Article 20 of RTS 1? Please explain</w:t>
      </w:r>
      <w:r w:rsidR="00FA4100">
        <w:t>.</w:t>
      </w:r>
    </w:p>
    <w:p w14:paraId="6BDEFCE4" w14:textId="06BF7B24" w:rsidR="00FA4100" w:rsidRDefault="00FA4100" w:rsidP="00FA4100">
      <w:pPr>
        <w:spacing w:after="0"/>
      </w:pPr>
      <w:r>
        <w:t>&lt;ESMA_QUESTION</w:t>
      </w:r>
      <w:r w:rsidR="005D4F78">
        <w:t>_CP3_</w:t>
      </w:r>
      <w:r w:rsidR="00737DD9">
        <w:t>35</w:t>
      </w:r>
      <w:r>
        <w:t>&gt;</w:t>
      </w:r>
    </w:p>
    <w:p w14:paraId="6A5DE3F3" w14:textId="268D7151" w:rsidR="00C61629" w:rsidRPr="003560DF" w:rsidRDefault="00C61629" w:rsidP="00C61629">
      <w:pPr>
        <w:rPr>
          <w:szCs w:val="22"/>
        </w:rPr>
      </w:pPr>
      <w:permStart w:id="657797640" w:edGrp="everyone"/>
      <w:r w:rsidRPr="003560DF">
        <w:rPr>
          <w:szCs w:val="22"/>
        </w:rPr>
        <w:t>From a practical perspective, setting out different application dates for different provisions of equity transparency makes it extremely challenging to implement. Not only are there a number of different timelines indicated, but they also potentially differ from the timelines for changes in RTS2. Again from a project implementation view, this significantly increases costs and resource requirements to make such changes for different project time</w:t>
      </w:r>
      <w:r w:rsidR="005B0DDC">
        <w:rPr>
          <w:szCs w:val="22"/>
        </w:rPr>
        <w:t>lines</w:t>
      </w:r>
      <w:r w:rsidRPr="003560DF">
        <w:rPr>
          <w:szCs w:val="22"/>
        </w:rPr>
        <w:t xml:space="preserve">. </w:t>
      </w:r>
    </w:p>
    <w:p w14:paraId="2EFEE275" w14:textId="77777777" w:rsidR="00C61629" w:rsidRPr="003560DF" w:rsidRDefault="00C61629" w:rsidP="00C61629">
      <w:pPr>
        <w:rPr>
          <w:szCs w:val="22"/>
        </w:rPr>
      </w:pPr>
      <w:r w:rsidRPr="003560DF">
        <w:rPr>
          <w:szCs w:val="22"/>
        </w:rPr>
        <w:t xml:space="preserve">Furthermore we note ESMA indicates that the timelines for the provisions in its technical advice regarding the definition of liquid market should be aligned with that of RTS1, but this does not give sufficient clarity as it’s not clear which applicable date is being referenced. Given there are links to RTS23, it would make sense that it ties in with those timelines. </w:t>
      </w:r>
    </w:p>
    <w:p w14:paraId="03425BAE" w14:textId="77777777" w:rsidR="00C61629" w:rsidRPr="003560DF" w:rsidRDefault="00C61629" w:rsidP="00C61629">
      <w:pPr>
        <w:rPr>
          <w:szCs w:val="22"/>
        </w:rPr>
      </w:pPr>
      <w:r w:rsidRPr="003560DF">
        <w:rPr>
          <w:szCs w:val="22"/>
        </w:rPr>
        <w:t>We urge ESMA to try to align timelines wherever possible and it is critical there is sufficient time given and a consistent approach taken for implementation once the final details are published.</w:t>
      </w:r>
    </w:p>
    <w:p w14:paraId="23C3C607" w14:textId="77777777" w:rsidR="00C61629" w:rsidRPr="003560DF" w:rsidRDefault="00C61629" w:rsidP="00C61629">
      <w:pPr>
        <w:rPr>
          <w:szCs w:val="22"/>
        </w:rPr>
      </w:pPr>
      <w:r w:rsidRPr="003560DF">
        <w:rPr>
          <w:szCs w:val="22"/>
        </w:rPr>
        <w:t xml:space="preserve">Lastly we would also like to point out some general remarks regarding equity transparency and its impact on European market structure. ESMA has engaged in a very ambitious exercise to streamline information on EU capital markets, by an extensive review of technical requirements for reporting and publication. Yet, there is no proposal to further increase the information available to investors on EU equities markets. When compared to other jurisdictions, there is a transparency gap between US and EU markets. Lit multilateral venues on equities account for 60% of turnover in the US vs. 40% in the EU (source: BMLL, July 2024). Even dark off exchange facilities in the US disclose more information than their EU equivalent (systematic </w:t>
      </w:r>
      <w:proofErr w:type="spellStart"/>
      <w:r w:rsidRPr="003560DF">
        <w:rPr>
          <w:szCs w:val="22"/>
        </w:rPr>
        <w:t>internalisers</w:t>
      </w:r>
      <w:proofErr w:type="spellEnd"/>
      <w:r w:rsidRPr="003560DF">
        <w:rPr>
          <w:szCs w:val="22"/>
        </w:rPr>
        <w:t>). </w:t>
      </w:r>
    </w:p>
    <w:p w14:paraId="2890CDA4" w14:textId="27E2524B" w:rsidR="00C61629" w:rsidRPr="003560DF" w:rsidRDefault="008B2400" w:rsidP="00C61629">
      <w:pPr>
        <w:rPr>
          <w:szCs w:val="22"/>
        </w:rPr>
      </w:pPr>
      <w:r>
        <w:rPr>
          <w:szCs w:val="22"/>
        </w:rPr>
        <w:t>T</w:t>
      </w:r>
      <w:r w:rsidR="00C61629" w:rsidRPr="003560DF">
        <w:rPr>
          <w:szCs w:val="22"/>
        </w:rPr>
        <w:t xml:space="preserve">he US disclosure framework is being strengthened, notably via the review of </w:t>
      </w:r>
      <w:proofErr w:type="spellStart"/>
      <w:r w:rsidR="00C61629" w:rsidRPr="003560DF">
        <w:rPr>
          <w:szCs w:val="22"/>
        </w:rPr>
        <w:t>RegNMS</w:t>
      </w:r>
      <w:proofErr w:type="spellEnd"/>
      <w:r w:rsidR="00C61629" w:rsidRPr="003560DF">
        <w:rPr>
          <w:szCs w:val="22"/>
        </w:rPr>
        <w:t xml:space="preserve"> by the SEC in May this year. So far, this approach has proven to be attractive for both local and foreign investors. For Euronext, a key question is how can we truly attract further investment inflows in a market where only 40% of the available liquidity is visible to local and foreign investors? </w:t>
      </w:r>
    </w:p>
    <w:p w14:paraId="64989935" w14:textId="552B558D" w:rsidR="00FA4100" w:rsidRPr="00C61629" w:rsidRDefault="00C61629" w:rsidP="00C61629">
      <w:pPr>
        <w:rPr>
          <w:szCs w:val="22"/>
        </w:rPr>
      </w:pPr>
      <w:r w:rsidRPr="003560DF">
        <w:rPr>
          <w:szCs w:val="22"/>
        </w:rPr>
        <w:t xml:space="preserve">We believe the current MiFID/R RTS work is a major opportunity to enhance and upgrade pragmatically and consistently, the level of information available to investors on EU equity markets. This is in line with the Level 1 mandate but we question whether this has really been achieved with the current proposals. Therefore we urge ESMA to consider our feedback in detail and take into account our suggestions in the final technical standards. </w:t>
      </w:r>
    </w:p>
    <w:permEnd w:id="657797640"/>
    <w:p w14:paraId="4D3A7320" w14:textId="11962B4D" w:rsidR="00FA4100" w:rsidRDefault="00FA4100" w:rsidP="00FA4100">
      <w:pPr>
        <w:spacing w:after="0"/>
      </w:pPr>
      <w:r>
        <w:lastRenderedPageBreak/>
        <w:t>&lt;ESMA_QUESTION</w:t>
      </w:r>
      <w:r w:rsidR="005D4F78">
        <w:t>_CP3_</w:t>
      </w:r>
      <w:r w:rsidR="00737DD9">
        <w:t>35</w:t>
      </w:r>
      <w:r>
        <w:t>&gt;</w:t>
      </w:r>
    </w:p>
    <w:p w14:paraId="198FBE4F" w14:textId="77777777" w:rsidR="00FA4100" w:rsidRDefault="00FA4100" w:rsidP="00C54034">
      <w:pPr>
        <w:spacing w:after="0"/>
      </w:pPr>
    </w:p>
    <w:p w14:paraId="3223B317" w14:textId="77777777" w:rsidR="005D4F78" w:rsidRDefault="005D4F78" w:rsidP="00C54034">
      <w:pPr>
        <w:spacing w:after="0"/>
      </w:pPr>
    </w:p>
    <w:p w14:paraId="220BF01D" w14:textId="77777777" w:rsidR="005D4F78" w:rsidRDefault="005D4F78" w:rsidP="00C54034">
      <w:pPr>
        <w:spacing w:after="0"/>
      </w:pPr>
    </w:p>
    <w:p w14:paraId="15E63620" w14:textId="77777777" w:rsidR="005D4F78" w:rsidRDefault="005D4F78" w:rsidP="00C54034">
      <w:pPr>
        <w:spacing w:after="0"/>
      </w:pPr>
    </w:p>
    <w:p w14:paraId="7A15496D" w14:textId="77777777" w:rsidR="005D4F78" w:rsidRDefault="005D4F78" w:rsidP="00C54034">
      <w:pPr>
        <w:spacing w:after="0"/>
      </w:pPr>
    </w:p>
    <w:p w14:paraId="56748E95" w14:textId="77777777" w:rsidR="005D4F78" w:rsidRDefault="005D4F78" w:rsidP="00C54034">
      <w:pPr>
        <w:spacing w:after="0"/>
      </w:pPr>
    </w:p>
    <w:p w14:paraId="127096B4" w14:textId="77777777" w:rsidR="005D4F78" w:rsidRDefault="005D4F78" w:rsidP="00C54034">
      <w:pPr>
        <w:spacing w:after="0"/>
      </w:pPr>
    </w:p>
    <w:p w14:paraId="6328CB71" w14:textId="77777777" w:rsidR="005D4F78" w:rsidRDefault="005D4F78" w:rsidP="00C54034">
      <w:pPr>
        <w:spacing w:after="0"/>
      </w:pPr>
    </w:p>
    <w:p w14:paraId="52B0384C" w14:textId="77777777" w:rsidR="005D4F78" w:rsidRDefault="005D4F78" w:rsidP="00C54034">
      <w:pPr>
        <w:spacing w:after="0"/>
      </w:pPr>
    </w:p>
    <w:p w14:paraId="58695D10" w14:textId="77777777" w:rsidR="005D4F78" w:rsidRDefault="005D4F78" w:rsidP="00C54034">
      <w:pPr>
        <w:spacing w:after="0"/>
      </w:pPr>
    </w:p>
    <w:p w14:paraId="4B2797EF" w14:textId="77777777" w:rsidR="005D4F78" w:rsidRDefault="005D4F78" w:rsidP="00C54034">
      <w:pPr>
        <w:spacing w:after="0"/>
      </w:pPr>
    </w:p>
    <w:p w14:paraId="1AA93C0B" w14:textId="77777777" w:rsidR="005D4F78" w:rsidRDefault="005D4F78" w:rsidP="00C54034">
      <w:pPr>
        <w:spacing w:after="0"/>
      </w:pPr>
    </w:p>
    <w:p w14:paraId="388B9888" w14:textId="77777777" w:rsidR="005D4F78" w:rsidRDefault="005D4F78" w:rsidP="00C54034">
      <w:pPr>
        <w:spacing w:after="0"/>
      </w:pPr>
    </w:p>
    <w:p w14:paraId="3E0B541B" w14:textId="77777777" w:rsidR="005D4F78" w:rsidRDefault="005D4F78" w:rsidP="00C54034">
      <w:pPr>
        <w:spacing w:after="0"/>
      </w:pPr>
    </w:p>
    <w:p w14:paraId="3415A11F" w14:textId="3CD2F5BB" w:rsidR="005D4F78" w:rsidRDefault="005D4F78">
      <w:pPr>
        <w:spacing w:after="0" w:line="240" w:lineRule="auto"/>
        <w:jc w:val="left"/>
      </w:pPr>
      <w:r>
        <w:br w:type="page"/>
      </w:r>
    </w:p>
    <w:p w14:paraId="41CAA899" w14:textId="0B2D2A77" w:rsidR="007C5BD5" w:rsidRPr="00B25E0D" w:rsidRDefault="007C5BD5" w:rsidP="007C5BD5">
      <w:pPr>
        <w:pStyle w:val="Heading1"/>
        <w:numPr>
          <w:ilvl w:val="0"/>
          <w:numId w:val="0"/>
        </w:numPr>
        <w:ind w:left="709"/>
      </w:pPr>
      <w:r>
        <w:lastRenderedPageBreak/>
        <w:t>2.</w:t>
      </w:r>
      <w:r w:rsidR="001878C6">
        <w:t>3</w:t>
      </w:r>
      <w:r>
        <w:t xml:space="preserve"> Input / Output data RTS (equity CTP)</w:t>
      </w:r>
    </w:p>
    <w:p w14:paraId="608AA436" w14:textId="77777777" w:rsidR="007C5BD5" w:rsidRDefault="007C5BD5">
      <w:pPr>
        <w:spacing w:after="0" w:line="240" w:lineRule="auto"/>
        <w:jc w:val="left"/>
      </w:pPr>
    </w:p>
    <w:p w14:paraId="4DAA1309" w14:textId="14AAED23" w:rsidR="00FA4100" w:rsidRDefault="007C5BD5" w:rsidP="00EE57EB">
      <w:pPr>
        <w:pStyle w:val="Questionstyle"/>
        <w:numPr>
          <w:ilvl w:val="0"/>
          <w:numId w:val="37"/>
        </w:numPr>
      </w:pPr>
      <w:r w:rsidRPr="007C5BD5">
        <w:t>Do you agree with the proposal for the Data related to the status of individual financial instruments? If not, please explain</w:t>
      </w:r>
      <w:r w:rsidR="00FA4100">
        <w:t>.</w:t>
      </w:r>
    </w:p>
    <w:p w14:paraId="10A92E6B" w14:textId="42F29641" w:rsidR="00FA4100" w:rsidRDefault="00FA4100" w:rsidP="00FA4100">
      <w:pPr>
        <w:spacing w:after="0"/>
      </w:pPr>
      <w:r>
        <w:t>&lt;ESMA_QUESTION</w:t>
      </w:r>
      <w:r w:rsidR="005D4F78">
        <w:t>_CP3_</w:t>
      </w:r>
      <w:r w:rsidR="007C5BD5">
        <w:t>55</w:t>
      </w:r>
      <w:r>
        <w:t>&gt;</w:t>
      </w:r>
    </w:p>
    <w:p w14:paraId="6083C191" w14:textId="77777777" w:rsidR="00CD18D9" w:rsidRPr="003560DF" w:rsidRDefault="00CD18D9" w:rsidP="00CD18D9">
      <w:pPr>
        <w:rPr>
          <w:szCs w:val="22"/>
        </w:rPr>
      </w:pPr>
      <w:permStart w:id="1477078338" w:edGrp="everyone"/>
      <w:r w:rsidRPr="003560DF">
        <w:rPr>
          <w:szCs w:val="22"/>
        </w:rPr>
        <w:t>Euronext does not fully support the proposals on regulatory data related to the status of individual financial instruments. We would note that the same instrument could be traded in different currencies within the same system but have different status. We question whether the ESMA proposal is complete as may not fully account for this trading currency component.</w:t>
      </w:r>
    </w:p>
    <w:p w14:paraId="39A5AFDE" w14:textId="77777777" w:rsidR="00CD18D9" w:rsidRPr="003560DF" w:rsidRDefault="00CD18D9" w:rsidP="00CD18D9">
      <w:pPr>
        <w:spacing w:after="120"/>
        <w:rPr>
          <w:szCs w:val="22"/>
        </w:rPr>
      </w:pPr>
      <w:r w:rsidRPr="003560DF">
        <w:rPr>
          <w:szCs w:val="22"/>
        </w:rPr>
        <w:t>We generally urge that requests for the exchanges’ internal operating data be kept as limited as possible. First, those data may create noise not relevant for many data users, while standardizing such information should by no means result in restrictions for trading models or mechanisms.</w:t>
      </w:r>
    </w:p>
    <w:p w14:paraId="456672CC" w14:textId="720A8FF4" w:rsidR="00FA4100" w:rsidRDefault="00CD18D9" w:rsidP="00CD18D9">
      <w:pPr>
        <w:spacing w:after="120"/>
      </w:pPr>
      <w:r w:rsidRPr="003560DF">
        <w:rPr>
          <w:bCs/>
          <w:szCs w:val="22"/>
        </w:rPr>
        <w:t>Furthermore, and in general, it is important to allow sufficient implementation time, while considering the complexities that new requirements may entail.</w:t>
      </w:r>
    </w:p>
    <w:permEnd w:id="1477078338"/>
    <w:p w14:paraId="064ED13B" w14:textId="3ADCF657" w:rsidR="00FA4100" w:rsidRDefault="00FA4100" w:rsidP="00FA4100">
      <w:pPr>
        <w:spacing w:after="0"/>
      </w:pPr>
      <w:r>
        <w:t>&lt;ESMA_QUESTION</w:t>
      </w:r>
      <w:r w:rsidR="005D4F78">
        <w:t>_CP3_</w:t>
      </w:r>
      <w:r w:rsidR="007C5BD5">
        <w:t>55</w:t>
      </w:r>
      <w:r>
        <w:t>&gt;</w:t>
      </w:r>
    </w:p>
    <w:p w14:paraId="2A02C35A" w14:textId="77777777" w:rsidR="00FA4100" w:rsidRDefault="00FA4100" w:rsidP="00C54034">
      <w:pPr>
        <w:spacing w:after="0"/>
      </w:pPr>
    </w:p>
    <w:p w14:paraId="53B8C680" w14:textId="6E6E9E12" w:rsidR="00FA4100" w:rsidRDefault="007C5BD5" w:rsidP="007C5BD5">
      <w:pPr>
        <w:pStyle w:val="Questionstyle"/>
      </w:pPr>
      <w:r w:rsidRPr="007C5BD5">
        <w:t>Do you agree with the proposal for the data related to the status of status of systems matching orders? Would you consider that other identifiers of the trading system type should be used? Please explain</w:t>
      </w:r>
      <w:r w:rsidR="00AF502B">
        <w:t>?</w:t>
      </w:r>
    </w:p>
    <w:p w14:paraId="72A3F942" w14:textId="6E3FAB56" w:rsidR="00FA4100" w:rsidRDefault="00FA4100" w:rsidP="00FA4100">
      <w:pPr>
        <w:spacing w:after="0"/>
      </w:pPr>
      <w:r>
        <w:t>&lt;ESMA_QUESTION</w:t>
      </w:r>
      <w:r w:rsidR="005D4F78">
        <w:t>_CP3_</w:t>
      </w:r>
      <w:r w:rsidR="007C5BD5">
        <w:t>56</w:t>
      </w:r>
      <w:r>
        <w:t>&gt;</w:t>
      </w:r>
    </w:p>
    <w:p w14:paraId="7F43A029" w14:textId="77777777" w:rsidR="00986BD7" w:rsidRPr="003560DF" w:rsidRDefault="00986BD7" w:rsidP="00986BD7">
      <w:pPr>
        <w:spacing w:after="0" w:line="240" w:lineRule="auto"/>
        <w:rPr>
          <w:rFonts w:eastAsia="Arial"/>
          <w:szCs w:val="22"/>
        </w:rPr>
      </w:pPr>
      <w:permStart w:id="1201633413" w:edGrp="everyone"/>
      <w:r w:rsidRPr="003560DF">
        <w:rPr>
          <w:rFonts w:eastAsia="Arial"/>
          <w:szCs w:val="22"/>
        </w:rPr>
        <w:t>No, Euronext does not fully support the proposals on regulatory data. The implementation of the “system trading status” under the currently proposed wording will be misleading in certain instances; some degree of flexibility should be kept to ensure that the approach taken makes sense in light of the specific market organization of certain data providers. For example, for Euronext, OPTIQ (i.e. the trading technology) technically manages so called “segments” which correspond to asset classes. One segment (e.g. fixed income) may be down/halted for a technical reason while other segments (e.g. equities) could remain operational all the while sharing the same segment MIC. Similarly, the same instrument can be traded in several currencies within the same system/MIC but may have different status meaning that one currency could be halted whilst the other is still tradable.</w:t>
      </w:r>
    </w:p>
    <w:p w14:paraId="60643955" w14:textId="77777777" w:rsidR="00986BD7" w:rsidRPr="003560DF" w:rsidRDefault="00986BD7" w:rsidP="00986BD7">
      <w:pPr>
        <w:spacing w:after="0" w:line="240" w:lineRule="auto"/>
        <w:rPr>
          <w:rFonts w:eastAsia="Arial"/>
          <w:szCs w:val="22"/>
        </w:rPr>
      </w:pPr>
    </w:p>
    <w:p w14:paraId="179E543D" w14:textId="561C7A57" w:rsidR="00FA4100" w:rsidRDefault="00986BD7" w:rsidP="00986BD7">
      <w:r w:rsidRPr="003560DF">
        <w:rPr>
          <w:szCs w:val="22"/>
        </w:rPr>
        <w:t>As an additional point, in order to provide enough information reflection should be given to whether another layer should be added such as the name of the affected sub-trading system for the information to be sufficient and useful.</w:t>
      </w:r>
    </w:p>
    <w:permEnd w:id="1201633413"/>
    <w:p w14:paraId="301253FF" w14:textId="5DFEEBE5" w:rsidR="00FA4100" w:rsidRDefault="00FA4100" w:rsidP="00FA4100">
      <w:pPr>
        <w:spacing w:after="0"/>
      </w:pPr>
      <w:r>
        <w:t>&lt;ESMA_QUESTION</w:t>
      </w:r>
      <w:r w:rsidR="005D4F78">
        <w:t>_CP3_</w:t>
      </w:r>
      <w:r w:rsidR="007C5BD5">
        <w:t>56</w:t>
      </w:r>
      <w:r>
        <w:t>&gt;</w:t>
      </w:r>
    </w:p>
    <w:p w14:paraId="5D3FED78" w14:textId="77777777" w:rsidR="00FA4100" w:rsidRDefault="00FA4100" w:rsidP="00C54034">
      <w:pPr>
        <w:spacing w:after="0"/>
      </w:pPr>
    </w:p>
    <w:p w14:paraId="3C90DD34" w14:textId="063DC038" w:rsidR="00FA4100" w:rsidRDefault="007C5BD5" w:rsidP="007C5BD5">
      <w:pPr>
        <w:pStyle w:val="Questionstyle"/>
      </w:pPr>
      <w:r w:rsidRPr="007C5BD5">
        <w:t xml:space="preserve">Do you agree that the pre-trade data to the CTP should be that included in Table 1b in section 4.1.3.1 except for fields 8 and 9? </w:t>
      </w:r>
      <w:r w:rsidR="000C773C">
        <w:t>P</w:t>
      </w:r>
      <w:r w:rsidRPr="007C5BD5">
        <w:t>lease explain</w:t>
      </w:r>
      <w:r>
        <w:t>.</w:t>
      </w:r>
    </w:p>
    <w:p w14:paraId="1C82DBD3" w14:textId="504F92FD" w:rsidR="00FA4100" w:rsidRDefault="00FA4100" w:rsidP="00FA4100">
      <w:pPr>
        <w:spacing w:after="0"/>
      </w:pPr>
      <w:r>
        <w:lastRenderedPageBreak/>
        <w:t>&lt;ESMA_QUESTION</w:t>
      </w:r>
      <w:r w:rsidR="005D4F78">
        <w:t>_CP3_</w:t>
      </w:r>
      <w:r w:rsidR="007C5BD5">
        <w:t>57</w:t>
      </w:r>
      <w:r>
        <w:t>&gt;</w:t>
      </w:r>
    </w:p>
    <w:p w14:paraId="77A6761F" w14:textId="77777777" w:rsidR="00F97B63" w:rsidRPr="003560DF" w:rsidRDefault="00F97B63" w:rsidP="00F97B63">
      <w:pPr>
        <w:rPr>
          <w:szCs w:val="22"/>
          <w:u w:val="single"/>
        </w:rPr>
      </w:pPr>
      <w:permStart w:id="1252924652" w:edGrp="everyone"/>
      <w:r w:rsidRPr="003560DF">
        <w:rPr>
          <w:szCs w:val="22"/>
          <w:u w:val="single"/>
        </w:rPr>
        <w:t>Comment on ESMA RTS</w:t>
      </w:r>
    </w:p>
    <w:p w14:paraId="480E69EA" w14:textId="77777777" w:rsidR="00F97B63" w:rsidRPr="003560DF" w:rsidRDefault="00F97B63" w:rsidP="00F97B63">
      <w:pPr>
        <w:rPr>
          <w:rFonts w:eastAsia="Verdana"/>
          <w:szCs w:val="22"/>
        </w:rPr>
      </w:pPr>
      <w:r w:rsidRPr="003560DF">
        <w:rPr>
          <w:rFonts w:eastAsia="Verdana"/>
          <w:szCs w:val="22"/>
        </w:rPr>
        <w:t>Euronext appreciates that ESMA seems intent on specifying as part of the RTS drafting exercise that “the aggregate number of orders and the instruments that they represent at each price level for at least the five best bid and offer price levels” that is to be provided under the pre-trade transparency obligations would be excluded from the input and output data for the CTP. Euronext agrees with such an approach as it is in line with the Level 1 text. It is our understanding that this is why field 9 of Table 1b relating to aggregated orders specifies “where aggregated information is required under Table 1”. We agree that field 9 should not apply regarding the pre-trade data to be submitted to the CTP. From a readability perspective it would however in our view make sense for this to be laid out with more clarity in the RTS perhaps drawing on the explanation provided in paragraph 286 of the CP.</w:t>
      </w:r>
    </w:p>
    <w:p w14:paraId="6C020A26" w14:textId="77777777" w:rsidR="00F97B63" w:rsidRPr="003560DF" w:rsidRDefault="00F97B63" w:rsidP="00F97B63">
      <w:pPr>
        <w:spacing w:after="120"/>
        <w:rPr>
          <w:szCs w:val="22"/>
        </w:rPr>
      </w:pPr>
      <w:r w:rsidRPr="003560DF">
        <w:rPr>
          <w:szCs w:val="22"/>
        </w:rPr>
        <w:t xml:space="preserve"> As regards field 8, it seems unclear to us why ESMA would like to exclude the “Quantity Currency”. Trading venues may trade one and the same instrument in different currencies, and hence this data field would be required to make a necessary distinction. Hence, we advocate for including field 8. </w:t>
      </w:r>
    </w:p>
    <w:p w14:paraId="254C5356" w14:textId="77777777" w:rsidR="00F97B63" w:rsidRPr="003560DF" w:rsidRDefault="00F97B63" w:rsidP="00F97B63">
      <w:pPr>
        <w:spacing w:after="0" w:line="240" w:lineRule="auto"/>
        <w:rPr>
          <w:rFonts w:eastAsia="Verdana"/>
          <w:szCs w:val="22"/>
        </w:rPr>
      </w:pPr>
    </w:p>
    <w:p w14:paraId="7C25C3B5" w14:textId="77777777" w:rsidR="00F97B63" w:rsidRPr="003560DF" w:rsidRDefault="00F97B63" w:rsidP="00F97B63">
      <w:pPr>
        <w:spacing w:after="0" w:line="240" w:lineRule="auto"/>
        <w:rPr>
          <w:rFonts w:eastAsia="Verdana"/>
          <w:szCs w:val="22"/>
          <w:u w:val="single"/>
        </w:rPr>
      </w:pPr>
      <w:r w:rsidRPr="003560DF">
        <w:rPr>
          <w:rFonts w:eastAsia="Verdana"/>
          <w:szCs w:val="22"/>
          <w:u w:val="single"/>
        </w:rPr>
        <w:t xml:space="preserve">General considerations </w:t>
      </w:r>
    </w:p>
    <w:p w14:paraId="4FD2032B" w14:textId="77777777" w:rsidR="00F97B63" w:rsidRPr="003560DF" w:rsidRDefault="00F97B63" w:rsidP="00F97B63">
      <w:pPr>
        <w:spacing w:after="0" w:line="240" w:lineRule="auto"/>
        <w:rPr>
          <w:rFonts w:eastAsia="Verdana"/>
          <w:szCs w:val="22"/>
          <w:u w:val="single"/>
        </w:rPr>
      </w:pPr>
    </w:p>
    <w:p w14:paraId="46D071BF" w14:textId="77777777" w:rsidR="00F97B63" w:rsidRPr="003560DF" w:rsidRDefault="00F97B63" w:rsidP="00F97B63">
      <w:pPr>
        <w:spacing w:after="0" w:line="240" w:lineRule="auto"/>
        <w:rPr>
          <w:rFonts w:eastAsia="Arial"/>
          <w:szCs w:val="22"/>
        </w:rPr>
      </w:pPr>
      <w:r w:rsidRPr="003560DF">
        <w:rPr>
          <w:rFonts w:eastAsia="Verdana"/>
          <w:szCs w:val="22"/>
        </w:rPr>
        <w:t xml:space="preserve">Regarding the scope of core market data to be transmitted to the Consolidated Tape, we have consistently underlined that pre-trade should be limited to BBO 1 in line with the L1 text.  </w:t>
      </w:r>
      <w:r w:rsidRPr="003560DF">
        <w:rPr>
          <w:rFonts w:eastAsia="Arial"/>
          <w:szCs w:val="22"/>
        </w:rPr>
        <w:t xml:space="preserve">We believe it critical to ensure that the data input required from the data providers to the CTP corresponds fully with the output data of the CTP. Pre-trade data from data contributors to the CTP should as such be strictly limited to top of book anonymized BBO data. Anything different would not be in line with the L1 text and would also be highly inefficient. </w:t>
      </w:r>
    </w:p>
    <w:p w14:paraId="45A88028" w14:textId="77777777" w:rsidR="00F97B63" w:rsidRPr="003560DF" w:rsidRDefault="00F97B63" w:rsidP="00F97B63">
      <w:pPr>
        <w:spacing w:after="0" w:line="240" w:lineRule="auto"/>
        <w:rPr>
          <w:rFonts w:eastAsia="Arial"/>
          <w:color w:val="D13438"/>
          <w:szCs w:val="22"/>
          <w:u w:val="single"/>
        </w:rPr>
      </w:pPr>
    </w:p>
    <w:p w14:paraId="6C495B37" w14:textId="77777777" w:rsidR="00F97B63" w:rsidRPr="003560DF" w:rsidRDefault="00F97B63" w:rsidP="00F97B63">
      <w:pPr>
        <w:spacing w:after="0" w:line="240" w:lineRule="auto"/>
        <w:rPr>
          <w:rFonts w:eastAsia="Arial"/>
          <w:szCs w:val="22"/>
        </w:rPr>
      </w:pPr>
      <w:r w:rsidRPr="003560DF">
        <w:rPr>
          <w:rFonts w:eastAsia="Arial"/>
          <w:szCs w:val="22"/>
        </w:rPr>
        <w:t>For background, it should be noted, hypothetically, that any provision of BBO5 would require at least 3 times more bandwidth (compared to BBO1 only) and it would also introduce additional latency during daily peak due to higher volatility on lower limit during these moments. Hypothetically, a CTP receiving such data would also need to process and filter unnecessarily 2/3 of all data received from the provider.</w:t>
      </w:r>
    </w:p>
    <w:p w14:paraId="553D4145" w14:textId="77777777" w:rsidR="00F97B63" w:rsidRPr="003560DF" w:rsidRDefault="00F97B63" w:rsidP="00F97B63">
      <w:pPr>
        <w:spacing w:after="0" w:line="240" w:lineRule="auto"/>
        <w:rPr>
          <w:rFonts w:eastAsia="Arial"/>
          <w:szCs w:val="22"/>
        </w:rPr>
      </w:pPr>
    </w:p>
    <w:p w14:paraId="29FDCA4F" w14:textId="77777777" w:rsidR="00F97B63" w:rsidRPr="003560DF" w:rsidRDefault="00F97B63" w:rsidP="00F97B63">
      <w:pPr>
        <w:spacing w:after="0" w:line="240" w:lineRule="auto"/>
        <w:rPr>
          <w:rFonts w:eastAsia="Arial"/>
          <w:szCs w:val="22"/>
          <w:u w:val="single"/>
        </w:rPr>
      </w:pPr>
      <w:r w:rsidRPr="003560DF">
        <w:rPr>
          <w:rFonts w:eastAsia="Arial"/>
          <w:szCs w:val="22"/>
          <w:u w:val="single"/>
        </w:rPr>
        <w:t>Importance of additional requirements for the ordering of BBO by the CTP</w:t>
      </w:r>
    </w:p>
    <w:p w14:paraId="0847152A" w14:textId="77777777" w:rsidR="00F97B63" w:rsidRPr="003560DF" w:rsidRDefault="00F97B63" w:rsidP="00F97B63">
      <w:pPr>
        <w:spacing w:after="0" w:line="240" w:lineRule="auto"/>
        <w:rPr>
          <w:rFonts w:eastAsia="Arial"/>
          <w:color w:val="D13438"/>
          <w:szCs w:val="22"/>
        </w:rPr>
      </w:pPr>
    </w:p>
    <w:p w14:paraId="2A03A548" w14:textId="77777777" w:rsidR="00F97B63" w:rsidRPr="003560DF" w:rsidRDefault="00F97B63" w:rsidP="00F97B63">
      <w:pPr>
        <w:spacing w:after="0" w:line="240" w:lineRule="auto"/>
        <w:rPr>
          <w:rFonts w:eastAsia="Arial"/>
          <w:szCs w:val="22"/>
        </w:rPr>
      </w:pPr>
      <w:r w:rsidRPr="003560DF">
        <w:rPr>
          <w:rFonts w:eastAsia="Arial"/>
          <w:szCs w:val="22"/>
        </w:rPr>
        <w:t xml:space="preserve">In addition, we believe it critical for the input data to also include the order entry timestamp or submission date and time timestamp, in order to enable the CTP to re-order incoming BBO based on the order entry timestamp, as it would be the most orderly way to convey aggregated information on BBO to market participants. </w:t>
      </w:r>
    </w:p>
    <w:p w14:paraId="68E87765" w14:textId="77777777" w:rsidR="00F97B63" w:rsidRPr="003560DF" w:rsidRDefault="00F97B63" w:rsidP="00F97B63">
      <w:pPr>
        <w:spacing w:after="0" w:line="240" w:lineRule="auto"/>
        <w:rPr>
          <w:rFonts w:eastAsia="Arial"/>
          <w:color w:val="D13438"/>
          <w:szCs w:val="22"/>
          <w:u w:val="single"/>
        </w:rPr>
      </w:pPr>
    </w:p>
    <w:p w14:paraId="39395F65" w14:textId="77777777" w:rsidR="00F97B63" w:rsidRPr="003560DF" w:rsidRDefault="00F97B63" w:rsidP="00F97B63">
      <w:pPr>
        <w:spacing w:after="0" w:line="240" w:lineRule="auto"/>
        <w:rPr>
          <w:rFonts w:eastAsia="Arial"/>
          <w:szCs w:val="22"/>
        </w:rPr>
      </w:pPr>
      <w:r w:rsidRPr="003560DF">
        <w:rPr>
          <w:rFonts w:eastAsia="Arial"/>
          <w:szCs w:val="22"/>
        </w:rPr>
        <w:t xml:space="preserve">Indeed, BBO re-ordering by the CTP based on the order entry timestamp would completely remove the impact of network latency variability or geography. It would ensure a perfect accuracy while still being able to provide a continuous feed with an end to end of 200-300 milliseconds </w:t>
      </w:r>
      <w:r w:rsidRPr="003560DF">
        <w:rPr>
          <w:rFonts w:eastAsia="Arial"/>
          <w:szCs w:val="22"/>
        </w:rPr>
        <w:lastRenderedPageBreak/>
        <w:t>latency as proposed in the Consultation Paper on Consolidated Tape Providers and Data Reporting Service Providers (Reference: ESMA74-2134169708-7225).</w:t>
      </w:r>
    </w:p>
    <w:p w14:paraId="690D6946" w14:textId="77777777" w:rsidR="00F97B63" w:rsidRPr="003560DF" w:rsidRDefault="00F97B63" w:rsidP="00F97B63">
      <w:pPr>
        <w:spacing w:after="0" w:line="240" w:lineRule="auto"/>
        <w:rPr>
          <w:rFonts w:eastAsia="Arial"/>
          <w:szCs w:val="22"/>
        </w:rPr>
      </w:pPr>
    </w:p>
    <w:p w14:paraId="6337EF83" w14:textId="572CC41E" w:rsidR="00FA4100" w:rsidRDefault="00F97B63" w:rsidP="00F97B63">
      <w:pPr>
        <w:spacing w:after="0" w:line="240" w:lineRule="auto"/>
      </w:pPr>
      <w:r w:rsidRPr="003560DF">
        <w:rPr>
          <w:rFonts w:eastAsia="Arial"/>
          <w:szCs w:val="22"/>
        </w:rPr>
        <w:t>In contrast, not requiring re-ordering messages would convey a fallacious representation of the BBO reality across European markets as: (</w:t>
      </w:r>
      <w:proofErr w:type="spellStart"/>
      <w:r w:rsidRPr="003560DF">
        <w:rPr>
          <w:rFonts w:eastAsia="Arial"/>
          <w:szCs w:val="22"/>
        </w:rPr>
        <w:t>i</w:t>
      </w:r>
      <w:proofErr w:type="spellEnd"/>
      <w:r w:rsidRPr="003560DF">
        <w:rPr>
          <w:rFonts w:eastAsia="Arial"/>
          <w:szCs w:val="22"/>
        </w:rPr>
        <w:t xml:space="preserve">) the quality of the data will be highly dependent on the latency variability introduced by the network and geographical distances, (ii) it will provide a view of the EBBO as perceived from the location of the CTP data </w:t>
      </w:r>
      <w:proofErr w:type="spellStart"/>
      <w:r w:rsidRPr="003560DF">
        <w:rPr>
          <w:rFonts w:eastAsia="Arial"/>
          <w:szCs w:val="22"/>
        </w:rPr>
        <w:t>centers</w:t>
      </w:r>
      <w:proofErr w:type="spellEnd"/>
      <w:r w:rsidRPr="003560DF">
        <w:rPr>
          <w:rFonts w:eastAsia="Arial"/>
          <w:szCs w:val="22"/>
        </w:rPr>
        <w:t xml:space="preserve"> and (iii) it will create an unfair competitive advantage for data contributors located closer to the CTP data </w:t>
      </w:r>
      <w:proofErr w:type="spellStart"/>
      <w:r w:rsidRPr="003560DF">
        <w:rPr>
          <w:rFonts w:eastAsia="Arial"/>
          <w:szCs w:val="22"/>
        </w:rPr>
        <w:t>centers</w:t>
      </w:r>
      <w:proofErr w:type="spellEnd"/>
      <w:r w:rsidRPr="003560DF">
        <w:rPr>
          <w:rFonts w:eastAsia="Arial"/>
          <w:szCs w:val="22"/>
        </w:rPr>
        <w:t xml:space="preserve"> as their BBO will reach the CTP first with more chance to set the EBBO. This is because, in contrast to the US, where trading venues are located within a 65 km triangle, European data contributors are very dispersed geographically: the average and median distances between the 5 main trading </w:t>
      </w:r>
      <w:proofErr w:type="spellStart"/>
      <w:r w:rsidRPr="003560DF">
        <w:rPr>
          <w:rFonts w:eastAsia="Arial"/>
          <w:szCs w:val="22"/>
        </w:rPr>
        <w:t>datacenters</w:t>
      </w:r>
      <w:proofErr w:type="spellEnd"/>
      <w:r w:rsidRPr="003560DF">
        <w:rPr>
          <w:rFonts w:eastAsia="Arial"/>
          <w:szCs w:val="22"/>
        </w:rPr>
        <w:t xml:space="preserve"> is 1300 km.</w:t>
      </w:r>
    </w:p>
    <w:permEnd w:id="1252924652"/>
    <w:p w14:paraId="73EC67D4" w14:textId="30D98B4D" w:rsidR="00FA4100" w:rsidRDefault="00FA4100" w:rsidP="00FA4100">
      <w:pPr>
        <w:spacing w:after="0"/>
      </w:pPr>
      <w:r>
        <w:t>&lt;ESMA_QUESTION</w:t>
      </w:r>
      <w:r w:rsidR="005D4F78">
        <w:t>_CP3_</w:t>
      </w:r>
      <w:r w:rsidR="007C5BD5">
        <w:t>57</w:t>
      </w:r>
      <w:r>
        <w:t>&gt;</w:t>
      </w:r>
    </w:p>
    <w:p w14:paraId="4F0DED97" w14:textId="77777777" w:rsidR="007C5BD5" w:rsidRDefault="007C5BD5" w:rsidP="00FA4100">
      <w:pPr>
        <w:spacing w:after="0"/>
      </w:pPr>
    </w:p>
    <w:p w14:paraId="0EAC5E1A" w14:textId="55DC46E6" w:rsidR="007C5BD5" w:rsidRDefault="000C773C" w:rsidP="007C5BD5">
      <w:pPr>
        <w:pStyle w:val="Questionstyle"/>
      </w:pPr>
      <w:r w:rsidRPr="000C773C">
        <w:t>Do you agree with the proposal for the output table? Please explain</w:t>
      </w:r>
      <w:r>
        <w:t>.</w:t>
      </w:r>
    </w:p>
    <w:p w14:paraId="05A2BB7A" w14:textId="77777777" w:rsidR="007C5BD5" w:rsidRDefault="007C5BD5" w:rsidP="007C5BD5">
      <w:pPr>
        <w:spacing w:after="0"/>
      </w:pPr>
      <w:r>
        <w:t>&lt;ESMA_QUESTION_CP3_58&gt;</w:t>
      </w:r>
    </w:p>
    <w:p w14:paraId="7FD22CA7" w14:textId="77777777" w:rsidR="000519AB" w:rsidRPr="003560DF" w:rsidRDefault="000519AB" w:rsidP="000519AB">
      <w:pPr>
        <w:spacing w:after="0" w:line="240" w:lineRule="auto"/>
        <w:rPr>
          <w:rFonts w:eastAsia="Arial"/>
          <w:szCs w:val="22"/>
          <w:u w:val="single"/>
        </w:rPr>
      </w:pPr>
      <w:permStart w:id="673858575" w:edGrp="everyone"/>
      <w:r w:rsidRPr="003560DF">
        <w:rPr>
          <w:rFonts w:eastAsia="Arial"/>
          <w:szCs w:val="22"/>
          <w:u w:val="single"/>
        </w:rPr>
        <w:t>Importance of additional requirements for the ordering of BBO by the CTP</w:t>
      </w:r>
    </w:p>
    <w:p w14:paraId="0890FBE9" w14:textId="77777777" w:rsidR="00D85322" w:rsidRDefault="00D85322" w:rsidP="000519AB">
      <w:pPr>
        <w:rPr>
          <w:rFonts w:eastAsia="Verdana"/>
          <w:szCs w:val="22"/>
        </w:rPr>
      </w:pPr>
    </w:p>
    <w:p w14:paraId="794BA0C5" w14:textId="6E3529C9" w:rsidR="000519AB" w:rsidRPr="003560DF" w:rsidRDefault="000519AB" w:rsidP="000519AB">
      <w:pPr>
        <w:rPr>
          <w:rFonts w:eastAsia="Verdana"/>
          <w:szCs w:val="22"/>
        </w:rPr>
      </w:pPr>
      <w:r w:rsidRPr="003560DF">
        <w:rPr>
          <w:rFonts w:eastAsia="Verdana"/>
          <w:szCs w:val="22"/>
        </w:rPr>
        <w:t xml:space="preserve">We believe it critical to provide additional requirements for the ordering of BBO by the CTP.  </w:t>
      </w:r>
    </w:p>
    <w:p w14:paraId="6563A23F" w14:textId="77777777" w:rsidR="000519AB" w:rsidRPr="003560DF" w:rsidRDefault="000519AB" w:rsidP="000519AB">
      <w:pPr>
        <w:rPr>
          <w:rFonts w:eastAsia="Verdana"/>
          <w:szCs w:val="22"/>
          <w:highlight w:val="yellow"/>
        </w:rPr>
      </w:pPr>
      <w:r w:rsidRPr="003560DF">
        <w:rPr>
          <w:rFonts w:eastAsia="Verdana"/>
          <w:szCs w:val="22"/>
        </w:rPr>
        <w:t>We believe it critical for the output BBO data to be based on a rigorous re-ordering of the BBO data by the CTP. W</w:t>
      </w:r>
      <w:r w:rsidRPr="003560DF">
        <w:rPr>
          <w:rFonts w:eastAsia="Arial"/>
          <w:szCs w:val="22"/>
        </w:rPr>
        <w:t>e indeed believe it critical for the input data to also include the order entry timestamp or submission date and time timestamp for this</w:t>
      </w:r>
      <w:r w:rsidRPr="003560DF">
        <w:rPr>
          <w:rFonts w:eastAsia="Verdana"/>
          <w:szCs w:val="22"/>
        </w:rPr>
        <w:t xml:space="preserve"> This would in our view be the most orderly way to convey aggregated information on BBO to market participants. To this end we believe that Article 8 of the draft RTS should be amended to reflect this by specifying that : </w:t>
      </w:r>
      <w:r w:rsidRPr="003560DF">
        <w:rPr>
          <w:rFonts w:eastAsia="Verdana"/>
          <w:b/>
          <w:bCs/>
          <w:color w:val="auto"/>
          <w:szCs w:val="22"/>
          <w:u w:val="single"/>
        </w:rPr>
        <w:t>“(</w:t>
      </w:r>
      <w:proofErr w:type="spellStart"/>
      <w:r w:rsidRPr="003560DF">
        <w:rPr>
          <w:rFonts w:eastAsia="Verdana"/>
          <w:b/>
          <w:bCs/>
          <w:color w:val="auto"/>
          <w:szCs w:val="22"/>
          <w:u w:val="single"/>
        </w:rPr>
        <w:t>i</w:t>
      </w:r>
      <w:proofErr w:type="spellEnd"/>
      <w:r w:rsidRPr="003560DF">
        <w:rPr>
          <w:rFonts w:eastAsia="Verdana"/>
          <w:b/>
          <w:bCs/>
          <w:color w:val="auto"/>
          <w:szCs w:val="22"/>
          <w:u w:val="single"/>
        </w:rPr>
        <w:t>) Table 5 of Annex III by reference to each order for pre-trade data; to be re-ordered for the purpose of dissemination by the CTP by their entry date and time”</w:t>
      </w:r>
    </w:p>
    <w:p w14:paraId="3A542E51" w14:textId="77777777" w:rsidR="000519AB" w:rsidRPr="003560DF" w:rsidRDefault="000519AB" w:rsidP="000519AB">
      <w:pPr>
        <w:spacing w:after="0" w:line="240" w:lineRule="auto"/>
        <w:rPr>
          <w:rFonts w:eastAsia="Arial"/>
          <w:szCs w:val="22"/>
        </w:rPr>
      </w:pPr>
      <w:r w:rsidRPr="003560DF">
        <w:rPr>
          <w:rFonts w:eastAsia="Arial"/>
          <w:szCs w:val="22"/>
        </w:rPr>
        <w:t>BBO re-ordering by the CTP based on the order entry timestamp would completely remove the impact of network latency variability or geography. It would ensure a perfect accuracy while still being able to provide a continuous feed with an end to end of 200-300 milliseconds latency as proposed in the Consultation Paper on Consolidated Tape Providers and Data Reporting Service Providers (Reference: ESMA74-2134169708-7225).</w:t>
      </w:r>
    </w:p>
    <w:p w14:paraId="4A81B4B0" w14:textId="77777777" w:rsidR="000519AB" w:rsidRPr="003560DF" w:rsidRDefault="000519AB" w:rsidP="000519AB">
      <w:pPr>
        <w:spacing w:after="0" w:line="240" w:lineRule="auto"/>
        <w:rPr>
          <w:rFonts w:eastAsia="Arial"/>
          <w:szCs w:val="22"/>
        </w:rPr>
      </w:pPr>
    </w:p>
    <w:p w14:paraId="6CFDA6EA" w14:textId="77777777" w:rsidR="000519AB" w:rsidRPr="003560DF" w:rsidRDefault="000519AB" w:rsidP="000519AB">
      <w:pPr>
        <w:spacing w:after="0" w:line="240" w:lineRule="auto"/>
        <w:rPr>
          <w:rFonts w:eastAsia="Arial"/>
          <w:szCs w:val="22"/>
        </w:rPr>
      </w:pPr>
      <w:r w:rsidRPr="003560DF">
        <w:rPr>
          <w:rFonts w:eastAsia="Arial"/>
          <w:szCs w:val="22"/>
        </w:rPr>
        <w:t>In contrast, not requiring re-ordering messages would convey a fallacious representation of the BBO reality across European markets as: (</w:t>
      </w:r>
      <w:proofErr w:type="spellStart"/>
      <w:r w:rsidRPr="003560DF">
        <w:rPr>
          <w:rFonts w:eastAsia="Arial"/>
          <w:szCs w:val="22"/>
        </w:rPr>
        <w:t>i</w:t>
      </w:r>
      <w:proofErr w:type="spellEnd"/>
      <w:r w:rsidRPr="003560DF">
        <w:rPr>
          <w:rFonts w:eastAsia="Arial"/>
          <w:szCs w:val="22"/>
        </w:rPr>
        <w:t xml:space="preserve">) the quality of the data will be highly dependent on the latency variability introduced by the network and geographical distances, (ii) it will provide a view of the EBBO as perceived from the location of the CTP data </w:t>
      </w:r>
      <w:proofErr w:type="spellStart"/>
      <w:r w:rsidRPr="003560DF">
        <w:rPr>
          <w:rFonts w:eastAsia="Arial"/>
          <w:szCs w:val="22"/>
        </w:rPr>
        <w:t>centers</w:t>
      </w:r>
      <w:proofErr w:type="spellEnd"/>
      <w:r w:rsidRPr="003560DF">
        <w:rPr>
          <w:rFonts w:eastAsia="Arial"/>
          <w:szCs w:val="22"/>
        </w:rPr>
        <w:t xml:space="preserve"> and (iii) it will create an unfair competitive advantage for data contributors located closer to the CTP data </w:t>
      </w:r>
      <w:proofErr w:type="spellStart"/>
      <w:r w:rsidRPr="003560DF">
        <w:rPr>
          <w:rFonts w:eastAsia="Arial"/>
          <w:szCs w:val="22"/>
        </w:rPr>
        <w:t>centers</w:t>
      </w:r>
      <w:proofErr w:type="spellEnd"/>
      <w:r w:rsidRPr="003560DF">
        <w:rPr>
          <w:rFonts w:eastAsia="Arial"/>
          <w:szCs w:val="22"/>
        </w:rPr>
        <w:t xml:space="preserve"> as their BBO will reach the CTP first with more chance to set the EBBO. This is because, in contrast to the US, where trading venues are located within a 65 km triangle, European data contributors are very dispersed geographically: the average and median distances between the 5 main trading </w:t>
      </w:r>
      <w:proofErr w:type="spellStart"/>
      <w:r w:rsidRPr="003560DF">
        <w:rPr>
          <w:rFonts w:eastAsia="Arial"/>
          <w:szCs w:val="22"/>
        </w:rPr>
        <w:t>datacenters</w:t>
      </w:r>
      <w:proofErr w:type="spellEnd"/>
      <w:r w:rsidRPr="003560DF">
        <w:rPr>
          <w:rFonts w:eastAsia="Arial"/>
          <w:szCs w:val="22"/>
        </w:rPr>
        <w:t xml:space="preserve"> is 1300 km.</w:t>
      </w:r>
    </w:p>
    <w:p w14:paraId="59F95D30" w14:textId="77777777" w:rsidR="000519AB" w:rsidRPr="003560DF" w:rsidRDefault="000519AB" w:rsidP="000519AB">
      <w:pPr>
        <w:rPr>
          <w:b/>
          <w:bCs/>
          <w:szCs w:val="22"/>
        </w:rPr>
      </w:pPr>
    </w:p>
    <w:p w14:paraId="4E78CFC8" w14:textId="77777777" w:rsidR="000519AB" w:rsidRPr="003560DF" w:rsidRDefault="000519AB" w:rsidP="000519AB">
      <w:pPr>
        <w:rPr>
          <w:szCs w:val="22"/>
          <w:u w:val="single"/>
        </w:rPr>
      </w:pPr>
      <w:r w:rsidRPr="003560DF">
        <w:rPr>
          <w:szCs w:val="22"/>
          <w:u w:val="single"/>
        </w:rPr>
        <w:lastRenderedPageBreak/>
        <w:t>Requests for clarification</w:t>
      </w:r>
    </w:p>
    <w:p w14:paraId="4EFEFB5B" w14:textId="4D9BCD52" w:rsidR="007C5BD5" w:rsidRDefault="000519AB" w:rsidP="00D85322">
      <w:r w:rsidRPr="003560DF">
        <w:rPr>
          <w:szCs w:val="22"/>
        </w:rPr>
        <w:t xml:space="preserve">At first glance it is not clear what the “best bid” (ask) and “entry date and time” is. It would be beneficial in our view if ESMA could clarify that this refers to the order entry timestamp. </w:t>
      </w:r>
    </w:p>
    <w:permEnd w:id="673858575"/>
    <w:p w14:paraId="26FDA934" w14:textId="77777777" w:rsidR="007C5BD5" w:rsidRDefault="007C5BD5" w:rsidP="007C5BD5">
      <w:pPr>
        <w:spacing w:after="0"/>
      </w:pPr>
      <w:r>
        <w:t>&lt;ESMA_QUESTION_CP3_58&gt;</w:t>
      </w:r>
    </w:p>
    <w:p w14:paraId="39DBE3AF" w14:textId="77777777" w:rsidR="007C5BD5" w:rsidRDefault="007C5BD5" w:rsidP="00FA4100">
      <w:pPr>
        <w:spacing w:after="0"/>
      </w:pPr>
    </w:p>
    <w:p w14:paraId="69F31262" w14:textId="18BC95EF" w:rsidR="000C773C" w:rsidRDefault="000C773C" w:rsidP="000C773C">
      <w:pPr>
        <w:pStyle w:val="Questionstyle"/>
      </w:pPr>
      <w:r w:rsidRPr="000C773C">
        <w:t>Do you agree with the proposal for the input and output tables for the post-trade eq-uity CTP? Please explain</w:t>
      </w:r>
      <w:r>
        <w:t>.</w:t>
      </w:r>
    </w:p>
    <w:p w14:paraId="2D152D38" w14:textId="593D7AEA" w:rsidR="000C773C" w:rsidRDefault="000C773C" w:rsidP="000C773C">
      <w:pPr>
        <w:spacing w:after="0"/>
      </w:pPr>
      <w:r>
        <w:t>&lt;ESMA_QUESTION_CP3_59&gt;</w:t>
      </w:r>
    </w:p>
    <w:p w14:paraId="6A74A3AC" w14:textId="77777777" w:rsidR="001B0F72" w:rsidRDefault="001B0F72" w:rsidP="000C773C">
      <w:pPr>
        <w:spacing w:after="0"/>
        <w:rPr>
          <w:rFonts w:eastAsia="Verdana"/>
          <w:szCs w:val="22"/>
        </w:rPr>
      </w:pPr>
      <w:permStart w:id="1999707130" w:edGrp="everyone"/>
      <w:r w:rsidRPr="003560DF">
        <w:rPr>
          <w:rFonts w:eastAsia="Verdana"/>
          <w:szCs w:val="22"/>
        </w:rPr>
        <w:t xml:space="preserve">Yes, generally Euronext agrees with the proposal for the input and output tables for the post-trade equity CT subject to these being aligned with the changes we recommend in previous questions (see response to Q7, Q26, Q28 and Q29 of this consultation response). </w:t>
      </w:r>
    </w:p>
    <w:permEnd w:id="1999707130"/>
    <w:p w14:paraId="2FA887FC" w14:textId="4C656F88" w:rsidR="000C773C" w:rsidRDefault="000C773C" w:rsidP="000C773C">
      <w:pPr>
        <w:spacing w:after="0"/>
      </w:pPr>
      <w:r>
        <w:t>&lt;ESMA_QUESTION_CP3_59&gt;</w:t>
      </w:r>
    </w:p>
    <w:p w14:paraId="6DA632DF" w14:textId="77777777" w:rsidR="000C773C" w:rsidRDefault="000C773C" w:rsidP="00FA4100">
      <w:pPr>
        <w:spacing w:after="0"/>
      </w:pPr>
    </w:p>
    <w:p w14:paraId="2D3B6414" w14:textId="77777777" w:rsidR="007C5BD5" w:rsidRDefault="007C5BD5" w:rsidP="00FA4100">
      <w:pPr>
        <w:spacing w:after="0"/>
      </w:pPr>
      <w:bookmarkStart w:id="12" w:name="_Hlk169785401"/>
    </w:p>
    <w:bookmarkEnd w:id="12"/>
    <w:p w14:paraId="211653D7" w14:textId="77777777" w:rsidR="007C5BD5" w:rsidRDefault="007C5BD5" w:rsidP="00FA4100">
      <w:pPr>
        <w:spacing w:after="0"/>
      </w:pPr>
    </w:p>
    <w:p w14:paraId="093E6321" w14:textId="77777777" w:rsidR="007C5BD5" w:rsidRDefault="007C5BD5" w:rsidP="00FA4100">
      <w:pPr>
        <w:spacing w:after="0"/>
      </w:pPr>
    </w:p>
    <w:p w14:paraId="3FBEB462" w14:textId="121ADF82" w:rsidR="007C5BD5" w:rsidRDefault="007C5BD5">
      <w:pPr>
        <w:spacing w:after="0" w:line="240" w:lineRule="auto"/>
        <w:jc w:val="left"/>
      </w:pPr>
      <w:r>
        <w:br w:type="page"/>
      </w:r>
    </w:p>
    <w:p w14:paraId="2B6B77EF" w14:textId="72856C4F" w:rsidR="007C5BD5" w:rsidRPr="00B25E0D" w:rsidRDefault="007C5BD5" w:rsidP="007C5BD5">
      <w:pPr>
        <w:pStyle w:val="Heading1"/>
        <w:numPr>
          <w:ilvl w:val="0"/>
          <w:numId w:val="0"/>
        </w:numPr>
        <w:ind w:left="709"/>
      </w:pPr>
      <w:r>
        <w:lastRenderedPageBreak/>
        <w:t>2.</w:t>
      </w:r>
      <w:r w:rsidR="001878C6">
        <w:t>4</w:t>
      </w:r>
      <w:r>
        <w:t xml:space="preserve"> Flags in RTS 2</w:t>
      </w:r>
    </w:p>
    <w:p w14:paraId="3BB609F6" w14:textId="77777777" w:rsidR="00FA4100" w:rsidRDefault="00FA4100" w:rsidP="00C54034">
      <w:pPr>
        <w:spacing w:after="0"/>
      </w:pPr>
    </w:p>
    <w:p w14:paraId="3B70DEF6" w14:textId="00A4ACD8" w:rsidR="00FA4100" w:rsidRDefault="007C5BD5" w:rsidP="007C5BD5">
      <w:pPr>
        <w:pStyle w:val="Questionstyle"/>
      </w:pPr>
      <w:r w:rsidRPr="007C5BD5">
        <w:t>Do you agree with the proposed amendments to flags in Table 3 of Annex II or RTS 2? In particular, do you consider that the flag ‘ACTX’ should be deleted</w:t>
      </w:r>
      <w:r>
        <w:t>?</w:t>
      </w:r>
    </w:p>
    <w:p w14:paraId="7426466D" w14:textId="6BCC09EB" w:rsidR="00FA4100" w:rsidRDefault="00FA4100" w:rsidP="00FA4100">
      <w:pPr>
        <w:spacing w:after="0"/>
      </w:pPr>
      <w:r>
        <w:t>&lt;ESMA_QUESTION</w:t>
      </w:r>
      <w:r w:rsidR="005D4F78">
        <w:t>_CP3_</w:t>
      </w:r>
      <w:r w:rsidR="000C773C">
        <w:t>60</w:t>
      </w:r>
      <w:r>
        <w:t>&gt;</w:t>
      </w:r>
    </w:p>
    <w:p w14:paraId="7A919379" w14:textId="77777777" w:rsidR="00F415C8" w:rsidRPr="003560DF" w:rsidRDefault="00F415C8" w:rsidP="00F415C8">
      <w:pPr>
        <w:rPr>
          <w:rFonts w:eastAsia="Verdana"/>
          <w:szCs w:val="22"/>
        </w:rPr>
      </w:pPr>
      <w:permStart w:id="2034649205" w:edGrp="everyone"/>
      <w:r w:rsidRPr="003560DF">
        <w:rPr>
          <w:rFonts w:eastAsia="Verdana"/>
          <w:szCs w:val="22"/>
        </w:rPr>
        <w:t>Euronext agrees with the proposed amendments to the flags in Table 3.</w:t>
      </w:r>
    </w:p>
    <w:p w14:paraId="7B68B33D" w14:textId="0A7D3CE0" w:rsidR="00FA4100" w:rsidRDefault="00F415C8" w:rsidP="00F415C8">
      <w:r w:rsidRPr="003560DF">
        <w:rPr>
          <w:rFonts w:eastAsia="Verdana"/>
          <w:szCs w:val="22"/>
        </w:rPr>
        <w:t>In relation to the ACTX flag, it could still be useful for specifying the type of transaction for post-trade transparency purposes, which helps market participants accurately interpret trade data.</w:t>
      </w:r>
    </w:p>
    <w:permEnd w:id="2034649205"/>
    <w:p w14:paraId="7AB11DDF" w14:textId="5E2D97D1" w:rsidR="00FA4100" w:rsidRDefault="00FA4100" w:rsidP="00FA4100">
      <w:pPr>
        <w:spacing w:after="0"/>
      </w:pPr>
      <w:r>
        <w:t>&lt;ESMA_QUESTION</w:t>
      </w:r>
      <w:r w:rsidR="005D4F78">
        <w:t>_CP3_</w:t>
      </w:r>
      <w:r w:rsidR="000C773C">
        <w:t>60</w:t>
      </w:r>
      <w:r>
        <w:t>&gt;</w:t>
      </w:r>
    </w:p>
    <w:p w14:paraId="38D7824D" w14:textId="1B46CB99" w:rsidR="00692ADF" w:rsidRDefault="00692ADF" w:rsidP="00692ADF">
      <w:pPr>
        <w:spacing w:after="0" w:line="240" w:lineRule="auto"/>
        <w:jc w:val="left"/>
      </w:pPr>
    </w:p>
    <w:sectPr w:rsidR="00692ADF"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F8B527" w14:textId="77777777" w:rsidR="00C66C6D" w:rsidRDefault="00C66C6D" w:rsidP="00F716D4">
      <w:r>
        <w:separator/>
      </w:r>
    </w:p>
    <w:p w14:paraId="0F4A9B3F" w14:textId="77777777" w:rsidR="00C66C6D" w:rsidRDefault="00C66C6D" w:rsidP="00F716D4"/>
  </w:endnote>
  <w:endnote w:type="continuationSeparator" w:id="0">
    <w:p w14:paraId="786372BA" w14:textId="77777777" w:rsidR="00C66C6D" w:rsidRDefault="00C66C6D" w:rsidP="00F716D4">
      <w:r>
        <w:continuationSeparator/>
      </w:r>
    </w:p>
    <w:p w14:paraId="1A354787" w14:textId="77777777" w:rsidR="00C66C6D" w:rsidRDefault="00C66C6D" w:rsidP="00F716D4"/>
  </w:endnote>
  <w:endnote w:type="continuationNotice" w:id="1">
    <w:p w14:paraId="3D9F1E7C" w14:textId="77777777" w:rsidR="00C66C6D" w:rsidRDefault="00C66C6D"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quot;Verdana&quot;,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A11FD" w14:textId="77777777" w:rsidR="00886BF4" w:rsidRDefault="00886B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9BF42" w14:textId="0AE44582"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1C453" w14:textId="77777777" w:rsidR="00886BF4" w:rsidRDefault="00886B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998B1" w14:textId="77777777" w:rsidR="00886BF4" w:rsidRDefault="00886BF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4A92D" w14:textId="77777777" w:rsidR="00886BF4" w:rsidRDefault="00886BF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9965D2" w14:textId="77777777" w:rsidR="00C66C6D" w:rsidRDefault="00C66C6D" w:rsidP="00F716D4">
      <w:r>
        <w:separator/>
      </w:r>
    </w:p>
    <w:p w14:paraId="6BE41F00" w14:textId="77777777" w:rsidR="00C66C6D" w:rsidRDefault="00C66C6D" w:rsidP="00F716D4"/>
  </w:footnote>
  <w:footnote w:type="continuationSeparator" w:id="0">
    <w:p w14:paraId="1B1B3E43" w14:textId="77777777" w:rsidR="00C66C6D" w:rsidRDefault="00C66C6D" w:rsidP="00F716D4">
      <w:r>
        <w:continuationSeparator/>
      </w:r>
    </w:p>
    <w:p w14:paraId="7F305E69" w14:textId="77777777" w:rsidR="00C66C6D" w:rsidRDefault="00C66C6D" w:rsidP="00F716D4"/>
  </w:footnote>
  <w:footnote w:type="continuationNotice" w:id="1">
    <w:p w14:paraId="6E5EF03B" w14:textId="77777777" w:rsidR="00C66C6D" w:rsidRDefault="00C66C6D"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6643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1368687092" name="Picture 1368687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8FF7C" w14:textId="77777777" w:rsidR="00C54034" w:rsidRDefault="00C54034" w:rsidP="00F716D4">
    <w:pPr>
      <w:pStyle w:val="HeaderFoot"/>
      <w:rPr>
        <w:highlight w:val="yellow"/>
      </w:rPr>
    </w:pPr>
    <w:bookmarkStart w:id="4" w:name="_Hlk124775980"/>
    <w:bookmarkStart w:id="5" w:name="_Hlk124775948"/>
  </w:p>
  <w:p w14:paraId="011E436B" w14:textId="332A15BB" w:rsidR="00F87468" w:rsidRPr="00234FA7" w:rsidRDefault="00234FA7" w:rsidP="00F716D4">
    <w:pPr>
      <w:pStyle w:val="HeaderFoot"/>
    </w:pPr>
    <w:r w:rsidRPr="00234FA7">
      <w:t>10 July 2024</w:t>
    </w:r>
    <w:bookmarkEnd w:id="4"/>
  </w:p>
  <w:p w14:paraId="4661A9E6" w14:textId="0E2DB50C" w:rsidR="00F107EF" w:rsidRPr="00F716D4" w:rsidRDefault="00EE57EB" w:rsidP="00C54034">
    <w:pPr>
      <w:pStyle w:val="HeaderFoot"/>
    </w:pPr>
    <w:bookmarkStart w:id="6" w:name="_Hlk124775957"/>
    <w:r w:rsidRPr="00EE57EB">
      <w:t>ESMA74-2134169708-7343</w:t>
    </w:r>
    <w:bookmarkEnd w:id="5"/>
    <w:bookmarkEnd w:id="6"/>
    <w:r w:rsidR="00F87468" w:rsidRPr="00F716D4">
      <w:rPr>
        <w:rStyle w:val="ESMAConfidentialRestricted"/>
        <w:noProof/>
        <w:sz w:val="16"/>
        <w:highlight w:val="yellow"/>
      </w:rPr>
      <w:drawing>
        <wp:anchor distT="0" distB="0" distL="114300" distR="114300" simplePos="0" relativeHeight="251662336"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2009363324" name="Picture 2009363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64384"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700010340" name="Picture 700010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85B736D"/>
    <w:multiLevelType w:val="hybridMultilevel"/>
    <w:tmpl w:val="68F4EA92"/>
    <w:lvl w:ilvl="0" w:tplc="622A848C">
      <w:start w:val="1"/>
      <w:numFmt w:val="bullet"/>
      <w:lvlText w:val="·"/>
      <w:lvlJc w:val="left"/>
      <w:pPr>
        <w:ind w:left="720" w:hanging="360"/>
      </w:pPr>
      <w:rPr>
        <w:rFonts w:ascii="Symbol" w:hAnsi="Symbol" w:hint="default"/>
      </w:rPr>
    </w:lvl>
    <w:lvl w:ilvl="1" w:tplc="5DFC1198">
      <w:start w:val="1"/>
      <w:numFmt w:val="bullet"/>
      <w:lvlText w:val="o"/>
      <w:lvlJc w:val="left"/>
      <w:pPr>
        <w:ind w:left="1440" w:hanging="360"/>
      </w:pPr>
      <w:rPr>
        <w:rFonts w:ascii="Courier New" w:hAnsi="Courier New" w:hint="default"/>
      </w:rPr>
    </w:lvl>
    <w:lvl w:ilvl="2" w:tplc="710EAFB8">
      <w:start w:val="1"/>
      <w:numFmt w:val="bullet"/>
      <w:lvlText w:val=""/>
      <w:lvlJc w:val="left"/>
      <w:pPr>
        <w:ind w:left="2160" w:hanging="360"/>
      </w:pPr>
      <w:rPr>
        <w:rFonts w:ascii="Wingdings" w:hAnsi="Wingdings" w:hint="default"/>
      </w:rPr>
    </w:lvl>
    <w:lvl w:ilvl="3" w:tplc="CAF4B0CE">
      <w:start w:val="1"/>
      <w:numFmt w:val="bullet"/>
      <w:lvlText w:val=""/>
      <w:lvlJc w:val="left"/>
      <w:pPr>
        <w:ind w:left="2880" w:hanging="360"/>
      </w:pPr>
      <w:rPr>
        <w:rFonts w:ascii="Symbol" w:hAnsi="Symbol" w:hint="default"/>
      </w:rPr>
    </w:lvl>
    <w:lvl w:ilvl="4" w:tplc="78BE8648">
      <w:start w:val="1"/>
      <w:numFmt w:val="bullet"/>
      <w:lvlText w:val="o"/>
      <w:lvlJc w:val="left"/>
      <w:pPr>
        <w:ind w:left="3600" w:hanging="360"/>
      </w:pPr>
      <w:rPr>
        <w:rFonts w:ascii="Courier New" w:hAnsi="Courier New" w:hint="default"/>
      </w:rPr>
    </w:lvl>
    <w:lvl w:ilvl="5" w:tplc="059A2A88">
      <w:start w:val="1"/>
      <w:numFmt w:val="bullet"/>
      <w:lvlText w:val=""/>
      <w:lvlJc w:val="left"/>
      <w:pPr>
        <w:ind w:left="4320" w:hanging="360"/>
      </w:pPr>
      <w:rPr>
        <w:rFonts w:ascii="Wingdings" w:hAnsi="Wingdings" w:hint="default"/>
      </w:rPr>
    </w:lvl>
    <w:lvl w:ilvl="6" w:tplc="13F4DDB6">
      <w:start w:val="1"/>
      <w:numFmt w:val="bullet"/>
      <w:lvlText w:val=""/>
      <w:lvlJc w:val="left"/>
      <w:pPr>
        <w:ind w:left="5040" w:hanging="360"/>
      </w:pPr>
      <w:rPr>
        <w:rFonts w:ascii="Symbol" w:hAnsi="Symbol" w:hint="default"/>
      </w:rPr>
    </w:lvl>
    <w:lvl w:ilvl="7" w:tplc="2B12A15E">
      <w:start w:val="1"/>
      <w:numFmt w:val="bullet"/>
      <w:lvlText w:val="o"/>
      <w:lvlJc w:val="left"/>
      <w:pPr>
        <w:ind w:left="5760" w:hanging="360"/>
      </w:pPr>
      <w:rPr>
        <w:rFonts w:ascii="Courier New" w:hAnsi="Courier New" w:hint="default"/>
      </w:rPr>
    </w:lvl>
    <w:lvl w:ilvl="8" w:tplc="14B24A4A">
      <w:start w:val="1"/>
      <w:numFmt w:val="bullet"/>
      <w:lvlText w:val=""/>
      <w:lvlJc w:val="left"/>
      <w:pPr>
        <w:ind w:left="6480" w:hanging="360"/>
      </w:pPr>
      <w:rPr>
        <w:rFonts w:ascii="Wingdings" w:hAnsi="Wingdings" w:hint="default"/>
      </w:r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9AEB84"/>
    <w:multiLevelType w:val="hybridMultilevel"/>
    <w:tmpl w:val="20EA3D56"/>
    <w:lvl w:ilvl="0" w:tplc="A1525032">
      <w:start w:val="7"/>
      <w:numFmt w:val="bullet"/>
      <w:lvlText w:val="-"/>
      <w:lvlJc w:val="left"/>
      <w:pPr>
        <w:ind w:left="720" w:hanging="360"/>
      </w:pPr>
      <w:rPr>
        <w:rFonts w:ascii="Verdana" w:hAnsi="Verdana" w:hint="default"/>
      </w:rPr>
    </w:lvl>
    <w:lvl w:ilvl="1" w:tplc="F44EF83E">
      <w:start w:val="1"/>
      <w:numFmt w:val="bullet"/>
      <w:lvlText w:val="o"/>
      <w:lvlJc w:val="left"/>
      <w:pPr>
        <w:ind w:left="1440" w:hanging="360"/>
      </w:pPr>
      <w:rPr>
        <w:rFonts w:ascii="Courier New" w:hAnsi="Courier New" w:hint="default"/>
      </w:rPr>
    </w:lvl>
    <w:lvl w:ilvl="2" w:tplc="1518A570">
      <w:start w:val="1"/>
      <w:numFmt w:val="bullet"/>
      <w:lvlText w:val=""/>
      <w:lvlJc w:val="left"/>
      <w:pPr>
        <w:ind w:left="2160" w:hanging="360"/>
      </w:pPr>
      <w:rPr>
        <w:rFonts w:ascii="Wingdings" w:hAnsi="Wingdings" w:hint="default"/>
      </w:rPr>
    </w:lvl>
    <w:lvl w:ilvl="3" w:tplc="442498C8">
      <w:start w:val="1"/>
      <w:numFmt w:val="bullet"/>
      <w:lvlText w:val=""/>
      <w:lvlJc w:val="left"/>
      <w:pPr>
        <w:ind w:left="2880" w:hanging="360"/>
      </w:pPr>
      <w:rPr>
        <w:rFonts w:ascii="Symbol" w:hAnsi="Symbol" w:hint="default"/>
      </w:rPr>
    </w:lvl>
    <w:lvl w:ilvl="4" w:tplc="A11C4132">
      <w:start w:val="1"/>
      <w:numFmt w:val="bullet"/>
      <w:lvlText w:val="o"/>
      <w:lvlJc w:val="left"/>
      <w:pPr>
        <w:ind w:left="3600" w:hanging="360"/>
      </w:pPr>
      <w:rPr>
        <w:rFonts w:ascii="Courier New" w:hAnsi="Courier New" w:hint="default"/>
      </w:rPr>
    </w:lvl>
    <w:lvl w:ilvl="5" w:tplc="AE2AEDFC">
      <w:start w:val="1"/>
      <w:numFmt w:val="bullet"/>
      <w:lvlText w:val=""/>
      <w:lvlJc w:val="left"/>
      <w:pPr>
        <w:ind w:left="4320" w:hanging="360"/>
      </w:pPr>
      <w:rPr>
        <w:rFonts w:ascii="Wingdings" w:hAnsi="Wingdings" w:hint="default"/>
      </w:rPr>
    </w:lvl>
    <w:lvl w:ilvl="6" w:tplc="81C854E8">
      <w:start w:val="1"/>
      <w:numFmt w:val="bullet"/>
      <w:lvlText w:val=""/>
      <w:lvlJc w:val="left"/>
      <w:pPr>
        <w:ind w:left="5040" w:hanging="360"/>
      </w:pPr>
      <w:rPr>
        <w:rFonts w:ascii="Symbol" w:hAnsi="Symbol" w:hint="default"/>
      </w:rPr>
    </w:lvl>
    <w:lvl w:ilvl="7" w:tplc="E2D6CA16">
      <w:start w:val="1"/>
      <w:numFmt w:val="bullet"/>
      <w:lvlText w:val="o"/>
      <w:lvlJc w:val="left"/>
      <w:pPr>
        <w:ind w:left="5760" w:hanging="360"/>
      </w:pPr>
      <w:rPr>
        <w:rFonts w:ascii="Courier New" w:hAnsi="Courier New" w:hint="default"/>
      </w:rPr>
    </w:lvl>
    <w:lvl w:ilvl="8" w:tplc="5A9EF4BA">
      <w:start w:val="1"/>
      <w:numFmt w:val="bullet"/>
      <w:lvlText w:val=""/>
      <w:lvlJc w:val="left"/>
      <w:pPr>
        <w:ind w:left="6480" w:hanging="360"/>
      </w:pPr>
      <w:rPr>
        <w:rFonts w:ascii="Wingdings" w:hAnsi="Wingdings" w:hint="default"/>
      </w:rPr>
    </w:lvl>
  </w:abstractNum>
  <w:abstractNum w:abstractNumId="12" w15:restartNumberingAfterBreak="0">
    <w:nsid w:val="3A52232B"/>
    <w:multiLevelType w:val="hybridMultilevel"/>
    <w:tmpl w:val="AA422892"/>
    <w:lvl w:ilvl="0" w:tplc="CD90B470">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572693A"/>
    <w:multiLevelType w:val="hybridMultilevel"/>
    <w:tmpl w:val="F03261EA"/>
    <w:lvl w:ilvl="0" w:tplc="ED962DEA">
      <w:start w:val="1"/>
      <w:numFmt w:val="bullet"/>
      <w:lvlText w:val="·"/>
      <w:lvlJc w:val="left"/>
      <w:pPr>
        <w:ind w:left="720" w:hanging="360"/>
      </w:pPr>
      <w:rPr>
        <w:rFonts w:ascii="Symbol" w:hAnsi="Symbol" w:hint="default"/>
      </w:rPr>
    </w:lvl>
    <w:lvl w:ilvl="1" w:tplc="C21C6600">
      <w:start w:val="1"/>
      <w:numFmt w:val="bullet"/>
      <w:lvlText w:val="o"/>
      <w:lvlJc w:val="left"/>
      <w:pPr>
        <w:ind w:left="1440" w:hanging="360"/>
      </w:pPr>
      <w:rPr>
        <w:rFonts w:ascii="Courier New" w:hAnsi="Courier New" w:hint="default"/>
      </w:rPr>
    </w:lvl>
    <w:lvl w:ilvl="2" w:tplc="7382AB4A">
      <w:start w:val="1"/>
      <w:numFmt w:val="bullet"/>
      <w:lvlText w:val=""/>
      <w:lvlJc w:val="left"/>
      <w:pPr>
        <w:ind w:left="2160" w:hanging="360"/>
      </w:pPr>
      <w:rPr>
        <w:rFonts w:ascii="Wingdings" w:hAnsi="Wingdings" w:hint="default"/>
      </w:rPr>
    </w:lvl>
    <w:lvl w:ilvl="3" w:tplc="D59A19DC">
      <w:start w:val="1"/>
      <w:numFmt w:val="bullet"/>
      <w:lvlText w:val=""/>
      <w:lvlJc w:val="left"/>
      <w:pPr>
        <w:ind w:left="2880" w:hanging="360"/>
      </w:pPr>
      <w:rPr>
        <w:rFonts w:ascii="Symbol" w:hAnsi="Symbol" w:hint="default"/>
      </w:rPr>
    </w:lvl>
    <w:lvl w:ilvl="4" w:tplc="60E49166">
      <w:start w:val="1"/>
      <w:numFmt w:val="bullet"/>
      <w:lvlText w:val="o"/>
      <w:lvlJc w:val="left"/>
      <w:pPr>
        <w:ind w:left="3600" w:hanging="360"/>
      </w:pPr>
      <w:rPr>
        <w:rFonts w:ascii="Courier New" w:hAnsi="Courier New" w:hint="default"/>
      </w:rPr>
    </w:lvl>
    <w:lvl w:ilvl="5" w:tplc="6B42248A">
      <w:start w:val="1"/>
      <w:numFmt w:val="bullet"/>
      <w:lvlText w:val=""/>
      <w:lvlJc w:val="left"/>
      <w:pPr>
        <w:ind w:left="4320" w:hanging="360"/>
      </w:pPr>
      <w:rPr>
        <w:rFonts w:ascii="Wingdings" w:hAnsi="Wingdings" w:hint="default"/>
      </w:rPr>
    </w:lvl>
    <w:lvl w:ilvl="6" w:tplc="468E397A">
      <w:start w:val="1"/>
      <w:numFmt w:val="bullet"/>
      <w:lvlText w:val=""/>
      <w:lvlJc w:val="left"/>
      <w:pPr>
        <w:ind w:left="5040" w:hanging="360"/>
      </w:pPr>
      <w:rPr>
        <w:rFonts w:ascii="Symbol" w:hAnsi="Symbol" w:hint="default"/>
      </w:rPr>
    </w:lvl>
    <w:lvl w:ilvl="7" w:tplc="6DB6709A">
      <w:start w:val="1"/>
      <w:numFmt w:val="bullet"/>
      <w:lvlText w:val="o"/>
      <w:lvlJc w:val="left"/>
      <w:pPr>
        <w:ind w:left="5760" w:hanging="360"/>
      </w:pPr>
      <w:rPr>
        <w:rFonts w:ascii="Courier New" w:hAnsi="Courier New" w:hint="default"/>
      </w:rPr>
    </w:lvl>
    <w:lvl w:ilvl="8" w:tplc="2C60D920">
      <w:start w:val="1"/>
      <w:numFmt w:val="bullet"/>
      <w:lvlText w:val=""/>
      <w:lvlJc w:val="left"/>
      <w:pPr>
        <w:ind w:left="6480" w:hanging="360"/>
      </w:pPr>
      <w:rPr>
        <w:rFonts w:ascii="Wingdings" w:hAnsi="Wingdings" w:hint="default"/>
      </w:rPr>
    </w:lvl>
  </w:abstractNum>
  <w:abstractNum w:abstractNumId="21"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1C23101"/>
    <w:multiLevelType w:val="hybridMultilevel"/>
    <w:tmpl w:val="829E7AFA"/>
    <w:lvl w:ilvl="0" w:tplc="3F7AA3D0">
      <w:start w:val="1"/>
      <w:numFmt w:val="bullet"/>
      <w:lvlText w:val="-"/>
      <w:lvlJc w:val="left"/>
      <w:pPr>
        <w:ind w:left="720" w:hanging="360"/>
      </w:pPr>
      <w:rPr>
        <w:rFonts w:ascii="&quot;Verdana&quot;,sans-serif" w:hAnsi="&quot;Verdana&quot;,sans-serif" w:hint="default"/>
      </w:rPr>
    </w:lvl>
    <w:lvl w:ilvl="1" w:tplc="CA4EA766">
      <w:start w:val="1"/>
      <w:numFmt w:val="bullet"/>
      <w:lvlText w:val="o"/>
      <w:lvlJc w:val="left"/>
      <w:pPr>
        <w:ind w:left="1440" w:hanging="360"/>
      </w:pPr>
      <w:rPr>
        <w:rFonts w:ascii="Courier New" w:hAnsi="Courier New" w:hint="default"/>
      </w:rPr>
    </w:lvl>
    <w:lvl w:ilvl="2" w:tplc="93D24FE8">
      <w:start w:val="1"/>
      <w:numFmt w:val="bullet"/>
      <w:lvlText w:val=""/>
      <w:lvlJc w:val="left"/>
      <w:pPr>
        <w:ind w:left="2160" w:hanging="360"/>
      </w:pPr>
      <w:rPr>
        <w:rFonts w:ascii="Wingdings" w:hAnsi="Wingdings" w:hint="default"/>
      </w:rPr>
    </w:lvl>
    <w:lvl w:ilvl="3" w:tplc="ED6CDBB8">
      <w:start w:val="1"/>
      <w:numFmt w:val="bullet"/>
      <w:lvlText w:val=""/>
      <w:lvlJc w:val="left"/>
      <w:pPr>
        <w:ind w:left="2880" w:hanging="360"/>
      </w:pPr>
      <w:rPr>
        <w:rFonts w:ascii="Symbol" w:hAnsi="Symbol" w:hint="default"/>
      </w:rPr>
    </w:lvl>
    <w:lvl w:ilvl="4" w:tplc="9D425B38">
      <w:start w:val="1"/>
      <w:numFmt w:val="bullet"/>
      <w:lvlText w:val="o"/>
      <w:lvlJc w:val="left"/>
      <w:pPr>
        <w:ind w:left="3600" w:hanging="360"/>
      </w:pPr>
      <w:rPr>
        <w:rFonts w:ascii="Courier New" w:hAnsi="Courier New" w:hint="default"/>
      </w:rPr>
    </w:lvl>
    <w:lvl w:ilvl="5" w:tplc="0EB0EBF0">
      <w:start w:val="1"/>
      <w:numFmt w:val="bullet"/>
      <w:lvlText w:val=""/>
      <w:lvlJc w:val="left"/>
      <w:pPr>
        <w:ind w:left="4320" w:hanging="360"/>
      </w:pPr>
      <w:rPr>
        <w:rFonts w:ascii="Wingdings" w:hAnsi="Wingdings" w:hint="default"/>
      </w:rPr>
    </w:lvl>
    <w:lvl w:ilvl="6" w:tplc="E2C062BA">
      <w:start w:val="1"/>
      <w:numFmt w:val="bullet"/>
      <w:lvlText w:val=""/>
      <w:lvlJc w:val="left"/>
      <w:pPr>
        <w:ind w:left="5040" w:hanging="360"/>
      </w:pPr>
      <w:rPr>
        <w:rFonts w:ascii="Symbol" w:hAnsi="Symbol" w:hint="default"/>
      </w:rPr>
    </w:lvl>
    <w:lvl w:ilvl="7" w:tplc="094C1C50">
      <w:start w:val="1"/>
      <w:numFmt w:val="bullet"/>
      <w:lvlText w:val="o"/>
      <w:lvlJc w:val="left"/>
      <w:pPr>
        <w:ind w:left="5760" w:hanging="360"/>
      </w:pPr>
      <w:rPr>
        <w:rFonts w:ascii="Courier New" w:hAnsi="Courier New" w:hint="default"/>
      </w:rPr>
    </w:lvl>
    <w:lvl w:ilvl="8" w:tplc="B438661E">
      <w:start w:val="1"/>
      <w:numFmt w:val="bullet"/>
      <w:lvlText w:val=""/>
      <w:lvlJc w:val="left"/>
      <w:pPr>
        <w:ind w:left="6480" w:hanging="360"/>
      </w:pPr>
      <w:rPr>
        <w:rFonts w:ascii="Wingdings" w:hAnsi="Wingdings" w:hint="default"/>
      </w:rPr>
    </w:lvl>
  </w:abstractNum>
  <w:abstractNum w:abstractNumId="26"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15:restartNumberingAfterBreak="0">
    <w:nsid w:val="63B83734"/>
    <w:multiLevelType w:val="hybridMultilevel"/>
    <w:tmpl w:val="CC5C8C0C"/>
    <w:lvl w:ilvl="0" w:tplc="193EE4A2">
      <w:start w:val="7"/>
      <w:numFmt w:val="bullet"/>
      <w:lvlText w:val="-"/>
      <w:lvlJc w:val="left"/>
      <w:pPr>
        <w:ind w:left="720" w:hanging="360"/>
      </w:pPr>
      <w:rPr>
        <w:rFonts w:ascii="Verdana" w:hAnsi="Verdana" w:hint="default"/>
      </w:rPr>
    </w:lvl>
    <w:lvl w:ilvl="1" w:tplc="B658EAF8">
      <w:start w:val="1"/>
      <w:numFmt w:val="bullet"/>
      <w:lvlText w:val="o"/>
      <w:lvlJc w:val="left"/>
      <w:pPr>
        <w:ind w:left="1440" w:hanging="360"/>
      </w:pPr>
      <w:rPr>
        <w:rFonts w:ascii="Courier New" w:hAnsi="Courier New" w:hint="default"/>
      </w:rPr>
    </w:lvl>
    <w:lvl w:ilvl="2" w:tplc="AB905322">
      <w:start w:val="1"/>
      <w:numFmt w:val="bullet"/>
      <w:lvlText w:val=""/>
      <w:lvlJc w:val="left"/>
      <w:pPr>
        <w:ind w:left="2160" w:hanging="360"/>
      </w:pPr>
      <w:rPr>
        <w:rFonts w:ascii="Wingdings" w:hAnsi="Wingdings" w:hint="default"/>
      </w:rPr>
    </w:lvl>
    <w:lvl w:ilvl="3" w:tplc="9EBC3CAA">
      <w:start w:val="1"/>
      <w:numFmt w:val="bullet"/>
      <w:lvlText w:val=""/>
      <w:lvlJc w:val="left"/>
      <w:pPr>
        <w:ind w:left="2880" w:hanging="360"/>
      </w:pPr>
      <w:rPr>
        <w:rFonts w:ascii="Symbol" w:hAnsi="Symbol" w:hint="default"/>
      </w:rPr>
    </w:lvl>
    <w:lvl w:ilvl="4" w:tplc="9F620C8A">
      <w:start w:val="1"/>
      <w:numFmt w:val="bullet"/>
      <w:lvlText w:val="o"/>
      <w:lvlJc w:val="left"/>
      <w:pPr>
        <w:ind w:left="3600" w:hanging="360"/>
      </w:pPr>
      <w:rPr>
        <w:rFonts w:ascii="Courier New" w:hAnsi="Courier New" w:hint="default"/>
      </w:rPr>
    </w:lvl>
    <w:lvl w:ilvl="5" w:tplc="716EE656">
      <w:start w:val="1"/>
      <w:numFmt w:val="bullet"/>
      <w:lvlText w:val=""/>
      <w:lvlJc w:val="left"/>
      <w:pPr>
        <w:ind w:left="4320" w:hanging="360"/>
      </w:pPr>
      <w:rPr>
        <w:rFonts w:ascii="Wingdings" w:hAnsi="Wingdings" w:hint="default"/>
      </w:rPr>
    </w:lvl>
    <w:lvl w:ilvl="6" w:tplc="0826D816">
      <w:start w:val="1"/>
      <w:numFmt w:val="bullet"/>
      <w:lvlText w:val=""/>
      <w:lvlJc w:val="left"/>
      <w:pPr>
        <w:ind w:left="5040" w:hanging="360"/>
      </w:pPr>
      <w:rPr>
        <w:rFonts w:ascii="Symbol" w:hAnsi="Symbol" w:hint="default"/>
      </w:rPr>
    </w:lvl>
    <w:lvl w:ilvl="7" w:tplc="6CD816B8">
      <w:start w:val="1"/>
      <w:numFmt w:val="bullet"/>
      <w:lvlText w:val="o"/>
      <w:lvlJc w:val="left"/>
      <w:pPr>
        <w:ind w:left="5760" w:hanging="360"/>
      </w:pPr>
      <w:rPr>
        <w:rFonts w:ascii="Courier New" w:hAnsi="Courier New" w:hint="default"/>
      </w:rPr>
    </w:lvl>
    <w:lvl w:ilvl="8" w:tplc="D9726C0E">
      <w:start w:val="1"/>
      <w:numFmt w:val="bullet"/>
      <w:lvlText w:val=""/>
      <w:lvlJc w:val="left"/>
      <w:pPr>
        <w:ind w:left="6480" w:hanging="360"/>
      </w:pPr>
      <w:rPr>
        <w:rFonts w:ascii="Wingdings" w:hAnsi="Wingdings" w:hint="default"/>
      </w:rPr>
    </w:lvl>
  </w:abstractNum>
  <w:abstractNum w:abstractNumId="35"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7"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1"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6"/>
  </w:num>
  <w:num w:numId="2" w16cid:durableId="1769932826">
    <w:abstractNumId w:val="19"/>
  </w:num>
  <w:num w:numId="3" w16cid:durableId="550074866">
    <w:abstractNumId w:val="10"/>
  </w:num>
  <w:num w:numId="4" w16cid:durableId="1881627233">
    <w:abstractNumId w:val="26"/>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33"/>
  </w:num>
  <w:num w:numId="9" w16cid:durableId="1008846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9"/>
  </w:num>
  <w:num w:numId="12" w16cid:durableId="1500659627">
    <w:abstractNumId w:val="32"/>
  </w:num>
  <w:num w:numId="13" w16cid:durableId="1879658227">
    <w:abstractNumId w:val="24"/>
  </w:num>
  <w:num w:numId="14" w16cid:durableId="1495758855">
    <w:abstractNumId w:val="9"/>
  </w:num>
  <w:num w:numId="15" w16cid:durableId="1186556611">
    <w:abstractNumId w:val="1"/>
  </w:num>
  <w:num w:numId="16" w16cid:durableId="679087124">
    <w:abstractNumId w:val="14"/>
  </w:num>
  <w:num w:numId="17" w16cid:durableId="1695498691">
    <w:abstractNumId w:val="15"/>
  </w:num>
  <w:num w:numId="18" w16cid:durableId="1042363640">
    <w:abstractNumId w:val="17"/>
  </w:num>
  <w:num w:numId="19" w16cid:durableId="820345968">
    <w:abstractNumId w:val="28"/>
  </w:num>
  <w:num w:numId="20" w16cid:durableId="1805388212">
    <w:abstractNumId w:val="38"/>
  </w:num>
  <w:num w:numId="21" w16cid:durableId="538709007">
    <w:abstractNumId w:val="27"/>
  </w:num>
  <w:num w:numId="22" w16cid:durableId="104540172">
    <w:abstractNumId w:val="8"/>
  </w:num>
  <w:num w:numId="23" w16cid:durableId="1824349076">
    <w:abstractNumId w:val="31"/>
  </w:num>
  <w:num w:numId="24" w16cid:durableId="672032853">
    <w:abstractNumId w:val="30"/>
  </w:num>
  <w:num w:numId="25" w16cid:durableId="48917541">
    <w:abstractNumId w:val="21"/>
  </w:num>
  <w:num w:numId="26" w16cid:durableId="978925443">
    <w:abstractNumId w:val="35"/>
  </w:num>
  <w:num w:numId="27" w16cid:durableId="1036613928">
    <w:abstractNumId w:val="40"/>
  </w:num>
  <w:num w:numId="28" w16cid:durableId="872039349">
    <w:abstractNumId w:val="5"/>
  </w:num>
  <w:num w:numId="29" w16cid:durableId="924530660">
    <w:abstractNumId w:val="2"/>
  </w:num>
  <w:num w:numId="30" w16cid:durableId="419180233">
    <w:abstractNumId w:val="23"/>
  </w:num>
  <w:num w:numId="31" w16cid:durableId="276761337">
    <w:abstractNumId w:val="22"/>
  </w:num>
  <w:num w:numId="32" w16cid:durableId="1166238383">
    <w:abstractNumId w:val="37"/>
  </w:num>
  <w:num w:numId="33" w16cid:durableId="2076850202">
    <w:abstractNumId w:val="36"/>
  </w:num>
  <w:num w:numId="34" w16cid:durableId="469176496">
    <w:abstractNumId w:val="12"/>
  </w:num>
  <w:num w:numId="35" w16cid:durableId="674843309">
    <w:abstractNumId w:val="18"/>
  </w:num>
  <w:num w:numId="36" w16cid:durableId="1954971501">
    <w:abstractNumId w:val="41"/>
  </w:num>
  <w:num w:numId="37" w16cid:durableId="1880315838">
    <w:abstractNumId w:val="12"/>
    <w:lvlOverride w:ilvl="0">
      <w:startOverride w:val="55"/>
    </w:lvlOverride>
  </w:num>
  <w:num w:numId="38" w16cid:durableId="1190681236">
    <w:abstractNumId w:val="11"/>
  </w:num>
  <w:num w:numId="39" w16cid:durableId="825169810">
    <w:abstractNumId w:val="20"/>
  </w:num>
  <w:num w:numId="40" w16cid:durableId="298801380">
    <w:abstractNumId w:val="25"/>
  </w:num>
  <w:num w:numId="41" w16cid:durableId="382215673">
    <w:abstractNumId w:val="7"/>
  </w:num>
  <w:num w:numId="42" w16cid:durableId="1211914296">
    <w:abstractNumId w:val="3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t8mH9Thfqz2vUvnDqxPgXngsET1O7AqC5vdfi78/c/vPLm/gHE551crFiKfjEoAhPqZOFATVV7z69R7DvZWmOQ==" w:salt="q+S0s8WvEZ9KKxCO56SFJg=="/>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D5D"/>
    <w:rsid w:val="00015F1D"/>
    <w:rsid w:val="00015F29"/>
    <w:rsid w:val="0001774B"/>
    <w:rsid w:val="00020D0F"/>
    <w:rsid w:val="000215EB"/>
    <w:rsid w:val="00021E83"/>
    <w:rsid w:val="0002324A"/>
    <w:rsid w:val="00023713"/>
    <w:rsid w:val="00023C4D"/>
    <w:rsid w:val="00025E71"/>
    <w:rsid w:val="00026226"/>
    <w:rsid w:val="00026269"/>
    <w:rsid w:val="00027154"/>
    <w:rsid w:val="00027ECF"/>
    <w:rsid w:val="000303BE"/>
    <w:rsid w:val="00033A94"/>
    <w:rsid w:val="000344D6"/>
    <w:rsid w:val="00034960"/>
    <w:rsid w:val="00036FAE"/>
    <w:rsid w:val="00041858"/>
    <w:rsid w:val="0004389E"/>
    <w:rsid w:val="00045CA6"/>
    <w:rsid w:val="000463A6"/>
    <w:rsid w:val="00046CC9"/>
    <w:rsid w:val="00046E91"/>
    <w:rsid w:val="000502FE"/>
    <w:rsid w:val="0005126D"/>
    <w:rsid w:val="00051992"/>
    <w:rsid w:val="000519AB"/>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C7C93"/>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669A"/>
    <w:rsid w:val="000E7086"/>
    <w:rsid w:val="000E7C65"/>
    <w:rsid w:val="000F04D2"/>
    <w:rsid w:val="000F55B7"/>
    <w:rsid w:val="000F604F"/>
    <w:rsid w:val="000F7399"/>
    <w:rsid w:val="00101BF1"/>
    <w:rsid w:val="001027F1"/>
    <w:rsid w:val="00104E00"/>
    <w:rsid w:val="00104F2E"/>
    <w:rsid w:val="001072DD"/>
    <w:rsid w:val="00110D7A"/>
    <w:rsid w:val="00111464"/>
    <w:rsid w:val="0011167D"/>
    <w:rsid w:val="00112892"/>
    <w:rsid w:val="00112DF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F00"/>
    <w:rsid w:val="00171183"/>
    <w:rsid w:val="00172545"/>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878C6"/>
    <w:rsid w:val="0019017A"/>
    <w:rsid w:val="00190B8C"/>
    <w:rsid w:val="00190FF8"/>
    <w:rsid w:val="0019311A"/>
    <w:rsid w:val="0019508A"/>
    <w:rsid w:val="001960D8"/>
    <w:rsid w:val="001A1642"/>
    <w:rsid w:val="001A371B"/>
    <w:rsid w:val="001A3FA5"/>
    <w:rsid w:val="001A4766"/>
    <w:rsid w:val="001A6A0D"/>
    <w:rsid w:val="001A6C51"/>
    <w:rsid w:val="001A6FAA"/>
    <w:rsid w:val="001A7D73"/>
    <w:rsid w:val="001B0363"/>
    <w:rsid w:val="001B0F72"/>
    <w:rsid w:val="001B1355"/>
    <w:rsid w:val="001B2FC9"/>
    <w:rsid w:val="001B3138"/>
    <w:rsid w:val="001B4E4B"/>
    <w:rsid w:val="001B50AC"/>
    <w:rsid w:val="001B5E05"/>
    <w:rsid w:val="001B6D68"/>
    <w:rsid w:val="001B6F2E"/>
    <w:rsid w:val="001C0344"/>
    <w:rsid w:val="001C0F2A"/>
    <w:rsid w:val="001C1A59"/>
    <w:rsid w:val="001C270F"/>
    <w:rsid w:val="001C4679"/>
    <w:rsid w:val="001C47FD"/>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4FA7"/>
    <w:rsid w:val="00235CE3"/>
    <w:rsid w:val="0023636A"/>
    <w:rsid w:val="00236F34"/>
    <w:rsid w:val="002372F7"/>
    <w:rsid w:val="00237775"/>
    <w:rsid w:val="00237FA3"/>
    <w:rsid w:val="00240532"/>
    <w:rsid w:val="00240651"/>
    <w:rsid w:val="00240803"/>
    <w:rsid w:val="0024426D"/>
    <w:rsid w:val="00244F1D"/>
    <w:rsid w:val="00245004"/>
    <w:rsid w:val="00245052"/>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4984"/>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D0E"/>
    <w:rsid w:val="00313F3D"/>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1781"/>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A73"/>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80"/>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55A6D"/>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1050"/>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865"/>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A775C"/>
    <w:rsid w:val="005B00F1"/>
    <w:rsid w:val="005B0CE7"/>
    <w:rsid w:val="005B0DDC"/>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2AD2"/>
    <w:rsid w:val="005D2E20"/>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026"/>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02F"/>
    <w:rsid w:val="00685147"/>
    <w:rsid w:val="00685653"/>
    <w:rsid w:val="0068590D"/>
    <w:rsid w:val="00685A89"/>
    <w:rsid w:val="006861B3"/>
    <w:rsid w:val="00686FA2"/>
    <w:rsid w:val="006870C5"/>
    <w:rsid w:val="00690F0E"/>
    <w:rsid w:val="006911C0"/>
    <w:rsid w:val="00691B7C"/>
    <w:rsid w:val="00692ADF"/>
    <w:rsid w:val="00694B73"/>
    <w:rsid w:val="00694DA4"/>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C5F7A"/>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1949"/>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5BD5"/>
    <w:rsid w:val="007C7233"/>
    <w:rsid w:val="007C79D7"/>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071"/>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5B01"/>
    <w:rsid w:val="00866D7A"/>
    <w:rsid w:val="00866EE3"/>
    <w:rsid w:val="00871F04"/>
    <w:rsid w:val="008746C1"/>
    <w:rsid w:val="008754B8"/>
    <w:rsid w:val="00880224"/>
    <w:rsid w:val="0088244C"/>
    <w:rsid w:val="00883367"/>
    <w:rsid w:val="00884C47"/>
    <w:rsid w:val="00885E6F"/>
    <w:rsid w:val="008861AC"/>
    <w:rsid w:val="008868E4"/>
    <w:rsid w:val="00886A60"/>
    <w:rsid w:val="00886BF4"/>
    <w:rsid w:val="0088759B"/>
    <w:rsid w:val="008909B4"/>
    <w:rsid w:val="008922E8"/>
    <w:rsid w:val="00893916"/>
    <w:rsid w:val="0089442C"/>
    <w:rsid w:val="00895818"/>
    <w:rsid w:val="008A2585"/>
    <w:rsid w:val="008A2718"/>
    <w:rsid w:val="008A4CF6"/>
    <w:rsid w:val="008A4E42"/>
    <w:rsid w:val="008A51AA"/>
    <w:rsid w:val="008A6A12"/>
    <w:rsid w:val="008B0DC6"/>
    <w:rsid w:val="008B2400"/>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6BD7"/>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5621"/>
    <w:rsid w:val="00A06340"/>
    <w:rsid w:val="00A0684F"/>
    <w:rsid w:val="00A06867"/>
    <w:rsid w:val="00A10148"/>
    <w:rsid w:val="00A113FD"/>
    <w:rsid w:val="00A1177C"/>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5AA7"/>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0941"/>
    <w:rsid w:val="00A91682"/>
    <w:rsid w:val="00A91BEC"/>
    <w:rsid w:val="00A92125"/>
    <w:rsid w:val="00A92E4A"/>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783E"/>
    <w:rsid w:val="00AE1393"/>
    <w:rsid w:val="00AE2A0A"/>
    <w:rsid w:val="00AE3BC6"/>
    <w:rsid w:val="00AE4D4F"/>
    <w:rsid w:val="00AE627C"/>
    <w:rsid w:val="00AE62B0"/>
    <w:rsid w:val="00AE68A2"/>
    <w:rsid w:val="00AE777A"/>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30D"/>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030"/>
    <w:rsid w:val="00BD59AA"/>
    <w:rsid w:val="00BD65E6"/>
    <w:rsid w:val="00BD6AF7"/>
    <w:rsid w:val="00BD73AA"/>
    <w:rsid w:val="00BE19EF"/>
    <w:rsid w:val="00BE425B"/>
    <w:rsid w:val="00BE51BB"/>
    <w:rsid w:val="00BE6F50"/>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306"/>
    <w:rsid w:val="00C274F3"/>
    <w:rsid w:val="00C30A54"/>
    <w:rsid w:val="00C316F7"/>
    <w:rsid w:val="00C31DF0"/>
    <w:rsid w:val="00C33916"/>
    <w:rsid w:val="00C33BCF"/>
    <w:rsid w:val="00C33E44"/>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1629"/>
    <w:rsid w:val="00C638C2"/>
    <w:rsid w:val="00C651D4"/>
    <w:rsid w:val="00C6669E"/>
    <w:rsid w:val="00C66C6D"/>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572"/>
    <w:rsid w:val="00CB36A5"/>
    <w:rsid w:val="00CB56B4"/>
    <w:rsid w:val="00CB7286"/>
    <w:rsid w:val="00CB7947"/>
    <w:rsid w:val="00CC1783"/>
    <w:rsid w:val="00CC36A1"/>
    <w:rsid w:val="00CC3B46"/>
    <w:rsid w:val="00CC3D8B"/>
    <w:rsid w:val="00CC4E27"/>
    <w:rsid w:val="00CC570C"/>
    <w:rsid w:val="00CC59BB"/>
    <w:rsid w:val="00CC62B6"/>
    <w:rsid w:val="00CC6C43"/>
    <w:rsid w:val="00CC76AA"/>
    <w:rsid w:val="00CC7CD2"/>
    <w:rsid w:val="00CD05CF"/>
    <w:rsid w:val="00CD18D9"/>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0A05"/>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6604"/>
    <w:rsid w:val="00D67101"/>
    <w:rsid w:val="00D71B45"/>
    <w:rsid w:val="00D71F8A"/>
    <w:rsid w:val="00D75603"/>
    <w:rsid w:val="00D75FEE"/>
    <w:rsid w:val="00D76933"/>
    <w:rsid w:val="00D76D88"/>
    <w:rsid w:val="00D77CC9"/>
    <w:rsid w:val="00D83D4B"/>
    <w:rsid w:val="00D85322"/>
    <w:rsid w:val="00D871C6"/>
    <w:rsid w:val="00D91010"/>
    <w:rsid w:val="00D9143D"/>
    <w:rsid w:val="00D920D1"/>
    <w:rsid w:val="00D9439D"/>
    <w:rsid w:val="00DA0FA7"/>
    <w:rsid w:val="00DA12B0"/>
    <w:rsid w:val="00DA2049"/>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3368"/>
    <w:rsid w:val="00DC4D68"/>
    <w:rsid w:val="00DC6463"/>
    <w:rsid w:val="00DC7822"/>
    <w:rsid w:val="00DC7AF1"/>
    <w:rsid w:val="00DC7B03"/>
    <w:rsid w:val="00DD2CDA"/>
    <w:rsid w:val="00DD2D92"/>
    <w:rsid w:val="00DD3026"/>
    <w:rsid w:val="00DD33DC"/>
    <w:rsid w:val="00DD3BB0"/>
    <w:rsid w:val="00DD61F5"/>
    <w:rsid w:val="00DD7418"/>
    <w:rsid w:val="00DE64A6"/>
    <w:rsid w:val="00DE66EB"/>
    <w:rsid w:val="00DE7035"/>
    <w:rsid w:val="00DF12E3"/>
    <w:rsid w:val="00DF2A20"/>
    <w:rsid w:val="00DF3F1D"/>
    <w:rsid w:val="00DF4242"/>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344A"/>
    <w:rsid w:val="00E64E69"/>
    <w:rsid w:val="00E64FB7"/>
    <w:rsid w:val="00E662D6"/>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14B4"/>
    <w:rsid w:val="00EC14FA"/>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7EB"/>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6C1"/>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6CA6"/>
    <w:rsid w:val="00F377CD"/>
    <w:rsid w:val="00F40C3B"/>
    <w:rsid w:val="00F40CE0"/>
    <w:rsid w:val="00F415C8"/>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5932"/>
    <w:rsid w:val="00F5650E"/>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5304"/>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EF4"/>
    <w:rsid w:val="00F917BF"/>
    <w:rsid w:val="00F920B4"/>
    <w:rsid w:val="00F9260D"/>
    <w:rsid w:val="00F92727"/>
    <w:rsid w:val="00F93646"/>
    <w:rsid w:val="00F93CCF"/>
    <w:rsid w:val="00F94307"/>
    <w:rsid w:val="00F9580B"/>
    <w:rsid w:val="00F95F15"/>
    <w:rsid w:val="00F975CA"/>
    <w:rsid w:val="00F97B63"/>
    <w:rsid w:val="00FA0B60"/>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1A0"/>
    <w:rsid w:val="00FE1330"/>
    <w:rsid w:val="00FE1CE5"/>
    <w:rsid w:val="00FE2832"/>
    <w:rsid w:val="00FE2D38"/>
    <w:rsid w:val="00FE3929"/>
    <w:rsid w:val="00FE3E32"/>
    <w:rsid w:val="00FE5D01"/>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5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7C5BD5"/>
    <w:pPr>
      <w:numPr>
        <w:numId w:val="34"/>
      </w:numPr>
      <w:contextualSpacing/>
    </w:pPr>
    <w:rPr>
      <w:b/>
      <w:szCs w:val="22"/>
    </w:rPr>
  </w:style>
  <w:style w:type="character" w:customStyle="1" w:styleId="QuestionstyleChar">
    <w:name w:val="Question style Char"/>
    <w:basedOn w:val="DefaultParagraphFont"/>
    <w:link w:val="Questionstyle"/>
    <w:rsid w:val="007C5BD5"/>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eader" Target="header2.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esma.europa.eu"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esma.europa.eu" TargetMode="External"/><Relationship Id="rId29" Type="http://schemas.openxmlformats.org/officeDocument/2006/relationships/hyperlink" Target="https://www.bmlltech.com/news/market-insight/bmll-market-lens-us-liquidity-map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32" Type="http://schemas.openxmlformats.org/officeDocument/2006/relationships/hyperlink" Target="https://www.handbook.fca.org.uk/instrument/2023/FCA_2023_19.pdf"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hyperlink" Target="https://www.bmlltech.com/news/market-insight/bmll-market-lens-liquidity-maps" TargetMode="Externa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yperlink" Target="https://www.fca.org.uk/publication/policy/ps23-4.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https://www.esma.europa.eu/about-esma/data-protection" TargetMode="External"/><Relationship Id="rId27" Type="http://schemas.openxmlformats.org/officeDocument/2006/relationships/footer" Target="footer6.xml"/><Relationship Id="rId30" Type="http://schemas.openxmlformats.org/officeDocument/2006/relationships/hyperlink" Target="https://www.bmlltech.com/news/market-insight/bmll-market-lens-liquidity-map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iFID-MiFIR Policy Document" ma:contentTypeID="0x0101008D9E5D2C101BA04B85C7EB08C6516E40030200B9651BAF2BFB244DBC0F4F054EB34AF3" ma:contentTypeVersion="35" ma:contentTypeDescription="" ma:contentTypeScope="" ma:versionID="c0a7cd79389bb885c719371fc6f98a50">
  <xsd:schema xmlns:xsd="http://www.w3.org/2001/XMLSchema" xmlns:xs="http://www.w3.org/2001/XMLSchema" xmlns:p="http://schemas.microsoft.com/office/2006/metadata/properties" xmlns:ns1="http://schemas.microsoft.com/sharepoint/v3" xmlns:ns2="d0fb0f98-34f9-4d57-9559-eb8efd17aa5e" xmlns:ns3="http://schemas.microsoft.com/sharepoint/v4" xmlns:ns4="f5465789-808f-433c-88e1-b70fe6f2db64" targetNamespace="http://schemas.microsoft.com/office/2006/metadata/properties" ma:root="true" ma:fieldsID="d75a36110dc4f923b26af48241ed9926" ns1:_="" ns2:_="" ns3:_="" ns4:_="">
    <xsd:import namespace="http://schemas.microsoft.com/sharepoint/v3"/>
    <xsd:import namespace="d0fb0f98-34f9-4d57-9559-eb8efd17aa5e"/>
    <xsd:import namespace="http://schemas.microsoft.com/sharepoint/v4"/>
    <xsd:import namespace="f5465789-808f-433c-88e1-b70fe6f2db64"/>
    <xsd:element name="properties">
      <xsd:complexType>
        <xsd:sequence>
          <xsd:element name="documentManagement">
            <xsd:complexType>
              <xsd:all>
                <xsd:element ref="ns2:TaxCatchAll" minOccurs="0"/>
                <xsd:element ref="ns3:IconOverlay" minOccurs="0"/>
                <xsd:element ref="ns2:Year"/>
                <xsd:element ref="ns2:MeetingDate" minOccurs="0"/>
                <xsd:element ref="ns1:_vti_ItemDeclaredRecord" minOccurs="0"/>
                <xsd:element ref="ns1:_vti_ItemHoldRecordStatus" minOccurs="0"/>
                <xsd:element ref="ns2:TaxCatchAllLabel" minOccurs="0"/>
                <xsd:element ref="ns2:caa5aeb1a6644849b60fbe2335e12657" minOccurs="0"/>
                <xsd:element ref="ns2:n644e5dfaa29486bad4a4fc019c6d2df" minOccurs="0"/>
                <xsd:element ref="ns2:bce29119141747ccb9ac7d87218ed4af" minOccurs="0"/>
                <xsd:element ref="ns2:eed0a0b2ea6941718a34434e243f3d8f" minOccurs="0"/>
                <xsd:element ref="ns2:j69a081f486747f6ac8a5aeed63facfd" minOccurs="0"/>
                <xsd:element ref="ns2:a9b3b1dad23b4ba58c3f3e36a96e1d9c" minOccurs="0"/>
                <xsd:element ref="ns2:_dlc_DocId" minOccurs="0"/>
                <xsd:element ref="ns2:_dlc_DocIdUrl" minOccurs="0"/>
                <xsd:element ref="ns2:_dlc_DocIdPersistId" minOccurs="0"/>
                <xsd:element ref="ns2:SharedWithUsers" minOccurs="0"/>
                <xsd:element ref="ns2:SharedWithDetails" minOccurs="0"/>
                <xsd:element ref="ns4:MediaServiceMetadata" minOccurs="0"/>
                <xsd:element ref="ns4:MediaServiceFastMetadata" minOccurs="0"/>
                <xsd:element ref="ns4:lcf76f155ced4ddcb4097134ff3c332f" minOccurs="0"/>
                <xsd:element ref="ns4:MediaServiceGenerationTime" minOccurs="0"/>
                <xsd:element ref="ns4:MediaServiceEventHashCod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8" nillable="true" ma:displayName="Declared Record" ma:description="" ma:hidden="true" ma:internalName="_vti_ItemDeclaredRecord" ma:readOnly="true">
      <xsd:simpleType>
        <xsd:restriction base="dms:DateTime"/>
      </xsd:simpleType>
    </xsd:element>
    <xsd:element name="_vti_ItemHoldRecordStatus" ma:index="1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Year" ma:index="14" ma:displayName="Year" ma:default="" ma:indexed="true" ma:internalName="Year" ma:readOnly="false">
      <xsd:simpleType>
        <xsd:restriction base="dms:Text">
          <xsd:maxLength value="4"/>
        </xsd:restriction>
      </xsd:simpleType>
    </xsd:element>
    <xsd:element name="MeetingDate" ma:index="16" nillable="true" ma:displayName="Meeting Date" ma:format="DateOnly" ma:internalName="MeetingDate" ma:readOnly="false">
      <xsd:simpleType>
        <xsd:restriction base="dms:DateTime"/>
      </xsd:simpleType>
    </xsd:element>
    <xsd:element name="TaxCatchAllLabel" ma:index="20"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caa5aeb1a6644849b60fbe2335e12657" ma:index="21" nillable="true" ma:taxonomy="true" ma:internalName="caa5aeb1a6644849b60fbe2335e12657" ma:taxonomyFieldName="Topic" ma:displayName="Topic" ma:indexed="true" ma:readOnly="false" ma:fieldId="{caa5aeb1-a664-4849-b60f-be2335e12657}" ma:sspId="d4b01e31-ead0-4f68-a8e9-2aaca35f2e62"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22" nillable="true" ma:taxonomy="true" ma:internalName="n644e5dfaa29486bad4a4fc019c6d2df" ma:taxonomyFieldName="SubTopic" ma:displayName="Sub Topic" ma:readOnly="false" ma:fieldId="{7644e5df-aa29-486b-ad4a-4fc019c6d2df}" ma:sspId="d4b01e31-ead0-4f68-a8e9-2aaca35f2e62"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23" ma:taxonomy="true" ma:internalName="bce29119141747ccb9ac7d87218ed4af" ma:taxonomyFieldName="TeamName" ma:displayName="Team Name" ma:readOnly="false" ma:default="-1;#Secondary Markets|0116aa60-aa30-4997-8f0f-29abf5f5f198"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24" ma:taxonomy="true" ma:internalName="eed0a0b2ea6941718a34434e243f3d8f" ma:taxonomyFieldName="DocumentType" ma:displayName="Document Type" ma:readOnly="false" ma:default="-1;#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5"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6"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465789-808f-433c-88e1-b70fe6f2db64" elementFormDefault="qualified">
    <xsd:import namespace="http://schemas.microsoft.com/office/2006/documentManagement/types"/>
    <xsd:import namespace="http://schemas.microsoft.com/office/infopath/2007/PartnerControls"/>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MeetingDate xmlns="d0fb0f98-34f9-4d57-9559-eb8efd17aa5e" xsi:nil="true"/>
    <Year xmlns="d0fb0f98-34f9-4d57-9559-eb8efd17aa5e">2024</Year>
    <TaxCatchAll xmlns="d0fb0f98-34f9-4d57-9559-eb8efd17aa5e">
      <Value>6</Value>
      <Value>894</Value>
      <Value>895</Value>
      <Value>103</Value>
      <Value>8</Value>
    </TaxCatchAll>
    <_dlc_DocId xmlns="d0fb0f98-34f9-4d57-9559-eb8efd17aa5e">ESMA74-2134169708-7343</_dlc_DocId>
    <_dlc_DocIdUrl xmlns="d0fb0f98-34f9-4d57-9559-eb8efd17aa5e">
      <Url>https://securitiesandmarketsauth.sharepoint.com/sites/sherpa-trdu/_layouts/15/DocIdRedir.aspx?ID=ESMA74-2134169708-7343</Url>
      <Description>ESMA74-2134169708-7343</Description>
    </_dlc_DocIdUrl>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TAs ITSs RTSs: new and amendments</TermName>
          <TermId xmlns="http://schemas.microsoft.com/office/infopath/2007/PartnerControls">cb937b6c-0f1a-40e7-ab35-3044279ac8a7</TermId>
        </TermInfo>
      </Terms>
    </caa5aeb1a6644849b60fbe2335e12657>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0116aa60-aa30-4997-8f0f-29abf5f5f198</TermId>
        </TermInfo>
      </Terms>
    </bce29119141747ccb9ac7d87218ed4af>
    <a9b3b1dad23b4ba58c3f3e36a96e1d9c xmlns="d0fb0f98-34f9-4d57-9559-eb8efd17aa5e">
      <Terms xmlns="http://schemas.microsoft.com/office/infopath/2007/PartnerControls"/>
    </a9b3b1dad23b4ba58c3f3e36a96e1d9c>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2024 - RTS 1 and CDR 2017/567 amendment (MiFID II/ MiFIR review)</TermName>
          <TermId xmlns="http://schemas.microsoft.com/office/infopath/2007/PartnerControls">959daaf9-95d0-45cf-b55f-f0faf823b52d</TermId>
        </TermInfo>
      </Terms>
    </n644e5dfaa29486bad4a4fc019c6d2df>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lcf76f155ced4ddcb4097134ff3c332f xmlns="f5465789-808f-433c-88e1-b70fe6f2db6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B7D32C2-A1F1-4D2A-9B55-1B29724B1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fb0f98-34f9-4d57-9559-eb8efd17aa5e"/>
    <ds:schemaRef ds:uri="http://schemas.microsoft.com/sharepoint/v4"/>
    <ds:schemaRef ds:uri="f5465789-808f-433c-88e1-b70fe6f2d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3.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http://schemas.microsoft.com/sharepoint/v4"/>
    <ds:schemaRef ds:uri="d0fb0f98-34f9-4d57-9559-eb8efd17aa5e"/>
    <ds:schemaRef ds:uri="f5465789-808f-433c-88e1-b70fe6f2db64"/>
  </ds:schemaRefs>
</ds:datastoreItem>
</file>

<file path=customXml/itemProps4.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5.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6.xml><?xml version="1.0" encoding="utf-8"?>
<ds:datastoreItem xmlns:ds="http://schemas.openxmlformats.org/officeDocument/2006/customXml" ds:itemID="{583B3ABB-1E22-43DF-B118-E1D48363CC1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8822</Words>
  <Characters>46677</Characters>
  <Application>Microsoft Office Word</Application>
  <DocSecurity>8</DocSecurity>
  <Lines>388</Lines>
  <Paragraphs>110</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55389</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Gillian Leeson</cp:lastModifiedBy>
  <cp:revision>62</cp:revision>
  <cp:lastPrinted>2015-02-18T11:01:00Z</cp:lastPrinted>
  <dcterms:created xsi:type="dcterms:W3CDTF">2024-09-27T19:18:00Z</dcterms:created>
  <dcterms:modified xsi:type="dcterms:W3CDTF">2024-09-30T12:04:00Z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0x0101008D9E5D2C101BA04B85C7EB08C6516E40030200B9651BAF2BFB244DBC0F4F054EB34AF3</vt:lpwstr>
  </property>
  <property fmtid="{D5CDD505-2E9C-101B-9397-08002B2CF9AE}" pid="3" name="_dlc_DocIdItemGuid">
    <vt:lpwstr>572f393c-5c1f-4003-9668-583c0c692a64</vt:lpwstr>
  </property>
  <property fmtid="{D5CDD505-2E9C-101B-9397-08002B2CF9AE}" pid="4" name="TeamName">
    <vt:lpwstr>8</vt:lpwstr>
  </property>
  <property fmtid="{D5CDD505-2E9C-101B-9397-08002B2CF9AE}" pid="5" name="Topic">
    <vt:lpwstr>895</vt:lpwstr>
  </property>
  <property fmtid="{D5CDD505-2E9C-101B-9397-08002B2CF9AE}" pid="6" name="ConfidentialityLevel">
    <vt:lpwstr>6;#Regular|07f1e362-856b-423d-bea6-a14079762141</vt:lpwstr>
  </property>
  <property fmtid="{D5CDD505-2E9C-101B-9397-08002B2CF9AE}" pid="7" name="DocumentType">
    <vt:lpwstr>103;#Form / Request|efe27f23-61a2-47e7-916e-544dd02c80f4</vt:lpwstr>
  </property>
  <property fmtid="{D5CDD505-2E9C-101B-9397-08002B2CF9AE}" pid="8" name="SubTopic">
    <vt:lpwstr>894</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True</vt:lpwstr>
  </property>
  <property fmtid="{D5CDD505-2E9C-101B-9397-08002B2CF9AE}" pid="18" name="MSIP_Label_ac0b9ce6-6e99-42a1-af95-429494370cbc_Enabled">
    <vt:lpwstr>true</vt:lpwstr>
  </property>
  <property fmtid="{D5CDD505-2E9C-101B-9397-08002B2CF9AE}" pid="19" name="MSIP_Label_ac0b9ce6-6e99-42a1-af95-429494370cbc_SetDate">
    <vt:lpwstr>2024-09-27T19:18:43Z</vt:lpwstr>
  </property>
  <property fmtid="{D5CDD505-2E9C-101B-9397-08002B2CF9AE}" pid="20" name="MSIP_Label_ac0b9ce6-6e99-42a1-af95-429494370cbc_Method">
    <vt:lpwstr>Standard</vt:lpwstr>
  </property>
  <property fmtid="{D5CDD505-2E9C-101B-9397-08002B2CF9AE}" pid="21" name="MSIP_Label_ac0b9ce6-6e99-42a1-af95-429494370cbc_Name">
    <vt:lpwstr>ac0b9ce6-6e99-42a1-af95-429494370cbc</vt:lpwstr>
  </property>
  <property fmtid="{D5CDD505-2E9C-101B-9397-08002B2CF9AE}" pid="22" name="MSIP_Label_ac0b9ce6-6e99-42a1-af95-429494370cbc_SiteId">
    <vt:lpwstr>315b1ee5-c224-498b-871e-c140611d6d07</vt:lpwstr>
  </property>
  <property fmtid="{D5CDD505-2E9C-101B-9397-08002B2CF9AE}" pid="23" name="MSIP_Label_ac0b9ce6-6e99-42a1-af95-429494370cbc_ActionId">
    <vt:lpwstr>f656ad71-3e38-4a91-ac15-5f29ed1e7362</vt:lpwstr>
  </property>
  <property fmtid="{D5CDD505-2E9C-101B-9397-08002B2CF9AE}" pid="24" name="MSIP_Label_ac0b9ce6-6e99-42a1-af95-429494370cbc_ContentBits">
    <vt:lpwstr>2</vt:lpwstr>
  </property>
</Properties>
</file>