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re"/>
          </w:pPr>
          <w:r>
            <w:t xml:space="preserve">Reply </w:t>
          </w:r>
          <w:r w:rsidR="00DD03DC">
            <w:t>F</w:t>
          </w:r>
          <w:r>
            <w:t>orm</w:t>
          </w:r>
        </w:p>
        <w:p w14:paraId="031F2108" w14:textId="11D8325D"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4629"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phedeliste"/>
            <w:rPr>
              <w:lang w:val="en-GB"/>
            </w:rPr>
          </w:pPr>
          <w:r w:rsidRPr="00DB2FD6">
            <w:rPr>
              <w:lang w:val="en-GB"/>
            </w:rPr>
            <w:t>respond to the question stated;</w:t>
          </w:r>
        </w:p>
        <w:p w14:paraId="72FD40F6" w14:textId="77777777" w:rsidR="002533FC" w:rsidRPr="00DB2FD6" w:rsidRDefault="002533FC" w:rsidP="00EC6066">
          <w:pPr>
            <w:pStyle w:val="Paragraphedeliste"/>
            <w:rPr>
              <w:lang w:val="en-GB"/>
            </w:rPr>
          </w:pPr>
          <w:r w:rsidRPr="00DB2FD6">
            <w:rPr>
              <w:lang w:val="en-GB"/>
            </w:rPr>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DB2FD6" w:rsidRDefault="002533FC" w:rsidP="00EC6066">
          <w:pPr>
            <w:pStyle w:val="Paragraphedeliste"/>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55592620" w:rsidR="00635BCA" w:rsidRPr="00557BD2" w:rsidRDefault="00A73475" w:rsidP="00D21C35">
                <w:r>
                  <w:t>AFG</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1185A96B" w14:textId="3825C8DA" w:rsidR="00B17279" w:rsidRDefault="00A73475"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6EE9A0F7" w:rsidR="00B17279" w:rsidRDefault="00A73475"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56965970" w:rsidR="00B17279" w:rsidRPr="00557BD2" w:rsidRDefault="00A73475" w:rsidP="00B17279">
                <w:r>
                  <w:t>France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Titre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77F2DFD1" w14:textId="77777777" w:rsidR="00B770A2" w:rsidRPr="00B770A2" w:rsidRDefault="00B770A2" w:rsidP="00B770A2">
      <w:pPr>
        <w:pStyle w:val="AFGTextecourant"/>
        <w:spacing w:before="0" w:line="240" w:lineRule="atLeast"/>
        <w:jc w:val="both"/>
        <w:rPr>
          <w:rFonts w:ascii="Montserrat" w:hAnsi="Montserrat"/>
          <w:sz w:val="22"/>
          <w:szCs w:val="22"/>
          <w:lang w:val="en-GB"/>
        </w:rPr>
      </w:pPr>
      <w:permStart w:id="2091009738" w:edGrp="everyone"/>
      <w:r w:rsidRPr="00B770A2">
        <w:rPr>
          <w:rFonts w:ascii="Montserrat" w:hAnsi="Montserrat"/>
          <w:sz w:val="22"/>
          <w:szCs w:val="22"/>
          <w:lang w:val="en-US"/>
        </w:rPr>
        <w:t xml:space="preserve">As identified by ESMA through its CP, there is already an existing </w:t>
      </w:r>
      <w:hyperlink r:id="rId18" w:history="1">
        <w:r w:rsidRPr="00B770A2">
          <w:rPr>
            <w:rStyle w:val="Lienhypertexte"/>
            <w:rFonts w:ascii="Montserrat" w:hAnsi="Montserrat"/>
            <w:sz w:val="22"/>
            <w:szCs w:val="22"/>
            <w:lang w:val="en-US"/>
          </w:rPr>
          <w:t>Q&amp;A</w:t>
        </w:r>
      </w:hyperlink>
      <w:r w:rsidRPr="00B770A2">
        <w:rPr>
          <w:rFonts w:ascii="Montserrat" w:hAnsi="Montserrat"/>
          <w:sz w:val="22"/>
          <w:szCs w:val="22"/>
          <w:lang w:val="en-US"/>
        </w:rPr>
        <w:t xml:space="preserve"> that deals with certain aspects of the scope of settlement discipline that has been applied prior to Refit. Regarding the scope of cash penalties, the Q&amp;A provides for four exemptions</w:t>
      </w:r>
      <w:r w:rsidRPr="00B770A2">
        <w:rPr>
          <w:rStyle w:val="Appelnotedebasdep"/>
          <w:rFonts w:ascii="Montserrat" w:hAnsi="Montserrat"/>
          <w:sz w:val="22"/>
          <w:szCs w:val="22"/>
          <w:lang w:val="en-US"/>
        </w:rPr>
        <w:footnoteReference w:id="2"/>
      </w:r>
      <w:r w:rsidRPr="00B770A2">
        <w:rPr>
          <w:rFonts w:ascii="Montserrat" w:hAnsi="Montserrat"/>
          <w:sz w:val="22"/>
          <w:szCs w:val="22"/>
          <w:lang w:val="en-US"/>
        </w:rPr>
        <w:t xml:space="preserve"> that ESMA proposes to incorporate in the level 2 and to extend these exemptions to the buy-in regime. ESMA also believes that two additional scenarios should be considered (</w:t>
      </w:r>
      <w:proofErr w:type="spellStart"/>
      <w:r w:rsidRPr="00B770A2">
        <w:rPr>
          <w:rFonts w:ascii="Montserrat" w:hAnsi="Montserrat"/>
          <w:sz w:val="22"/>
          <w:szCs w:val="22"/>
          <w:lang w:val="en-US"/>
        </w:rPr>
        <w:t>i</w:t>
      </w:r>
      <w:proofErr w:type="spellEnd"/>
      <w:r w:rsidRPr="00B770A2">
        <w:rPr>
          <w:rFonts w:ascii="Montserrat" w:hAnsi="Montserrat"/>
          <w:sz w:val="22"/>
          <w:szCs w:val="22"/>
          <w:lang w:val="en-US"/>
        </w:rPr>
        <w:t>. se</w:t>
      </w:r>
      <w:proofErr w:type="spellStart"/>
      <w:r w:rsidRPr="00B770A2">
        <w:rPr>
          <w:rFonts w:ascii="Montserrat" w:hAnsi="Montserrat"/>
          <w:sz w:val="22"/>
          <w:szCs w:val="22"/>
          <w:lang w:val="en-GB"/>
        </w:rPr>
        <w:t>ttlement</w:t>
      </w:r>
      <w:proofErr w:type="spellEnd"/>
      <w:r w:rsidRPr="00B770A2">
        <w:rPr>
          <w:rFonts w:ascii="Montserrat" w:hAnsi="Montserrat"/>
          <w:sz w:val="22"/>
          <w:szCs w:val="22"/>
          <w:lang w:val="en-GB"/>
        </w:rPr>
        <w:t xml:space="preserve"> instructions involving securities under sanctions or anti-money laundering proceedings ii. settlement instructions put on hold due to the order issued by a court, the police or similar authority with relevant mandate).</w:t>
      </w:r>
    </w:p>
    <w:p w14:paraId="3B815E92" w14:textId="77777777" w:rsidR="00B770A2" w:rsidRPr="00B770A2" w:rsidRDefault="00B770A2" w:rsidP="00B770A2">
      <w:pPr>
        <w:pStyle w:val="AFGTextecourant"/>
        <w:spacing w:before="0" w:line="240" w:lineRule="atLeast"/>
        <w:jc w:val="both"/>
        <w:rPr>
          <w:rFonts w:ascii="Montserrat" w:hAnsi="Montserrat"/>
          <w:sz w:val="22"/>
          <w:szCs w:val="22"/>
          <w:lang w:val="en-US"/>
        </w:rPr>
      </w:pPr>
    </w:p>
    <w:p w14:paraId="1F94B543" w14:textId="6D15D470" w:rsidR="00DB2FD6" w:rsidRPr="00B770A2" w:rsidRDefault="00B770A2" w:rsidP="00B770A2">
      <w:pPr>
        <w:rPr>
          <w:rFonts w:ascii="Montserrat" w:hAnsi="Montserrat"/>
          <w:szCs w:val="22"/>
        </w:rPr>
      </w:pPr>
      <w:r w:rsidRPr="00B770A2">
        <w:rPr>
          <w:rFonts w:ascii="Montserrat" w:hAnsi="Montserrat"/>
          <w:szCs w:val="22"/>
          <w:lang w:val="en-US"/>
        </w:rPr>
        <w:lastRenderedPageBreak/>
        <w:t xml:space="preserve">Regarding the </w:t>
      </w:r>
      <w:proofErr w:type="spellStart"/>
      <w:r w:rsidRPr="00B770A2">
        <w:rPr>
          <w:rFonts w:ascii="Montserrat" w:hAnsi="Montserrat"/>
          <w:szCs w:val="22"/>
          <w:lang w:val="en-US"/>
        </w:rPr>
        <w:t>immunisation</w:t>
      </w:r>
      <w:proofErr w:type="spellEnd"/>
      <w:r w:rsidRPr="00B770A2">
        <w:rPr>
          <w:rFonts w:ascii="Montserrat" w:hAnsi="Montserrat"/>
          <w:szCs w:val="22"/>
          <w:lang w:val="en-US"/>
        </w:rPr>
        <w:t xml:space="preserve"> principle, too many exemptions could have adverse impacts for some parties that get caught in a fails chain. However, as these 4 first exemptions are already implemented today and as it seems they were subject to no particular queries nor that they have been pointed out as breaching the </w:t>
      </w:r>
      <w:proofErr w:type="spellStart"/>
      <w:r w:rsidRPr="00B770A2">
        <w:rPr>
          <w:rFonts w:ascii="Montserrat" w:hAnsi="Montserrat"/>
          <w:szCs w:val="22"/>
          <w:lang w:val="en-US"/>
        </w:rPr>
        <w:t>immunisation</w:t>
      </w:r>
      <w:proofErr w:type="spellEnd"/>
      <w:r w:rsidRPr="00B770A2">
        <w:rPr>
          <w:rFonts w:ascii="Montserrat" w:hAnsi="Montserrat"/>
          <w:szCs w:val="22"/>
          <w:lang w:val="en-US"/>
        </w:rPr>
        <w:t xml:space="preserve"> principle, we believe their incorporation in the level 2 is appropriate.</w:t>
      </w:r>
    </w:p>
    <w:permEnd w:id="2091009738"/>
    <w:p w14:paraId="26FA7BAC" w14:textId="24A9EB11" w:rsidR="00DB2FD6" w:rsidRDefault="00DB2FD6" w:rsidP="00DB2FD6">
      <w:r>
        <w:t>&lt;ESMA_QUESTION</w:t>
      </w:r>
      <w:r w:rsidR="00C62B79">
        <w:t>_SETD_</w:t>
      </w:r>
      <w:r>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Grilledutableau"/>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underlying causes of settlement fails that are considered as not 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t>&lt;ESMA_QUESTION</w:t>
      </w:r>
      <w:r w:rsidR="00C62B79">
        <w:t>_SETD_</w:t>
      </w:r>
      <w:r>
        <w:t>2&gt;</w:t>
      </w:r>
    </w:p>
    <w:p w14:paraId="461DF093" w14:textId="77777777" w:rsidR="00641F03" w:rsidRDefault="00641F03" w:rsidP="00641F03">
      <w:permStart w:id="757683016" w:edGrp="everyone"/>
      <w:r>
        <w:t>TYPE YOUR TEXT HERE</w:t>
      </w:r>
    </w:p>
    <w:permEnd w:id="757683016"/>
    <w:p w14:paraId="30136E44" w14:textId="1A212137"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20B03AE8" w14:textId="77777777" w:rsidR="00DB2FD6" w:rsidRDefault="00DB2FD6" w:rsidP="00DB2FD6">
      <w:permStart w:id="1724912856" w:edGrp="everyone"/>
      <w:r>
        <w:t>TYPE YOUR TEXT HERE</w:t>
      </w:r>
    </w:p>
    <w:permEnd w:id="1724912856"/>
    <w:p w14:paraId="127846B2" w14:textId="72F2BA1D" w:rsidR="00DB2FD6" w:rsidRDefault="00DB2FD6" w:rsidP="00DB2FD6">
      <w:r>
        <w:t>&lt;ESMA_QUESTION</w:t>
      </w:r>
      <w:r w:rsidR="00C62B79">
        <w:t>_SETD_</w:t>
      </w:r>
      <w:r>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Grilledutableau"/>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77777777" w:rsidR="00641F03" w:rsidRDefault="00641F03" w:rsidP="00641F03">
      <w:permStart w:id="396365287" w:edGrp="everyone"/>
      <w:r>
        <w:t>TYPE YOUR TEXT HERE</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19C42598" w14:textId="13CC0F71" w:rsidR="00DB2FD6" w:rsidRDefault="00DB2FD6" w:rsidP="00DB2FD6">
      <w:r>
        <w:lastRenderedPageBreak/>
        <w:t>&lt;ESMA_QUESTION</w:t>
      </w:r>
      <w:r w:rsidR="00C62B79">
        <w:t>_SETD_</w:t>
      </w:r>
      <w:r>
        <w:t>5&gt;</w:t>
      </w:r>
    </w:p>
    <w:p w14:paraId="14E2F570" w14:textId="7652ED92" w:rsidR="00DB2FD6" w:rsidRDefault="00B770A2" w:rsidP="00DB2FD6">
      <w:permStart w:id="871588441" w:edGrp="everyone"/>
      <w:r w:rsidRPr="00B770A2">
        <w:rPr>
          <w:rFonts w:ascii="Montserrat" w:hAnsi="Montserrat"/>
          <w:szCs w:val="22"/>
          <w:lang w:val="en-US"/>
        </w:rPr>
        <w:t xml:space="preserve">As explained in Q1, </w:t>
      </w:r>
      <w:r w:rsidRPr="00B770A2">
        <w:rPr>
          <w:rFonts w:ascii="Montserrat" w:hAnsi="Montserrat"/>
          <w:szCs w:val="22"/>
          <w:lang w:val="en-US"/>
        </w:rPr>
        <w:t xml:space="preserve">it seems </w:t>
      </w:r>
      <w:r>
        <w:rPr>
          <w:rFonts w:ascii="Montserrat" w:hAnsi="Montserrat"/>
          <w:szCs w:val="22"/>
          <w:lang w:val="en-US"/>
        </w:rPr>
        <w:t xml:space="preserve">that the four exemptions listed by ESMA and that were </w:t>
      </w:r>
      <w:r w:rsidRPr="00B770A2">
        <w:rPr>
          <w:rFonts w:ascii="Montserrat" w:hAnsi="Montserrat"/>
          <w:szCs w:val="22"/>
          <w:lang w:val="en-US"/>
        </w:rPr>
        <w:t>already implemented today</w:t>
      </w:r>
      <w:r>
        <w:rPr>
          <w:rFonts w:ascii="Montserrat" w:hAnsi="Montserrat"/>
          <w:szCs w:val="22"/>
          <w:lang w:val="en-US"/>
        </w:rPr>
        <w:t xml:space="preserve">, </w:t>
      </w:r>
      <w:r w:rsidRPr="00B770A2">
        <w:rPr>
          <w:rFonts w:ascii="Montserrat" w:hAnsi="Montserrat"/>
          <w:szCs w:val="22"/>
          <w:lang w:val="en-US"/>
        </w:rPr>
        <w:t xml:space="preserve">were subject to no particular queries </w:t>
      </w:r>
      <w:r>
        <w:rPr>
          <w:rFonts w:ascii="Montserrat" w:hAnsi="Montserrat"/>
          <w:szCs w:val="22"/>
          <w:lang w:val="en-US"/>
        </w:rPr>
        <w:t xml:space="preserve">and were not </w:t>
      </w:r>
      <w:r w:rsidRPr="00B770A2">
        <w:rPr>
          <w:rFonts w:ascii="Montserrat" w:hAnsi="Montserrat"/>
          <w:szCs w:val="22"/>
          <w:lang w:val="en-US"/>
        </w:rPr>
        <w:t xml:space="preserve">pointed out as breaching the </w:t>
      </w:r>
      <w:proofErr w:type="spellStart"/>
      <w:r w:rsidRPr="00B770A2">
        <w:rPr>
          <w:rFonts w:ascii="Montserrat" w:hAnsi="Montserrat"/>
          <w:szCs w:val="22"/>
          <w:lang w:val="en-US"/>
        </w:rPr>
        <w:t>immunisation</w:t>
      </w:r>
      <w:proofErr w:type="spellEnd"/>
      <w:r w:rsidRPr="00B770A2">
        <w:rPr>
          <w:rFonts w:ascii="Montserrat" w:hAnsi="Montserrat"/>
          <w:szCs w:val="22"/>
          <w:lang w:val="en-US"/>
        </w:rPr>
        <w:t xml:space="preserve"> principle</w:t>
      </w:r>
      <w:r>
        <w:rPr>
          <w:rFonts w:ascii="Montserrat" w:hAnsi="Montserrat"/>
          <w:szCs w:val="22"/>
          <w:lang w:val="en-US"/>
        </w:rPr>
        <w:t>.</w:t>
      </w:r>
    </w:p>
    <w:permEnd w:id="871588441"/>
    <w:p w14:paraId="61EE8C86" w14:textId="3EE825F5" w:rsidR="00DB2FD6" w:rsidRDefault="00DB2FD6" w:rsidP="00DB2FD6">
      <w:r>
        <w:t>&lt;ESMA_QUESTION</w:t>
      </w:r>
      <w:r w:rsidR="00C62B79">
        <w:t>_SETD_</w:t>
      </w:r>
      <w:r>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7D449BB4" w14:textId="77777777" w:rsidR="00B770A2" w:rsidRPr="00B770A2" w:rsidRDefault="00B770A2" w:rsidP="00B770A2">
      <w:pPr>
        <w:pStyle w:val="AFGTextecourant"/>
        <w:spacing w:before="0" w:line="240" w:lineRule="atLeast"/>
        <w:jc w:val="both"/>
        <w:rPr>
          <w:rFonts w:ascii="Montserrat" w:hAnsi="Montserrat"/>
          <w:sz w:val="22"/>
          <w:szCs w:val="22"/>
          <w:lang w:val="en-GB"/>
        </w:rPr>
      </w:pPr>
      <w:permStart w:id="23540048" w:edGrp="everyone"/>
      <w:r w:rsidRPr="00B770A2">
        <w:rPr>
          <w:rFonts w:ascii="Montserrat" w:hAnsi="Montserrat"/>
          <w:sz w:val="22"/>
          <w:szCs w:val="22"/>
          <w:lang w:val="en-GB"/>
        </w:rPr>
        <w:t>Regarding the way and the timing where these exemptions should be applied, we believe that an ex-ante filtering out before penalties are applied in an automated way is preferable to avoid any manual intervention and additional processes that could be costly and burdensome for actors (we see that manual claims can actually incur greater operational costs then the value of the penalty itself). Although we don’t have a concrete view on each listed exemption, we believe that CSDs should be able to apply them automatically and on an ex-ante basis.</w:t>
      </w:r>
    </w:p>
    <w:p w14:paraId="0170DAA3" w14:textId="5571793A" w:rsidR="00DB2FD6" w:rsidRDefault="00DB2FD6" w:rsidP="00DB2FD6"/>
    <w:permEnd w:id="23540048"/>
    <w:p w14:paraId="618040B5" w14:textId="77FDB55E" w:rsidR="00DB2FD6" w:rsidRDefault="00DB2FD6" w:rsidP="00DB2FD6">
      <w:r>
        <w:t>&lt;ESMA_QUESTION</w:t>
      </w:r>
      <w:r w:rsidR="00C62B79">
        <w:t>_SETD_</w:t>
      </w:r>
      <w:r>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534868EA" w14:textId="0A2F21D0" w:rsidR="00DB2FD6" w:rsidRDefault="00B770A2" w:rsidP="00DB2FD6">
      <w:permStart w:id="988641873" w:edGrp="everyone"/>
      <w:r w:rsidRPr="00B770A2">
        <w:rPr>
          <w:rFonts w:ascii="Montserrat" w:hAnsi="Montserrat"/>
          <w:szCs w:val="22"/>
        </w:rPr>
        <w:t>A</w:t>
      </w:r>
      <w:r>
        <w:rPr>
          <w:rFonts w:ascii="Montserrat" w:hAnsi="Montserrat"/>
          <w:szCs w:val="22"/>
        </w:rPr>
        <w:t xml:space="preserve">s answered to the question above, </w:t>
      </w:r>
      <w:r w:rsidRPr="00B770A2">
        <w:rPr>
          <w:rFonts w:ascii="Montserrat" w:hAnsi="Montserrat"/>
          <w:szCs w:val="22"/>
        </w:rPr>
        <w:t xml:space="preserve">we don’t have a concrete view on </w:t>
      </w:r>
      <w:r>
        <w:rPr>
          <w:rFonts w:ascii="Montserrat" w:hAnsi="Montserrat"/>
          <w:szCs w:val="22"/>
        </w:rPr>
        <w:t xml:space="preserve">the possibility for CSDs to filter </w:t>
      </w:r>
      <w:r w:rsidRPr="00B770A2">
        <w:rPr>
          <w:rFonts w:ascii="Montserrat" w:hAnsi="Montserrat"/>
          <w:szCs w:val="22"/>
        </w:rPr>
        <w:t>each listed exemption</w:t>
      </w:r>
      <w:r>
        <w:rPr>
          <w:rFonts w:ascii="Montserrat" w:hAnsi="Montserrat"/>
          <w:szCs w:val="22"/>
        </w:rPr>
        <w:t xml:space="preserve"> in advance.</w:t>
      </w:r>
      <w:r w:rsidRPr="00B770A2">
        <w:rPr>
          <w:rFonts w:ascii="Montserrat" w:hAnsi="Montserrat"/>
          <w:szCs w:val="22"/>
        </w:rPr>
        <w:t xml:space="preserve"> </w:t>
      </w:r>
      <w:r>
        <w:rPr>
          <w:rFonts w:ascii="Montserrat" w:hAnsi="Montserrat"/>
          <w:szCs w:val="22"/>
        </w:rPr>
        <w:t xml:space="preserve">However, we believe that the process would be much easier as </w:t>
      </w:r>
      <w:r w:rsidRPr="00B770A2">
        <w:rPr>
          <w:rFonts w:ascii="Montserrat" w:hAnsi="Montserrat"/>
          <w:szCs w:val="22"/>
        </w:rPr>
        <w:t xml:space="preserve">we see that manual claims can incur greater </w:t>
      </w:r>
      <w:r w:rsidRPr="00B770A2">
        <w:rPr>
          <w:rFonts w:ascii="Montserrat" w:hAnsi="Montserrat"/>
          <w:szCs w:val="22"/>
        </w:rPr>
        <w:lastRenderedPageBreak/>
        <w:t>operational costs then the value of the penalty itself.</w:t>
      </w:r>
      <w:r>
        <w:rPr>
          <w:rFonts w:ascii="Montserrat" w:hAnsi="Montserrat"/>
          <w:szCs w:val="22"/>
        </w:rPr>
        <w:t xml:space="preserve"> We therefore believe that CSD would prefer to implement an automatic filter </w:t>
      </w:r>
      <w:r w:rsidR="00E158DF">
        <w:rPr>
          <w:rFonts w:ascii="Montserrat" w:hAnsi="Montserrat"/>
          <w:szCs w:val="22"/>
        </w:rPr>
        <w:t>before</w:t>
      </w:r>
      <w:r>
        <w:rPr>
          <w:rFonts w:ascii="Montserrat" w:hAnsi="Montserrat"/>
          <w:szCs w:val="22"/>
        </w:rPr>
        <w:t xml:space="preserve"> penalties </w:t>
      </w:r>
      <w:r w:rsidR="00E158DF">
        <w:rPr>
          <w:rFonts w:ascii="Montserrat" w:hAnsi="Montserrat"/>
          <w:szCs w:val="22"/>
        </w:rPr>
        <w:t>are applied</w:t>
      </w:r>
      <w:r>
        <w:rPr>
          <w:rFonts w:ascii="Montserrat" w:hAnsi="Montserrat"/>
          <w:szCs w:val="22"/>
        </w:rPr>
        <w:t xml:space="preserve">. </w:t>
      </w:r>
    </w:p>
    <w:permEnd w:id="988641873"/>
    <w:p w14:paraId="1BEDB459" w14:textId="02DD5603" w:rsidR="00DB2FD6" w:rsidRDefault="00DB2FD6" w:rsidP="00DB2FD6">
      <w:r>
        <w:t>&lt;ESMA_QUESTION</w:t>
      </w:r>
      <w:r w:rsidR="00C62B79">
        <w:t>_SETD_</w:t>
      </w:r>
      <w:r>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41C2ECA1" w14:textId="77777777" w:rsidR="00831048" w:rsidRPr="00831048" w:rsidRDefault="00831048" w:rsidP="00831048">
      <w:pPr>
        <w:pStyle w:val="AFGTextecourant"/>
        <w:spacing w:before="0" w:line="240" w:lineRule="atLeast"/>
        <w:jc w:val="both"/>
        <w:rPr>
          <w:rFonts w:ascii="Montserrat" w:hAnsi="Montserrat"/>
          <w:sz w:val="22"/>
          <w:szCs w:val="22"/>
          <w:lang w:val="en-GB"/>
        </w:rPr>
      </w:pPr>
      <w:permStart w:id="722757342" w:edGrp="everyone"/>
      <w:r w:rsidRPr="00831048">
        <w:rPr>
          <w:rFonts w:ascii="Montserrat" w:hAnsi="Montserrat"/>
          <w:sz w:val="22"/>
          <w:szCs w:val="22"/>
          <w:lang w:val="en-GB"/>
        </w:rPr>
        <w:t xml:space="preserve">To avoid breaches of the immunisation principle as well as inconsistencies, we believe that all exemptions that are introduced should be clearly defined. </w:t>
      </w:r>
    </w:p>
    <w:p w14:paraId="6DFCBABF" w14:textId="77777777" w:rsidR="00831048" w:rsidRPr="00831048" w:rsidRDefault="00831048" w:rsidP="00831048">
      <w:pPr>
        <w:pStyle w:val="AFGTextecourant"/>
        <w:spacing w:before="0" w:line="240" w:lineRule="atLeast"/>
        <w:jc w:val="both"/>
        <w:rPr>
          <w:rFonts w:ascii="Montserrat" w:hAnsi="Montserrat"/>
          <w:sz w:val="22"/>
          <w:szCs w:val="22"/>
          <w:lang w:val="en-GB"/>
        </w:rPr>
      </w:pPr>
    </w:p>
    <w:p w14:paraId="13951E8F" w14:textId="77777777" w:rsidR="00831048" w:rsidRPr="00831048" w:rsidRDefault="00831048" w:rsidP="00831048">
      <w:pPr>
        <w:pStyle w:val="AFGTextecourant"/>
        <w:spacing w:before="0" w:line="240" w:lineRule="atLeast"/>
        <w:jc w:val="both"/>
        <w:rPr>
          <w:rFonts w:ascii="Montserrat" w:hAnsi="Montserrat"/>
          <w:sz w:val="22"/>
          <w:szCs w:val="22"/>
          <w:lang w:val="en-GB"/>
        </w:rPr>
      </w:pPr>
      <w:r w:rsidRPr="00831048">
        <w:rPr>
          <w:rFonts w:ascii="Montserrat" w:hAnsi="Montserrat"/>
          <w:sz w:val="22"/>
          <w:szCs w:val="22"/>
          <w:lang w:val="en-GB"/>
        </w:rPr>
        <w:t>For instance, we believe that it is not crystal clear what is included in the first exemption (19.a) regarding “</w:t>
      </w:r>
      <w:r w:rsidRPr="00831048">
        <w:rPr>
          <w:rFonts w:ascii="Montserrat" w:hAnsi="Montserrat"/>
          <w:i/>
          <w:iCs/>
          <w:sz w:val="22"/>
          <w:szCs w:val="22"/>
          <w:lang w:val="en-GB"/>
        </w:rPr>
        <w:t>Free of Payment (FOP) collateral transactions</w:t>
      </w:r>
      <w:r w:rsidRPr="00831048">
        <w:rPr>
          <w:rFonts w:ascii="Montserrat" w:hAnsi="Montserrat"/>
          <w:sz w:val="22"/>
          <w:szCs w:val="22"/>
          <w:lang w:val="en-GB"/>
        </w:rPr>
        <w:t xml:space="preserve">” and notably which transactions are concerned and who is the collateral tri-party agent (I-CSD, banks/custodians). Same goes for the last exemption (19.e) proposed by ESMA i.e. “realignment operations”. Both these exemptions are too vague, making it impossible to clearly state that there won’t be a risk regarding the immunisation principle. We believe ESMA should give further details on these two cases before introducing them as exemptions to the CSDR cash penalty regime.  We’ve identified two additional cases that should be exempted : </w:t>
      </w:r>
      <w:proofErr w:type="spellStart"/>
      <w:r w:rsidRPr="00831048">
        <w:rPr>
          <w:rFonts w:ascii="Montserrat" w:hAnsi="Montserrat"/>
          <w:sz w:val="22"/>
          <w:szCs w:val="22"/>
          <w:lang w:val="en-GB"/>
        </w:rPr>
        <w:t>i</w:t>
      </w:r>
      <w:proofErr w:type="spellEnd"/>
      <w:r w:rsidRPr="00831048">
        <w:rPr>
          <w:rFonts w:ascii="Montserrat" w:hAnsi="Montserrat"/>
          <w:sz w:val="22"/>
          <w:szCs w:val="22"/>
          <w:lang w:val="en-GB"/>
        </w:rPr>
        <w:t>) situations in which there is a change of custodian and 2) situations in which there is a transfer of a position from one market to another in order to settle a trade, where no brokers are involved and where it’s rather an account-to-account transfer for the same portfolio.</w:t>
      </w:r>
    </w:p>
    <w:p w14:paraId="5AC22073" w14:textId="77777777" w:rsidR="00831048" w:rsidRPr="00831048" w:rsidRDefault="00831048" w:rsidP="00831048">
      <w:pPr>
        <w:pStyle w:val="AFGTextecourant"/>
        <w:spacing w:before="0" w:line="240" w:lineRule="atLeast"/>
        <w:jc w:val="both"/>
        <w:rPr>
          <w:rFonts w:ascii="Montserrat" w:hAnsi="Montserrat"/>
          <w:sz w:val="22"/>
          <w:szCs w:val="22"/>
          <w:lang w:val="en-GB"/>
        </w:rPr>
      </w:pPr>
    </w:p>
    <w:p w14:paraId="6463C713" w14:textId="77777777" w:rsidR="00831048" w:rsidRPr="00831048" w:rsidRDefault="00831048" w:rsidP="00831048">
      <w:pPr>
        <w:pStyle w:val="AFGTextecourant"/>
        <w:spacing w:before="0" w:line="240" w:lineRule="atLeast"/>
        <w:jc w:val="both"/>
        <w:rPr>
          <w:rFonts w:ascii="Montserrat" w:hAnsi="Montserrat"/>
          <w:sz w:val="22"/>
          <w:szCs w:val="22"/>
          <w:lang w:val="en-GB"/>
        </w:rPr>
      </w:pPr>
      <w:r w:rsidRPr="00831048">
        <w:rPr>
          <w:rFonts w:ascii="Montserrat" w:hAnsi="Montserrat"/>
          <w:sz w:val="22"/>
          <w:szCs w:val="22"/>
          <w:lang w:val="en-GB"/>
        </w:rPr>
        <w:t xml:space="preserve">Furthermore, we highly welcome ESMA’s proposal to exempt the creation and redemption of fund units on the primary market (creation and redemption of funds units) except for ETFs. We share ESMA’s proposal not to include ETF primary market transactions as an exemption to the regime as it could have a direct impact on the immunisation principle for authorised participants on ETF redemptions, meaning where a selling counterparty fails into the AP who then fails into the issuer. However, although we agree that there should be no exemption to the create/redeem between AP and issuer, we believe that the ETF create/redeem on the primary market between the issuer and CSDs should be excluded. We </w:t>
      </w:r>
      <w:r w:rsidRPr="00831048">
        <w:rPr>
          <w:rFonts w:ascii="Montserrat" w:hAnsi="Montserrat"/>
          <w:sz w:val="22"/>
          <w:szCs w:val="22"/>
          <w:lang w:val="en-GB"/>
        </w:rPr>
        <w:lastRenderedPageBreak/>
        <w:t>understand that that’s what reflected in the third exemption (19.c) “the process of technical creation of securities”.</w:t>
      </w:r>
    </w:p>
    <w:p w14:paraId="3489743D" w14:textId="4F887A26" w:rsidR="00DB2FD6" w:rsidRDefault="00DB2FD6" w:rsidP="00DB2FD6"/>
    <w:permEnd w:id="722757342"/>
    <w:p w14:paraId="183D1E1B" w14:textId="6B06A8E4" w:rsidR="00DB2FD6" w:rsidRDefault="00DB2FD6" w:rsidP="00DB2FD6">
      <w:r>
        <w:t>&lt;ESMA_QUESTION</w:t>
      </w:r>
      <w:r w:rsidR="00C62B79">
        <w:t>_SETD_</w:t>
      </w:r>
      <w:r>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Grilledutableau"/>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t>- One-off</w:t>
            </w:r>
          </w:p>
          <w:p w14:paraId="2EC8D04B"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9B9E020" w14:textId="77777777" w:rsidR="00641F03" w:rsidRDefault="00641F03" w:rsidP="00641F03">
      <w:permStart w:id="350045915" w:edGrp="everyone"/>
      <w:r>
        <w:t>TYPE YOUR TEXT HERE</w:t>
      </w:r>
    </w:p>
    <w:permEnd w:id="350045915"/>
    <w:p w14:paraId="3AD7D7FC" w14:textId="0F87E1E9" w:rsidR="00641F03" w:rsidRDefault="00641F03" w:rsidP="00641F03">
      <w:r>
        <w:t>&lt;ESMA_QUESTION</w:t>
      </w:r>
      <w:r w:rsidR="00C62B79">
        <w:t>_SETD_</w:t>
      </w:r>
      <w:r>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lastRenderedPageBreak/>
        <w:t>&lt;ESMA_QUESTION</w:t>
      </w:r>
      <w:r w:rsidR="00C62B79">
        <w:t>_SETD_</w:t>
      </w:r>
      <w:r>
        <w:t>10&gt;</w:t>
      </w:r>
    </w:p>
    <w:p w14:paraId="61E82F5F" w14:textId="77777777" w:rsidR="006E567C" w:rsidRPr="00831048" w:rsidRDefault="006E567C" w:rsidP="006E567C">
      <w:pPr>
        <w:pStyle w:val="AFGTextecourant"/>
        <w:spacing w:before="0" w:line="240" w:lineRule="atLeast"/>
        <w:jc w:val="both"/>
        <w:rPr>
          <w:rFonts w:ascii="Montserrat" w:hAnsi="Montserrat"/>
          <w:sz w:val="22"/>
          <w:szCs w:val="22"/>
          <w:lang w:val="en-GB"/>
        </w:rPr>
      </w:pPr>
      <w:permStart w:id="809982355" w:edGrp="everyone"/>
      <w:r w:rsidRPr="00831048">
        <w:rPr>
          <w:rFonts w:ascii="Montserrat" w:hAnsi="Montserrat"/>
          <w:sz w:val="22"/>
          <w:szCs w:val="22"/>
          <w:lang w:val="en-GB"/>
        </w:rPr>
        <w:t xml:space="preserve">We’ve identified two additional cases that should be exempted : </w:t>
      </w:r>
      <w:proofErr w:type="spellStart"/>
      <w:r w:rsidRPr="00831048">
        <w:rPr>
          <w:rFonts w:ascii="Montserrat" w:hAnsi="Montserrat"/>
          <w:sz w:val="22"/>
          <w:szCs w:val="22"/>
          <w:lang w:val="en-GB"/>
        </w:rPr>
        <w:t>i</w:t>
      </w:r>
      <w:proofErr w:type="spellEnd"/>
      <w:r w:rsidRPr="00831048">
        <w:rPr>
          <w:rFonts w:ascii="Montserrat" w:hAnsi="Montserrat"/>
          <w:sz w:val="22"/>
          <w:szCs w:val="22"/>
          <w:lang w:val="en-GB"/>
        </w:rPr>
        <w:t>) situations in which there is a change of custodian and 2) situations in which there is a transfer of a position from one market to another in order to settle a trade, where no brokers are involved and where it’s rather an account-to-account transfer for the same portfolio.</w:t>
      </w:r>
    </w:p>
    <w:p w14:paraId="479E4089" w14:textId="79C050C9" w:rsidR="00DB2FD6" w:rsidRDefault="00DB2FD6" w:rsidP="00DB2FD6"/>
    <w:permEnd w:id="809982355"/>
    <w:p w14:paraId="1D1E9852" w14:textId="0A0B74BA"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Grilledutableau"/>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77777777" w:rsidR="00641F03" w:rsidRDefault="00641F03" w:rsidP="00641F03">
      <w:permStart w:id="1413637038" w:edGrp="everyone"/>
      <w:r>
        <w:t>TYPE YOUR TEXT HERE</w:t>
      </w:r>
    </w:p>
    <w:permEnd w:id="1413637038"/>
    <w:p w14:paraId="009E8A42" w14:textId="373027D5"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lastRenderedPageBreak/>
        <w:t>&lt;ESMA_QUESTION</w:t>
      </w:r>
      <w:r w:rsidR="00C62B79">
        <w:t>_SETD_</w:t>
      </w:r>
      <w:r>
        <w:t>12&gt;</w:t>
      </w:r>
    </w:p>
    <w:p w14:paraId="692558A5" w14:textId="77777777" w:rsidR="005C4A25" w:rsidRPr="00831048" w:rsidRDefault="005C4A25" w:rsidP="005C4A25">
      <w:pPr>
        <w:pStyle w:val="AFGTextecourant"/>
        <w:spacing w:before="0" w:line="240" w:lineRule="atLeast"/>
        <w:jc w:val="both"/>
        <w:rPr>
          <w:rFonts w:ascii="Montserrat" w:hAnsi="Montserrat"/>
          <w:sz w:val="22"/>
          <w:szCs w:val="22"/>
          <w:lang w:val="en-GB"/>
        </w:rPr>
      </w:pPr>
      <w:permStart w:id="1552639028" w:edGrp="everyone"/>
      <w:r w:rsidRPr="00831048">
        <w:rPr>
          <w:rFonts w:ascii="Montserrat" w:hAnsi="Montserrat"/>
          <w:sz w:val="22"/>
          <w:szCs w:val="22"/>
          <w:lang w:val="en-GB"/>
        </w:rPr>
        <w:t>We share ESMA’s proposal not to include ETF primary market transactions as an exemption to the regime as it could have a direct impact on the immunisation principle for authorised participants on ETF redemptions, meaning where a selling counterparty fails into the AP who then fails into the issuer. However, although we agree that there should be no exemption to the create/redeem between AP and issuer, we believe that the ETF create/redeem on the primary market between the issuer and CSDs should be excluded. We understand that that’s what reflected in the third exemption (19.c) “the process of technical creation of securities”.</w:t>
      </w:r>
    </w:p>
    <w:p w14:paraId="1A44D2E6" w14:textId="0632E26E" w:rsidR="00DB2FD6" w:rsidRDefault="00DB2FD6" w:rsidP="00DB2FD6"/>
    <w:permEnd w:id="1552639028"/>
    <w:p w14:paraId="5D5B8B0F" w14:textId="54E08DD6" w:rsidR="00DB2FD6" w:rsidRDefault="00DB2FD6" w:rsidP="00DB2FD6">
      <w:r>
        <w:t>&lt;ESMA_QUESTION</w:t>
      </w:r>
      <w:r w:rsidR="00C62B79">
        <w:t>_SETD_</w:t>
      </w:r>
      <w:r>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rPr>
      </w:pPr>
      <w:r w:rsidRPr="005A33DE">
        <w:rPr>
          <w:b/>
        </w:rPr>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5015A0C8" w14:textId="46EC72C0" w:rsidR="005C4A25" w:rsidRPr="005C4A25" w:rsidRDefault="005C4A25" w:rsidP="005C4A25">
      <w:pPr>
        <w:pStyle w:val="AFGTextecourant"/>
        <w:spacing w:before="0" w:line="240" w:lineRule="atLeast"/>
        <w:jc w:val="both"/>
        <w:rPr>
          <w:rFonts w:ascii="Montserrat" w:hAnsi="Montserrat"/>
          <w:sz w:val="22"/>
          <w:szCs w:val="22"/>
          <w:lang w:val="en-GB"/>
        </w:rPr>
      </w:pPr>
      <w:permStart w:id="672795755" w:edGrp="everyone"/>
      <w:r w:rsidRPr="005C4A25">
        <w:rPr>
          <w:rFonts w:ascii="Montserrat" w:hAnsi="Montserrat"/>
          <w:sz w:val="22"/>
          <w:szCs w:val="22"/>
          <w:lang w:val="en-GB"/>
        </w:rPr>
        <w:t>For the same reasons explained in Q6 and Q7, h</w:t>
      </w:r>
      <w:r w:rsidRPr="005C4A25">
        <w:rPr>
          <w:rFonts w:ascii="Montserrat" w:hAnsi="Montserrat"/>
          <w:sz w:val="22"/>
          <w:szCs w:val="22"/>
          <w:lang w:val="en-GB"/>
        </w:rPr>
        <w:t>ere again</w:t>
      </w:r>
      <w:r w:rsidRPr="005C4A25">
        <w:rPr>
          <w:rFonts w:ascii="Montserrat" w:hAnsi="Montserrat"/>
          <w:sz w:val="22"/>
          <w:szCs w:val="22"/>
          <w:lang w:val="en-GB"/>
        </w:rPr>
        <w:t xml:space="preserve"> we believe </w:t>
      </w:r>
      <w:r w:rsidRPr="005C4A25">
        <w:rPr>
          <w:rFonts w:ascii="Montserrat" w:hAnsi="Montserrat"/>
          <w:sz w:val="22"/>
          <w:szCs w:val="22"/>
          <w:lang w:val="en-GB"/>
        </w:rPr>
        <w:t xml:space="preserve">these exemptions should be applied with CSD ex-ante filtering out before penalties are applied in an automated way to avoid manual intervention and burdensome processes. </w:t>
      </w:r>
    </w:p>
    <w:permEnd w:id="672795755"/>
    <w:p w14:paraId="2DDA03E8" w14:textId="68C5FDE2" w:rsidR="00DB2FD6" w:rsidRDefault="00DB2FD6" w:rsidP="00DB2FD6">
      <w:r>
        <w:t>&lt;ESMA_QUESTION</w:t>
      </w:r>
      <w:r w:rsidR="00C62B79">
        <w:t>_SETD_</w:t>
      </w:r>
      <w:r>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55080D5A" w14:textId="44568FF0" w:rsidR="00DB2FD6" w:rsidRDefault="005C4A25" w:rsidP="00DB2FD6">
      <w:permStart w:id="485633781" w:edGrp="everyone"/>
      <w:r>
        <w:t>See. Q6, Q7 and Q13.</w:t>
      </w:r>
    </w:p>
    <w:permEnd w:id="485633781"/>
    <w:p w14:paraId="30F51AED" w14:textId="611AA4FB" w:rsidR="00DB2FD6" w:rsidRDefault="00DB2FD6" w:rsidP="00DB2FD6">
      <w:r>
        <w:lastRenderedPageBreak/>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2EC5FCA2" w14:textId="77777777" w:rsidR="00DB2FD6" w:rsidRDefault="00DB2FD6" w:rsidP="00DB2FD6">
      <w:permStart w:id="376904252" w:edGrp="everyone"/>
      <w:r>
        <w:t>TYPE YOUR TEXT HERE</w:t>
      </w:r>
    </w:p>
    <w:permEnd w:id="376904252"/>
    <w:p w14:paraId="7C79ACB0" w14:textId="1492B8A3" w:rsidR="00DB2FD6" w:rsidRDefault="00DB2FD6" w:rsidP="00DB2FD6">
      <w:r>
        <w:t>&lt;ESMA_QUESTION</w:t>
      </w:r>
      <w:r w:rsidR="00C62B79">
        <w:t>_SETD_</w:t>
      </w:r>
      <w:r>
        <w:t>15&gt;</w:t>
      </w:r>
    </w:p>
    <w:sectPr w:rsidR="00DB2FD6"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EE0C" w14:textId="77777777" w:rsidR="00E135A0" w:rsidRDefault="00E135A0" w:rsidP="007E7997">
      <w:pPr>
        <w:spacing w:line="240" w:lineRule="auto"/>
      </w:pPr>
      <w:r>
        <w:separator/>
      </w:r>
    </w:p>
  </w:endnote>
  <w:endnote w:type="continuationSeparator" w:id="0">
    <w:p w14:paraId="399257A7" w14:textId="77777777" w:rsidR="00E135A0" w:rsidRDefault="00E135A0" w:rsidP="007E7997">
      <w:pPr>
        <w:spacing w:line="240" w:lineRule="auto"/>
      </w:pPr>
      <w:r>
        <w:continuationSeparator/>
      </w:r>
    </w:p>
  </w:endnote>
  <w:endnote w:type="continuationNotice" w:id="1">
    <w:p w14:paraId="3C3BB34F" w14:textId="77777777" w:rsidR="00E135A0" w:rsidRDefault="00E13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358F" w14:textId="77777777" w:rsidR="00E135A0" w:rsidRDefault="00E135A0" w:rsidP="007E7997">
      <w:pPr>
        <w:spacing w:line="240" w:lineRule="auto"/>
      </w:pPr>
      <w:r>
        <w:separator/>
      </w:r>
    </w:p>
  </w:footnote>
  <w:footnote w:type="continuationSeparator" w:id="0">
    <w:p w14:paraId="745E1BAC" w14:textId="77777777" w:rsidR="00E135A0" w:rsidRDefault="00E135A0" w:rsidP="007E7997">
      <w:pPr>
        <w:spacing w:line="240" w:lineRule="auto"/>
      </w:pPr>
      <w:r>
        <w:continuationSeparator/>
      </w:r>
    </w:p>
  </w:footnote>
  <w:footnote w:type="continuationNotice" w:id="1">
    <w:p w14:paraId="3692F156" w14:textId="77777777" w:rsidR="00E135A0" w:rsidRDefault="00E135A0">
      <w:pPr>
        <w:spacing w:after="0" w:line="240" w:lineRule="auto"/>
      </w:pPr>
    </w:p>
  </w:footnote>
  <w:footnote w:id="2">
    <w:p w14:paraId="7983BEE0" w14:textId="77777777" w:rsidR="00B770A2" w:rsidRPr="00DC2793" w:rsidRDefault="00B770A2" w:rsidP="00B770A2">
      <w:pPr>
        <w:pStyle w:val="Notedebasdepage"/>
        <w:rPr>
          <w:i/>
          <w:iCs/>
          <w:sz w:val="18"/>
          <w:szCs w:val="18"/>
        </w:rPr>
      </w:pPr>
      <w:r>
        <w:rPr>
          <w:rStyle w:val="Appelnotedebasdep"/>
        </w:rPr>
        <w:footnoteRef/>
      </w:r>
      <w:r w:rsidRPr="00DC2793">
        <w:t xml:space="preserve"> </w:t>
      </w:r>
      <w:r>
        <w:t>“</w:t>
      </w:r>
      <w:proofErr w:type="spellStart"/>
      <w:r w:rsidRPr="00DC2793">
        <w:rPr>
          <w:i/>
          <w:iCs/>
          <w:sz w:val="18"/>
          <w:szCs w:val="18"/>
        </w:rPr>
        <w:t>i</w:t>
      </w:r>
      <w:proofErr w:type="spellEnd"/>
      <w:r w:rsidRPr="00DC2793">
        <w:rPr>
          <w:i/>
          <w:iCs/>
          <w:sz w:val="18"/>
          <w:szCs w:val="18"/>
        </w:rPr>
        <w:t xml:space="preserve">) ISIN suspension from settlement due to a reconciliation issue under Article 65 (2) and (6) of the RTS on CSD Requirements; </w:t>
      </w:r>
    </w:p>
    <w:p w14:paraId="4E3E90AF" w14:textId="77777777" w:rsidR="00B770A2" w:rsidRPr="00DC2793" w:rsidRDefault="00B770A2" w:rsidP="00B770A2">
      <w:pPr>
        <w:pStyle w:val="Notedebasdepage"/>
        <w:rPr>
          <w:i/>
          <w:iCs/>
          <w:sz w:val="18"/>
          <w:szCs w:val="18"/>
        </w:rPr>
      </w:pPr>
      <w:r w:rsidRPr="00DC2793">
        <w:rPr>
          <w:i/>
          <w:iCs/>
          <w:sz w:val="18"/>
          <w:szCs w:val="18"/>
        </w:rPr>
        <w:t xml:space="preserve">ii) ISIN suspension from trading, such as for example under Article 32(1), Article 52(1), Article 69(2) of MiFID II or Article 40(1) of </w:t>
      </w:r>
      <w:proofErr w:type="spellStart"/>
      <w:r w:rsidRPr="00DC2793">
        <w:rPr>
          <w:i/>
          <w:iCs/>
          <w:sz w:val="18"/>
          <w:szCs w:val="18"/>
        </w:rPr>
        <w:t>MiFIR</w:t>
      </w:r>
      <w:proofErr w:type="spellEnd"/>
      <w:r w:rsidRPr="00DC2793">
        <w:rPr>
          <w:i/>
          <w:iCs/>
          <w:sz w:val="18"/>
          <w:szCs w:val="18"/>
        </w:rPr>
        <w:t xml:space="preserve">; </w:t>
      </w:r>
    </w:p>
    <w:p w14:paraId="51416669" w14:textId="77777777" w:rsidR="00B770A2" w:rsidRDefault="00B770A2" w:rsidP="00B770A2">
      <w:pPr>
        <w:pStyle w:val="Notedebasdepage"/>
        <w:rPr>
          <w:i/>
          <w:iCs/>
          <w:sz w:val="18"/>
          <w:szCs w:val="18"/>
        </w:rPr>
      </w:pPr>
      <w:r w:rsidRPr="00DC2793">
        <w:rPr>
          <w:i/>
          <w:iCs/>
          <w:sz w:val="18"/>
          <w:szCs w:val="18"/>
        </w:rPr>
        <w:t xml:space="preserve">iii) settlement instructions involving cash settlement outside the securities settlement system operated by the CSD if, on the respective day, the relevant payment system is closed for settlement; </w:t>
      </w:r>
    </w:p>
    <w:p w14:paraId="5502A601" w14:textId="77777777" w:rsidR="00B770A2" w:rsidRPr="00DC2793" w:rsidRDefault="00B770A2" w:rsidP="00B770A2">
      <w:pPr>
        <w:pStyle w:val="Notedebasdepage"/>
      </w:pPr>
      <w:r w:rsidRPr="00DC2793">
        <w:rPr>
          <w:i/>
          <w:iCs/>
          <w:sz w:val="18"/>
          <w:szCs w:val="18"/>
        </w:rPr>
        <w:t>iv) technical impossibilities at the CSD level that prevent settlement, such as: a failure of the infrastructure components, a cyber-attack, network problems, or T2S</w:t>
      </w:r>
      <w:r w:rsidRPr="00DC2793">
        <w:rPr>
          <w:sz w:val="18"/>
          <w:szCs w:val="18"/>
        </w:rPr>
        <w: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7BF9D54" w:rsidR="00D77369" w:rsidRPr="00DB2FD6" w:rsidRDefault="00D77369" w:rsidP="008858FE">
    <w:pPr>
      <w:pStyle w:val="En-tt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C62"/>
    <w:multiLevelType w:val="hybridMultilevel"/>
    <w:tmpl w:val="86FC12EE"/>
    <w:lvl w:ilvl="0" w:tplc="79B4903C">
      <w:start w:val="1"/>
      <w:numFmt w:val="decimal"/>
      <w:lvlText w:val="%1."/>
      <w:lvlJc w:val="left"/>
      <w:pPr>
        <w:ind w:left="1020" w:hanging="360"/>
      </w:pPr>
    </w:lvl>
    <w:lvl w:ilvl="1" w:tplc="EA52EA04">
      <w:start w:val="1"/>
      <w:numFmt w:val="decimal"/>
      <w:lvlText w:val="%2."/>
      <w:lvlJc w:val="left"/>
      <w:pPr>
        <w:ind w:left="1020" w:hanging="360"/>
      </w:pPr>
    </w:lvl>
    <w:lvl w:ilvl="2" w:tplc="38E27D52">
      <w:start w:val="1"/>
      <w:numFmt w:val="decimal"/>
      <w:lvlText w:val="%3."/>
      <w:lvlJc w:val="left"/>
      <w:pPr>
        <w:ind w:left="1020" w:hanging="360"/>
      </w:pPr>
    </w:lvl>
    <w:lvl w:ilvl="3" w:tplc="1FAA2A78">
      <w:start w:val="1"/>
      <w:numFmt w:val="decimal"/>
      <w:lvlText w:val="%4."/>
      <w:lvlJc w:val="left"/>
      <w:pPr>
        <w:ind w:left="1020" w:hanging="360"/>
      </w:pPr>
    </w:lvl>
    <w:lvl w:ilvl="4" w:tplc="C2FE08D2">
      <w:start w:val="1"/>
      <w:numFmt w:val="decimal"/>
      <w:lvlText w:val="%5."/>
      <w:lvlJc w:val="left"/>
      <w:pPr>
        <w:ind w:left="1020" w:hanging="360"/>
      </w:pPr>
    </w:lvl>
    <w:lvl w:ilvl="5" w:tplc="BD2E171A">
      <w:start w:val="1"/>
      <w:numFmt w:val="decimal"/>
      <w:lvlText w:val="%6."/>
      <w:lvlJc w:val="left"/>
      <w:pPr>
        <w:ind w:left="1020" w:hanging="360"/>
      </w:pPr>
    </w:lvl>
    <w:lvl w:ilvl="6" w:tplc="8D5CACA2">
      <w:start w:val="1"/>
      <w:numFmt w:val="decimal"/>
      <w:lvlText w:val="%7."/>
      <w:lvlJc w:val="left"/>
      <w:pPr>
        <w:ind w:left="1020" w:hanging="360"/>
      </w:pPr>
    </w:lvl>
    <w:lvl w:ilvl="7" w:tplc="43547F78">
      <w:start w:val="1"/>
      <w:numFmt w:val="decimal"/>
      <w:lvlText w:val="%8."/>
      <w:lvlJc w:val="left"/>
      <w:pPr>
        <w:ind w:left="1020" w:hanging="360"/>
      </w:pPr>
    </w:lvl>
    <w:lvl w:ilvl="8" w:tplc="8A1A6E38">
      <w:start w:val="1"/>
      <w:numFmt w:val="decimal"/>
      <w:lvlText w:val="%9."/>
      <w:lvlJc w:val="left"/>
      <w:pPr>
        <w:ind w:left="1020" w:hanging="360"/>
      </w:p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F6361"/>
    <w:multiLevelType w:val="hybridMultilevel"/>
    <w:tmpl w:val="B1A238E0"/>
    <w:lvl w:ilvl="0" w:tplc="5FF221EC">
      <w:start w:val="1"/>
      <w:numFmt w:val="bullet"/>
      <w:lvlText w:val=""/>
      <w:lvlJc w:val="left"/>
      <w:pPr>
        <w:ind w:left="720" w:hanging="360"/>
      </w:pPr>
      <w:rPr>
        <w:rFonts w:ascii="Symbol" w:hAnsi="Symbol"/>
      </w:rPr>
    </w:lvl>
    <w:lvl w:ilvl="1" w:tplc="B6C05F82">
      <w:start w:val="1"/>
      <w:numFmt w:val="bullet"/>
      <w:lvlText w:val=""/>
      <w:lvlJc w:val="left"/>
      <w:pPr>
        <w:ind w:left="720" w:hanging="360"/>
      </w:pPr>
      <w:rPr>
        <w:rFonts w:ascii="Symbol" w:hAnsi="Symbol"/>
      </w:rPr>
    </w:lvl>
    <w:lvl w:ilvl="2" w:tplc="8DBE3E98">
      <w:start w:val="1"/>
      <w:numFmt w:val="bullet"/>
      <w:lvlText w:val=""/>
      <w:lvlJc w:val="left"/>
      <w:pPr>
        <w:ind w:left="720" w:hanging="360"/>
      </w:pPr>
      <w:rPr>
        <w:rFonts w:ascii="Symbol" w:hAnsi="Symbol"/>
      </w:rPr>
    </w:lvl>
    <w:lvl w:ilvl="3" w:tplc="BEDEDD5A">
      <w:start w:val="1"/>
      <w:numFmt w:val="bullet"/>
      <w:lvlText w:val=""/>
      <w:lvlJc w:val="left"/>
      <w:pPr>
        <w:ind w:left="720" w:hanging="360"/>
      </w:pPr>
      <w:rPr>
        <w:rFonts w:ascii="Symbol" w:hAnsi="Symbol"/>
      </w:rPr>
    </w:lvl>
    <w:lvl w:ilvl="4" w:tplc="3E6AE304">
      <w:start w:val="1"/>
      <w:numFmt w:val="bullet"/>
      <w:lvlText w:val=""/>
      <w:lvlJc w:val="left"/>
      <w:pPr>
        <w:ind w:left="720" w:hanging="360"/>
      </w:pPr>
      <w:rPr>
        <w:rFonts w:ascii="Symbol" w:hAnsi="Symbol"/>
      </w:rPr>
    </w:lvl>
    <w:lvl w:ilvl="5" w:tplc="9DD0D110">
      <w:start w:val="1"/>
      <w:numFmt w:val="bullet"/>
      <w:lvlText w:val=""/>
      <w:lvlJc w:val="left"/>
      <w:pPr>
        <w:ind w:left="720" w:hanging="360"/>
      </w:pPr>
      <w:rPr>
        <w:rFonts w:ascii="Symbol" w:hAnsi="Symbol"/>
      </w:rPr>
    </w:lvl>
    <w:lvl w:ilvl="6" w:tplc="127A4D4A">
      <w:start w:val="1"/>
      <w:numFmt w:val="bullet"/>
      <w:lvlText w:val=""/>
      <w:lvlJc w:val="left"/>
      <w:pPr>
        <w:ind w:left="720" w:hanging="360"/>
      </w:pPr>
      <w:rPr>
        <w:rFonts w:ascii="Symbol" w:hAnsi="Symbol"/>
      </w:rPr>
    </w:lvl>
    <w:lvl w:ilvl="7" w:tplc="61D6D846">
      <w:start w:val="1"/>
      <w:numFmt w:val="bullet"/>
      <w:lvlText w:val=""/>
      <w:lvlJc w:val="left"/>
      <w:pPr>
        <w:ind w:left="720" w:hanging="360"/>
      </w:pPr>
      <w:rPr>
        <w:rFonts w:ascii="Symbol" w:hAnsi="Symbol"/>
      </w:rPr>
    </w:lvl>
    <w:lvl w:ilvl="8" w:tplc="73782600">
      <w:start w:val="1"/>
      <w:numFmt w:val="bullet"/>
      <w:lvlText w:val=""/>
      <w:lvlJc w:val="left"/>
      <w:pPr>
        <w:ind w:left="720" w:hanging="360"/>
      </w:pPr>
      <w:rPr>
        <w:rFonts w:ascii="Symbol" w:hAnsi="Symbol"/>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16365F"/>
    <w:multiLevelType w:val="hybridMultilevel"/>
    <w:tmpl w:val="1082973C"/>
    <w:lvl w:ilvl="0" w:tplc="809EC288">
      <w:start w:val="1"/>
      <w:numFmt w:val="bullet"/>
      <w:lvlText w:val=""/>
      <w:lvlJc w:val="left"/>
      <w:pPr>
        <w:ind w:left="720" w:hanging="360"/>
      </w:pPr>
      <w:rPr>
        <w:rFonts w:ascii="Symbol" w:hAnsi="Symbol"/>
      </w:rPr>
    </w:lvl>
    <w:lvl w:ilvl="1" w:tplc="55922DD2">
      <w:start w:val="1"/>
      <w:numFmt w:val="bullet"/>
      <w:lvlText w:val=""/>
      <w:lvlJc w:val="left"/>
      <w:pPr>
        <w:ind w:left="720" w:hanging="360"/>
      </w:pPr>
      <w:rPr>
        <w:rFonts w:ascii="Symbol" w:hAnsi="Symbol"/>
      </w:rPr>
    </w:lvl>
    <w:lvl w:ilvl="2" w:tplc="1D30FEA0">
      <w:start w:val="1"/>
      <w:numFmt w:val="bullet"/>
      <w:lvlText w:val=""/>
      <w:lvlJc w:val="left"/>
      <w:pPr>
        <w:ind w:left="720" w:hanging="360"/>
      </w:pPr>
      <w:rPr>
        <w:rFonts w:ascii="Symbol" w:hAnsi="Symbol"/>
      </w:rPr>
    </w:lvl>
    <w:lvl w:ilvl="3" w:tplc="D792AB3A">
      <w:start w:val="1"/>
      <w:numFmt w:val="bullet"/>
      <w:lvlText w:val=""/>
      <w:lvlJc w:val="left"/>
      <w:pPr>
        <w:ind w:left="720" w:hanging="360"/>
      </w:pPr>
      <w:rPr>
        <w:rFonts w:ascii="Symbol" w:hAnsi="Symbol"/>
      </w:rPr>
    </w:lvl>
    <w:lvl w:ilvl="4" w:tplc="651C67FC">
      <w:start w:val="1"/>
      <w:numFmt w:val="bullet"/>
      <w:lvlText w:val=""/>
      <w:lvlJc w:val="left"/>
      <w:pPr>
        <w:ind w:left="720" w:hanging="360"/>
      </w:pPr>
      <w:rPr>
        <w:rFonts w:ascii="Symbol" w:hAnsi="Symbol"/>
      </w:rPr>
    </w:lvl>
    <w:lvl w:ilvl="5" w:tplc="A1CC7BA2">
      <w:start w:val="1"/>
      <w:numFmt w:val="bullet"/>
      <w:lvlText w:val=""/>
      <w:lvlJc w:val="left"/>
      <w:pPr>
        <w:ind w:left="720" w:hanging="360"/>
      </w:pPr>
      <w:rPr>
        <w:rFonts w:ascii="Symbol" w:hAnsi="Symbol"/>
      </w:rPr>
    </w:lvl>
    <w:lvl w:ilvl="6" w:tplc="7A72F8B4">
      <w:start w:val="1"/>
      <w:numFmt w:val="bullet"/>
      <w:lvlText w:val=""/>
      <w:lvlJc w:val="left"/>
      <w:pPr>
        <w:ind w:left="720" w:hanging="360"/>
      </w:pPr>
      <w:rPr>
        <w:rFonts w:ascii="Symbol" w:hAnsi="Symbol"/>
      </w:rPr>
    </w:lvl>
    <w:lvl w:ilvl="7" w:tplc="A65A5050">
      <w:start w:val="1"/>
      <w:numFmt w:val="bullet"/>
      <w:lvlText w:val=""/>
      <w:lvlJc w:val="left"/>
      <w:pPr>
        <w:ind w:left="720" w:hanging="360"/>
      </w:pPr>
      <w:rPr>
        <w:rFonts w:ascii="Symbol" w:hAnsi="Symbol"/>
      </w:rPr>
    </w:lvl>
    <w:lvl w:ilvl="8" w:tplc="A6104690">
      <w:start w:val="1"/>
      <w:numFmt w:val="bullet"/>
      <w:lvlText w:val=""/>
      <w:lvlJc w:val="left"/>
      <w:pPr>
        <w:ind w:left="720" w:hanging="360"/>
      </w:pPr>
      <w:rPr>
        <w:rFonts w:ascii="Symbol" w:hAnsi="Symbol"/>
      </w:rPr>
    </w:lvl>
  </w:abstractNum>
  <w:abstractNum w:abstractNumId="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FA7F09"/>
    <w:multiLevelType w:val="hybridMultilevel"/>
    <w:tmpl w:val="BC105A20"/>
    <w:lvl w:ilvl="0" w:tplc="0FF0B0A0">
      <w:start w:val="1"/>
      <w:numFmt w:val="bullet"/>
      <w:lvlText w:val=""/>
      <w:lvlJc w:val="left"/>
      <w:pPr>
        <w:ind w:left="720" w:hanging="360"/>
      </w:pPr>
      <w:rPr>
        <w:rFonts w:ascii="Symbol" w:hAnsi="Symbol"/>
      </w:rPr>
    </w:lvl>
    <w:lvl w:ilvl="1" w:tplc="68EC8F54">
      <w:start w:val="1"/>
      <w:numFmt w:val="bullet"/>
      <w:lvlText w:val=""/>
      <w:lvlJc w:val="left"/>
      <w:pPr>
        <w:ind w:left="720" w:hanging="360"/>
      </w:pPr>
      <w:rPr>
        <w:rFonts w:ascii="Symbol" w:hAnsi="Symbol"/>
      </w:rPr>
    </w:lvl>
    <w:lvl w:ilvl="2" w:tplc="2E5262F2">
      <w:start w:val="1"/>
      <w:numFmt w:val="bullet"/>
      <w:lvlText w:val=""/>
      <w:lvlJc w:val="left"/>
      <w:pPr>
        <w:ind w:left="720" w:hanging="360"/>
      </w:pPr>
      <w:rPr>
        <w:rFonts w:ascii="Symbol" w:hAnsi="Symbol"/>
      </w:rPr>
    </w:lvl>
    <w:lvl w:ilvl="3" w:tplc="7D2A1EB8">
      <w:start w:val="1"/>
      <w:numFmt w:val="bullet"/>
      <w:lvlText w:val=""/>
      <w:lvlJc w:val="left"/>
      <w:pPr>
        <w:ind w:left="720" w:hanging="360"/>
      </w:pPr>
      <w:rPr>
        <w:rFonts w:ascii="Symbol" w:hAnsi="Symbol"/>
      </w:rPr>
    </w:lvl>
    <w:lvl w:ilvl="4" w:tplc="B99C057C">
      <w:start w:val="1"/>
      <w:numFmt w:val="bullet"/>
      <w:lvlText w:val=""/>
      <w:lvlJc w:val="left"/>
      <w:pPr>
        <w:ind w:left="720" w:hanging="360"/>
      </w:pPr>
      <w:rPr>
        <w:rFonts w:ascii="Symbol" w:hAnsi="Symbol"/>
      </w:rPr>
    </w:lvl>
    <w:lvl w:ilvl="5" w:tplc="E57A386C">
      <w:start w:val="1"/>
      <w:numFmt w:val="bullet"/>
      <w:lvlText w:val=""/>
      <w:lvlJc w:val="left"/>
      <w:pPr>
        <w:ind w:left="720" w:hanging="360"/>
      </w:pPr>
      <w:rPr>
        <w:rFonts w:ascii="Symbol" w:hAnsi="Symbol"/>
      </w:rPr>
    </w:lvl>
    <w:lvl w:ilvl="6" w:tplc="F41805E2">
      <w:start w:val="1"/>
      <w:numFmt w:val="bullet"/>
      <w:lvlText w:val=""/>
      <w:lvlJc w:val="left"/>
      <w:pPr>
        <w:ind w:left="720" w:hanging="360"/>
      </w:pPr>
      <w:rPr>
        <w:rFonts w:ascii="Symbol" w:hAnsi="Symbol"/>
      </w:rPr>
    </w:lvl>
    <w:lvl w:ilvl="7" w:tplc="0FA81AF2">
      <w:start w:val="1"/>
      <w:numFmt w:val="bullet"/>
      <w:lvlText w:val=""/>
      <w:lvlJc w:val="left"/>
      <w:pPr>
        <w:ind w:left="720" w:hanging="360"/>
      </w:pPr>
      <w:rPr>
        <w:rFonts w:ascii="Symbol" w:hAnsi="Symbol"/>
      </w:rPr>
    </w:lvl>
    <w:lvl w:ilvl="8" w:tplc="12DCD5B6">
      <w:start w:val="1"/>
      <w:numFmt w:val="bullet"/>
      <w:lvlText w:val=""/>
      <w:lvlJc w:val="left"/>
      <w:pPr>
        <w:ind w:left="720" w:hanging="360"/>
      </w:pPr>
      <w:rPr>
        <w:rFonts w:ascii="Symbol" w:hAnsi="Symbol"/>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4EE0880"/>
    <w:multiLevelType w:val="hybridMultilevel"/>
    <w:tmpl w:val="8204727E"/>
    <w:lvl w:ilvl="0" w:tplc="BA8AF45A">
      <w:start w:val="1"/>
      <w:numFmt w:val="bullet"/>
      <w:lvlText w:val=""/>
      <w:lvlJc w:val="left"/>
      <w:pPr>
        <w:ind w:left="720" w:hanging="360"/>
      </w:pPr>
      <w:rPr>
        <w:rFonts w:ascii="Symbol" w:hAnsi="Symbol"/>
      </w:rPr>
    </w:lvl>
    <w:lvl w:ilvl="1" w:tplc="AD9CE61A">
      <w:start w:val="1"/>
      <w:numFmt w:val="bullet"/>
      <w:lvlText w:val=""/>
      <w:lvlJc w:val="left"/>
      <w:pPr>
        <w:ind w:left="720" w:hanging="360"/>
      </w:pPr>
      <w:rPr>
        <w:rFonts w:ascii="Symbol" w:hAnsi="Symbol"/>
      </w:rPr>
    </w:lvl>
    <w:lvl w:ilvl="2" w:tplc="181E8F8E">
      <w:start w:val="1"/>
      <w:numFmt w:val="bullet"/>
      <w:lvlText w:val=""/>
      <w:lvlJc w:val="left"/>
      <w:pPr>
        <w:ind w:left="720" w:hanging="360"/>
      </w:pPr>
      <w:rPr>
        <w:rFonts w:ascii="Symbol" w:hAnsi="Symbol"/>
      </w:rPr>
    </w:lvl>
    <w:lvl w:ilvl="3" w:tplc="A64A00FE">
      <w:start w:val="1"/>
      <w:numFmt w:val="bullet"/>
      <w:lvlText w:val=""/>
      <w:lvlJc w:val="left"/>
      <w:pPr>
        <w:ind w:left="720" w:hanging="360"/>
      </w:pPr>
      <w:rPr>
        <w:rFonts w:ascii="Symbol" w:hAnsi="Symbol"/>
      </w:rPr>
    </w:lvl>
    <w:lvl w:ilvl="4" w:tplc="8A96463E">
      <w:start w:val="1"/>
      <w:numFmt w:val="bullet"/>
      <w:lvlText w:val=""/>
      <w:lvlJc w:val="left"/>
      <w:pPr>
        <w:ind w:left="720" w:hanging="360"/>
      </w:pPr>
      <w:rPr>
        <w:rFonts w:ascii="Symbol" w:hAnsi="Symbol"/>
      </w:rPr>
    </w:lvl>
    <w:lvl w:ilvl="5" w:tplc="25F23812">
      <w:start w:val="1"/>
      <w:numFmt w:val="bullet"/>
      <w:lvlText w:val=""/>
      <w:lvlJc w:val="left"/>
      <w:pPr>
        <w:ind w:left="720" w:hanging="360"/>
      </w:pPr>
      <w:rPr>
        <w:rFonts w:ascii="Symbol" w:hAnsi="Symbol"/>
      </w:rPr>
    </w:lvl>
    <w:lvl w:ilvl="6" w:tplc="9588F8AA">
      <w:start w:val="1"/>
      <w:numFmt w:val="bullet"/>
      <w:lvlText w:val=""/>
      <w:lvlJc w:val="left"/>
      <w:pPr>
        <w:ind w:left="720" w:hanging="360"/>
      </w:pPr>
      <w:rPr>
        <w:rFonts w:ascii="Symbol" w:hAnsi="Symbol"/>
      </w:rPr>
    </w:lvl>
    <w:lvl w:ilvl="7" w:tplc="28189FA8">
      <w:start w:val="1"/>
      <w:numFmt w:val="bullet"/>
      <w:lvlText w:val=""/>
      <w:lvlJc w:val="left"/>
      <w:pPr>
        <w:ind w:left="720" w:hanging="360"/>
      </w:pPr>
      <w:rPr>
        <w:rFonts w:ascii="Symbol" w:hAnsi="Symbol"/>
      </w:rPr>
    </w:lvl>
    <w:lvl w:ilvl="8" w:tplc="59187176">
      <w:start w:val="1"/>
      <w:numFmt w:val="bullet"/>
      <w:lvlText w:val=""/>
      <w:lvlJc w:val="left"/>
      <w:pPr>
        <w:ind w:left="720" w:hanging="360"/>
      </w:pPr>
      <w:rPr>
        <w:rFonts w:ascii="Symbol" w:hAnsi="Symbol"/>
      </w:rPr>
    </w:lvl>
  </w:abstractNum>
  <w:abstractNum w:abstractNumId="15" w15:restartNumberingAfterBreak="0">
    <w:nsid w:val="66994F01"/>
    <w:multiLevelType w:val="hybridMultilevel"/>
    <w:tmpl w:val="29F89670"/>
    <w:lvl w:ilvl="0" w:tplc="BB065EB6">
      <w:start w:val="1"/>
      <w:numFmt w:val="bullet"/>
      <w:lvlText w:val=""/>
      <w:lvlJc w:val="left"/>
      <w:pPr>
        <w:ind w:left="720" w:hanging="360"/>
      </w:pPr>
      <w:rPr>
        <w:rFonts w:ascii="Symbol" w:hAnsi="Symbol"/>
      </w:rPr>
    </w:lvl>
    <w:lvl w:ilvl="1" w:tplc="CEE4801C">
      <w:start w:val="1"/>
      <w:numFmt w:val="bullet"/>
      <w:lvlText w:val=""/>
      <w:lvlJc w:val="left"/>
      <w:pPr>
        <w:ind w:left="720" w:hanging="360"/>
      </w:pPr>
      <w:rPr>
        <w:rFonts w:ascii="Symbol" w:hAnsi="Symbol"/>
      </w:rPr>
    </w:lvl>
    <w:lvl w:ilvl="2" w:tplc="1656250A">
      <w:start w:val="1"/>
      <w:numFmt w:val="bullet"/>
      <w:lvlText w:val=""/>
      <w:lvlJc w:val="left"/>
      <w:pPr>
        <w:ind w:left="720" w:hanging="360"/>
      </w:pPr>
      <w:rPr>
        <w:rFonts w:ascii="Symbol" w:hAnsi="Symbol"/>
      </w:rPr>
    </w:lvl>
    <w:lvl w:ilvl="3" w:tplc="4A202888">
      <w:start w:val="1"/>
      <w:numFmt w:val="bullet"/>
      <w:lvlText w:val=""/>
      <w:lvlJc w:val="left"/>
      <w:pPr>
        <w:ind w:left="720" w:hanging="360"/>
      </w:pPr>
      <w:rPr>
        <w:rFonts w:ascii="Symbol" w:hAnsi="Symbol"/>
      </w:rPr>
    </w:lvl>
    <w:lvl w:ilvl="4" w:tplc="53C4106C">
      <w:start w:val="1"/>
      <w:numFmt w:val="bullet"/>
      <w:lvlText w:val=""/>
      <w:lvlJc w:val="left"/>
      <w:pPr>
        <w:ind w:left="720" w:hanging="360"/>
      </w:pPr>
      <w:rPr>
        <w:rFonts w:ascii="Symbol" w:hAnsi="Symbol"/>
      </w:rPr>
    </w:lvl>
    <w:lvl w:ilvl="5" w:tplc="683076AC">
      <w:start w:val="1"/>
      <w:numFmt w:val="bullet"/>
      <w:lvlText w:val=""/>
      <w:lvlJc w:val="left"/>
      <w:pPr>
        <w:ind w:left="720" w:hanging="360"/>
      </w:pPr>
      <w:rPr>
        <w:rFonts w:ascii="Symbol" w:hAnsi="Symbol"/>
      </w:rPr>
    </w:lvl>
    <w:lvl w:ilvl="6" w:tplc="44C498D8">
      <w:start w:val="1"/>
      <w:numFmt w:val="bullet"/>
      <w:lvlText w:val=""/>
      <w:lvlJc w:val="left"/>
      <w:pPr>
        <w:ind w:left="720" w:hanging="360"/>
      </w:pPr>
      <w:rPr>
        <w:rFonts w:ascii="Symbol" w:hAnsi="Symbol"/>
      </w:rPr>
    </w:lvl>
    <w:lvl w:ilvl="7" w:tplc="3B849414">
      <w:start w:val="1"/>
      <w:numFmt w:val="bullet"/>
      <w:lvlText w:val=""/>
      <w:lvlJc w:val="left"/>
      <w:pPr>
        <w:ind w:left="720" w:hanging="360"/>
      </w:pPr>
      <w:rPr>
        <w:rFonts w:ascii="Symbol" w:hAnsi="Symbol"/>
      </w:rPr>
    </w:lvl>
    <w:lvl w:ilvl="8" w:tplc="594C1D60">
      <w:start w:val="1"/>
      <w:numFmt w:val="bullet"/>
      <w:lvlText w:val=""/>
      <w:lvlJc w:val="left"/>
      <w:pPr>
        <w:ind w:left="720" w:hanging="360"/>
      </w:pPr>
      <w:rPr>
        <w:rFonts w:ascii="Symbol" w:hAnsi="Symbol"/>
      </w:rPr>
    </w:lvl>
  </w:abstractNum>
  <w:abstractNum w:abstractNumId="16"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933BD"/>
    <w:multiLevelType w:val="hybridMultilevel"/>
    <w:tmpl w:val="34924EC8"/>
    <w:lvl w:ilvl="0" w:tplc="E536C69C">
      <w:start w:val="1"/>
      <w:numFmt w:val="decimal"/>
      <w:lvlText w:val="%1."/>
      <w:lvlJc w:val="left"/>
      <w:pPr>
        <w:ind w:left="1020" w:hanging="360"/>
      </w:pPr>
    </w:lvl>
    <w:lvl w:ilvl="1" w:tplc="F67ED1A0">
      <w:start w:val="1"/>
      <w:numFmt w:val="decimal"/>
      <w:lvlText w:val="%2."/>
      <w:lvlJc w:val="left"/>
      <w:pPr>
        <w:ind w:left="1020" w:hanging="360"/>
      </w:pPr>
    </w:lvl>
    <w:lvl w:ilvl="2" w:tplc="7A20B824">
      <w:start w:val="1"/>
      <w:numFmt w:val="decimal"/>
      <w:lvlText w:val="%3."/>
      <w:lvlJc w:val="left"/>
      <w:pPr>
        <w:ind w:left="1020" w:hanging="360"/>
      </w:pPr>
    </w:lvl>
    <w:lvl w:ilvl="3" w:tplc="E9980A5E">
      <w:start w:val="1"/>
      <w:numFmt w:val="decimal"/>
      <w:lvlText w:val="%4."/>
      <w:lvlJc w:val="left"/>
      <w:pPr>
        <w:ind w:left="1020" w:hanging="360"/>
      </w:pPr>
    </w:lvl>
    <w:lvl w:ilvl="4" w:tplc="F6C8D8B8">
      <w:start w:val="1"/>
      <w:numFmt w:val="decimal"/>
      <w:lvlText w:val="%5."/>
      <w:lvlJc w:val="left"/>
      <w:pPr>
        <w:ind w:left="1020" w:hanging="360"/>
      </w:pPr>
    </w:lvl>
    <w:lvl w:ilvl="5" w:tplc="BD003320">
      <w:start w:val="1"/>
      <w:numFmt w:val="decimal"/>
      <w:lvlText w:val="%6."/>
      <w:lvlJc w:val="left"/>
      <w:pPr>
        <w:ind w:left="1020" w:hanging="360"/>
      </w:pPr>
    </w:lvl>
    <w:lvl w:ilvl="6" w:tplc="BA140E2C">
      <w:start w:val="1"/>
      <w:numFmt w:val="decimal"/>
      <w:lvlText w:val="%7."/>
      <w:lvlJc w:val="left"/>
      <w:pPr>
        <w:ind w:left="1020" w:hanging="360"/>
      </w:pPr>
    </w:lvl>
    <w:lvl w:ilvl="7" w:tplc="334E8AFC">
      <w:start w:val="1"/>
      <w:numFmt w:val="decimal"/>
      <w:lvlText w:val="%8."/>
      <w:lvlJc w:val="left"/>
      <w:pPr>
        <w:ind w:left="1020" w:hanging="360"/>
      </w:pPr>
    </w:lvl>
    <w:lvl w:ilvl="8" w:tplc="7A0EDCA0">
      <w:start w:val="1"/>
      <w:numFmt w:val="decimal"/>
      <w:lvlText w:val="%9."/>
      <w:lvlJc w:val="left"/>
      <w:pPr>
        <w:ind w:left="1020" w:hanging="360"/>
      </w:pPr>
    </w:lvl>
  </w:abstractNum>
  <w:abstractNum w:abstractNumId="18"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80BFA"/>
    <w:multiLevelType w:val="hybridMultilevel"/>
    <w:tmpl w:val="46F0CF08"/>
    <w:lvl w:ilvl="0" w:tplc="E794B05A">
      <w:start w:val="1"/>
      <w:numFmt w:val="bullet"/>
      <w:lvlText w:val=""/>
      <w:lvlJc w:val="left"/>
      <w:pPr>
        <w:ind w:left="720" w:hanging="360"/>
      </w:pPr>
      <w:rPr>
        <w:rFonts w:ascii="Symbol" w:hAnsi="Symbol"/>
      </w:rPr>
    </w:lvl>
    <w:lvl w:ilvl="1" w:tplc="1EDC2578">
      <w:start w:val="1"/>
      <w:numFmt w:val="bullet"/>
      <w:lvlText w:val=""/>
      <w:lvlJc w:val="left"/>
      <w:pPr>
        <w:ind w:left="720" w:hanging="360"/>
      </w:pPr>
      <w:rPr>
        <w:rFonts w:ascii="Symbol" w:hAnsi="Symbol"/>
      </w:rPr>
    </w:lvl>
    <w:lvl w:ilvl="2" w:tplc="E8DE105E">
      <w:start w:val="1"/>
      <w:numFmt w:val="bullet"/>
      <w:lvlText w:val=""/>
      <w:lvlJc w:val="left"/>
      <w:pPr>
        <w:ind w:left="720" w:hanging="360"/>
      </w:pPr>
      <w:rPr>
        <w:rFonts w:ascii="Symbol" w:hAnsi="Symbol"/>
      </w:rPr>
    </w:lvl>
    <w:lvl w:ilvl="3" w:tplc="2DA8D5A8">
      <w:start w:val="1"/>
      <w:numFmt w:val="bullet"/>
      <w:lvlText w:val=""/>
      <w:lvlJc w:val="left"/>
      <w:pPr>
        <w:ind w:left="720" w:hanging="360"/>
      </w:pPr>
      <w:rPr>
        <w:rFonts w:ascii="Symbol" w:hAnsi="Symbol"/>
      </w:rPr>
    </w:lvl>
    <w:lvl w:ilvl="4" w:tplc="38D242B4">
      <w:start w:val="1"/>
      <w:numFmt w:val="bullet"/>
      <w:lvlText w:val=""/>
      <w:lvlJc w:val="left"/>
      <w:pPr>
        <w:ind w:left="720" w:hanging="360"/>
      </w:pPr>
      <w:rPr>
        <w:rFonts w:ascii="Symbol" w:hAnsi="Symbol"/>
      </w:rPr>
    </w:lvl>
    <w:lvl w:ilvl="5" w:tplc="52F056EC">
      <w:start w:val="1"/>
      <w:numFmt w:val="bullet"/>
      <w:lvlText w:val=""/>
      <w:lvlJc w:val="left"/>
      <w:pPr>
        <w:ind w:left="720" w:hanging="360"/>
      </w:pPr>
      <w:rPr>
        <w:rFonts w:ascii="Symbol" w:hAnsi="Symbol"/>
      </w:rPr>
    </w:lvl>
    <w:lvl w:ilvl="6" w:tplc="19486968">
      <w:start w:val="1"/>
      <w:numFmt w:val="bullet"/>
      <w:lvlText w:val=""/>
      <w:lvlJc w:val="left"/>
      <w:pPr>
        <w:ind w:left="720" w:hanging="360"/>
      </w:pPr>
      <w:rPr>
        <w:rFonts w:ascii="Symbol" w:hAnsi="Symbol"/>
      </w:rPr>
    </w:lvl>
    <w:lvl w:ilvl="7" w:tplc="46A0D6E0">
      <w:start w:val="1"/>
      <w:numFmt w:val="bullet"/>
      <w:lvlText w:val=""/>
      <w:lvlJc w:val="left"/>
      <w:pPr>
        <w:ind w:left="720" w:hanging="360"/>
      </w:pPr>
      <w:rPr>
        <w:rFonts w:ascii="Symbol" w:hAnsi="Symbol"/>
      </w:rPr>
    </w:lvl>
    <w:lvl w:ilvl="8" w:tplc="CBA88916">
      <w:start w:val="1"/>
      <w:numFmt w:val="bullet"/>
      <w:lvlText w:val=""/>
      <w:lvlJc w:val="left"/>
      <w:pPr>
        <w:ind w:left="720" w:hanging="360"/>
      </w:pPr>
      <w:rPr>
        <w:rFonts w:ascii="Symbol" w:hAnsi="Symbol"/>
      </w:rPr>
    </w:lvl>
  </w:abstractNum>
  <w:abstractNum w:abstractNumId="21" w15:restartNumberingAfterBreak="0">
    <w:nsid w:val="74E84524"/>
    <w:multiLevelType w:val="hybridMultilevel"/>
    <w:tmpl w:val="5F304C48"/>
    <w:lvl w:ilvl="0" w:tplc="B9244F94">
      <w:start w:val="1"/>
      <w:numFmt w:val="bullet"/>
      <w:lvlText w:val=""/>
      <w:lvlJc w:val="left"/>
      <w:pPr>
        <w:ind w:left="720" w:hanging="360"/>
      </w:pPr>
      <w:rPr>
        <w:rFonts w:ascii="Symbol" w:hAnsi="Symbol"/>
      </w:rPr>
    </w:lvl>
    <w:lvl w:ilvl="1" w:tplc="3CA26278">
      <w:start w:val="1"/>
      <w:numFmt w:val="bullet"/>
      <w:lvlText w:val=""/>
      <w:lvlJc w:val="left"/>
      <w:pPr>
        <w:ind w:left="720" w:hanging="360"/>
      </w:pPr>
      <w:rPr>
        <w:rFonts w:ascii="Symbol" w:hAnsi="Symbol"/>
      </w:rPr>
    </w:lvl>
    <w:lvl w:ilvl="2" w:tplc="1E5AD474">
      <w:start w:val="1"/>
      <w:numFmt w:val="bullet"/>
      <w:lvlText w:val=""/>
      <w:lvlJc w:val="left"/>
      <w:pPr>
        <w:ind w:left="720" w:hanging="360"/>
      </w:pPr>
      <w:rPr>
        <w:rFonts w:ascii="Symbol" w:hAnsi="Symbol"/>
      </w:rPr>
    </w:lvl>
    <w:lvl w:ilvl="3" w:tplc="0E948A66">
      <w:start w:val="1"/>
      <w:numFmt w:val="bullet"/>
      <w:lvlText w:val=""/>
      <w:lvlJc w:val="left"/>
      <w:pPr>
        <w:ind w:left="720" w:hanging="360"/>
      </w:pPr>
      <w:rPr>
        <w:rFonts w:ascii="Symbol" w:hAnsi="Symbol"/>
      </w:rPr>
    </w:lvl>
    <w:lvl w:ilvl="4" w:tplc="04D8451E">
      <w:start w:val="1"/>
      <w:numFmt w:val="bullet"/>
      <w:lvlText w:val=""/>
      <w:lvlJc w:val="left"/>
      <w:pPr>
        <w:ind w:left="720" w:hanging="360"/>
      </w:pPr>
      <w:rPr>
        <w:rFonts w:ascii="Symbol" w:hAnsi="Symbol"/>
      </w:rPr>
    </w:lvl>
    <w:lvl w:ilvl="5" w:tplc="DD0EE552">
      <w:start w:val="1"/>
      <w:numFmt w:val="bullet"/>
      <w:lvlText w:val=""/>
      <w:lvlJc w:val="left"/>
      <w:pPr>
        <w:ind w:left="720" w:hanging="360"/>
      </w:pPr>
      <w:rPr>
        <w:rFonts w:ascii="Symbol" w:hAnsi="Symbol"/>
      </w:rPr>
    </w:lvl>
    <w:lvl w:ilvl="6" w:tplc="01DA7AE8">
      <w:start w:val="1"/>
      <w:numFmt w:val="bullet"/>
      <w:lvlText w:val=""/>
      <w:lvlJc w:val="left"/>
      <w:pPr>
        <w:ind w:left="720" w:hanging="360"/>
      </w:pPr>
      <w:rPr>
        <w:rFonts w:ascii="Symbol" w:hAnsi="Symbol"/>
      </w:rPr>
    </w:lvl>
    <w:lvl w:ilvl="7" w:tplc="99E0C3E0">
      <w:start w:val="1"/>
      <w:numFmt w:val="bullet"/>
      <w:lvlText w:val=""/>
      <w:lvlJc w:val="left"/>
      <w:pPr>
        <w:ind w:left="720" w:hanging="360"/>
      </w:pPr>
      <w:rPr>
        <w:rFonts w:ascii="Symbol" w:hAnsi="Symbol"/>
      </w:rPr>
    </w:lvl>
    <w:lvl w:ilvl="8" w:tplc="16146CDA">
      <w:start w:val="1"/>
      <w:numFmt w:val="bullet"/>
      <w:lvlText w:val=""/>
      <w:lvlJc w:val="left"/>
      <w:pPr>
        <w:ind w:left="720" w:hanging="360"/>
      </w:pPr>
      <w:rPr>
        <w:rFonts w:ascii="Symbol" w:hAnsi="Symbol"/>
      </w:rPr>
    </w:lvl>
  </w:abstractNum>
  <w:num w:numId="1" w16cid:durableId="2071421525">
    <w:abstractNumId w:val="18"/>
  </w:num>
  <w:num w:numId="2" w16cid:durableId="270287514">
    <w:abstractNumId w:val="6"/>
  </w:num>
  <w:num w:numId="3" w16cid:durableId="1675497260">
    <w:abstractNumId w:val="13"/>
  </w:num>
  <w:num w:numId="4" w16cid:durableId="1146706333">
    <w:abstractNumId w:val="5"/>
  </w:num>
  <w:num w:numId="5" w16cid:durableId="1502348752">
    <w:abstractNumId w:val="0"/>
  </w:num>
  <w:num w:numId="6" w16cid:durableId="1544101585">
    <w:abstractNumId w:val="8"/>
  </w:num>
  <w:num w:numId="7" w16cid:durableId="896626050">
    <w:abstractNumId w:val="19"/>
  </w:num>
  <w:num w:numId="8" w16cid:durableId="806780153">
    <w:abstractNumId w:val="3"/>
  </w:num>
  <w:num w:numId="9" w16cid:durableId="1677002603">
    <w:abstractNumId w:val="16"/>
  </w:num>
  <w:num w:numId="10" w16cid:durableId="22487393">
    <w:abstractNumId w:val="12"/>
  </w:num>
  <w:num w:numId="11" w16cid:durableId="270942799">
    <w:abstractNumId w:val="11"/>
  </w:num>
  <w:num w:numId="12" w16cid:durableId="10230698">
    <w:abstractNumId w:val="11"/>
    <w:lvlOverride w:ilvl="0">
      <w:startOverride w:val="1"/>
    </w:lvlOverride>
  </w:num>
  <w:num w:numId="13" w16cid:durableId="1914856611">
    <w:abstractNumId w:val="2"/>
  </w:num>
  <w:num w:numId="14" w16cid:durableId="29761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0"/>
  </w:num>
  <w:num w:numId="17" w16cid:durableId="1848058124">
    <w:abstractNumId w:val="1"/>
  </w:num>
  <w:num w:numId="18" w16cid:durableId="863136190">
    <w:abstractNumId w:val="17"/>
  </w:num>
  <w:num w:numId="19" w16cid:durableId="412437895">
    <w:abstractNumId w:val="14"/>
  </w:num>
  <w:num w:numId="20" w16cid:durableId="519927062">
    <w:abstractNumId w:val="4"/>
  </w:num>
  <w:num w:numId="21" w16cid:durableId="1115368497">
    <w:abstractNumId w:val="20"/>
  </w:num>
  <w:num w:numId="22" w16cid:durableId="604462645">
    <w:abstractNumId w:val="21"/>
  </w:num>
  <w:num w:numId="23" w16cid:durableId="874269137">
    <w:abstractNumId w:val="9"/>
  </w:num>
  <w:num w:numId="24" w16cid:durableId="974457325">
    <w:abstractNumId w:val="7"/>
  </w:num>
  <w:num w:numId="25" w16cid:durableId="40831459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54"/>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527"/>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A6D"/>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05"/>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6799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678"/>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6A8"/>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3CED"/>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1D0F"/>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0829"/>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65E"/>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2037"/>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1F"/>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4805"/>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4A25"/>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657"/>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82B"/>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AB3"/>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4C2"/>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013"/>
    <w:rsid w:val="006C712E"/>
    <w:rsid w:val="006C7352"/>
    <w:rsid w:val="006D0135"/>
    <w:rsid w:val="006D0137"/>
    <w:rsid w:val="006D050C"/>
    <w:rsid w:val="006D0638"/>
    <w:rsid w:val="006D0D23"/>
    <w:rsid w:val="006D0D35"/>
    <w:rsid w:val="006D0D98"/>
    <w:rsid w:val="006D0DBF"/>
    <w:rsid w:val="006D186B"/>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7C"/>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104"/>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048"/>
    <w:rsid w:val="0083133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E24"/>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121"/>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42A"/>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475"/>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808"/>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49DD"/>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171"/>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4E9"/>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0A2"/>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435"/>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22"/>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3AB6"/>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5A0"/>
    <w:rsid w:val="00E13809"/>
    <w:rsid w:val="00E13D25"/>
    <w:rsid w:val="00E14613"/>
    <w:rsid w:val="00E14A7D"/>
    <w:rsid w:val="00E14B9F"/>
    <w:rsid w:val="00E15153"/>
    <w:rsid w:val="00E158DF"/>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9C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A72"/>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703"/>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744"/>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4E7E"/>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8A6"/>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
    <w:name w:val="para"/>
    <w:basedOn w:val="Paragraphedelist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Policepardfaut"/>
    <w:link w:val="para"/>
    <w:rsid w:val="00641F03"/>
    <w:rPr>
      <w:bCs/>
      <w:iCs/>
      <w:color w:val="181818" w:themeColor="background1" w:themeShade="1A"/>
      <w:sz w:val="22"/>
      <w:lang w:val="en-GB"/>
    </w:rPr>
  </w:style>
  <w:style w:type="paragraph" w:customStyle="1" w:styleId="AFGTextecourant">
    <w:name w:val="AFG_Texte courant"/>
    <w:basedOn w:val="Normal"/>
    <w:uiPriority w:val="5"/>
    <w:qFormat/>
    <w:rsid w:val="00B770A2"/>
    <w:pPr>
      <w:spacing w:before="120" w:after="0" w:line="240" w:lineRule="auto"/>
      <w:jc w:val="left"/>
    </w:pPr>
    <w:rPr>
      <w:rFonts w:eastAsiaTheme="minorHAnsi"/>
      <w:color w:val="auto"/>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sites/default/files/library/esma70-708036281-2_csdr_qa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xtedelespacerserv"/>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E5527"/>
    <w:rsid w:val="0015768C"/>
    <w:rsid w:val="00167994"/>
    <w:rsid w:val="002F020F"/>
    <w:rsid w:val="0034145D"/>
    <w:rsid w:val="00396A7A"/>
    <w:rsid w:val="004E4CF9"/>
    <w:rsid w:val="004F4805"/>
    <w:rsid w:val="005B2D29"/>
    <w:rsid w:val="005D66AB"/>
    <w:rsid w:val="0068160B"/>
    <w:rsid w:val="006C7013"/>
    <w:rsid w:val="006D3543"/>
    <w:rsid w:val="0079014E"/>
    <w:rsid w:val="007A7354"/>
    <w:rsid w:val="00813189"/>
    <w:rsid w:val="008222A0"/>
    <w:rsid w:val="00836D47"/>
    <w:rsid w:val="008F7121"/>
    <w:rsid w:val="00993537"/>
    <w:rsid w:val="009B6B9C"/>
    <w:rsid w:val="009F54D5"/>
    <w:rsid w:val="00B22006"/>
    <w:rsid w:val="00B46CAE"/>
    <w:rsid w:val="00D40353"/>
    <w:rsid w:val="00DC3796"/>
    <w:rsid w:val="00DC4211"/>
    <w:rsid w:val="00F24703"/>
    <w:rsid w:val="00F81463"/>
    <w:rsid w:val="00FD4E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0353"/>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ESMA74-2119945925-2037</_dlc_DocId>
    <_dlc_DocIdUrl xmlns="d0fb0f98-34f9-4d57-9559-eb8efd17aa5e">
      <Url>https://securitiesandmarketsauth.sharepoint.com/sites/sherpa-trdu/_layouts/15/DocIdRedir.aspx?ID=ESMA74-2119945925-2037</Url>
      <Description>ESMA74-2119945925-2037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34FAE009-7B8A-4702-96E1-EB10B74C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2282</Words>
  <Characters>12551</Characters>
  <Application>Microsoft Office Word</Application>
  <DocSecurity>8</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 ROY Mathilde</cp:lastModifiedBy>
  <cp:revision>19</cp:revision>
  <cp:lastPrinted>2023-09-09T09:53:00Z</cp:lastPrinted>
  <dcterms:created xsi:type="dcterms:W3CDTF">2024-07-23T12:27:00Z</dcterms:created>
  <dcterms:modified xsi:type="dcterms:W3CDTF">2024-09-09T16:28:00Z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81db5172-c043-40ed-a78d-a0fb05a5f055</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