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01438AE1" w14:textId="2ED61AF3" w:rsidR="00563C1F" w:rsidRDefault="00EC6066" w:rsidP="00F72D28">
          <w:pPr>
            <w:pStyle w:val="Title"/>
          </w:pPr>
          <w:r>
            <w:t xml:space="preserve">Reply </w:t>
          </w:r>
          <w:r w:rsidR="00DD03DC">
            <w:t>F</w:t>
          </w:r>
          <w:r>
            <w:t>orm</w:t>
          </w:r>
        </w:p>
        <w:p w14:paraId="031F2108" w14:textId="11D8325D"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8974629"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9E56D2" w:rsidRPr="00C01571">
            <w:rPr>
              <w:rFonts w:cs="Arial"/>
              <w:b/>
              <w:sz w:val="36"/>
              <w:szCs w:val="36"/>
            </w:rPr>
            <w:t>Technical Advice on</w:t>
          </w:r>
          <w:r w:rsidR="00DB2FD6">
            <w:rPr>
              <w:rFonts w:cs="Arial"/>
              <w:b/>
              <w:sz w:val="36"/>
              <w:szCs w:val="36"/>
            </w:rPr>
            <w:t xml:space="preserve"> the Scope of</w:t>
          </w:r>
          <w:r w:rsidR="009E56D2" w:rsidRPr="00C01571">
            <w:rPr>
              <w:rFonts w:cs="Arial"/>
              <w:b/>
              <w:sz w:val="36"/>
              <w:szCs w:val="36"/>
            </w:rPr>
            <w:t xml:space="preserve"> </w:t>
          </w:r>
          <w:r w:rsidR="00413D4F" w:rsidRPr="00C01571">
            <w:rPr>
              <w:rFonts w:cs="Arial"/>
              <w:b/>
              <w:sz w:val="36"/>
              <w:szCs w:val="36"/>
            </w:rPr>
            <w:t xml:space="preserve">CSDR </w:t>
          </w:r>
          <w:r w:rsidR="00DB2FD6">
            <w:rPr>
              <w:rFonts w:cs="Arial"/>
              <w:b/>
              <w:sz w:val="36"/>
              <w:szCs w:val="36"/>
            </w:rPr>
            <w:t>Settlement Discipline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43395B1A" w:rsidR="002533FC" w:rsidRPr="005B6B12" w:rsidRDefault="002533FC" w:rsidP="002533FC">
          <w:r w:rsidRPr="005B6B12">
            <w:t xml:space="preserve">ESMA will consider all comments received by </w:t>
          </w:r>
          <w:r w:rsidR="4A420E9D" w:rsidRPr="1768F097">
            <w:rPr>
              <w:b/>
              <w:bCs/>
              <w:color w:val="auto"/>
            </w:rPr>
            <w:t>9 September</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642886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_SETD_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A8F49C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DB2FD6">
            <w:rPr>
              <w:bCs/>
            </w:rPr>
            <w:t>S</w:t>
          </w:r>
          <w:r w:rsidR="00A26FFE">
            <w:rPr>
              <w:bCs/>
            </w:rPr>
            <w:t>ETD</w:t>
          </w:r>
          <w:r w:rsidRPr="00C5469A">
            <w:rPr>
              <w:bCs/>
            </w:rPr>
            <w:t xml:space="preserve">_nameofrespondent. </w:t>
          </w:r>
        </w:p>
        <w:p w14:paraId="210BE93A" w14:textId="47EECDA8"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DB2FD6">
            <w:rPr>
              <w:bCs/>
            </w:rPr>
            <w:t>S</w:t>
          </w:r>
          <w:r w:rsidR="00A26FFE">
            <w:rPr>
              <w:bCs/>
            </w:rPr>
            <w:t>ETD</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1405DA9D"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w:t>
          </w:r>
          <w:r w:rsidR="001F6749">
            <w:t>credit institutions,</w:t>
          </w:r>
          <w:r>
            <w:t xml:space="preserve">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7C4C58C4" w:rsidR="00635BCA" w:rsidRPr="00557BD2" w:rsidRDefault="003A3731" w:rsidP="00D21C35">
                <w:r>
                  <w:t>European Central Securities Depositories Association (ECSDA)</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CSD" w:value="CSD"/>
              <w:listItem w:displayText="Investment firm" w:value="Investment firm"/>
              <w:listItem w:displayText="Credit institution" w:value="Credit institution"/>
              <w:listItem w:displayText="Asset management company" w:value="Asset management company"/>
              <w:listItem w:displayText="Issuer" w:value="Issuer"/>
              <w:listItem w:displayText="Retail investor" w:value="Retail investor"/>
              <w:listItem w:displayText="Public authority" w:value="Public authority"/>
              <w:listItem w:displayText="Other" w:value="Other"/>
            </w:comboBox>
          </w:sdtPr>
          <w:sdtContent>
            <w:tc>
              <w:tcPr>
                <w:tcW w:w="4531" w:type="dxa"/>
              </w:tcPr>
              <w:p w14:paraId="1185A96B" w14:textId="2DED6083" w:rsidR="00B17279" w:rsidRDefault="003A3731"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605104681" w:edGrp="everyone" w:displacedByCustomXml="prev"/>
            <w:tc>
              <w:tcPr>
                <w:tcW w:w="4531" w:type="dxa"/>
              </w:tcPr>
              <w:p w14:paraId="10359AFE" w14:textId="32A99378" w:rsidR="00B17279" w:rsidRDefault="003A3731" w:rsidP="00B17279">
                <w:r>
                  <w:rPr>
                    <w:rFonts w:ascii="MS Gothic" w:eastAsia="MS Gothic" w:hAnsi="MS Gothic" w:hint="eastAsia"/>
                  </w:rPr>
                  <w:t>☒</w:t>
                </w:r>
              </w:p>
            </w:tc>
            <w:permEnd w:id="605104681"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473609B4" w:rsidR="00B17279" w:rsidRPr="00557BD2" w:rsidRDefault="003A3731" w:rsidP="00B17279">
                <w:r>
                  <w:t>Belgium</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Heading1"/>
        <w:rPr>
          <w:lang w:val="fr-BE"/>
        </w:rPr>
      </w:pPr>
      <w:r w:rsidRPr="00557BD2">
        <w:rPr>
          <w:lang w:val="fr-BE"/>
        </w:rPr>
        <w:t>Questions</w:t>
      </w:r>
    </w:p>
    <w:p w14:paraId="0CF2DF83" w14:textId="77777777" w:rsidR="00DB2FD6" w:rsidRDefault="00DB2FD6" w:rsidP="00DB2FD6">
      <w:pPr>
        <w:pStyle w:val="Questionstyle"/>
        <w:numPr>
          <w:ilvl w:val="0"/>
          <w:numId w:val="14"/>
        </w:numPr>
        <w:tabs>
          <w:tab w:val="clear" w:pos="567"/>
        </w:tabs>
        <w:spacing w:after="240" w:line="256" w:lineRule="auto"/>
        <w:ind w:left="851" w:hanging="851"/>
        <w:rPr>
          <w:color w:val="auto"/>
        </w:rPr>
      </w:pPr>
      <w:r>
        <w:t xml:space="preserve">Do you agree with ESMA’s proposal regarding the underlying causes of settlement fails that are considered as not attributable to the participants in the transactions? Please specify which cases you agree with and which cases you don’t agree with (if applicable). Please justify your answer and provide examples and data where available. </w:t>
      </w:r>
    </w:p>
    <w:p w14:paraId="5C756AF2" w14:textId="3C9A4B69" w:rsidR="00DB2FD6" w:rsidRDefault="00DB2FD6" w:rsidP="00DB2FD6">
      <w:r>
        <w:t>&lt;ESMA_QUESTION</w:t>
      </w:r>
      <w:r w:rsidR="00C62B79">
        <w:t>_SETD_</w:t>
      </w:r>
      <w:r>
        <w:t>1&gt;</w:t>
      </w:r>
    </w:p>
    <w:p w14:paraId="29A69A90" w14:textId="77777777" w:rsidR="003A3731" w:rsidRDefault="003A3731" w:rsidP="003A3731">
      <w:pPr>
        <w:pStyle w:val="NormalWeb"/>
        <w:rPr>
          <w:color w:val="000000"/>
          <w:sz w:val="27"/>
          <w:szCs w:val="27"/>
        </w:rPr>
      </w:pPr>
      <w:permStart w:id="2091009738" w:edGrp="everyone"/>
      <w:r>
        <w:rPr>
          <w:color w:val="000000"/>
          <w:sz w:val="27"/>
          <w:szCs w:val="27"/>
        </w:rPr>
        <w:t>Considering the current practice applied by CSDs in line with the “ECSDA Penalties Framework”, we generally support ESMA´s proposal to focus on transactions and data that are truly relevant regarding settlement and financial risk aspects and specify settlement fails that are considered as “not attributable to the participants in the transactions”.</w:t>
      </w:r>
    </w:p>
    <w:p w14:paraId="77844121" w14:textId="77777777" w:rsidR="003A3731" w:rsidRDefault="003A3731" w:rsidP="003A3731">
      <w:pPr>
        <w:pStyle w:val="NormalWeb"/>
        <w:rPr>
          <w:color w:val="000000"/>
          <w:sz w:val="27"/>
          <w:szCs w:val="27"/>
        </w:rPr>
      </w:pPr>
      <w:r>
        <w:rPr>
          <w:color w:val="000000"/>
          <w:sz w:val="27"/>
          <w:szCs w:val="27"/>
        </w:rPr>
        <w:t>To ensure a smooth application of any changes to the current set-up, sufficient lead time must be granted to all stakeholders so that their IT department can implement and enact any system changes.</w:t>
      </w:r>
    </w:p>
    <w:p w14:paraId="27C37F62" w14:textId="77777777" w:rsidR="003A3731" w:rsidRDefault="003A3731" w:rsidP="003A3731">
      <w:pPr>
        <w:pStyle w:val="NormalWeb"/>
        <w:rPr>
          <w:color w:val="000000"/>
          <w:sz w:val="27"/>
          <w:szCs w:val="27"/>
        </w:rPr>
      </w:pPr>
      <w:r>
        <w:rPr>
          <w:color w:val="000000"/>
          <w:sz w:val="27"/>
          <w:szCs w:val="27"/>
        </w:rPr>
        <w:t xml:space="preserve">Although the general approach makes sense to us, we disagree with the proposal regarding the ISIN suspension from trading, unless the approach to be taken is acknowledged by ESMA, i.e. CSDs will have to continue to rely on the “tradable” ISINs listed in the ESMA FIRDS database to identify those ISINs in the scope of the SDR. Should suspended ISINs be out of SDR scope, all relevant Trading Venues must ensure that such ISINs listed in FIRDS are labelled as “invalid” or do not appear at all. Otherwise, it would be practically impossible and unreasonable </w:t>
      </w:r>
      <w:r>
        <w:rPr>
          <w:color w:val="000000"/>
          <w:sz w:val="27"/>
          <w:szCs w:val="27"/>
        </w:rPr>
        <w:lastRenderedPageBreak/>
        <w:t>for CSDs and T2S to consider trading suspension as not attributable to the participants in case of settlement fails. As a result, penalties would continue to be applied and no appeals would be accepted by CSDs (same as already today and as stated in the ECSDA Penalties Framework).</w:t>
      </w:r>
    </w:p>
    <w:p w14:paraId="11FA97C3" w14:textId="77777777" w:rsidR="003A3731" w:rsidRDefault="003A3731" w:rsidP="003A3731">
      <w:pPr>
        <w:pStyle w:val="NormalWeb"/>
        <w:rPr>
          <w:color w:val="000000"/>
          <w:sz w:val="27"/>
          <w:szCs w:val="27"/>
        </w:rPr>
      </w:pPr>
      <w:r>
        <w:rPr>
          <w:color w:val="000000"/>
          <w:sz w:val="27"/>
          <w:szCs w:val="27"/>
        </w:rPr>
        <w:t>In addition, it should be considered that the suspension of ISIN from trading venues does not trigger per se the exclusion of ISIN from the scope of settlement discipline according to Article 7. Indeed, ISIN would still be eligible for settlement and therefore there could be fails in settlement instructions related to OTC trading. In our view only ISIN delisted or excluded from trading should be considered out of scope.</w:t>
      </w:r>
    </w:p>
    <w:p w14:paraId="559CE06A" w14:textId="77777777" w:rsidR="003A3731" w:rsidRDefault="003A3731" w:rsidP="003A3731">
      <w:pPr>
        <w:pStyle w:val="NormalWeb"/>
        <w:rPr>
          <w:color w:val="000000"/>
          <w:sz w:val="27"/>
          <w:szCs w:val="27"/>
        </w:rPr>
      </w:pPr>
      <w:r>
        <w:rPr>
          <w:color w:val="000000"/>
          <w:sz w:val="27"/>
          <w:szCs w:val="27"/>
        </w:rPr>
        <w:t>We agree instead to exclude the following:</w:t>
      </w:r>
    </w:p>
    <w:p w14:paraId="7E5A34C5" w14:textId="77777777" w:rsidR="003A3731" w:rsidRDefault="003A3731" w:rsidP="003A3731">
      <w:pPr>
        <w:pStyle w:val="NormalWeb"/>
        <w:rPr>
          <w:color w:val="000000"/>
          <w:sz w:val="27"/>
          <w:szCs w:val="27"/>
        </w:rPr>
      </w:pPr>
      <w:r>
        <w:rPr>
          <w:color w:val="000000"/>
          <w:sz w:val="27"/>
          <w:szCs w:val="27"/>
        </w:rPr>
        <w:t>I. ISIN suspension from the settlement due to a reconciliation issue;</w:t>
      </w:r>
    </w:p>
    <w:p w14:paraId="65A769D7" w14:textId="77777777" w:rsidR="003A3731" w:rsidRDefault="003A3731" w:rsidP="003A3731">
      <w:pPr>
        <w:pStyle w:val="NormalWeb"/>
        <w:rPr>
          <w:color w:val="000000"/>
          <w:sz w:val="27"/>
          <w:szCs w:val="27"/>
        </w:rPr>
      </w:pPr>
      <w:r>
        <w:rPr>
          <w:color w:val="000000"/>
          <w:sz w:val="27"/>
          <w:szCs w:val="27"/>
        </w:rPr>
        <w:t>II. settlement instructions involving cash settlement outside the securities settlement system operated by the CSD if, on the respective day, the relevant payment system is closed for settlement;</w:t>
      </w:r>
    </w:p>
    <w:p w14:paraId="62945C1B" w14:textId="77777777" w:rsidR="003A3731" w:rsidRDefault="003A3731" w:rsidP="003A3731">
      <w:pPr>
        <w:pStyle w:val="NormalWeb"/>
        <w:rPr>
          <w:color w:val="000000"/>
          <w:sz w:val="27"/>
          <w:szCs w:val="27"/>
        </w:rPr>
      </w:pPr>
      <w:r>
        <w:rPr>
          <w:color w:val="000000"/>
          <w:sz w:val="27"/>
          <w:szCs w:val="27"/>
        </w:rPr>
        <w:t>III. technical impossibilities at the CSD level that prevent settlement, such as a failure of the infrastructure components, a cyber-attack, network problems, or technical (IT) issues in the system of the CSD;</w:t>
      </w:r>
    </w:p>
    <w:p w14:paraId="709E7370" w14:textId="77777777" w:rsidR="003A3731" w:rsidRDefault="003A3731" w:rsidP="003A3731">
      <w:pPr>
        <w:pStyle w:val="NormalWeb"/>
        <w:rPr>
          <w:color w:val="000000"/>
          <w:sz w:val="27"/>
          <w:szCs w:val="27"/>
        </w:rPr>
      </w:pPr>
      <w:r>
        <w:rPr>
          <w:color w:val="000000"/>
          <w:sz w:val="27"/>
          <w:szCs w:val="27"/>
        </w:rPr>
        <w:t>IV. settlement instructions involving securities under sanctions or anti-money laundering proceedings ;</w:t>
      </w:r>
    </w:p>
    <w:p w14:paraId="09BF84A7" w14:textId="77777777" w:rsidR="003A3731" w:rsidRDefault="003A3731" w:rsidP="003A3731">
      <w:pPr>
        <w:pStyle w:val="NormalWeb"/>
        <w:rPr>
          <w:color w:val="000000"/>
          <w:sz w:val="27"/>
          <w:szCs w:val="27"/>
        </w:rPr>
      </w:pPr>
      <w:r>
        <w:rPr>
          <w:color w:val="000000"/>
          <w:sz w:val="27"/>
          <w:szCs w:val="27"/>
        </w:rPr>
        <w:t>V. settlement instructions put on hold due to the order issued by a court, the police or a similar authority with the relevant mandate.</w:t>
      </w:r>
    </w:p>
    <w:permEnd w:id="2091009738"/>
    <w:p w14:paraId="26FA7BAC" w14:textId="24A9EB11" w:rsidR="00DB2FD6" w:rsidRDefault="00DB2FD6" w:rsidP="00DB2FD6">
      <w:r>
        <w:t>&lt;ESMA_QUESTION</w:t>
      </w:r>
      <w:r w:rsidR="00C62B79">
        <w:t>_SETD_</w:t>
      </w:r>
      <w:r>
        <w:t>1&gt;</w:t>
      </w:r>
    </w:p>
    <w:p w14:paraId="72672F07" w14:textId="77777777" w:rsidR="00DB2FD6" w:rsidRDefault="00DB2FD6" w:rsidP="00DB2FD6"/>
    <w:p w14:paraId="168DDE1B" w14:textId="748D07D9" w:rsidR="00641F03" w:rsidRDefault="00DB2FD6" w:rsidP="00641F03">
      <w:pPr>
        <w:pStyle w:val="Questionstyle"/>
        <w:numPr>
          <w:ilvl w:val="0"/>
          <w:numId w:val="14"/>
        </w:numPr>
        <w:tabs>
          <w:tab w:val="clear" w:pos="567"/>
        </w:tabs>
        <w:spacing w:after="240" w:line="256" w:lineRule="auto"/>
        <w:ind w:left="851" w:hanging="851"/>
      </w:pPr>
      <w:r>
        <w:t xml:space="preserve">ESMA would like to ask for the stakeholders’ views on the costs and benefits of the implementation of </w:t>
      </w:r>
      <w:r w:rsidR="00FF2B09">
        <w:t xml:space="preserve">the </w:t>
      </w:r>
      <w:r>
        <w:t xml:space="preserve">respective exemptions from settlement discipline (based on the underlying causes of settlement fails that are considered as not attributable to the participants in the transactions). Please use the table below. Where relevant, additional tables, graphs and information may be included in </w:t>
      </w:r>
      <w:r>
        <w:lastRenderedPageBreak/>
        <w:t xml:space="preserve">order to support some of the arguments or calculations presented in the table below.  </w:t>
      </w:r>
    </w:p>
    <w:tbl>
      <w:tblPr>
        <w:tblStyle w:val="TableGrid"/>
        <w:tblW w:w="0" w:type="auto"/>
        <w:tblLook w:val="04A0" w:firstRow="1" w:lastRow="0" w:firstColumn="1" w:lastColumn="0" w:noHBand="0" w:noVBand="1"/>
      </w:tblPr>
      <w:tblGrid>
        <w:gridCol w:w="2578"/>
        <w:gridCol w:w="3057"/>
        <w:gridCol w:w="3417"/>
      </w:tblGrid>
      <w:tr w:rsidR="00641F03" w14:paraId="724D5CC6"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E6BB4B8" w14:textId="77777777" w:rsidR="00641F03" w:rsidRPr="00680B73" w:rsidRDefault="00641F03">
            <w:pPr>
              <w:spacing w:after="0"/>
              <w:rPr>
                <w:b/>
                <w:bCs/>
              </w:rPr>
            </w:pPr>
            <w:r w:rsidRPr="00680B73">
              <w:rPr>
                <w:b/>
                <w:bCs/>
              </w:rPr>
              <w:t>ESMA’s proposal</w:t>
            </w:r>
            <w:r>
              <w:rPr>
                <w:b/>
                <w:bCs/>
              </w:rPr>
              <w:t xml:space="preserve"> - </w:t>
            </w:r>
            <w:r w:rsidRPr="00EE3C03">
              <w:rPr>
                <w:b/>
                <w:bCs/>
              </w:rPr>
              <w:t>underlying causes of settlement fails that are considered as not attributable to the participants in the transactions</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500CE49" w14:textId="77777777" w:rsidR="00641F03" w:rsidRDefault="00641F03">
            <w:pPr>
              <w:spacing w:after="0"/>
            </w:pPr>
            <w:r w:rsidRPr="263AF6BA">
              <w:rPr>
                <w:rFonts w:ascii="Arial" w:eastAsia="Arial" w:hAnsi="Arial" w:cs="Arial"/>
              </w:rPr>
              <w:t xml:space="preserve"> </w:t>
            </w:r>
          </w:p>
          <w:p w14:paraId="4AF69F62" w14:textId="77777777" w:rsidR="00641F03" w:rsidRDefault="00641F03">
            <w:pPr>
              <w:spacing w:after="0"/>
            </w:pPr>
            <w:r w:rsidRPr="263AF6BA">
              <w:rPr>
                <w:rFonts w:ascii="Arial" w:eastAsia="Arial" w:hAnsi="Arial" w:cs="Arial"/>
              </w:rPr>
              <w:t xml:space="preserve"> </w:t>
            </w:r>
          </w:p>
        </w:tc>
      </w:tr>
      <w:tr w:rsidR="00641F03" w14:paraId="0EC89465"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CED0088" w14:textId="77777777" w:rsidR="00641F03" w:rsidRDefault="00641F03">
            <w:pPr>
              <w:spacing w:after="0"/>
            </w:pPr>
            <w:r w:rsidRPr="263AF6BA">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B3A2AC3" w14:textId="77777777" w:rsidR="00641F03" w:rsidRDefault="00641F03">
            <w:pPr>
              <w:spacing w:after="0"/>
            </w:pPr>
            <w:r w:rsidRPr="263AF6BA">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874E03" w14:textId="77777777" w:rsidR="00641F03" w:rsidRDefault="00641F03">
            <w:pPr>
              <w:spacing w:after="0"/>
            </w:pPr>
            <w:r w:rsidRPr="263AF6BA">
              <w:rPr>
                <w:rFonts w:ascii="Arial" w:eastAsia="Arial" w:hAnsi="Arial" w:cs="Arial"/>
                <w:b/>
                <w:bCs/>
              </w:rPr>
              <w:t>Quantitative description/ Data</w:t>
            </w:r>
          </w:p>
        </w:tc>
      </w:tr>
      <w:tr w:rsidR="00641F03" w14:paraId="0A8BDF6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FF1AF39" w14:textId="77777777" w:rsidR="00641F03" w:rsidRDefault="00641F03">
            <w:pPr>
              <w:spacing w:after="0"/>
            </w:pPr>
            <w:r w:rsidRPr="263AF6BA">
              <w:rPr>
                <w:rFonts w:ascii="Arial" w:eastAsia="Arial" w:hAnsi="Arial" w:cs="Arial"/>
                <w:b/>
                <w:bCs/>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5DBF0F4"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B792E9" w14:textId="77777777" w:rsidR="00641F03" w:rsidRDefault="00641F03">
            <w:pPr>
              <w:spacing w:after="0"/>
            </w:pPr>
            <w:r w:rsidRPr="263AF6BA">
              <w:rPr>
                <w:rFonts w:ascii="Arial" w:eastAsia="Arial" w:hAnsi="Arial" w:cs="Arial"/>
              </w:rPr>
              <w:t xml:space="preserve"> </w:t>
            </w:r>
          </w:p>
        </w:tc>
      </w:tr>
      <w:tr w:rsidR="00641F03" w14:paraId="09FC954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306DF7E" w14:textId="77777777" w:rsidR="00641F03" w:rsidRDefault="00641F03">
            <w:pPr>
              <w:spacing w:after="0"/>
            </w:pPr>
            <w:r w:rsidRPr="263AF6BA">
              <w:rPr>
                <w:rFonts w:ascii="Arial" w:eastAsia="Arial" w:hAnsi="Arial" w:cs="Arial"/>
                <w:b/>
                <w:bCs/>
              </w:rPr>
              <w:t>Compliance costs:</w:t>
            </w:r>
          </w:p>
          <w:p w14:paraId="29B8B386" w14:textId="77777777" w:rsidR="00641F03" w:rsidRDefault="00641F03">
            <w:pPr>
              <w:spacing w:after="0"/>
            </w:pPr>
            <w:r w:rsidRPr="263AF6BA">
              <w:rPr>
                <w:rFonts w:ascii="Arial" w:eastAsia="Arial" w:hAnsi="Arial" w:cs="Arial"/>
                <w:b/>
                <w:bCs/>
              </w:rPr>
              <w:t>- One-off</w:t>
            </w:r>
          </w:p>
          <w:p w14:paraId="2DCBF1D9" w14:textId="77777777" w:rsidR="00641F03" w:rsidRDefault="00641F03">
            <w:pPr>
              <w:spacing w:after="0"/>
            </w:pPr>
            <w:r w:rsidRPr="263AF6BA">
              <w:rPr>
                <w:rFonts w:ascii="Arial" w:eastAsia="Arial" w:hAnsi="Arial" w:cs="Arial"/>
                <w:b/>
                <w:bC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409E754"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AFC3EA9" w14:textId="77777777" w:rsidR="00641F03" w:rsidRDefault="00641F03">
            <w:pPr>
              <w:spacing w:after="0"/>
            </w:pPr>
            <w:r w:rsidRPr="263AF6BA">
              <w:rPr>
                <w:rFonts w:ascii="Arial" w:eastAsia="Arial" w:hAnsi="Arial" w:cs="Arial"/>
              </w:rPr>
              <w:t xml:space="preserve"> </w:t>
            </w:r>
          </w:p>
        </w:tc>
      </w:tr>
      <w:tr w:rsidR="00641F03" w14:paraId="3DEF431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9F70A33" w14:textId="77777777" w:rsidR="00641F03" w:rsidRDefault="00641F03">
            <w:pPr>
              <w:spacing w:after="0"/>
            </w:pPr>
            <w:r w:rsidRPr="263AF6BA">
              <w:rPr>
                <w:rFonts w:ascii="Arial" w:eastAsia="Arial" w:hAnsi="Arial" w:cs="Arial"/>
                <w:b/>
                <w:bCs/>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54F1EB8"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75A4AAA" w14:textId="77777777" w:rsidR="00641F03" w:rsidRDefault="00641F03">
            <w:pPr>
              <w:spacing w:after="0"/>
            </w:pPr>
            <w:r w:rsidRPr="263AF6BA">
              <w:rPr>
                <w:rFonts w:ascii="Arial" w:eastAsia="Arial" w:hAnsi="Arial" w:cs="Arial"/>
              </w:rPr>
              <w:t xml:space="preserve"> </w:t>
            </w:r>
          </w:p>
        </w:tc>
      </w:tr>
      <w:tr w:rsidR="00641F03" w14:paraId="6FE70E0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EED68FA" w14:textId="77777777" w:rsidR="00641F03" w:rsidRDefault="00641F03">
            <w:pPr>
              <w:spacing w:after="0"/>
            </w:pPr>
            <w:r w:rsidRPr="263AF6BA">
              <w:rPr>
                <w:rFonts w:ascii="Arial" w:eastAsia="Arial" w:hAnsi="Arial" w:cs="Arial"/>
                <w:b/>
                <w:bCs/>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4E10B53"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87C3417" w14:textId="77777777" w:rsidR="00641F03" w:rsidRDefault="00641F03">
            <w:pPr>
              <w:spacing w:after="0"/>
              <w:rPr>
                <w:rFonts w:ascii="Arial" w:eastAsia="Arial" w:hAnsi="Arial" w:cs="Arial"/>
              </w:rPr>
            </w:pPr>
          </w:p>
        </w:tc>
      </w:tr>
    </w:tbl>
    <w:p w14:paraId="7FF03D46" w14:textId="77777777" w:rsidR="00641F03" w:rsidRPr="00641F03" w:rsidRDefault="00641F03" w:rsidP="00641F03">
      <w:pPr>
        <w:rPr>
          <w:b/>
          <w:bCs/>
        </w:rPr>
      </w:pPr>
    </w:p>
    <w:p w14:paraId="32DF932D" w14:textId="489E088A" w:rsidR="00641F03" w:rsidRDefault="00641F03" w:rsidP="00641F03">
      <w:r>
        <w:t>&lt;ESMA_QUESTION</w:t>
      </w:r>
      <w:r w:rsidR="00C62B79">
        <w:t>_SETD_</w:t>
      </w:r>
      <w:r>
        <w:t>2&gt;</w:t>
      </w:r>
    </w:p>
    <w:p w14:paraId="636DAFA1" w14:textId="77777777" w:rsidR="003A3731" w:rsidRDefault="003A3731" w:rsidP="00DB2FD6">
      <w:pPr>
        <w:rPr>
          <w:color w:val="000000"/>
          <w:sz w:val="27"/>
          <w:szCs w:val="27"/>
        </w:rPr>
      </w:pPr>
      <w:permStart w:id="757683016" w:edGrp="everyone"/>
      <w:r>
        <w:rPr>
          <w:color w:val="000000"/>
          <w:sz w:val="27"/>
          <w:szCs w:val="27"/>
        </w:rPr>
        <w:t>N.A. for ECSDA.</w:t>
      </w:r>
    </w:p>
    <w:permEnd w:id="757683016"/>
    <w:p w14:paraId="30136E44" w14:textId="03AB7329" w:rsidR="00DB2FD6" w:rsidRDefault="00641F03" w:rsidP="00DB2FD6">
      <w:r>
        <w:t>&lt;ESMA_QUESTION</w:t>
      </w:r>
      <w:r w:rsidR="00C62B79">
        <w:t>_SETD_</w:t>
      </w:r>
      <w:r>
        <w:t>2&gt;</w:t>
      </w:r>
    </w:p>
    <w:p w14:paraId="04D39B13" w14:textId="77777777" w:rsidR="00641F03" w:rsidRDefault="00641F03" w:rsidP="00DB2FD6"/>
    <w:p w14:paraId="7479EABC" w14:textId="77777777" w:rsidR="00DB2FD6" w:rsidRDefault="00DB2FD6" w:rsidP="00DB2FD6">
      <w:pPr>
        <w:pStyle w:val="Questionstyle"/>
        <w:numPr>
          <w:ilvl w:val="0"/>
          <w:numId w:val="14"/>
        </w:numPr>
        <w:tabs>
          <w:tab w:val="clear" w:pos="567"/>
        </w:tabs>
        <w:spacing w:after="240" w:line="256" w:lineRule="auto"/>
        <w:ind w:left="851" w:hanging="851"/>
      </w:pPr>
      <w:r>
        <w:t>Do you have other suggestions regarding the underlying causes of settlement fails that are considered as not attributable to the participants in the transactions? Please justify your answer and provide examples and data where available.</w:t>
      </w:r>
    </w:p>
    <w:p w14:paraId="042F2BCE" w14:textId="286F32B1" w:rsidR="00DB2FD6" w:rsidRDefault="00DB2FD6" w:rsidP="00DB2FD6">
      <w:r>
        <w:t>&lt;ESMA_QUESTION</w:t>
      </w:r>
      <w:r w:rsidR="00C62B79">
        <w:t>_SETD_</w:t>
      </w:r>
      <w:r>
        <w:t>3&gt;</w:t>
      </w:r>
    </w:p>
    <w:p w14:paraId="44068757" w14:textId="77777777" w:rsidR="003A3731" w:rsidRDefault="003A3731" w:rsidP="00DB2FD6">
      <w:pPr>
        <w:rPr>
          <w:color w:val="000000"/>
          <w:sz w:val="27"/>
          <w:szCs w:val="27"/>
        </w:rPr>
      </w:pPr>
      <w:permStart w:id="1724912856" w:edGrp="everyone"/>
      <w:r>
        <w:rPr>
          <w:color w:val="000000"/>
          <w:sz w:val="27"/>
          <w:szCs w:val="27"/>
        </w:rPr>
        <w:t>See our feedback to Q1</w:t>
      </w:r>
    </w:p>
    <w:permEnd w:id="1724912856"/>
    <w:p w14:paraId="127846B2" w14:textId="20219965" w:rsidR="00DB2FD6" w:rsidRDefault="00DB2FD6" w:rsidP="00DB2FD6">
      <w:r>
        <w:t>&lt;ESMA_QUESTION</w:t>
      </w:r>
      <w:r w:rsidR="00C62B79">
        <w:t>_SETD_</w:t>
      </w:r>
      <w:r>
        <w:t>3&gt;</w:t>
      </w:r>
    </w:p>
    <w:p w14:paraId="02BEE66D" w14:textId="77777777" w:rsidR="00641F03" w:rsidRDefault="00641F03" w:rsidP="00DB2FD6"/>
    <w:p w14:paraId="5D140E62" w14:textId="5D41E199" w:rsidR="00641F03" w:rsidRDefault="00DB2FD6" w:rsidP="00641F03">
      <w:pPr>
        <w:pStyle w:val="Questionstyle"/>
        <w:numPr>
          <w:ilvl w:val="0"/>
          <w:numId w:val="14"/>
        </w:numPr>
        <w:tabs>
          <w:tab w:val="clear" w:pos="567"/>
        </w:tabs>
        <w:spacing w:after="240" w:line="256" w:lineRule="auto"/>
        <w:ind w:left="851" w:hanging="851"/>
      </w:pPr>
      <w:r>
        <w:lastRenderedPageBreak/>
        <w:t xml:space="preserve">If you have answered yes to the previous question,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tbl>
      <w:tblPr>
        <w:tblStyle w:val="TableGrid"/>
        <w:tblW w:w="0" w:type="auto"/>
        <w:tblLayout w:type="fixed"/>
        <w:tblLook w:val="04A0" w:firstRow="1" w:lastRow="0" w:firstColumn="1" w:lastColumn="0" w:noHBand="0" w:noVBand="1"/>
      </w:tblPr>
      <w:tblGrid>
        <w:gridCol w:w="2580"/>
        <w:gridCol w:w="3060"/>
        <w:gridCol w:w="3420"/>
      </w:tblGrid>
      <w:tr w:rsidR="00641F03" w14:paraId="0DF50BCE"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66468FEB" w14:textId="77777777" w:rsidR="00641F03" w:rsidRDefault="00641F03">
            <w:pPr>
              <w:spacing w:after="0"/>
              <w:jc w:val="left"/>
            </w:pPr>
            <w:r w:rsidRPr="4C521700">
              <w:rPr>
                <w:rFonts w:ascii="Arial" w:eastAsia="Arial" w:hAnsi="Arial" w:cs="Arial"/>
                <w:b/>
              </w:rPr>
              <w:t xml:space="preserve">Respondent’s proposal </w:t>
            </w:r>
            <w:r w:rsidRPr="4C521700">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C0C1F43" w14:textId="77777777" w:rsidR="00641F03" w:rsidRDefault="00641F03">
            <w:pPr>
              <w:spacing w:after="0"/>
            </w:pPr>
            <w:r w:rsidRPr="4C521700">
              <w:rPr>
                <w:rFonts w:ascii="Arial" w:eastAsia="Arial" w:hAnsi="Arial" w:cs="Arial"/>
              </w:rPr>
              <w:t xml:space="preserve"> </w:t>
            </w:r>
          </w:p>
          <w:p w14:paraId="38180E9A" w14:textId="77777777" w:rsidR="00641F03" w:rsidRDefault="00641F03">
            <w:pPr>
              <w:spacing w:after="0"/>
            </w:pPr>
            <w:r w:rsidRPr="4C521700">
              <w:rPr>
                <w:rFonts w:ascii="Arial" w:eastAsia="Arial" w:hAnsi="Arial" w:cs="Arial"/>
              </w:rPr>
              <w:t xml:space="preserve"> </w:t>
            </w:r>
          </w:p>
        </w:tc>
      </w:tr>
      <w:tr w:rsidR="00641F03" w14:paraId="14BC494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CD299DB" w14:textId="77777777" w:rsidR="00641F03" w:rsidRDefault="00641F03">
            <w:pPr>
              <w:spacing w:after="0"/>
            </w:pPr>
            <w:r w:rsidRPr="4C521700">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6652CFF" w14:textId="77777777" w:rsidR="00641F03" w:rsidRDefault="00641F03">
            <w:pPr>
              <w:spacing w:after="0"/>
            </w:pPr>
            <w:r w:rsidRPr="4C521700">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27BDC38" w14:textId="77777777" w:rsidR="00641F03" w:rsidRDefault="00641F03">
            <w:pPr>
              <w:spacing w:after="0"/>
            </w:pPr>
            <w:r w:rsidRPr="4C521700">
              <w:rPr>
                <w:rFonts w:ascii="Arial" w:eastAsia="Arial" w:hAnsi="Arial" w:cs="Arial"/>
                <w:b/>
              </w:rPr>
              <w:t>Quantitative description/ Data</w:t>
            </w:r>
          </w:p>
        </w:tc>
      </w:tr>
      <w:tr w:rsidR="00641F03" w14:paraId="4DA16A9B"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654093B" w14:textId="77777777" w:rsidR="00641F03" w:rsidRDefault="00641F03">
            <w:pPr>
              <w:spacing w:after="0"/>
            </w:pPr>
            <w:r w:rsidRPr="4C521700">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0F2C725"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CCE9E72" w14:textId="77777777" w:rsidR="00641F03" w:rsidRDefault="00641F03">
            <w:pPr>
              <w:spacing w:after="0"/>
            </w:pPr>
            <w:r w:rsidRPr="4C521700">
              <w:rPr>
                <w:rFonts w:ascii="Arial" w:eastAsia="Arial" w:hAnsi="Arial" w:cs="Arial"/>
              </w:rPr>
              <w:t xml:space="preserve"> </w:t>
            </w:r>
          </w:p>
        </w:tc>
      </w:tr>
      <w:tr w:rsidR="00641F03" w14:paraId="72B8179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483AB6D" w14:textId="77777777" w:rsidR="00641F03" w:rsidRDefault="00641F03">
            <w:pPr>
              <w:spacing w:after="0"/>
            </w:pPr>
            <w:r w:rsidRPr="4C521700">
              <w:rPr>
                <w:rFonts w:ascii="Arial" w:eastAsia="Arial" w:hAnsi="Arial" w:cs="Arial"/>
                <w:b/>
              </w:rPr>
              <w:t>Compliance costs:</w:t>
            </w:r>
          </w:p>
          <w:p w14:paraId="0A545CC0" w14:textId="77777777" w:rsidR="00641F03" w:rsidRDefault="00641F03">
            <w:pPr>
              <w:spacing w:after="0"/>
            </w:pPr>
            <w:r w:rsidRPr="4C521700">
              <w:rPr>
                <w:rFonts w:ascii="Arial" w:eastAsia="Arial" w:hAnsi="Arial" w:cs="Arial"/>
                <w:b/>
              </w:rPr>
              <w:t>- One-off</w:t>
            </w:r>
          </w:p>
          <w:p w14:paraId="6176F7A8" w14:textId="77777777" w:rsidR="00641F03" w:rsidRDefault="00641F03">
            <w:pPr>
              <w:spacing w:after="0"/>
            </w:pPr>
            <w:r w:rsidRPr="4C521700">
              <w:rPr>
                <w:rFonts w:ascii="Arial" w:eastAsia="Arial" w:hAnsi="Arial" w:cs="Arial"/>
                <w:b/>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07D3EE"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35A1A84" w14:textId="77777777" w:rsidR="00641F03" w:rsidRDefault="00641F03">
            <w:pPr>
              <w:spacing w:after="0"/>
            </w:pPr>
            <w:r w:rsidRPr="4C521700">
              <w:rPr>
                <w:rFonts w:ascii="Arial" w:eastAsia="Arial" w:hAnsi="Arial" w:cs="Arial"/>
              </w:rPr>
              <w:t xml:space="preserve"> </w:t>
            </w:r>
          </w:p>
        </w:tc>
      </w:tr>
      <w:tr w:rsidR="00641F03" w14:paraId="7FC4762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B6EBDD3" w14:textId="77777777" w:rsidR="00641F03" w:rsidRDefault="00641F03">
            <w:pPr>
              <w:spacing w:after="0"/>
            </w:pPr>
            <w:r w:rsidRPr="4C521700">
              <w:rPr>
                <w:rFonts w:ascii="Arial" w:eastAsia="Arial" w:hAnsi="Arial" w:cs="Arial"/>
                <w:b/>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2750EC3"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FC410C6" w14:textId="77777777" w:rsidR="00641F03" w:rsidRDefault="00641F03">
            <w:pPr>
              <w:spacing w:after="0"/>
            </w:pPr>
            <w:r w:rsidRPr="4C521700">
              <w:rPr>
                <w:rFonts w:ascii="Arial" w:eastAsia="Arial" w:hAnsi="Arial" w:cs="Arial"/>
              </w:rPr>
              <w:t xml:space="preserve"> </w:t>
            </w:r>
          </w:p>
        </w:tc>
      </w:tr>
      <w:tr w:rsidR="00641F03" w14:paraId="13769F1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EF51760" w14:textId="77777777" w:rsidR="00641F03" w:rsidRDefault="00641F03">
            <w:pPr>
              <w:spacing w:after="0"/>
            </w:pPr>
            <w:r w:rsidRPr="4C521700">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B8E7EB1"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49F0458" w14:textId="77777777" w:rsidR="00641F03" w:rsidRDefault="00641F03">
            <w:pPr>
              <w:spacing w:after="0"/>
              <w:rPr>
                <w:rFonts w:ascii="Arial" w:eastAsia="Arial" w:hAnsi="Arial" w:cs="Arial"/>
              </w:rPr>
            </w:pPr>
          </w:p>
        </w:tc>
      </w:tr>
    </w:tbl>
    <w:p w14:paraId="62FEDBE3" w14:textId="77777777" w:rsidR="00641F03" w:rsidRPr="00641F03" w:rsidRDefault="00641F03" w:rsidP="00641F03"/>
    <w:p w14:paraId="0F36FF21" w14:textId="3BB73A11" w:rsidR="00641F03" w:rsidRDefault="00641F03" w:rsidP="00641F03">
      <w:r>
        <w:t>&lt;ESMA_QUESTION</w:t>
      </w:r>
      <w:r w:rsidR="00C62B79">
        <w:t>_SETD_</w:t>
      </w:r>
      <w:r>
        <w:t>4&gt;</w:t>
      </w:r>
    </w:p>
    <w:p w14:paraId="7DFE6A08" w14:textId="77777777" w:rsidR="003A3731" w:rsidRDefault="003A3731" w:rsidP="00641F03">
      <w:pPr>
        <w:rPr>
          <w:color w:val="000000"/>
          <w:sz w:val="27"/>
          <w:szCs w:val="27"/>
        </w:rPr>
      </w:pPr>
      <w:permStart w:id="396365287" w:edGrp="everyone"/>
      <w:r>
        <w:rPr>
          <w:color w:val="000000"/>
          <w:sz w:val="27"/>
          <w:szCs w:val="27"/>
        </w:rPr>
        <w:t>N.A. for ECSDA.</w:t>
      </w:r>
    </w:p>
    <w:permEnd w:id="396365287"/>
    <w:p w14:paraId="5F6ACCE3" w14:textId="6E81A0B0" w:rsidR="00641F03" w:rsidRDefault="00641F03" w:rsidP="00641F03">
      <w:r>
        <w:t>&lt;ESMA_QUESTION</w:t>
      </w:r>
      <w:r w:rsidR="00C62B79">
        <w:t>_SETD_</w:t>
      </w:r>
      <w:r>
        <w:t>4&gt;</w:t>
      </w:r>
    </w:p>
    <w:p w14:paraId="4E0E1928" w14:textId="77777777" w:rsidR="00641F03" w:rsidRDefault="00641F03" w:rsidP="00DB2FD6"/>
    <w:p w14:paraId="29B82DDC" w14:textId="77777777" w:rsidR="00DB2FD6" w:rsidRDefault="00DB2FD6" w:rsidP="00DB2FD6">
      <w:pPr>
        <w:pStyle w:val="Questionstyle"/>
        <w:numPr>
          <w:ilvl w:val="0"/>
          <w:numId w:val="14"/>
        </w:numPr>
        <w:tabs>
          <w:tab w:val="clear" w:pos="567"/>
        </w:tabs>
        <w:spacing w:after="240" w:line="256" w:lineRule="auto"/>
        <w:ind w:left="851" w:hanging="851"/>
      </w:pPr>
      <w:r>
        <w:t>Do any of the exemption proposed above breaks the immunization principle? Please provide arguments.</w:t>
      </w:r>
    </w:p>
    <w:p w14:paraId="19C42598" w14:textId="13CC0F71" w:rsidR="00DB2FD6" w:rsidRDefault="00DB2FD6" w:rsidP="00DB2FD6">
      <w:r>
        <w:t>&lt;ESMA_QUESTION</w:t>
      </w:r>
      <w:r w:rsidR="00C62B79">
        <w:t>_SETD_</w:t>
      </w:r>
      <w:r>
        <w:t>5&gt;</w:t>
      </w:r>
    </w:p>
    <w:p w14:paraId="5A1C92E5" w14:textId="77777777" w:rsidR="003A3731" w:rsidRDefault="003A3731" w:rsidP="00DB2FD6">
      <w:pPr>
        <w:rPr>
          <w:color w:val="000000"/>
          <w:sz w:val="27"/>
          <w:szCs w:val="27"/>
        </w:rPr>
      </w:pPr>
      <w:permStart w:id="871588441" w:edGrp="everyone"/>
      <w:r>
        <w:rPr>
          <w:color w:val="000000"/>
          <w:sz w:val="27"/>
          <w:szCs w:val="27"/>
        </w:rPr>
        <w:t>All the examples mentioned above may break the immunisation principle but given the limited occurrences, we consider them as acceptable.</w:t>
      </w:r>
    </w:p>
    <w:permEnd w:id="871588441"/>
    <w:p w14:paraId="61EE8C86" w14:textId="6809C6CD" w:rsidR="00DB2FD6" w:rsidRDefault="00DB2FD6" w:rsidP="00DB2FD6">
      <w:r>
        <w:t>&lt;ESMA_QUESTION</w:t>
      </w:r>
      <w:r w:rsidR="00C62B79">
        <w:t>_SETD_</w:t>
      </w:r>
      <w:r>
        <w:t>5&gt;</w:t>
      </w:r>
    </w:p>
    <w:p w14:paraId="1791CB6C" w14:textId="77777777" w:rsidR="00DB2FD6" w:rsidRDefault="00DB2FD6" w:rsidP="00DB2FD6"/>
    <w:p w14:paraId="4F35A070" w14:textId="7BA7B8DD" w:rsidR="00DB2FD6" w:rsidRDefault="00DB2FD6" w:rsidP="00DB2FD6">
      <w:pPr>
        <w:pStyle w:val="Questionstyle"/>
        <w:numPr>
          <w:ilvl w:val="0"/>
          <w:numId w:val="14"/>
        </w:numPr>
        <w:tabs>
          <w:tab w:val="clear" w:pos="567"/>
        </w:tabs>
        <w:spacing w:after="240" w:line="256" w:lineRule="auto"/>
        <w:ind w:left="851" w:hanging="851"/>
      </w:pPr>
      <w:r>
        <w:t xml:space="preserve">Which of the exemptions proposed above do you think can be filtered out before penalties are applied in an automated way? And which ones can only be exempted ex-post, as part of the already existing appeal mechanism at CSDs? </w:t>
      </w:r>
    </w:p>
    <w:p w14:paraId="588B1C93" w14:textId="6C3284CC" w:rsidR="00DB2FD6" w:rsidRPr="00DB2FD6" w:rsidRDefault="00DB2FD6" w:rsidP="00DB2FD6">
      <w:pPr>
        <w:ind w:left="851"/>
        <w:rPr>
          <w:b/>
        </w:rPr>
      </w:pPr>
      <w:r w:rsidRPr="00DB2FD6">
        <w:rPr>
          <w:b/>
        </w:rPr>
        <w:lastRenderedPageBreak/>
        <w:t>Please provide details regarding the cost for ex-ante filtering compared to ex-post exemption via the appeal mechanism.</w:t>
      </w:r>
    </w:p>
    <w:p w14:paraId="5758B6FD" w14:textId="3783EB67" w:rsidR="00DB2FD6" w:rsidRDefault="00DB2FD6" w:rsidP="00DB2FD6">
      <w:r>
        <w:t>&lt;ESMA_QUESTION</w:t>
      </w:r>
      <w:r w:rsidR="00C62B79">
        <w:t>_SETD_</w:t>
      </w:r>
      <w:r>
        <w:t>6&gt;</w:t>
      </w:r>
    </w:p>
    <w:p w14:paraId="4F03D0B0" w14:textId="77777777" w:rsidR="003A3731" w:rsidRDefault="003A3731" w:rsidP="003A3731">
      <w:pPr>
        <w:pStyle w:val="NormalWeb"/>
        <w:rPr>
          <w:color w:val="000000"/>
          <w:sz w:val="27"/>
          <w:szCs w:val="27"/>
        </w:rPr>
      </w:pPr>
      <w:permStart w:id="23540048" w:edGrp="everyone"/>
      <w:r>
        <w:rPr>
          <w:color w:val="000000"/>
          <w:sz w:val="27"/>
          <w:szCs w:val="27"/>
        </w:rPr>
        <w:t>For the CSDs´ penalty mechanisms, ex-ante exemptions can be applied for all items listed in Q1 and Q3 except “technical impossibilities at the CSD level” and “trading suspension” (unless relevant ISINs are removed from the ESMA FIRDS database).</w:t>
      </w:r>
    </w:p>
    <w:p w14:paraId="6069CDD2" w14:textId="77777777" w:rsidR="003A3731" w:rsidRDefault="003A3731" w:rsidP="003A3731">
      <w:pPr>
        <w:pStyle w:val="NormalWeb"/>
        <w:rPr>
          <w:color w:val="000000"/>
          <w:sz w:val="27"/>
          <w:szCs w:val="27"/>
        </w:rPr>
      </w:pPr>
      <w:r>
        <w:rPr>
          <w:color w:val="000000"/>
          <w:sz w:val="27"/>
          <w:szCs w:val="27"/>
        </w:rPr>
        <w:t>The above-mentioned instances are already managed by CSDs and a process is in place as per ESMA Q&amp;As, therefore, we do not see the benefits of changing the ways these scenarios are handled by the CSDs.</w:t>
      </w:r>
    </w:p>
    <w:permEnd w:id="23540048"/>
    <w:p w14:paraId="618040B5" w14:textId="77FDB55E" w:rsidR="00DB2FD6" w:rsidRDefault="00DB2FD6" w:rsidP="00DB2FD6">
      <w:r>
        <w:t>&lt;ESMA_QUESTION</w:t>
      </w:r>
      <w:r w:rsidR="00C62B79">
        <w:t>_SETD_</w:t>
      </w:r>
      <w:r>
        <w:t>6&gt;</w:t>
      </w:r>
    </w:p>
    <w:p w14:paraId="103F4104" w14:textId="77777777" w:rsidR="00DB2FD6" w:rsidRDefault="00DB2FD6" w:rsidP="00DB2FD6"/>
    <w:p w14:paraId="65ADEC8D" w14:textId="77777777" w:rsidR="00DB2FD6" w:rsidRDefault="00DB2FD6" w:rsidP="00DB2FD6">
      <w:pPr>
        <w:pStyle w:val="Questionstyle"/>
        <w:numPr>
          <w:ilvl w:val="0"/>
          <w:numId w:val="14"/>
        </w:numPr>
        <w:tabs>
          <w:tab w:val="clear" w:pos="567"/>
        </w:tabs>
        <w:spacing w:after="240" w:line="256" w:lineRule="auto"/>
        <w:ind w:left="851" w:hanging="851"/>
      </w:pPr>
      <w:r>
        <w:t xml:space="preserve">For exemptions that can be filtered out in advance, do you think that a CSD would prefer to implement this filter or not? Also considering the very large number of appeals they might have to deal with and also the costs it will entail. </w:t>
      </w:r>
    </w:p>
    <w:p w14:paraId="5C58BC9B" w14:textId="09B021F2" w:rsidR="00DB2FD6" w:rsidRDefault="00DB2FD6" w:rsidP="00DB2FD6">
      <w:r>
        <w:t>&lt;ESMA_QUESTION</w:t>
      </w:r>
      <w:r w:rsidR="00C62B79">
        <w:t>_SETD_</w:t>
      </w:r>
      <w:r>
        <w:t>7&gt;</w:t>
      </w:r>
    </w:p>
    <w:p w14:paraId="15C6143F" w14:textId="77777777" w:rsidR="003A3731" w:rsidRDefault="003A3731" w:rsidP="003A3731">
      <w:pPr>
        <w:pStyle w:val="NormalWeb"/>
        <w:rPr>
          <w:color w:val="000000"/>
          <w:sz w:val="27"/>
          <w:szCs w:val="27"/>
        </w:rPr>
      </w:pPr>
      <w:permStart w:id="988641873" w:edGrp="everyone"/>
      <w:r>
        <w:rPr>
          <w:color w:val="000000"/>
          <w:sz w:val="27"/>
          <w:szCs w:val="27"/>
        </w:rPr>
        <w:t>A cost-benefit analysis should be carried out by CSDs in order to assess the impact of any change to be implemented.</w:t>
      </w:r>
    </w:p>
    <w:p w14:paraId="6B0380A3" w14:textId="77777777" w:rsidR="003A3731" w:rsidRDefault="003A3731" w:rsidP="003A3731">
      <w:pPr>
        <w:pStyle w:val="NormalWeb"/>
        <w:rPr>
          <w:color w:val="000000"/>
          <w:sz w:val="27"/>
          <w:szCs w:val="27"/>
        </w:rPr>
      </w:pPr>
      <w:r>
        <w:rPr>
          <w:color w:val="000000"/>
          <w:sz w:val="27"/>
          <w:szCs w:val="27"/>
        </w:rPr>
        <w:t>The Ex-ante exemption must be the rule, where possible, to avoid manual intervention across all stakeholders. “Appeals” must remain restricted to rare exception handling.</w:t>
      </w:r>
    </w:p>
    <w:permEnd w:id="988641873"/>
    <w:p w14:paraId="1BEDB459" w14:textId="02DD5603" w:rsidR="00DB2FD6" w:rsidRDefault="00DB2FD6" w:rsidP="00DB2FD6">
      <w:r>
        <w:t>&lt;ESMA_QUESTION</w:t>
      </w:r>
      <w:r w:rsidR="00C62B79">
        <w:t>_SETD_</w:t>
      </w:r>
      <w:r>
        <w:t>7&gt;</w:t>
      </w:r>
    </w:p>
    <w:p w14:paraId="092C7DEC" w14:textId="77777777" w:rsidR="00DB2FD6" w:rsidRDefault="00DB2FD6" w:rsidP="00DB2FD6"/>
    <w:p w14:paraId="0AE77412" w14:textId="77777777" w:rsidR="00DB2FD6" w:rsidRDefault="00DB2FD6" w:rsidP="00DB2FD6">
      <w:pPr>
        <w:pStyle w:val="Questionstyle"/>
        <w:numPr>
          <w:ilvl w:val="0"/>
          <w:numId w:val="14"/>
        </w:numPr>
        <w:tabs>
          <w:tab w:val="clear" w:pos="567"/>
        </w:tabs>
        <w:spacing w:after="240" w:line="256" w:lineRule="auto"/>
        <w:ind w:left="851" w:hanging="851"/>
      </w:pPr>
      <w:r>
        <w:t>Do you agree with ESMA’s proposal regarding the circumstances in which operations are not considered as trading? Please specify which cases you agree with and which cases you don’t agree with (if applicable). Please justify your answer and provide examples and data where available.</w:t>
      </w:r>
    </w:p>
    <w:p w14:paraId="6C5C85E4" w14:textId="36A86B45" w:rsidR="00DB2FD6" w:rsidRDefault="00DB2FD6" w:rsidP="00DB2FD6">
      <w:r>
        <w:t>&lt;ESMA_QUESTION</w:t>
      </w:r>
      <w:r w:rsidR="00C62B79">
        <w:t>_SETD_</w:t>
      </w:r>
      <w:r>
        <w:t>8&gt;</w:t>
      </w:r>
    </w:p>
    <w:p w14:paraId="2079260A" w14:textId="77777777" w:rsidR="003A3731" w:rsidRDefault="003A3731" w:rsidP="003A3731">
      <w:pPr>
        <w:pStyle w:val="paragraph"/>
        <w:spacing w:before="0" w:beforeAutospacing="0" w:after="0" w:afterAutospacing="0"/>
        <w:jc w:val="both"/>
        <w:textAlignment w:val="baseline"/>
        <w:rPr>
          <w:rFonts w:ascii="Segoe UI" w:hAnsi="Segoe UI" w:cs="Segoe UI"/>
          <w:sz w:val="18"/>
          <w:szCs w:val="18"/>
        </w:rPr>
      </w:pPr>
      <w:permStart w:id="722757342" w:edGrp="everyone"/>
      <w:r>
        <w:rPr>
          <w:rStyle w:val="normaltextrun"/>
          <w:rFonts w:ascii="Candara" w:eastAsiaTheme="majorEastAsia" w:hAnsi="Candara" w:cs="Segoe UI"/>
          <w:i/>
          <w:iCs/>
          <w:color w:val="0070C0"/>
          <w:sz w:val="22"/>
          <w:szCs w:val="22"/>
        </w:rPr>
        <w:lastRenderedPageBreak/>
        <w:t xml:space="preserve">We deem that no change should be introduced to the current process set-up, nevertheless, should any exemption be implemented </w:t>
      </w:r>
      <w:r>
        <w:rPr>
          <w:rStyle w:val="normaltextrun"/>
          <w:rFonts w:ascii="Candara" w:eastAsiaTheme="majorEastAsia" w:hAnsi="Candara" w:cs="Segoe UI"/>
          <w:i/>
          <w:iCs/>
          <w:color w:val="0070C0"/>
          <w:sz w:val="22"/>
          <w:szCs w:val="22"/>
          <w:lang w:val="en-US"/>
        </w:rPr>
        <w:t>it must not increase process complexity and risk.</w:t>
      </w:r>
      <w:r>
        <w:rPr>
          <w:rStyle w:val="eop"/>
          <w:rFonts w:ascii="Candara" w:eastAsiaTheme="majorEastAsia" w:hAnsi="Candara" w:cs="Segoe UI"/>
          <w:color w:val="0070C0"/>
          <w:sz w:val="22"/>
          <w:szCs w:val="22"/>
        </w:rPr>
        <w:t> </w:t>
      </w:r>
    </w:p>
    <w:p w14:paraId="62B5242C" w14:textId="77777777" w:rsidR="003A3731" w:rsidRDefault="003A3731" w:rsidP="003A3731">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eastAsiaTheme="majorEastAsia" w:hAnsi="Candara" w:cs="Segoe UI"/>
          <w:i/>
          <w:iCs/>
          <w:color w:val="0070C0"/>
          <w:sz w:val="22"/>
          <w:szCs w:val="22"/>
        </w:rPr>
        <w:t>Therefore, we would like to share the following considerations:</w:t>
      </w:r>
      <w:r>
        <w:rPr>
          <w:rStyle w:val="eop"/>
          <w:rFonts w:ascii="Candara" w:eastAsiaTheme="majorEastAsia" w:hAnsi="Candara" w:cs="Segoe UI"/>
          <w:color w:val="0070C0"/>
          <w:sz w:val="22"/>
          <w:szCs w:val="22"/>
        </w:rPr>
        <w:t> </w:t>
      </w:r>
    </w:p>
    <w:p w14:paraId="5A39A451" w14:textId="77777777" w:rsidR="003A3731" w:rsidRDefault="003A3731" w:rsidP="003A3731">
      <w:pPr>
        <w:pStyle w:val="paragraph"/>
        <w:numPr>
          <w:ilvl w:val="0"/>
          <w:numId w:val="17"/>
        </w:numPr>
        <w:spacing w:before="0" w:beforeAutospacing="0" w:after="0" w:afterAutospacing="0"/>
        <w:ind w:left="1080" w:firstLine="0"/>
        <w:jc w:val="both"/>
        <w:textAlignment w:val="baseline"/>
        <w:rPr>
          <w:rFonts w:ascii="Candara" w:hAnsi="Candara" w:cs="Segoe UI"/>
          <w:sz w:val="22"/>
          <w:szCs w:val="22"/>
        </w:rPr>
      </w:pPr>
      <w:r>
        <w:rPr>
          <w:rStyle w:val="normaltextrun"/>
          <w:rFonts w:ascii="Candara" w:eastAsiaTheme="majorEastAsia" w:hAnsi="Candara" w:cs="Segoe UI"/>
          <w:i/>
          <w:iCs/>
          <w:color w:val="0070C0"/>
          <w:sz w:val="22"/>
          <w:szCs w:val="22"/>
        </w:rPr>
        <w:t>From an operational perspective, the primary consideration is whether the type of operation proposed to be exempted: (i) can be identified unequivocally, and (ii) can be filtered ex-ante by the penalty mechanism (i.e. built into the design), in order to be operationally manageable given the potential volumes of instructions to exempt and to avoid any manual interventions. </w:t>
      </w:r>
      <w:r>
        <w:rPr>
          <w:rStyle w:val="eop"/>
          <w:rFonts w:ascii="Candara" w:eastAsiaTheme="majorEastAsia" w:hAnsi="Candara" w:cs="Segoe UI"/>
          <w:color w:val="0070C0"/>
          <w:sz w:val="22"/>
          <w:szCs w:val="22"/>
        </w:rPr>
        <w:t> </w:t>
      </w:r>
    </w:p>
    <w:p w14:paraId="7061ACB0" w14:textId="77777777" w:rsidR="003A3731" w:rsidRDefault="003A3731" w:rsidP="003A3731">
      <w:pPr>
        <w:pStyle w:val="paragraph"/>
        <w:numPr>
          <w:ilvl w:val="0"/>
          <w:numId w:val="18"/>
        </w:numPr>
        <w:spacing w:before="0" w:beforeAutospacing="0" w:after="0" w:afterAutospacing="0"/>
        <w:ind w:left="1080" w:firstLine="0"/>
        <w:jc w:val="both"/>
        <w:textAlignment w:val="baseline"/>
        <w:rPr>
          <w:rFonts w:ascii="Candara" w:hAnsi="Candara" w:cs="Segoe UI"/>
          <w:sz w:val="22"/>
          <w:szCs w:val="22"/>
        </w:rPr>
      </w:pPr>
      <w:r>
        <w:rPr>
          <w:rStyle w:val="normaltextrun"/>
          <w:rFonts w:ascii="Candara" w:eastAsiaTheme="majorEastAsia" w:hAnsi="Candara" w:cs="Segoe UI"/>
          <w:i/>
          <w:iCs/>
          <w:color w:val="0070C0"/>
          <w:sz w:val="22"/>
          <w:szCs w:val="22"/>
        </w:rPr>
        <w:t>Each settlement instruction must be filled in with a securities transaction type code also called ISO transaction code, to identify the type of transaction/ operation it belongs to. However, this field in the settlement instruction is not a matching criterion. The usage of transaction-type codes can be restricted. As a result, BOTH settlement instructions of the receiving and delivering participant must contain the identical qualifier for CSDs to be able to apply for an SDR exemption.</w:t>
      </w:r>
      <w:r>
        <w:rPr>
          <w:rStyle w:val="eop"/>
          <w:rFonts w:ascii="Candara" w:eastAsiaTheme="majorEastAsia" w:hAnsi="Candara" w:cs="Segoe UI"/>
          <w:color w:val="0070C0"/>
          <w:sz w:val="22"/>
          <w:szCs w:val="22"/>
        </w:rPr>
        <w:t> </w:t>
      </w:r>
    </w:p>
    <w:permEnd w:id="722757342"/>
    <w:p w14:paraId="183D1E1B" w14:textId="6B06A8E4" w:rsidR="00DB2FD6" w:rsidRDefault="00DB2FD6" w:rsidP="00DB2FD6">
      <w:r>
        <w:t>&lt;ESMA_QUESTION</w:t>
      </w:r>
      <w:r w:rsidR="00C62B79">
        <w:t>_SETD_</w:t>
      </w:r>
      <w:r>
        <w:t>8&gt;</w:t>
      </w:r>
    </w:p>
    <w:p w14:paraId="7BB8B265" w14:textId="77777777" w:rsidR="00DB2FD6" w:rsidRDefault="00DB2FD6" w:rsidP="00DB2FD6"/>
    <w:p w14:paraId="65F3C288" w14:textId="3F91FF86" w:rsidR="00641F03" w:rsidRDefault="00DB2FD6" w:rsidP="00641F03">
      <w:pPr>
        <w:pStyle w:val="Questionstyle"/>
        <w:numPr>
          <w:ilvl w:val="0"/>
          <w:numId w:val="14"/>
        </w:numPr>
        <w:tabs>
          <w:tab w:val="clear" w:pos="567"/>
        </w:tabs>
        <w:spacing w:after="240" w:line="256" w:lineRule="auto"/>
        <w:ind w:left="851" w:hanging="851"/>
      </w:pPr>
      <w:r>
        <w:t xml:space="preserve">ESMA would like to ask for the stakeholders’ views on the costs and benefits of the implementation of the respective exemptions from settlement discipline (based on the circumstances in which operations are not considered as trading). Please use the table below. Where relevant, additional tables, graphs and information may be included in order to support some of the arguments or calculations presented in the table below.  </w:t>
      </w:r>
    </w:p>
    <w:tbl>
      <w:tblPr>
        <w:tblStyle w:val="TableGrid"/>
        <w:tblW w:w="0" w:type="auto"/>
        <w:tblLook w:val="04A0" w:firstRow="1" w:lastRow="0" w:firstColumn="1" w:lastColumn="0" w:noHBand="0" w:noVBand="1"/>
      </w:tblPr>
      <w:tblGrid>
        <w:gridCol w:w="2579"/>
        <w:gridCol w:w="3057"/>
        <w:gridCol w:w="3416"/>
      </w:tblGrid>
      <w:tr w:rsidR="00641F03" w14:paraId="16201F39"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7FDABC9C" w14:textId="77777777" w:rsidR="00641F03" w:rsidRPr="00680B73" w:rsidRDefault="00641F03">
            <w:pPr>
              <w:spacing w:after="0"/>
              <w:rPr>
                <w:b/>
                <w:bCs/>
              </w:rPr>
            </w:pPr>
            <w:r w:rsidRPr="00680B73">
              <w:rPr>
                <w:b/>
                <w:bCs/>
              </w:rPr>
              <w:t>ESMA’s proposal</w:t>
            </w:r>
            <w:r>
              <w:rPr>
                <w:b/>
                <w:bCs/>
              </w:rPr>
              <w:t xml:space="preserve"> - </w:t>
            </w:r>
            <w:r w:rsidRPr="005A4364">
              <w:rPr>
                <w:b/>
                <w:bCs/>
              </w:rPr>
              <w:t>circumstances in which operations are not considered as trading</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0582A16A" w14:textId="77777777" w:rsidR="00641F03" w:rsidRDefault="00641F03">
            <w:pPr>
              <w:spacing w:after="0"/>
            </w:pPr>
            <w:r w:rsidRPr="263AF6BA">
              <w:rPr>
                <w:rFonts w:ascii="Arial" w:eastAsia="Arial" w:hAnsi="Arial" w:cs="Arial"/>
              </w:rPr>
              <w:t xml:space="preserve"> </w:t>
            </w:r>
          </w:p>
          <w:p w14:paraId="7F7712FB" w14:textId="77777777" w:rsidR="00641F03" w:rsidRDefault="00641F03">
            <w:pPr>
              <w:spacing w:after="0"/>
            </w:pPr>
            <w:r w:rsidRPr="263AF6BA">
              <w:rPr>
                <w:rFonts w:ascii="Arial" w:eastAsia="Arial" w:hAnsi="Arial" w:cs="Arial"/>
              </w:rPr>
              <w:t xml:space="preserve"> </w:t>
            </w:r>
          </w:p>
        </w:tc>
      </w:tr>
      <w:tr w:rsidR="00641F03" w14:paraId="3A6A38B5"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95A80E2" w14:textId="77777777" w:rsidR="00641F03" w:rsidRDefault="00641F03">
            <w:pPr>
              <w:spacing w:after="0"/>
            </w:pPr>
            <w:r w:rsidRPr="263AF6BA">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00F3A43" w14:textId="77777777" w:rsidR="00641F03" w:rsidRDefault="00641F03">
            <w:pPr>
              <w:spacing w:after="0"/>
            </w:pPr>
            <w:r w:rsidRPr="263AF6BA">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33B0636" w14:textId="77777777" w:rsidR="00641F03" w:rsidRDefault="00641F03">
            <w:pPr>
              <w:spacing w:after="0"/>
            </w:pPr>
            <w:r w:rsidRPr="263AF6BA">
              <w:rPr>
                <w:rFonts w:ascii="Arial" w:eastAsia="Arial" w:hAnsi="Arial" w:cs="Arial"/>
                <w:b/>
                <w:bCs/>
              </w:rPr>
              <w:t>Quantitative description/ Data</w:t>
            </w:r>
          </w:p>
        </w:tc>
      </w:tr>
      <w:tr w:rsidR="00641F03" w14:paraId="5E7B93A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80E5198" w14:textId="77777777" w:rsidR="00641F03" w:rsidRDefault="00641F03">
            <w:pPr>
              <w:spacing w:after="0"/>
            </w:pPr>
            <w:r w:rsidRPr="263AF6BA">
              <w:rPr>
                <w:rFonts w:ascii="Arial" w:eastAsia="Arial" w:hAnsi="Arial" w:cs="Arial"/>
                <w:b/>
                <w:bCs/>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85D05E3"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3B7D538" w14:textId="77777777" w:rsidR="00641F03" w:rsidRDefault="00641F03">
            <w:pPr>
              <w:spacing w:after="0"/>
            </w:pPr>
            <w:r w:rsidRPr="263AF6BA">
              <w:rPr>
                <w:rFonts w:ascii="Arial" w:eastAsia="Arial" w:hAnsi="Arial" w:cs="Arial"/>
              </w:rPr>
              <w:t xml:space="preserve"> </w:t>
            </w:r>
          </w:p>
        </w:tc>
      </w:tr>
      <w:tr w:rsidR="00641F03" w14:paraId="742B2C0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5DBF3AA" w14:textId="77777777" w:rsidR="00641F03" w:rsidRDefault="00641F03">
            <w:pPr>
              <w:spacing w:after="0"/>
            </w:pPr>
            <w:r w:rsidRPr="263AF6BA">
              <w:rPr>
                <w:rFonts w:ascii="Arial" w:eastAsia="Arial" w:hAnsi="Arial" w:cs="Arial"/>
                <w:b/>
                <w:bCs/>
              </w:rPr>
              <w:t>Compliance costs:</w:t>
            </w:r>
          </w:p>
          <w:p w14:paraId="221F889E" w14:textId="77777777" w:rsidR="00641F03" w:rsidRDefault="00641F03">
            <w:pPr>
              <w:spacing w:after="0"/>
            </w:pPr>
            <w:r w:rsidRPr="263AF6BA">
              <w:rPr>
                <w:rFonts w:ascii="Arial" w:eastAsia="Arial" w:hAnsi="Arial" w:cs="Arial"/>
                <w:b/>
                <w:bCs/>
              </w:rPr>
              <w:t>- One-off</w:t>
            </w:r>
          </w:p>
          <w:p w14:paraId="2EC8D04B" w14:textId="77777777" w:rsidR="00641F03" w:rsidRDefault="00641F03">
            <w:pPr>
              <w:spacing w:after="0"/>
            </w:pPr>
            <w:r w:rsidRPr="263AF6BA">
              <w:rPr>
                <w:rFonts w:ascii="Arial" w:eastAsia="Arial" w:hAnsi="Arial" w:cs="Arial"/>
                <w:b/>
                <w:bC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8EB9E3E"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22297ED" w14:textId="77777777" w:rsidR="00641F03" w:rsidRDefault="00641F03">
            <w:pPr>
              <w:spacing w:after="0"/>
            </w:pPr>
            <w:r w:rsidRPr="263AF6BA">
              <w:rPr>
                <w:rFonts w:ascii="Arial" w:eastAsia="Arial" w:hAnsi="Arial" w:cs="Arial"/>
              </w:rPr>
              <w:t xml:space="preserve"> </w:t>
            </w:r>
          </w:p>
        </w:tc>
      </w:tr>
      <w:tr w:rsidR="00641F03" w14:paraId="5A027AF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745B71B" w14:textId="77777777" w:rsidR="00641F03" w:rsidRDefault="00641F03">
            <w:pPr>
              <w:spacing w:after="0"/>
            </w:pPr>
            <w:r w:rsidRPr="263AF6BA">
              <w:rPr>
                <w:rFonts w:ascii="Arial" w:eastAsia="Arial" w:hAnsi="Arial" w:cs="Arial"/>
                <w:b/>
                <w:bCs/>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88E4C45"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10B527" w14:textId="77777777" w:rsidR="00641F03" w:rsidRDefault="00641F03">
            <w:pPr>
              <w:spacing w:after="0"/>
            </w:pPr>
            <w:r w:rsidRPr="263AF6BA">
              <w:rPr>
                <w:rFonts w:ascii="Arial" w:eastAsia="Arial" w:hAnsi="Arial" w:cs="Arial"/>
              </w:rPr>
              <w:t xml:space="preserve"> </w:t>
            </w:r>
          </w:p>
        </w:tc>
      </w:tr>
      <w:tr w:rsidR="00641F03" w14:paraId="68732E71"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C3397B1" w14:textId="77777777" w:rsidR="00641F03" w:rsidRDefault="00641F03">
            <w:pPr>
              <w:spacing w:after="0"/>
            </w:pPr>
            <w:r w:rsidRPr="263AF6BA">
              <w:rPr>
                <w:rFonts w:ascii="Arial" w:eastAsia="Arial" w:hAnsi="Arial" w:cs="Arial"/>
                <w:b/>
                <w:bCs/>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4F2BDB"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2524022" w14:textId="77777777" w:rsidR="00641F03" w:rsidRDefault="00641F03">
            <w:pPr>
              <w:spacing w:after="0"/>
              <w:rPr>
                <w:rFonts w:ascii="Arial" w:eastAsia="Arial" w:hAnsi="Arial" w:cs="Arial"/>
              </w:rPr>
            </w:pPr>
          </w:p>
        </w:tc>
      </w:tr>
    </w:tbl>
    <w:p w14:paraId="44081A5B" w14:textId="77777777" w:rsidR="00641F03" w:rsidRPr="00641F03" w:rsidRDefault="00641F03" w:rsidP="00641F03"/>
    <w:p w14:paraId="139657FA" w14:textId="4558F124" w:rsidR="00641F03" w:rsidRDefault="00641F03" w:rsidP="00641F03">
      <w:r>
        <w:t>&lt;ESMA_QUESTION</w:t>
      </w:r>
      <w:r w:rsidR="00C62B79">
        <w:t>_SETD_</w:t>
      </w:r>
      <w:r>
        <w:t>9&gt;</w:t>
      </w:r>
    </w:p>
    <w:p w14:paraId="194E9DEA" w14:textId="77777777" w:rsidR="003A3731" w:rsidRDefault="003A3731" w:rsidP="00641F03">
      <w:pPr>
        <w:rPr>
          <w:rStyle w:val="eop"/>
          <w:rFonts w:ascii="Candara" w:hAnsi="Candara"/>
          <w:color w:val="0070C0"/>
          <w:szCs w:val="22"/>
          <w:shd w:val="clear" w:color="auto" w:fill="FFFFFF"/>
        </w:rPr>
      </w:pPr>
      <w:permStart w:id="350045915" w:edGrp="everyone"/>
      <w:r>
        <w:rPr>
          <w:rStyle w:val="normaltextrun"/>
          <w:rFonts w:ascii="Candara" w:hAnsi="Candara"/>
          <w:i/>
          <w:iCs/>
          <w:color w:val="0070C0"/>
          <w:szCs w:val="22"/>
          <w:shd w:val="clear" w:color="auto" w:fill="FFFFFF"/>
          <w:lang w:val="en-US"/>
        </w:rPr>
        <w:lastRenderedPageBreak/>
        <w:t>N.A. for ECSDA.</w:t>
      </w:r>
      <w:r>
        <w:rPr>
          <w:rStyle w:val="eop"/>
          <w:rFonts w:ascii="Candara" w:hAnsi="Candara"/>
          <w:color w:val="0070C0"/>
          <w:szCs w:val="22"/>
          <w:shd w:val="clear" w:color="auto" w:fill="FFFFFF"/>
        </w:rPr>
        <w:t> </w:t>
      </w:r>
    </w:p>
    <w:permEnd w:id="350045915"/>
    <w:p w14:paraId="3AD7D7FC" w14:textId="6D9C1E98" w:rsidR="00641F03" w:rsidRDefault="00641F03" w:rsidP="00641F03">
      <w:r>
        <w:t>&lt;ESMA_QUESTION</w:t>
      </w:r>
      <w:r w:rsidR="00C62B79">
        <w:t>_SETD_</w:t>
      </w:r>
      <w:r>
        <w:t>9&gt;</w:t>
      </w:r>
    </w:p>
    <w:p w14:paraId="71BBA602" w14:textId="77777777" w:rsidR="00641F03" w:rsidRDefault="00641F03" w:rsidP="00DB2FD6"/>
    <w:p w14:paraId="6D7668DD" w14:textId="77777777" w:rsidR="00DB2FD6" w:rsidRDefault="00DB2FD6" w:rsidP="00DB2FD6">
      <w:pPr>
        <w:pStyle w:val="Questionstyle"/>
        <w:numPr>
          <w:ilvl w:val="0"/>
          <w:numId w:val="14"/>
        </w:numPr>
        <w:tabs>
          <w:tab w:val="clear" w:pos="567"/>
        </w:tabs>
        <w:spacing w:after="240" w:line="256" w:lineRule="auto"/>
        <w:ind w:left="851" w:hanging="851"/>
      </w:pPr>
      <w:r>
        <w:t>Do you have other suggestions regarding circumstances in which operations are not considered as trading? Please justify your answer and provide examples and data where available.</w:t>
      </w:r>
    </w:p>
    <w:p w14:paraId="72A1E36A" w14:textId="71563500" w:rsidR="00DB2FD6" w:rsidRDefault="00DB2FD6" w:rsidP="00DB2FD6">
      <w:r>
        <w:t>&lt;ESMA_QUESTION</w:t>
      </w:r>
      <w:r w:rsidR="00C62B79">
        <w:t>_SETD_</w:t>
      </w:r>
      <w:r>
        <w:t>10&gt;</w:t>
      </w:r>
    </w:p>
    <w:p w14:paraId="51097B92" w14:textId="77777777" w:rsidR="003A3731" w:rsidRDefault="003A3731" w:rsidP="003A3731">
      <w:pPr>
        <w:pStyle w:val="paragraph"/>
        <w:spacing w:before="0" w:beforeAutospacing="0" w:after="0" w:afterAutospacing="0"/>
        <w:jc w:val="both"/>
        <w:textAlignment w:val="baseline"/>
        <w:rPr>
          <w:rFonts w:ascii="Segoe UI" w:hAnsi="Segoe UI" w:cs="Segoe UI"/>
          <w:sz w:val="18"/>
          <w:szCs w:val="18"/>
        </w:rPr>
      </w:pPr>
      <w:permStart w:id="809982355" w:edGrp="everyone"/>
      <w:r>
        <w:rPr>
          <w:rStyle w:val="normaltextrun"/>
          <w:rFonts w:ascii="Candara" w:eastAsiaTheme="majorEastAsia" w:hAnsi="Candara" w:cs="Segoe UI"/>
          <w:i/>
          <w:iCs/>
          <w:color w:val="0070C0"/>
          <w:sz w:val="22"/>
          <w:szCs w:val="22"/>
        </w:rPr>
        <w:t xml:space="preserve">We deem that no change should be introduced to the current process set-up, nevertheless, should any exemption be implemented, </w:t>
      </w:r>
      <w:r>
        <w:rPr>
          <w:rStyle w:val="normaltextrun"/>
          <w:rFonts w:ascii="Candara" w:eastAsiaTheme="majorEastAsia" w:hAnsi="Candara" w:cs="Segoe UI"/>
          <w:i/>
          <w:iCs/>
          <w:color w:val="0070C0"/>
          <w:sz w:val="22"/>
          <w:szCs w:val="22"/>
          <w:lang w:val="en-US"/>
        </w:rPr>
        <w:t>it must not increase process complexity and risk.</w:t>
      </w:r>
      <w:r>
        <w:rPr>
          <w:rStyle w:val="eop"/>
          <w:rFonts w:ascii="Candara" w:eastAsiaTheme="majorEastAsia" w:hAnsi="Candara" w:cs="Segoe UI"/>
          <w:color w:val="0070C0"/>
          <w:sz w:val="22"/>
          <w:szCs w:val="22"/>
        </w:rPr>
        <w:t> </w:t>
      </w:r>
    </w:p>
    <w:p w14:paraId="73D6787C" w14:textId="77777777" w:rsidR="003A3731" w:rsidRDefault="003A3731" w:rsidP="003A3731">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eastAsiaTheme="majorEastAsia" w:hAnsi="Candara" w:cs="Segoe UI"/>
          <w:i/>
          <w:iCs/>
          <w:color w:val="0070C0"/>
          <w:sz w:val="22"/>
          <w:szCs w:val="22"/>
        </w:rPr>
        <w:t>Please also refer to our response to Q8.</w:t>
      </w:r>
      <w:r>
        <w:rPr>
          <w:rStyle w:val="eop"/>
          <w:rFonts w:ascii="Candara" w:eastAsiaTheme="majorEastAsia" w:hAnsi="Candara" w:cs="Segoe UI"/>
          <w:color w:val="0070C0"/>
          <w:sz w:val="22"/>
          <w:szCs w:val="22"/>
        </w:rPr>
        <w:t> </w:t>
      </w:r>
    </w:p>
    <w:permEnd w:id="809982355"/>
    <w:p w14:paraId="1D1E9852" w14:textId="0A0B74BA" w:rsidR="00DB2FD6" w:rsidRDefault="00DB2FD6" w:rsidP="00DB2FD6">
      <w:r>
        <w:t>&lt;ESMA_QUESTION</w:t>
      </w:r>
      <w:r w:rsidR="00C62B79">
        <w:t>_SETD_</w:t>
      </w:r>
      <w:r>
        <w:t>10&gt;</w:t>
      </w:r>
    </w:p>
    <w:p w14:paraId="39C63F61" w14:textId="77777777" w:rsidR="00DB2FD6" w:rsidRDefault="00DB2FD6" w:rsidP="00DB2FD6"/>
    <w:p w14:paraId="057A51EB" w14:textId="77777777" w:rsidR="00DB2FD6" w:rsidRDefault="00DB2FD6" w:rsidP="00DB2FD6">
      <w:pPr>
        <w:pStyle w:val="Questionstyle"/>
        <w:numPr>
          <w:ilvl w:val="0"/>
          <w:numId w:val="14"/>
        </w:numPr>
        <w:tabs>
          <w:tab w:val="clear" w:pos="567"/>
        </w:tabs>
        <w:spacing w:after="240" w:line="256" w:lineRule="auto"/>
        <w:ind w:left="851" w:hanging="851"/>
      </w:pPr>
      <w:r>
        <w:t xml:space="preserve">If you have answered yes to the previous question,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tbl>
      <w:tblPr>
        <w:tblStyle w:val="TableGrid"/>
        <w:tblW w:w="0" w:type="auto"/>
        <w:tblLayout w:type="fixed"/>
        <w:tblLook w:val="04A0" w:firstRow="1" w:lastRow="0" w:firstColumn="1" w:lastColumn="0" w:noHBand="0" w:noVBand="1"/>
      </w:tblPr>
      <w:tblGrid>
        <w:gridCol w:w="2580"/>
        <w:gridCol w:w="3060"/>
        <w:gridCol w:w="3420"/>
      </w:tblGrid>
      <w:tr w:rsidR="00641F03" w14:paraId="26BD535B"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14C4D17" w14:textId="77777777" w:rsidR="00641F03" w:rsidRDefault="00641F03">
            <w:pPr>
              <w:spacing w:after="0"/>
              <w:jc w:val="left"/>
            </w:pPr>
            <w:r w:rsidRPr="4C521700">
              <w:rPr>
                <w:rFonts w:ascii="Arial" w:eastAsia="Arial" w:hAnsi="Arial" w:cs="Arial"/>
                <w:b/>
              </w:rPr>
              <w:t xml:space="preserve">Respondent’s proposal </w:t>
            </w:r>
            <w:r w:rsidRPr="4C521700">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57362DBE" w14:textId="77777777" w:rsidR="00641F03" w:rsidRDefault="00641F03">
            <w:pPr>
              <w:spacing w:after="0"/>
            </w:pPr>
            <w:r w:rsidRPr="4C521700">
              <w:rPr>
                <w:rFonts w:ascii="Arial" w:eastAsia="Arial" w:hAnsi="Arial" w:cs="Arial"/>
              </w:rPr>
              <w:t xml:space="preserve"> </w:t>
            </w:r>
          </w:p>
          <w:p w14:paraId="5485A950" w14:textId="77777777" w:rsidR="00641F03" w:rsidRDefault="00641F03">
            <w:pPr>
              <w:spacing w:after="0"/>
            </w:pPr>
            <w:r w:rsidRPr="4C521700">
              <w:rPr>
                <w:rFonts w:ascii="Arial" w:eastAsia="Arial" w:hAnsi="Arial" w:cs="Arial"/>
              </w:rPr>
              <w:t xml:space="preserve"> </w:t>
            </w:r>
          </w:p>
        </w:tc>
      </w:tr>
      <w:tr w:rsidR="00641F03" w14:paraId="16F379D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833961C" w14:textId="77777777" w:rsidR="00641F03" w:rsidRDefault="00641F03">
            <w:pPr>
              <w:spacing w:after="0"/>
            </w:pPr>
            <w:r w:rsidRPr="4C521700">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E129805" w14:textId="77777777" w:rsidR="00641F03" w:rsidRDefault="00641F03">
            <w:pPr>
              <w:spacing w:after="0"/>
            </w:pPr>
            <w:r w:rsidRPr="4C521700">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A5EEE94" w14:textId="77777777" w:rsidR="00641F03" w:rsidRDefault="00641F03">
            <w:pPr>
              <w:spacing w:after="0"/>
            </w:pPr>
            <w:r w:rsidRPr="4C521700">
              <w:rPr>
                <w:rFonts w:ascii="Arial" w:eastAsia="Arial" w:hAnsi="Arial" w:cs="Arial"/>
                <w:b/>
              </w:rPr>
              <w:t>Quantitative description/ Data</w:t>
            </w:r>
          </w:p>
        </w:tc>
      </w:tr>
      <w:tr w:rsidR="00641F03" w14:paraId="121D26CB"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596BB73" w14:textId="77777777" w:rsidR="00641F03" w:rsidRDefault="00641F03">
            <w:pPr>
              <w:spacing w:after="0"/>
            </w:pPr>
            <w:r w:rsidRPr="4C521700">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A1EC0A"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8E91D7E" w14:textId="77777777" w:rsidR="00641F03" w:rsidRDefault="00641F03">
            <w:pPr>
              <w:spacing w:after="0"/>
            </w:pPr>
            <w:r w:rsidRPr="4C521700">
              <w:rPr>
                <w:rFonts w:ascii="Arial" w:eastAsia="Arial" w:hAnsi="Arial" w:cs="Arial"/>
              </w:rPr>
              <w:t xml:space="preserve"> </w:t>
            </w:r>
          </w:p>
        </w:tc>
      </w:tr>
      <w:tr w:rsidR="00641F03" w14:paraId="7C49620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366002F" w14:textId="77777777" w:rsidR="00641F03" w:rsidRDefault="00641F03">
            <w:pPr>
              <w:spacing w:after="0"/>
            </w:pPr>
            <w:r w:rsidRPr="4C521700">
              <w:rPr>
                <w:rFonts w:ascii="Arial" w:eastAsia="Arial" w:hAnsi="Arial" w:cs="Arial"/>
                <w:b/>
              </w:rPr>
              <w:t>Compliance costs:</w:t>
            </w:r>
          </w:p>
          <w:p w14:paraId="7B21B4A8" w14:textId="77777777" w:rsidR="00641F03" w:rsidRDefault="00641F03">
            <w:pPr>
              <w:spacing w:after="0"/>
            </w:pPr>
            <w:r w:rsidRPr="4C521700">
              <w:rPr>
                <w:rFonts w:ascii="Arial" w:eastAsia="Arial" w:hAnsi="Arial" w:cs="Arial"/>
                <w:b/>
              </w:rPr>
              <w:t>- One-off</w:t>
            </w:r>
          </w:p>
          <w:p w14:paraId="571C89F7" w14:textId="77777777" w:rsidR="00641F03" w:rsidRDefault="00641F03">
            <w:pPr>
              <w:spacing w:after="0"/>
            </w:pPr>
            <w:r w:rsidRPr="4C521700">
              <w:rPr>
                <w:rFonts w:ascii="Arial" w:eastAsia="Arial" w:hAnsi="Arial" w:cs="Arial"/>
                <w:b/>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CE5A929"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978155" w14:textId="77777777" w:rsidR="00641F03" w:rsidRDefault="00641F03">
            <w:pPr>
              <w:spacing w:after="0"/>
            </w:pPr>
            <w:r w:rsidRPr="4C521700">
              <w:rPr>
                <w:rFonts w:ascii="Arial" w:eastAsia="Arial" w:hAnsi="Arial" w:cs="Arial"/>
              </w:rPr>
              <w:t xml:space="preserve"> </w:t>
            </w:r>
          </w:p>
        </w:tc>
      </w:tr>
      <w:tr w:rsidR="00641F03" w14:paraId="792118C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642CA0A" w14:textId="77777777" w:rsidR="00641F03" w:rsidRDefault="00641F03">
            <w:pPr>
              <w:spacing w:after="0"/>
            </w:pPr>
            <w:r w:rsidRPr="4C521700">
              <w:rPr>
                <w:rFonts w:ascii="Arial" w:eastAsia="Arial" w:hAnsi="Arial" w:cs="Arial"/>
                <w:b/>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B4DA24B"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C580E16" w14:textId="77777777" w:rsidR="00641F03" w:rsidRDefault="00641F03">
            <w:pPr>
              <w:spacing w:after="0"/>
            </w:pPr>
            <w:r w:rsidRPr="4C521700">
              <w:rPr>
                <w:rFonts w:ascii="Arial" w:eastAsia="Arial" w:hAnsi="Arial" w:cs="Arial"/>
              </w:rPr>
              <w:t xml:space="preserve"> </w:t>
            </w:r>
          </w:p>
        </w:tc>
      </w:tr>
      <w:tr w:rsidR="00641F03" w14:paraId="7F2BF5AE"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5BFE894" w14:textId="77777777" w:rsidR="00641F03" w:rsidRDefault="00641F03">
            <w:pPr>
              <w:spacing w:after="0"/>
            </w:pPr>
            <w:r w:rsidRPr="4C521700">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E4A336F"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FA3EF9B" w14:textId="77777777" w:rsidR="00641F03" w:rsidRDefault="00641F03">
            <w:pPr>
              <w:spacing w:after="0"/>
              <w:rPr>
                <w:rFonts w:ascii="Arial" w:eastAsia="Arial" w:hAnsi="Arial" w:cs="Arial"/>
              </w:rPr>
            </w:pPr>
          </w:p>
        </w:tc>
      </w:tr>
    </w:tbl>
    <w:p w14:paraId="5BDD101F" w14:textId="77777777" w:rsidR="00641F03" w:rsidRDefault="00641F03" w:rsidP="00641F03"/>
    <w:p w14:paraId="3004C39A" w14:textId="62C17336" w:rsidR="00641F03" w:rsidRDefault="00641F03" w:rsidP="00641F03">
      <w:r>
        <w:t>&lt;ESMA_QUESTION</w:t>
      </w:r>
      <w:r w:rsidR="00C62B79">
        <w:t>_SETD_</w:t>
      </w:r>
      <w:r>
        <w:t>11&gt;</w:t>
      </w:r>
    </w:p>
    <w:p w14:paraId="6B5F2A35" w14:textId="77777777" w:rsidR="003A3731" w:rsidRDefault="003A3731" w:rsidP="00641F03">
      <w:pPr>
        <w:rPr>
          <w:rStyle w:val="normaltextrun"/>
          <w:rFonts w:ascii="Candara" w:hAnsi="Candara"/>
          <w:i/>
          <w:iCs/>
          <w:color w:val="0070C0"/>
          <w:szCs w:val="22"/>
          <w:bdr w:val="none" w:sz="0" w:space="0" w:color="auto" w:frame="1"/>
          <w:lang w:val="en-US"/>
        </w:rPr>
      </w:pPr>
      <w:permStart w:id="1413637038" w:edGrp="everyone"/>
      <w:r>
        <w:rPr>
          <w:rStyle w:val="normaltextrun"/>
          <w:rFonts w:ascii="Candara" w:hAnsi="Candara"/>
          <w:i/>
          <w:iCs/>
          <w:color w:val="0070C0"/>
          <w:szCs w:val="22"/>
          <w:bdr w:val="none" w:sz="0" w:space="0" w:color="auto" w:frame="1"/>
          <w:lang w:val="en-US"/>
        </w:rPr>
        <w:t>N.A. for ECSDA</w:t>
      </w:r>
    </w:p>
    <w:permEnd w:id="1413637038"/>
    <w:p w14:paraId="009E8A42" w14:textId="1175B2F5" w:rsidR="00641F03" w:rsidRDefault="00641F03" w:rsidP="00641F03">
      <w:r>
        <w:t>&lt;ESMA_QUESTION</w:t>
      </w:r>
      <w:r w:rsidR="00C62B79">
        <w:t>_SETD_</w:t>
      </w:r>
      <w:r>
        <w:t>11&gt;</w:t>
      </w:r>
    </w:p>
    <w:p w14:paraId="0F1E7D55" w14:textId="77777777" w:rsidR="00DB2FD6" w:rsidRDefault="00DB2FD6" w:rsidP="00DB2FD6"/>
    <w:p w14:paraId="1FBAD0BD" w14:textId="77777777" w:rsidR="00DB2FD6" w:rsidRDefault="00DB2FD6" w:rsidP="00DB2FD6">
      <w:pPr>
        <w:pStyle w:val="Questionstyle"/>
        <w:numPr>
          <w:ilvl w:val="0"/>
          <w:numId w:val="14"/>
        </w:numPr>
        <w:tabs>
          <w:tab w:val="clear" w:pos="567"/>
        </w:tabs>
        <w:spacing w:after="240" w:line="256" w:lineRule="auto"/>
        <w:ind w:left="851" w:hanging="851"/>
      </w:pPr>
      <w:r>
        <w:t>Do any of the exemption proposed above breaks the immunization principle? Please provide arguments.</w:t>
      </w:r>
    </w:p>
    <w:p w14:paraId="5CE6B89A" w14:textId="16B54E1C" w:rsidR="00DB2FD6" w:rsidRDefault="00DB2FD6" w:rsidP="00DB2FD6">
      <w:r>
        <w:t>&lt;ESMA_QUESTION</w:t>
      </w:r>
      <w:r w:rsidR="00C62B79">
        <w:t>_SETD_</w:t>
      </w:r>
      <w:r>
        <w:t>12&gt;</w:t>
      </w:r>
    </w:p>
    <w:p w14:paraId="55238BB2" w14:textId="77777777" w:rsidR="003A3731" w:rsidRDefault="003A3731" w:rsidP="00DB2FD6">
      <w:pPr>
        <w:rPr>
          <w:rStyle w:val="eop"/>
          <w:rFonts w:ascii="Candara" w:hAnsi="Candara"/>
          <w:color w:val="0070C0"/>
          <w:szCs w:val="22"/>
          <w:shd w:val="clear" w:color="auto" w:fill="FFFFFF"/>
        </w:rPr>
      </w:pPr>
      <w:permStart w:id="1552639028" w:edGrp="everyone"/>
      <w:r>
        <w:rPr>
          <w:rStyle w:val="normaltextrun"/>
          <w:rFonts w:ascii="Candara" w:hAnsi="Candara"/>
          <w:i/>
          <w:iCs/>
          <w:color w:val="0070C0"/>
          <w:szCs w:val="22"/>
          <w:shd w:val="clear" w:color="auto" w:fill="FFFFFF"/>
          <w:lang w:val="en-US"/>
        </w:rPr>
        <w:t>Yes, most of the cases can break the immunization principle, as only applied to part of the chain.</w:t>
      </w:r>
      <w:r>
        <w:rPr>
          <w:rStyle w:val="eop"/>
          <w:rFonts w:ascii="Candara" w:hAnsi="Candara"/>
          <w:color w:val="0070C0"/>
          <w:szCs w:val="22"/>
          <w:shd w:val="clear" w:color="auto" w:fill="FFFFFF"/>
        </w:rPr>
        <w:t> </w:t>
      </w:r>
    </w:p>
    <w:permEnd w:id="1552639028"/>
    <w:p w14:paraId="5D5B8B0F" w14:textId="706105AC" w:rsidR="00DB2FD6" w:rsidRDefault="00DB2FD6" w:rsidP="00DB2FD6">
      <w:r>
        <w:t>&lt;ESMA_QUESTION</w:t>
      </w:r>
      <w:r w:rsidR="00C62B79">
        <w:t>_SETD_</w:t>
      </w:r>
      <w:r>
        <w:t>12&gt;</w:t>
      </w:r>
    </w:p>
    <w:p w14:paraId="1BF29F8F" w14:textId="77777777" w:rsidR="00DB2FD6" w:rsidRDefault="00DB2FD6" w:rsidP="00DB2FD6"/>
    <w:p w14:paraId="45DFF403" w14:textId="77777777" w:rsidR="00DB2FD6" w:rsidRDefault="00DB2FD6" w:rsidP="00DB2FD6">
      <w:pPr>
        <w:pStyle w:val="Questionstyle"/>
        <w:numPr>
          <w:ilvl w:val="0"/>
          <w:numId w:val="14"/>
        </w:numPr>
        <w:tabs>
          <w:tab w:val="clear" w:pos="567"/>
        </w:tabs>
        <w:spacing w:after="240" w:line="256" w:lineRule="auto"/>
        <w:ind w:left="851" w:hanging="851"/>
      </w:pPr>
      <w:r>
        <w:t>Which of the exemptions proposed above do you think can be filtered out before penalties are applied in an automated way? And which one can only be exempted ex-post, as part of the already existing appeal mechanism at CSDs?</w:t>
      </w:r>
    </w:p>
    <w:p w14:paraId="2CA373FC" w14:textId="77777777" w:rsidR="00641F03" w:rsidRPr="005A33DE" w:rsidRDefault="00641F03" w:rsidP="00641F03">
      <w:pPr>
        <w:pStyle w:val="para"/>
        <w:ind w:left="851" w:firstLine="0"/>
        <w:rPr>
          <w:b/>
        </w:rPr>
      </w:pPr>
      <w:r w:rsidRPr="005A33DE">
        <w:rPr>
          <w:b/>
        </w:rPr>
        <w:t>Please provide details regarding the cost for ex-ante filtering compared to ex-post exemption via the appeal mechanism.</w:t>
      </w:r>
    </w:p>
    <w:p w14:paraId="239F2D8E" w14:textId="77777777" w:rsidR="00641F03" w:rsidRPr="00641F03" w:rsidRDefault="00641F03" w:rsidP="00641F03"/>
    <w:p w14:paraId="3BA0E05F" w14:textId="454273DA" w:rsidR="00DB2FD6" w:rsidRDefault="00DB2FD6" w:rsidP="00DB2FD6">
      <w:r>
        <w:t>&lt;ESMA_QUESTION</w:t>
      </w:r>
      <w:r w:rsidR="00C62B79">
        <w:t>_SETD_</w:t>
      </w:r>
      <w:r>
        <w:t>13&gt;</w:t>
      </w:r>
    </w:p>
    <w:p w14:paraId="65763CC7" w14:textId="77777777" w:rsidR="003A3731" w:rsidRDefault="003A3731" w:rsidP="003A3731">
      <w:pPr>
        <w:pStyle w:val="paragraph"/>
        <w:spacing w:before="0" w:beforeAutospacing="0" w:after="0" w:afterAutospacing="0"/>
        <w:jc w:val="both"/>
        <w:textAlignment w:val="baseline"/>
        <w:rPr>
          <w:rFonts w:ascii="Segoe UI" w:hAnsi="Segoe UI" w:cs="Segoe UI"/>
          <w:sz w:val="18"/>
          <w:szCs w:val="18"/>
        </w:rPr>
      </w:pPr>
      <w:permStart w:id="672795755" w:edGrp="everyone"/>
      <w:r>
        <w:rPr>
          <w:rStyle w:val="normaltextrun"/>
          <w:rFonts w:ascii="Candara" w:eastAsiaTheme="majorEastAsia" w:hAnsi="Candara" w:cs="Segoe UI"/>
          <w:i/>
          <w:iCs/>
          <w:color w:val="0070C0"/>
          <w:sz w:val="22"/>
          <w:szCs w:val="22"/>
        </w:rPr>
        <w:t xml:space="preserve">As also stated in our response to Q8 and Q10, we deem that no change should be introduced to the current process set-up, nevertheless, should any exemption be implemented, it exemption be implemented </w:t>
      </w:r>
      <w:r>
        <w:rPr>
          <w:rStyle w:val="normaltextrun"/>
          <w:rFonts w:ascii="Candara" w:eastAsiaTheme="majorEastAsia" w:hAnsi="Candara" w:cs="Segoe UI"/>
          <w:i/>
          <w:iCs/>
          <w:color w:val="0070C0"/>
          <w:sz w:val="22"/>
          <w:szCs w:val="22"/>
          <w:lang w:val="en-US"/>
        </w:rPr>
        <w:t>it must not increase process complexity and risk.</w:t>
      </w:r>
      <w:r>
        <w:rPr>
          <w:rStyle w:val="eop"/>
          <w:rFonts w:ascii="Candara" w:eastAsiaTheme="majorEastAsia" w:hAnsi="Candara" w:cs="Segoe UI"/>
          <w:color w:val="0070C0"/>
          <w:sz w:val="22"/>
          <w:szCs w:val="22"/>
        </w:rPr>
        <w:t> </w:t>
      </w:r>
    </w:p>
    <w:p w14:paraId="04067AE9" w14:textId="77777777" w:rsidR="003A3731" w:rsidRDefault="003A3731" w:rsidP="003A3731">
      <w:pPr>
        <w:pStyle w:val="paragraph"/>
        <w:spacing w:before="0" w:beforeAutospacing="0" w:after="0" w:afterAutospacing="0"/>
        <w:jc w:val="both"/>
        <w:textAlignment w:val="baseline"/>
        <w:rPr>
          <w:rFonts w:ascii="Segoe UI" w:hAnsi="Segoe UI" w:cs="Segoe UI"/>
          <w:sz w:val="18"/>
          <w:szCs w:val="18"/>
        </w:rPr>
      </w:pPr>
      <w:r>
        <w:rPr>
          <w:rStyle w:val="eop"/>
          <w:rFonts w:ascii="Candara" w:eastAsiaTheme="majorEastAsia" w:hAnsi="Candara" w:cs="Segoe UI"/>
          <w:color w:val="0070C0"/>
          <w:sz w:val="22"/>
          <w:szCs w:val="22"/>
        </w:rPr>
        <w:t> </w:t>
      </w:r>
    </w:p>
    <w:p w14:paraId="07A5DD3E" w14:textId="77777777" w:rsidR="003A3731" w:rsidRDefault="003A3731" w:rsidP="003A3731">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eastAsiaTheme="majorEastAsia" w:hAnsi="Candara" w:cs="Segoe UI"/>
          <w:i/>
          <w:iCs/>
          <w:color w:val="0070C0"/>
          <w:sz w:val="22"/>
          <w:szCs w:val="22"/>
        </w:rPr>
        <w:t>Anyway, should these exemptions be implemented, we take the opportunity to restate that the identification transaction type code is not a matching criterion, while in our opinion the usage of an identical qualifier for both settlement instructions of the receiving and delivering parts would be needed to clearly identify transactions in or out of scope of penalties. However, introducing the transaction type code as a matching criterion would have a negative impact on the settlement efficiency rate, should this become a matching field.</w:t>
      </w:r>
      <w:r>
        <w:rPr>
          <w:rStyle w:val="eop"/>
          <w:rFonts w:ascii="Candara" w:eastAsiaTheme="majorEastAsia" w:hAnsi="Candara" w:cs="Segoe UI"/>
          <w:color w:val="0070C0"/>
          <w:sz w:val="22"/>
          <w:szCs w:val="22"/>
        </w:rPr>
        <w:t> </w:t>
      </w:r>
    </w:p>
    <w:permEnd w:id="672795755"/>
    <w:p w14:paraId="2DDA03E8" w14:textId="79ADC3D6" w:rsidR="00DB2FD6" w:rsidRDefault="00DB2FD6" w:rsidP="00DB2FD6">
      <w:r>
        <w:t>&lt;ESMA_QUESTION</w:t>
      </w:r>
      <w:r w:rsidR="00C62B79">
        <w:t>_SETD_</w:t>
      </w:r>
      <w:r>
        <w:t>13&gt;</w:t>
      </w:r>
    </w:p>
    <w:p w14:paraId="1FD4A371" w14:textId="77777777" w:rsidR="00DB2FD6" w:rsidRDefault="00DB2FD6" w:rsidP="00DB2FD6"/>
    <w:p w14:paraId="3B8ED674" w14:textId="3D7DE31F" w:rsidR="00DB2FD6" w:rsidRDefault="00DB2FD6" w:rsidP="00DB2FD6">
      <w:pPr>
        <w:pStyle w:val="Questionstyle"/>
        <w:numPr>
          <w:ilvl w:val="0"/>
          <w:numId w:val="14"/>
        </w:numPr>
        <w:tabs>
          <w:tab w:val="clear" w:pos="567"/>
        </w:tabs>
        <w:spacing w:after="240" w:line="256" w:lineRule="auto"/>
        <w:ind w:left="851" w:hanging="851"/>
      </w:pPr>
      <w:r>
        <w:t>For exemptions that can be filtered out in advance, do you think that a CSD would prefer to implement this filter or not? Also considering the very large number of appeals they might have to deal with and also the costs it will entail.</w:t>
      </w:r>
    </w:p>
    <w:p w14:paraId="71C60704" w14:textId="771744B7" w:rsidR="00DB2FD6" w:rsidRDefault="00DB2FD6" w:rsidP="00DB2FD6">
      <w:r>
        <w:t>&lt;ESMA_QUESTION</w:t>
      </w:r>
      <w:r w:rsidR="00C62B79">
        <w:t>_SETD_</w:t>
      </w:r>
      <w:r>
        <w:t>14&gt;</w:t>
      </w:r>
    </w:p>
    <w:p w14:paraId="35191E01" w14:textId="77777777" w:rsidR="003A3731" w:rsidRDefault="003A3731" w:rsidP="00DB2FD6">
      <w:pPr>
        <w:rPr>
          <w:rStyle w:val="eop"/>
          <w:rFonts w:ascii="Candara" w:hAnsi="Candara"/>
          <w:color w:val="4F80BD"/>
          <w:szCs w:val="22"/>
          <w:shd w:val="clear" w:color="auto" w:fill="FFFFFF"/>
        </w:rPr>
      </w:pPr>
      <w:permStart w:id="485633781" w:edGrp="everyone"/>
      <w:r>
        <w:rPr>
          <w:rStyle w:val="normaltextrun"/>
          <w:rFonts w:ascii="Candara" w:hAnsi="Candara"/>
          <w:i/>
          <w:iCs/>
          <w:color w:val="4F80BD"/>
          <w:szCs w:val="22"/>
          <w:shd w:val="clear" w:color="auto" w:fill="FFFFFF"/>
          <w:lang w:val="en-US"/>
        </w:rPr>
        <w:lastRenderedPageBreak/>
        <w:t>Please refer to our responses to Q8, Q10 and Q13.</w:t>
      </w:r>
      <w:r>
        <w:rPr>
          <w:rStyle w:val="eop"/>
          <w:rFonts w:ascii="Candara" w:hAnsi="Candara"/>
          <w:color w:val="4F80BD"/>
          <w:szCs w:val="22"/>
          <w:shd w:val="clear" w:color="auto" w:fill="FFFFFF"/>
        </w:rPr>
        <w:t> </w:t>
      </w:r>
    </w:p>
    <w:permEnd w:id="485633781"/>
    <w:p w14:paraId="30F51AED" w14:textId="15428C9D" w:rsidR="00DB2FD6" w:rsidRDefault="00DB2FD6" w:rsidP="00DB2FD6">
      <w:r>
        <w:t>&lt;ESMA_QUESTION</w:t>
      </w:r>
      <w:r w:rsidR="00C62B79">
        <w:t>_SETD_</w:t>
      </w:r>
      <w:r>
        <w:t>14&gt;</w:t>
      </w:r>
    </w:p>
    <w:p w14:paraId="4616B8C9" w14:textId="77777777" w:rsidR="00DB2FD6" w:rsidRDefault="00DB2FD6" w:rsidP="00DB2FD6"/>
    <w:p w14:paraId="70BBC3D2" w14:textId="77777777" w:rsidR="00DB2FD6" w:rsidRDefault="00DB2FD6" w:rsidP="00DB2FD6">
      <w:pPr>
        <w:pStyle w:val="Questionstyle"/>
        <w:numPr>
          <w:ilvl w:val="0"/>
          <w:numId w:val="14"/>
        </w:numPr>
        <w:tabs>
          <w:tab w:val="clear" w:pos="567"/>
        </w:tabs>
        <w:spacing w:after="240" w:line="256" w:lineRule="auto"/>
        <w:ind w:left="851" w:hanging="851"/>
      </w:pPr>
      <w:r>
        <w:t>Which transaction types based on the codes allowed by T2S (or potentially other codes such as ISO transaction codes) should be exempted from settlement discipline measures? Please provide the codes, their definition and arguments to justify the exemption.</w:t>
      </w:r>
    </w:p>
    <w:p w14:paraId="6E543018" w14:textId="41253EAB" w:rsidR="00DB2FD6" w:rsidRDefault="00DB2FD6" w:rsidP="00DB2FD6">
      <w:r>
        <w:t>&lt;ESMA_QUESTION</w:t>
      </w:r>
      <w:r w:rsidR="00C62B79">
        <w:t>_SETD_</w:t>
      </w:r>
      <w:r>
        <w:t>15&gt;</w:t>
      </w:r>
    </w:p>
    <w:p w14:paraId="68574C63" w14:textId="77777777" w:rsidR="00DB32C2" w:rsidRDefault="00DB32C2" w:rsidP="00DB2FD6">
      <w:pPr>
        <w:rPr>
          <w:rStyle w:val="eop"/>
          <w:rFonts w:ascii="Candara" w:hAnsi="Candara"/>
          <w:color w:val="0070C0"/>
          <w:szCs w:val="22"/>
          <w:shd w:val="clear" w:color="auto" w:fill="FFFFFF"/>
        </w:rPr>
      </w:pPr>
      <w:permStart w:id="376904252" w:edGrp="everyone"/>
      <w:r>
        <w:rPr>
          <w:rStyle w:val="normaltextrun"/>
          <w:rFonts w:ascii="Candara" w:hAnsi="Candara"/>
          <w:i/>
          <w:iCs/>
          <w:color w:val="0070C0"/>
          <w:szCs w:val="22"/>
          <w:shd w:val="clear" w:color="auto" w:fill="FFFFFF"/>
        </w:rPr>
        <w:t>Please refer to our feedback on the previous question (Q14).</w:t>
      </w:r>
      <w:r>
        <w:rPr>
          <w:rStyle w:val="eop"/>
          <w:rFonts w:ascii="Candara" w:hAnsi="Candara"/>
          <w:color w:val="0070C0"/>
          <w:szCs w:val="22"/>
          <w:shd w:val="clear" w:color="auto" w:fill="FFFFFF"/>
        </w:rPr>
        <w:t> </w:t>
      </w:r>
    </w:p>
    <w:permEnd w:id="376904252"/>
    <w:p w14:paraId="7C79ACB0" w14:textId="04DE89C0" w:rsidR="00DB2FD6" w:rsidRDefault="00DB2FD6" w:rsidP="00DB2FD6">
      <w:r>
        <w:t>&lt;ESMA_QUESTION</w:t>
      </w:r>
      <w:r w:rsidR="00C62B79">
        <w:t>_SETD_</w:t>
      </w:r>
      <w:r>
        <w:t>15&gt;</w:t>
      </w: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6302" w14:textId="77777777" w:rsidR="00F57C00" w:rsidRDefault="00F57C00" w:rsidP="007E7997">
      <w:pPr>
        <w:spacing w:line="240" w:lineRule="auto"/>
      </w:pPr>
      <w:r>
        <w:separator/>
      </w:r>
    </w:p>
  </w:endnote>
  <w:endnote w:type="continuationSeparator" w:id="0">
    <w:p w14:paraId="62D19094" w14:textId="77777777" w:rsidR="00F57C00" w:rsidRDefault="00F57C00" w:rsidP="007E7997">
      <w:pPr>
        <w:spacing w:line="240" w:lineRule="auto"/>
      </w:pPr>
      <w:r>
        <w:continuationSeparator/>
      </w:r>
    </w:p>
  </w:endnote>
  <w:endnote w:type="continuationNotice" w:id="1">
    <w:p w14:paraId="68D59A90" w14:textId="77777777" w:rsidR="00F57C00" w:rsidRDefault="00F57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A9F8" w14:textId="77777777" w:rsidR="00F57C00" w:rsidRDefault="00F57C00" w:rsidP="007E7997">
      <w:pPr>
        <w:spacing w:line="240" w:lineRule="auto"/>
      </w:pPr>
      <w:r>
        <w:separator/>
      </w:r>
    </w:p>
  </w:footnote>
  <w:footnote w:type="continuationSeparator" w:id="0">
    <w:p w14:paraId="501C8268" w14:textId="77777777" w:rsidR="00F57C00" w:rsidRDefault="00F57C00" w:rsidP="007E7997">
      <w:pPr>
        <w:spacing w:line="240" w:lineRule="auto"/>
      </w:pPr>
      <w:r>
        <w:continuationSeparator/>
      </w:r>
    </w:p>
  </w:footnote>
  <w:footnote w:type="continuationNotice" w:id="1">
    <w:p w14:paraId="1B831F21" w14:textId="77777777" w:rsidR="00F57C00" w:rsidRDefault="00F57C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07BF9D54" w:rsidR="00D77369" w:rsidRPr="00DB2FD6" w:rsidRDefault="00D77369" w:rsidP="008858FE">
    <w:pPr>
      <w:pStyle w:val="Header"/>
      <w:rPr>
        <w:bCs/>
        <w:caps/>
        <w:color w:val="FF0000" w:themeColor="accent6"/>
        <w:sz w:val="22"/>
        <w:highlight w:val="yellow"/>
      </w:rPr>
    </w:pPr>
    <w:r w:rsidRPr="00306F0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30ED5">
      <w:t>9</w:t>
    </w:r>
    <w:r w:rsidR="00306F0E">
      <w:t xml:space="preserve"> July</w:t>
    </w:r>
    <w:r w:rsidR="00EB238F" w:rsidRPr="002E135A">
      <w:t xml:space="preserve"> </w:t>
    </w:r>
    <w:r w:rsidR="002E135A" w:rsidRPr="002E135A">
      <w:t>2024</w:t>
    </w:r>
  </w:p>
  <w:p w14:paraId="48F2413B" w14:textId="129E2FB4" w:rsidR="004E5FF8" w:rsidRDefault="00C47686" w:rsidP="00C47686">
    <w:pPr>
      <w:jc w:val="right"/>
    </w:pPr>
    <w:r w:rsidRPr="00C47686">
      <w:rPr>
        <w:color w:val="001B4F" w:themeColor="text1" w:themeShade="80"/>
        <w:sz w:val="16"/>
      </w:rPr>
      <w:t>ESMA74-2119945925-2037</w:t>
    </w:r>
  </w:p>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75209"/>
    <w:multiLevelType w:val="multilevel"/>
    <w:tmpl w:val="DFCA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1B2DD6"/>
    <w:multiLevelType w:val="multilevel"/>
    <w:tmpl w:val="5ABC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3"/>
  </w:num>
  <w:num w:numId="2" w16cid:durableId="270287514">
    <w:abstractNumId w:val="6"/>
  </w:num>
  <w:num w:numId="3" w16cid:durableId="1675497260">
    <w:abstractNumId w:val="11"/>
  </w:num>
  <w:num w:numId="4" w16cid:durableId="1146706333">
    <w:abstractNumId w:val="4"/>
  </w:num>
  <w:num w:numId="5" w16cid:durableId="1502348752">
    <w:abstractNumId w:val="0"/>
  </w:num>
  <w:num w:numId="6" w16cid:durableId="1544101585">
    <w:abstractNumId w:val="7"/>
  </w:num>
  <w:num w:numId="7" w16cid:durableId="896626050">
    <w:abstractNumId w:val="14"/>
  </w:num>
  <w:num w:numId="8" w16cid:durableId="806780153">
    <w:abstractNumId w:val="2"/>
  </w:num>
  <w:num w:numId="9" w16cid:durableId="1677002603">
    <w:abstractNumId w:val="12"/>
  </w:num>
  <w:num w:numId="10" w16cid:durableId="22487393">
    <w:abstractNumId w:val="10"/>
  </w:num>
  <w:num w:numId="11" w16cid:durableId="270942799">
    <w:abstractNumId w:val="9"/>
  </w:num>
  <w:num w:numId="12" w16cid:durableId="10230698">
    <w:abstractNumId w:val="9"/>
    <w:lvlOverride w:ilvl="0">
      <w:startOverride w:val="1"/>
    </w:lvlOverride>
  </w:num>
  <w:num w:numId="13" w16cid:durableId="1914856611">
    <w:abstractNumId w:val="1"/>
  </w:num>
  <w:num w:numId="14" w16cid:durableId="297614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8"/>
  </w:num>
  <w:num w:numId="17" w16cid:durableId="874658673">
    <w:abstractNumId w:val="3"/>
  </w:num>
  <w:num w:numId="18" w16cid:durableId="13803369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c4MWd7GchPiIx07J6t1bJDckJ/Jd6SBIShsTCUeeKGLX3Ksl8KLp6zCcB3sCoA7kAoZwPfU47jDhx56O70ILw==" w:salt="520Iaq93dGsaKeJmRPGEQ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731"/>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4F75"/>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531"/>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919"/>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785"/>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2C2"/>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3F65"/>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C00"/>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D40FEDE9-BA76-4A41-986D-60FCFB09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paragraph" w:styleId="NormalWeb">
    <w:name w:val="Normal (Web)"/>
    <w:basedOn w:val="Normal"/>
    <w:uiPriority w:val="99"/>
    <w:semiHidden/>
    <w:unhideWhenUsed/>
    <w:rsid w:val="003A3731"/>
    <w:pPr>
      <w:spacing w:before="100" w:beforeAutospacing="1" w:after="100" w:afterAutospacing="1" w:line="240" w:lineRule="auto"/>
      <w:jc w:val="left"/>
    </w:pPr>
    <w:rPr>
      <w:rFonts w:ascii="Times New Roman" w:eastAsia="Times New Roman" w:hAnsi="Times New Roman" w:cs="Times New Roman"/>
      <w:color w:val="auto"/>
      <w:sz w:val="24"/>
      <w:szCs w:val="24"/>
      <w:lang/>
    </w:rPr>
  </w:style>
  <w:style w:type="paragraph" w:customStyle="1" w:styleId="paragraph">
    <w:name w:val="paragraph"/>
    <w:basedOn w:val="Normal"/>
    <w:rsid w:val="003A3731"/>
    <w:pPr>
      <w:spacing w:before="100" w:beforeAutospacing="1" w:after="100" w:afterAutospacing="1" w:line="240" w:lineRule="auto"/>
      <w:jc w:val="left"/>
    </w:pPr>
    <w:rPr>
      <w:rFonts w:ascii="Times New Roman" w:eastAsia="Times New Roman" w:hAnsi="Times New Roman" w:cs="Times New Roman"/>
      <w:color w:val="auto"/>
      <w:sz w:val="24"/>
      <w:szCs w:val="24"/>
      <w:lang/>
    </w:rPr>
  </w:style>
  <w:style w:type="character" w:customStyle="1" w:styleId="normaltextrun">
    <w:name w:val="normaltextrun"/>
    <w:basedOn w:val="DefaultParagraphFont"/>
    <w:rsid w:val="003A3731"/>
  </w:style>
  <w:style w:type="character" w:customStyle="1" w:styleId="eop">
    <w:name w:val="eop"/>
    <w:basedOn w:val="DefaultParagraphFont"/>
    <w:rsid w:val="003A3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169612669">
      <w:bodyDiv w:val="1"/>
      <w:marLeft w:val="0"/>
      <w:marRight w:val="0"/>
      <w:marTop w:val="0"/>
      <w:marBottom w:val="0"/>
      <w:divBdr>
        <w:top w:val="none" w:sz="0" w:space="0" w:color="auto"/>
        <w:left w:val="none" w:sz="0" w:space="0" w:color="auto"/>
        <w:bottom w:val="none" w:sz="0" w:space="0" w:color="auto"/>
        <w:right w:val="none" w:sz="0" w:space="0" w:color="auto"/>
      </w:divBdr>
      <w:divsChild>
        <w:div w:id="1929650481">
          <w:marLeft w:val="0"/>
          <w:marRight w:val="0"/>
          <w:marTop w:val="0"/>
          <w:marBottom w:val="0"/>
          <w:divBdr>
            <w:top w:val="none" w:sz="0" w:space="0" w:color="auto"/>
            <w:left w:val="none" w:sz="0" w:space="0" w:color="auto"/>
            <w:bottom w:val="none" w:sz="0" w:space="0" w:color="auto"/>
            <w:right w:val="none" w:sz="0" w:space="0" w:color="auto"/>
          </w:divBdr>
        </w:div>
        <w:div w:id="1661620586">
          <w:marLeft w:val="0"/>
          <w:marRight w:val="0"/>
          <w:marTop w:val="0"/>
          <w:marBottom w:val="0"/>
          <w:divBdr>
            <w:top w:val="none" w:sz="0" w:space="0" w:color="auto"/>
            <w:left w:val="none" w:sz="0" w:space="0" w:color="auto"/>
            <w:bottom w:val="none" w:sz="0" w:space="0" w:color="auto"/>
            <w:right w:val="none" w:sz="0" w:space="0" w:color="auto"/>
          </w:divBdr>
        </w:div>
        <w:div w:id="1794252442">
          <w:marLeft w:val="0"/>
          <w:marRight w:val="0"/>
          <w:marTop w:val="0"/>
          <w:marBottom w:val="0"/>
          <w:divBdr>
            <w:top w:val="none" w:sz="0" w:space="0" w:color="auto"/>
            <w:left w:val="none" w:sz="0" w:space="0" w:color="auto"/>
            <w:bottom w:val="none" w:sz="0" w:space="0" w:color="auto"/>
            <w:right w:val="none" w:sz="0" w:space="0" w:color="auto"/>
          </w:divBdr>
        </w:div>
      </w:divsChild>
    </w:div>
    <w:div w:id="28254388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292176169">
      <w:bodyDiv w:val="1"/>
      <w:marLeft w:val="0"/>
      <w:marRight w:val="0"/>
      <w:marTop w:val="0"/>
      <w:marBottom w:val="0"/>
      <w:divBdr>
        <w:top w:val="none" w:sz="0" w:space="0" w:color="auto"/>
        <w:left w:val="none" w:sz="0" w:space="0" w:color="auto"/>
        <w:bottom w:val="none" w:sz="0" w:space="0" w:color="auto"/>
        <w:right w:val="none" w:sz="0" w:space="0" w:color="auto"/>
      </w:divBdr>
    </w:div>
    <w:div w:id="310212371">
      <w:bodyDiv w:val="1"/>
      <w:marLeft w:val="0"/>
      <w:marRight w:val="0"/>
      <w:marTop w:val="0"/>
      <w:marBottom w:val="0"/>
      <w:divBdr>
        <w:top w:val="none" w:sz="0" w:space="0" w:color="auto"/>
        <w:left w:val="none" w:sz="0" w:space="0" w:color="auto"/>
        <w:bottom w:val="none" w:sz="0" w:space="0" w:color="auto"/>
        <w:right w:val="none" w:sz="0" w:space="0" w:color="auto"/>
      </w:divBdr>
      <w:divsChild>
        <w:div w:id="562108622">
          <w:marLeft w:val="0"/>
          <w:marRight w:val="0"/>
          <w:marTop w:val="0"/>
          <w:marBottom w:val="0"/>
          <w:divBdr>
            <w:top w:val="none" w:sz="0" w:space="0" w:color="auto"/>
            <w:left w:val="none" w:sz="0" w:space="0" w:color="auto"/>
            <w:bottom w:val="none" w:sz="0" w:space="0" w:color="auto"/>
            <w:right w:val="none" w:sz="0" w:space="0" w:color="auto"/>
          </w:divBdr>
        </w:div>
        <w:div w:id="802306903">
          <w:marLeft w:val="0"/>
          <w:marRight w:val="0"/>
          <w:marTop w:val="0"/>
          <w:marBottom w:val="0"/>
          <w:divBdr>
            <w:top w:val="none" w:sz="0" w:space="0" w:color="auto"/>
            <w:left w:val="none" w:sz="0" w:space="0" w:color="auto"/>
            <w:bottom w:val="none" w:sz="0" w:space="0" w:color="auto"/>
            <w:right w:val="none" w:sz="0" w:space="0" w:color="auto"/>
          </w:divBdr>
        </w:div>
      </w:divsChild>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78713976">
      <w:bodyDiv w:val="1"/>
      <w:marLeft w:val="0"/>
      <w:marRight w:val="0"/>
      <w:marTop w:val="0"/>
      <w:marBottom w:val="0"/>
      <w:divBdr>
        <w:top w:val="none" w:sz="0" w:space="0" w:color="auto"/>
        <w:left w:val="none" w:sz="0" w:space="0" w:color="auto"/>
        <w:bottom w:val="none" w:sz="0" w:space="0" w:color="auto"/>
        <w:right w:val="none" w:sz="0" w:space="0" w:color="auto"/>
      </w:divBdr>
      <w:divsChild>
        <w:div w:id="996613649">
          <w:marLeft w:val="0"/>
          <w:marRight w:val="0"/>
          <w:marTop w:val="0"/>
          <w:marBottom w:val="0"/>
          <w:divBdr>
            <w:top w:val="none" w:sz="0" w:space="0" w:color="auto"/>
            <w:left w:val="none" w:sz="0" w:space="0" w:color="auto"/>
            <w:bottom w:val="none" w:sz="0" w:space="0" w:color="auto"/>
            <w:right w:val="none" w:sz="0" w:space="0" w:color="auto"/>
          </w:divBdr>
        </w:div>
        <w:div w:id="2116705988">
          <w:marLeft w:val="0"/>
          <w:marRight w:val="0"/>
          <w:marTop w:val="0"/>
          <w:marBottom w:val="0"/>
          <w:divBdr>
            <w:top w:val="none" w:sz="0" w:space="0" w:color="auto"/>
            <w:left w:val="none" w:sz="0" w:space="0" w:color="auto"/>
            <w:bottom w:val="none" w:sz="0" w:space="0" w:color="auto"/>
            <w:right w:val="none" w:sz="0" w:space="0" w:color="auto"/>
          </w:divBdr>
        </w:div>
        <w:div w:id="343096172">
          <w:marLeft w:val="0"/>
          <w:marRight w:val="0"/>
          <w:marTop w:val="0"/>
          <w:marBottom w:val="0"/>
          <w:divBdr>
            <w:top w:val="none" w:sz="0" w:space="0" w:color="auto"/>
            <w:left w:val="none" w:sz="0" w:space="0" w:color="auto"/>
            <w:bottom w:val="none" w:sz="0" w:space="0" w:color="auto"/>
            <w:right w:val="none" w:sz="0" w:space="0" w:color="auto"/>
          </w:divBdr>
        </w:div>
        <w:div w:id="1538472188">
          <w:marLeft w:val="0"/>
          <w:marRight w:val="0"/>
          <w:marTop w:val="0"/>
          <w:marBottom w:val="0"/>
          <w:divBdr>
            <w:top w:val="none" w:sz="0" w:space="0" w:color="auto"/>
            <w:left w:val="none" w:sz="0" w:space="0" w:color="auto"/>
            <w:bottom w:val="none" w:sz="0" w:space="0" w:color="auto"/>
            <w:right w:val="none" w:sz="0" w:space="0" w:color="auto"/>
          </w:divBdr>
        </w:div>
      </w:divsChild>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799883160">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12529341">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217608"/>
    <w:rsid w:val="0034145D"/>
    <w:rsid w:val="004E4CF9"/>
    <w:rsid w:val="005D66AB"/>
    <w:rsid w:val="006D3543"/>
    <w:rsid w:val="00813189"/>
    <w:rsid w:val="008222A0"/>
    <w:rsid w:val="00836D47"/>
    <w:rsid w:val="00967F32"/>
    <w:rsid w:val="00993537"/>
    <w:rsid w:val="009B6B9C"/>
    <w:rsid w:val="00B22006"/>
    <w:rsid w:val="00B46CAE"/>
    <w:rsid w:val="00D01785"/>
    <w:rsid w:val="00D40353"/>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353"/>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299</Value>
      <Value>282</Value>
      <Value>9</Value>
      <Value>296</Value>
    </TaxCatchAll>
    <_dlc_DocId xmlns="d0fb0f98-34f9-4d57-9559-eb8efd17aa5e">ESMA74-2119945925-2037</_dlc_DocId>
    <_dlc_DocIdUrl xmlns="d0fb0f98-34f9-4d57-9559-eb8efd17aa5e">
      <Url>https://securitiesandmarketsauth.sharepoint.com/sites/sherpa-trdu/_layouts/15/DocIdRedir.aspx?ID=ESMA74-2119945925-2037</Url>
      <Description>ESMA74-2119945925-2037</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CSDR Settlement discipline - Cash penalties</TermName>
          <TermId xmlns="http://schemas.microsoft.com/office/infopath/2007/PartnerControls">750d9414-78ed-4fba-a8dc-f2be471cad85</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2023</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SDR Policy Document" ma:contentTypeID="0x0101008D9E5D2C101BA04B85C7EB08C6516E40070063E1B3F6A3CBC848AC72876EC74C30A0" ma:contentTypeVersion="29" ma:contentTypeDescription="" ma:contentTypeScope="" ma:versionID="73f7c2da696fa3c22950bf70c14e5c8d">
  <xsd:schema xmlns:xsd="http://www.w3.org/2001/XMLSchema" xmlns:xs="http://www.w3.org/2001/XMLSchema" xmlns:p="http://schemas.microsoft.com/office/2006/metadata/properties" xmlns:ns2="d0fb0f98-34f9-4d57-9559-eb8efd17aa5e" xmlns:ns3="d6ee69ee-eb04-4cc4-8631-12658645af0f" targetNamespace="http://schemas.microsoft.com/office/2006/metadata/properties" ma:root="true" ma:fieldsID="0cc192deb419d8a7e5a7b4a0753f9c30" ns2:_="" ns3:_="">
    <xsd:import namespace="d0fb0f98-34f9-4d57-9559-eb8efd17aa5e"/>
    <xsd:import namespace="d6ee69ee-eb04-4cc4-8631-12658645af0f"/>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90688103-1e8a-4f61-b7e0-9f62eca5dc1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e69ee-eb04-4cc4-8631-12658645af0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34FAE009-7B8A-4702-96E1-EB10B74C2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ee69ee-eb04-4cc4-8631-12658645a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2255</Words>
  <Characters>12859</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15084</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Beatrice Fraioli</cp:lastModifiedBy>
  <cp:revision>2</cp:revision>
  <cp:lastPrinted>2023-09-09T09:53:00Z</cp:lastPrinted>
  <dcterms:created xsi:type="dcterms:W3CDTF">2024-09-13T13:42:00Z</dcterms:created>
  <dcterms:modified xsi:type="dcterms:W3CDTF">2024-09-13T13:42:00Z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0x0101008D9E5D2C101BA04B85C7EB08C6516E40070063E1B3F6A3CBC848AC72876EC74C30A0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81db5172-c043-40ed-a78d-a0fb05a5f055</vt:lpwstr>
  </property>
  <property fmtid="{D5CDD505-2E9C-101B-9397-08002B2CF9AE}" pid="8" name="Topic">
    <vt:lpwstr>296</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9</vt:lpwstr>
  </property>
  <property fmtid="{D5CDD505-2E9C-101B-9397-08002B2CF9AE}" pid="14" name="SubTopic">
    <vt:lpwstr>299</vt:lpwstr>
  </property>
</Properties>
</file>