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olo"/>
          </w:pPr>
          <w:r>
            <w:t xml:space="preserve">Reply </w:t>
          </w:r>
          <w:r w:rsidR="00DD03DC">
            <w:t>F</w:t>
          </w:r>
          <w:r>
            <w:t>orm</w:t>
          </w:r>
        </w:p>
        <w:p w14:paraId="031F2108" w14:textId="11D8325D" w:rsidR="007E7997" w:rsidRPr="00C01571" w:rsidRDefault="00D77369" w:rsidP="00D77369">
          <w:pPr>
            <w:pStyle w:val="Sottotitolo"/>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4629"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3175406D" w:rsidR="00635BCA" w:rsidRPr="00557BD2" w:rsidRDefault="008A3B18" w:rsidP="00D21C35">
                <w:r>
                  <w:t>Italian Banking Association</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1185A96B" w14:textId="7CB4DECB" w:rsidR="00B17279" w:rsidRDefault="008A3B18"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7EECB297" w:rsidR="00B17279" w:rsidRDefault="008A3B18"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76D7A83B" w:rsidR="00B17279" w:rsidRPr="00557BD2" w:rsidRDefault="008A3B18" w:rsidP="00B17279">
                <w:r>
                  <w:t>Italy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Titolo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567F5537" w14:textId="77777777" w:rsidR="006F1097" w:rsidRPr="00AD6AD9" w:rsidRDefault="006F1097" w:rsidP="006F1097">
      <w:pPr>
        <w:rPr>
          <w:color w:val="0070C0"/>
        </w:rPr>
      </w:pPr>
      <w:permStart w:id="2091009738" w:edGrp="everyone"/>
      <w:r w:rsidRPr="00035F24">
        <w:rPr>
          <w:color w:val="0070C0"/>
        </w:rPr>
        <w:t>We agree with ESMA’s proposal regarding the underlying causes of settlement fails that are considered as not attributable to the participants in the transactions.</w:t>
      </w:r>
      <w:r>
        <w:rPr>
          <w:color w:val="0070C0"/>
        </w:rPr>
        <w:t xml:space="preserve"> We also agree with the proposal to incorporate in the forthcoming Level-2 (L2) legal text the answer that</w:t>
      </w:r>
      <w:r w:rsidRPr="00035F24">
        <w:rPr>
          <w:color w:val="0070C0"/>
        </w:rPr>
        <w:t xml:space="preserve"> </w:t>
      </w:r>
      <w:r>
        <w:rPr>
          <w:color w:val="0070C0"/>
        </w:rPr>
        <w:t>ESMA has provided to one of its Q&amp;A on this matter. Coming to the second part of Q.1, t</w:t>
      </w:r>
      <w:r w:rsidRPr="00035F24">
        <w:rPr>
          <w:color w:val="0070C0"/>
        </w:rPr>
        <w:t xml:space="preserve">here are no cases which we do not agree with, but, as described </w:t>
      </w:r>
      <w:r>
        <w:rPr>
          <w:color w:val="0070C0"/>
        </w:rPr>
        <w:t xml:space="preserve">partly in this answer and partly </w:t>
      </w:r>
      <w:r w:rsidRPr="00035F24">
        <w:rPr>
          <w:color w:val="0070C0"/>
        </w:rPr>
        <w:t xml:space="preserve">in </w:t>
      </w:r>
      <w:r w:rsidRPr="007703C7">
        <w:rPr>
          <w:color w:val="0070C0"/>
        </w:rPr>
        <w:t>our answer to Q.15</w:t>
      </w:r>
      <w:r w:rsidRPr="00035F24">
        <w:rPr>
          <w:color w:val="0070C0"/>
        </w:rPr>
        <w:t xml:space="preserve">, </w:t>
      </w:r>
      <w:proofErr w:type="gramStart"/>
      <w:r w:rsidRPr="00035F24">
        <w:rPr>
          <w:color w:val="0070C0"/>
        </w:rPr>
        <w:t>on the basis of</w:t>
      </w:r>
      <w:proofErr w:type="gramEnd"/>
      <w:r w:rsidRPr="00035F24">
        <w:rPr>
          <w:color w:val="0070C0"/>
        </w:rPr>
        <w:t xml:space="preserve"> the feedback gathered by our members, </w:t>
      </w:r>
      <w:r>
        <w:rPr>
          <w:color w:val="0070C0"/>
        </w:rPr>
        <w:t xml:space="preserve">ABI is of the view that </w:t>
      </w:r>
      <w:r w:rsidRPr="00035F24">
        <w:rPr>
          <w:color w:val="0070C0"/>
        </w:rPr>
        <w:t xml:space="preserve">the list </w:t>
      </w:r>
      <w:r>
        <w:rPr>
          <w:color w:val="0070C0"/>
        </w:rPr>
        <w:t xml:space="preserve">of exemptions </w:t>
      </w:r>
      <w:r w:rsidRPr="00035F24">
        <w:rPr>
          <w:color w:val="0070C0"/>
        </w:rPr>
        <w:t>should be complemented by a few further cases</w:t>
      </w:r>
      <w:r>
        <w:t>.</w:t>
      </w:r>
    </w:p>
    <w:p w14:paraId="6DF4F73E" w14:textId="77777777" w:rsidR="006F1097" w:rsidRDefault="006F1097" w:rsidP="006F1097">
      <w:pPr>
        <w:rPr>
          <w:color w:val="0070C0"/>
        </w:rPr>
      </w:pPr>
      <w:r>
        <w:rPr>
          <w:color w:val="0070C0"/>
        </w:rPr>
        <w:t xml:space="preserve">Within </w:t>
      </w:r>
      <w:r w:rsidRPr="00AD6AD9">
        <w:rPr>
          <w:color w:val="0070C0"/>
        </w:rPr>
        <w:t xml:space="preserve">this consultation paper there </w:t>
      </w:r>
      <w:r>
        <w:rPr>
          <w:color w:val="0070C0"/>
        </w:rPr>
        <w:t xml:space="preserve">seems to be </w:t>
      </w:r>
      <w:r w:rsidRPr="00735799">
        <w:rPr>
          <w:b/>
          <w:bCs/>
          <w:color w:val="0070C0"/>
        </w:rPr>
        <w:t>no residual open questions</w:t>
      </w:r>
      <w:r w:rsidRPr="00AD6AD9">
        <w:rPr>
          <w:color w:val="0070C0"/>
        </w:rPr>
        <w:t xml:space="preserve"> </w:t>
      </w:r>
      <w:r>
        <w:rPr>
          <w:color w:val="0070C0"/>
        </w:rPr>
        <w:t xml:space="preserve">(besides Q.15) about </w:t>
      </w:r>
      <w:r w:rsidRPr="00AD6AD9">
        <w:rPr>
          <w:color w:val="0070C0"/>
        </w:rPr>
        <w:t xml:space="preserve">further topics considered important to stakeholders, </w:t>
      </w:r>
      <w:r>
        <w:rPr>
          <w:color w:val="0070C0"/>
        </w:rPr>
        <w:t xml:space="preserve">so </w:t>
      </w:r>
      <w:r w:rsidRPr="00AD6AD9">
        <w:rPr>
          <w:color w:val="0070C0"/>
        </w:rPr>
        <w:t xml:space="preserve">ABI regards it significant, </w:t>
      </w:r>
      <w:proofErr w:type="gramStart"/>
      <w:r w:rsidRPr="00AD6AD9">
        <w:rPr>
          <w:color w:val="0070C0"/>
        </w:rPr>
        <w:t>on the basis of</w:t>
      </w:r>
      <w:proofErr w:type="gramEnd"/>
      <w:r w:rsidRPr="00AD6AD9">
        <w:rPr>
          <w:color w:val="0070C0"/>
        </w:rPr>
        <w:t xml:space="preserve"> its members’ feedback, to highlight</w:t>
      </w:r>
      <w:r>
        <w:rPr>
          <w:color w:val="0070C0"/>
        </w:rPr>
        <w:t xml:space="preserve"> under this question</w:t>
      </w:r>
      <w:r w:rsidRPr="00AD6AD9">
        <w:rPr>
          <w:color w:val="0070C0"/>
        </w:rPr>
        <w:t xml:space="preserve"> the </w:t>
      </w:r>
      <w:r w:rsidRPr="00826371">
        <w:rPr>
          <w:color w:val="0070C0"/>
        </w:rPr>
        <w:t>potential misstatement</w:t>
      </w:r>
      <w:r w:rsidRPr="00AD6AD9">
        <w:rPr>
          <w:color w:val="0070C0"/>
        </w:rPr>
        <w:t xml:space="preserve"> reported under paragraph 11 </w:t>
      </w:r>
      <w:r>
        <w:rPr>
          <w:color w:val="0070C0"/>
        </w:rPr>
        <w:t xml:space="preserve">on page 10 </w:t>
      </w:r>
      <w:r w:rsidRPr="00AD6AD9">
        <w:rPr>
          <w:color w:val="0070C0"/>
        </w:rPr>
        <w:t>on “portfolio transfers”</w:t>
      </w:r>
      <w:r>
        <w:rPr>
          <w:color w:val="0070C0"/>
        </w:rPr>
        <w:t xml:space="preserve"> as it regards what it m</w:t>
      </w:r>
      <w:r w:rsidRPr="006E78B7">
        <w:rPr>
          <w:color w:val="0070C0"/>
        </w:rPr>
        <w:t>ay potentially be out of scope of the settlement discipline regime</w:t>
      </w:r>
      <w:r w:rsidRPr="00AD6AD9">
        <w:rPr>
          <w:color w:val="0070C0"/>
        </w:rPr>
        <w:t>. Indeed, ESMA state</w:t>
      </w:r>
      <w:r>
        <w:rPr>
          <w:color w:val="0070C0"/>
        </w:rPr>
        <w:t>s</w:t>
      </w:r>
      <w:r w:rsidRPr="00AD6AD9">
        <w:rPr>
          <w:color w:val="0070C0"/>
        </w:rPr>
        <w:t xml:space="preserve"> that “</w:t>
      </w:r>
      <w:r w:rsidRPr="00AD6AD9">
        <w:rPr>
          <w:i/>
          <w:iCs/>
          <w:color w:val="0070C0"/>
        </w:rPr>
        <w:t xml:space="preserve">some stakeholders argued that portfolio transfers where </w:t>
      </w:r>
      <w:r w:rsidRPr="00AD6AD9">
        <w:rPr>
          <w:b/>
          <w:bCs/>
          <w:i/>
          <w:iCs/>
          <w:color w:val="0070C0"/>
        </w:rPr>
        <w:t>the parties delivering and receiving securities are the same</w:t>
      </w:r>
      <w:r w:rsidRPr="00AD6AD9">
        <w:rPr>
          <w:i/>
          <w:iCs/>
          <w:color w:val="0070C0"/>
        </w:rPr>
        <w:t xml:space="preserve"> should be exempted,</w:t>
      </w:r>
      <w:r>
        <w:rPr>
          <w:i/>
          <w:iCs/>
          <w:color w:val="0070C0"/>
        </w:rPr>
        <w:t xml:space="preserve"> (…)</w:t>
      </w:r>
      <w:r w:rsidRPr="00AD6AD9">
        <w:rPr>
          <w:color w:val="0070C0"/>
        </w:rPr>
        <w:t>”</w:t>
      </w:r>
      <w:r>
        <w:rPr>
          <w:color w:val="0070C0"/>
        </w:rPr>
        <w:t xml:space="preserve">. </w:t>
      </w:r>
      <w:r w:rsidRPr="002B1CA6">
        <w:rPr>
          <w:color w:val="0070C0"/>
        </w:rPr>
        <w:t>However, such statement is a source of potential misunderstanding. Indeed,</w:t>
      </w:r>
      <w:r>
        <w:rPr>
          <w:color w:val="0070C0"/>
        </w:rPr>
        <w:t xml:space="preserve"> a substantial number of Portfolio Transfers’ transactions are those where the “parties” are the custodian banks liaising with each other </w:t>
      </w:r>
      <w:proofErr w:type="gramStart"/>
      <w:r>
        <w:rPr>
          <w:color w:val="0070C0"/>
        </w:rPr>
        <w:t>in order to</w:t>
      </w:r>
      <w:proofErr w:type="gramEnd"/>
      <w:r>
        <w:rPr>
          <w:color w:val="0070C0"/>
        </w:rPr>
        <w:t xml:space="preserve"> complete successfully the transfer which is relevant to a client further down the custody / intermediation chain. As it is evident, such (custodian) parties </w:t>
      </w:r>
      <w:r w:rsidRPr="00826371">
        <w:rPr>
          <w:color w:val="0070C0"/>
          <w:u w:val="single"/>
        </w:rPr>
        <w:t>cannot</w:t>
      </w:r>
      <w:r>
        <w:rPr>
          <w:color w:val="0070C0"/>
        </w:rPr>
        <w:t xml:space="preserve"> be the same (as it is </w:t>
      </w:r>
      <w:r>
        <w:rPr>
          <w:color w:val="0070C0"/>
        </w:rPr>
        <w:lastRenderedPageBreak/>
        <w:t xml:space="preserve">stated above) when a portfolio of financial instruments is transferred by an investor from a bank to another with “No Change of Beneficial Ownership” (NCBO, the business case of a client’s portfolio transfer from a bank to another, where the property and the beneficial ownership do not change). </w:t>
      </w:r>
      <w:r w:rsidRPr="00701259">
        <w:rPr>
          <w:b/>
          <w:bCs/>
          <w:color w:val="0070C0"/>
        </w:rPr>
        <w:t xml:space="preserve">ABI takes the opportunity of this public consultation to reiterate </w:t>
      </w:r>
      <w:r>
        <w:rPr>
          <w:b/>
          <w:bCs/>
          <w:color w:val="0070C0"/>
        </w:rPr>
        <w:t>that PORT/</w:t>
      </w:r>
      <w:r w:rsidRPr="00701259">
        <w:rPr>
          <w:b/>
          <w:bCs/>
          <w:color w:val="0070C0"/>
        </w:rPr>
        <w:t>NCBOs should be excluded from the settlement discipline scope</w:t>
      </w:r>
      <w:r>
        <w:rPr>
          <w:color w:val="0070C0"/>
        </w:rPr>
        <w:t>. Should such exclusion not being accepted, the more likely scenario in cases of penalties to be debited and credited for portfolio transfers with NCBO would be the following: the delivering custodian bank (being late, i.e. to justify the activation of the penalty system) would be notified on settlement date +1 (SD+1) but the debit confirmation and allocation of the penalty to the relevant client would occur according to the so-called Penalties Calendar (i.e. after the middle of the month which follows the detection of the penalty), so at time when the cash account of the relevant (transferred) client would already be “nil balance” or even closed. Hence, the debited penalty would not be appropriately booked. Looking now at the side of the Receiving Bank, the cash account of the relevant (transferred) client would be in place by that time and, hence, the (undue) credit of the penalty would occur, creating a breach in the “immunization principle” also recalled by ESMA in this consultation paper.</w:t>
      </w:r>
    </w:p>
    <w:p w14:paraId="69BE04AD" w14:textId="77777777" w:rsidR="006F1097" w:rsidRDefault="006F1097" w:rsidP="006F1097">
      <w:pPr>
        <w:rPr>
          <w:color w:val="0070C0"/>
          <w:lang w:val="en-US"/>
        </w:rPr>
      </w:pPr>
      <w:r w:rsidRPr="00F44835">
        <w:rPr>
          <w:color w:val="0070C0"/>
        </w:rPr>
        <w:t>Aside from this, we agree with</w:t>
      </w:r>
      <w:r>
        <w:rPr>
          <w:color w:val="0070C0"/>
        </w:rPr>
        <w:t xml:space="preserve"> ESMA’s statement under paragraph 13 when the Authority “</w:t>
      </w:r>
      <w:r w:rsidRPr="00974B53">
        <w:rPr>
          <w:i/>
          <w:iCs/>
          <w:color w:val="0070C0"/>
        </w:rPr>
        <w:t>…acknowledges that only transactions that can be classified by CSDs applying straight through processing (STP) should be declared out of scope</w:t>
      </w:r>
      <w:r>
        <w:rPr>
          <w:color w:val="0070C0"/>
        </w:rPr>
        <w:t>”. ABI also shares the consideration, under par. 14, that “…</w:t>
      </w:r>
      <w:r w:rsidRPr="008F6143">
        <w:rPr>
          <w:i/>
          <w:iCs/>
          <w:color w:val="0070C0"/>
        </w:rPr>
        <w:t>discerning whether a given circumstance qualifies as trading, often hinges on comprehending the rationale behind the operation</w:t>
      </w:r>
      <w:r>
        <w:rPr>
          <w:color w:val="0070C0"/>
        </w:rPr>
        <w:t xml:space="preserve">”. However, </w:t>
      </w:r>
      <w:r w:rsidRPr="00C61C29">
        <w:rPr>
          <w:b/>
          <w:bCs/>
          <w:color w:val="0070C0"/>
        </w:rPr>
        <w:t>when ESMA asks</w:t>
      </w:r>
      <w:r>
        <w:rPr>
          <w:color w:val="0070C0"/>
        </w:rPr>
        <w:t xml:space="preserve"> (at the end of par. 14) for stakeholders’ views “…</w:t>
      </w:r>
      <w:r w:rsidRPr="003409D0">
        <w:rPr>
          <w:i/>
          <w:iCs/>
          <w:color w:val="0070C0"/>
        </w:rPr>
        <w:t xml:space="preserve">on </w:t>
      </w:r>
      <w:r w:rsidRPr="001C3A1F">
        <w:rPr>
          <w:b/>
          <w:bCs/>
          <w:i/>
          <w:iCs/>
          <w:color w:val="0070C0"/>
        </w:rPr>
        <w:t>which transaction types</w:t>
      </w:r>
      <w:r w:rsidRPr="003409D0">
        <w:rPr>
          <w:i/>
          <w:iCs/>
          <w:color w:val="0070C0"/>
        </w:rPr>
        <w:t xml:space="preserve"> based on the </w:t>
      </w:r>
      <w:r w:rsidRPr="001C3A1F">
        <w:rPr>
          <w:b/>
          <w:bCs/>
          <w:i/>
          <w:iCs/>
          <w:color w:val="0070C0"/>
        </w:rPr>
        <w:t>codes allowed by T2S</w:t>
      </w:r>
      <w:r w:rsidRPr="003409D0">
        <w:rPr>
          <w:i/>
          <w:iCs/>
          <w:color w:val="0070C0"/>
        </w:rPr>
        <w:t xml:space="preserve"> (or potentially other codes such as ISO transaction codes) </w:t>
      </w:r>
      <w:r w:rsidRPr="001C3A1F">
        <w:rPr>
          <w:b/>
          <w:bCs/>
          <w:i/>
          <w:iCs/>
          <w:color w:val="0070C0"/>
        </w:rPr>
        <w:t>should be exempted</w:t>
      </w:r>
      <w:r w:rsidRPr="003409D0">
        <w:rPr>
          <w:i/>
          <w:iCs/>
          <w:color w:val="0070C0"/>
        </w:rPr>
        <w:t xml:space="preserve"> from settlement discipline measures</w:t>
      </w:r>
      <w:r>
        <w:rPr>
          <w:color w:val="0070C0"/>
        </w:rPr>
        <w:t xml:space="preserve">”, </w:t>
      </w:r>
      <w:r w:rsidRPr="00D0552E">
        <w:rPr>
          <w:b/>
          <w:bCs/>
          <w:color w:val="0070C0"/>
        </w:rPr>
        <w:t xml:space="preserve">ABI suggests </w:t>
      </w:r>
      <w:r w:rsidRPr="00C61C29">
        <w:rPr>
          <w:b/>
          <w:bCs/>
          <w:color w:val="0070C0"/>
          <w:u w:val="single"/>
        </w:rPr>
        <w:t>a set of codes presented under Q.15</w:t>
      </w:r>
      <w:r>
        <w:rPr>
          <w:color w:val="0070C0"/>
        </w:rPr>
        <w:t xml:space="preserve">. Aside from this, and equally importantly, in our opinion “(…) </w:t>
      </w:r>
      <w:r w:rsidRPr="00A948E7">
        <w:rPr>
          <w:i/>
          <w:iCs/>
          <w:color w:val="0070C0"/>
        </w:rPr>
        <w:t>the 41 codes allowed by T2S specifying the type of transaction from which the instruction stems</w:t>
      </w:r>
      <w:r>
        <w:rPr>
          <w:i/>
          <w:iCs/>
          <w:color w:val="0070C0"/>
        </w:rPr>
        <w:t xml:space="preserve"> </w:t>
      </w:r>
      <w:r w:rsidRPr="00C61C29">
        <w:rPr>
          <w:color w:val="0070C0"/>
        </w:rPr>
        <w:t>(…)</w:t>
      </w:r>
      <w:r>
        <w:rPr>
          <w:color w:val="0070C0"/>
        </w:rPr>
        <w:t xml:space="preserve">” </w:t>
      </w:r>
      <w:r w:rsidRPr="00C61C29">
        <w:rPr>
          <w:b/>
          <w:bCs/>
          <w:color w:val="0070C0"/>
        </w:rPr>
        <w:t>should be qualified as “mandatory” or “conditional” matching fields</w:t>
      </w:r>
      <w:r>
        <w:rPr>
          <w:color w:val="0070C0"/>
        </w:rPr>
        <w:t xml:space="preserve">. </w:t>
      </w:r>
    </w:p>
    <w:p w14:paraId="39C64421" w14:textId="77777777" w:rsidR="006F1097" w:rsidRPr="00F44835" w:rsidRDefault="006F1097" w:rsidP="006F1097">
      <w:pPr>
        <w:rPr>
          <w:color w:val="0070C0"/>
        </w:rPr>
      </w:pPr>
      <w:r>
        <w:rPr>
          <w:color w:val="0070C0"/>
        </w:rPr>
        <w:t xml:space="preserve">In fact, currently, </w:t>
      </w:r>
      <w:r w:rsidRPr="00F3735A">
        <w:rPr>
          <w:color w:val="0070C0"/>
        </w:rPr>
        <w:t xml:space="preserve">T2S is not considering the </w:t>
      </w:r>
      <w:r>
        <w:rPr>
          <w:color w:val="0070C0"/>
        </w:rPr>
        <w:t>“</w:t>
      </w:r>
      <w:r w:rsidRPr="00F3735A">
        <w:rPr>
          <w:color w:val="0070C0"/>
        </w:rPr>
        <w:t>transaction code</w:t>
      </w:r>
      <w:r>
        <w:rPr>
          <w:color w:val="0070C0"/>
        </w:rPr>
        <w:t>”</w:t>
      </w:r>
      <w:r w:rsidRPr="00F3735A">
        <w:rPr>
          <w:color w:val="0070C0"/>
        </w:rPr>
        <w:t xml:space="preserve"> as a matching </w:t>
      </w:r>
      <w:r>
        <w:rPr>
          <w:color w:val="0070C0"/>
        </w:rPr>
        <w:t>field/</w:t>
      </w:r>
      <w:r w:rsidRPr="00F3735A">
        <w:rPr>
          <w:color w:val="0070C0"/>
        </w:rPr>
        <w:t>condition (</w:t>
      </w:r>
      <w:r>
        <w:rPr>
          <w:color w:val="0070C0"/>
        </w:rPr>
        <w:t xml:space="preserve">even when </w:t>
      </w:r>
      <w:r w:rsidRPr="00B26DBE">
        <w:rPr>
          <w:color w:val="0070C0"/>
        </w:rPr>
        <w:t xml:space="preserve">populated) and having it as a </w:t>
      </w:r>
      <w:r>
        <w:rPr>
          <w:color w:val="0070C0"/>
        </w:rPr>
        <w:t>“</w:t>
      </w:r>
      <w:r w:rsidRPr="00B26DBE">
        <w:rPr>
          <w:color w:val="0070C0"/>
        </w:rPr>
        <w:t>matching condition</w:t>
      </w:r>
      <w:r>
        <w:rPr>
          <w:color w:val="0070C0"/>
        </w:rPr>
        <w:t>”</w:t>
      </w:r>
      <w:r w:rsidRPr="00B26DBE">
        <w:rPr>
          <w:color w:val="0070C0"/>
        </w:rPr>
        <w:t xml:space="preserve"> for a very specific set of cases </w:t>
      </w:r>
      <w:r>
        <w:rPr>
          <w:color w:val="0070C0"/>
        </w:rPr>
        <w:t>would substantially</w:t>
      </w:r>
      <w:r w:rsidRPr="00B26DBE">
        <w:rPr>
          <w:color w:val="0070C0"/>
        </w:rPr>
        <w:t xml:space="preserve"> help to define a proper perimeter</w:t>
      </w:r>
      <w:r>
        <w:rPr>
          <w:color w:val="0070C0"/>
        </w:rPr>
        <w:t xml:space="preserve"> for exempted transactions.</w:t>
      </w:r>
      <w:r w:rsidRPr="00F3735A">
        <w:rPr>
          <w:color w:val="0070C0"/>
        </w:rPr>
        <w:t xml:space="preserve"> </w:t>
      </w:r>
      <w:r>
        <w:rPr>
          <w:color w:val="0070C0"/>
        </w:rPr>
        <w:t>T</w:t>
      </w:r>
      <w:r w:rsidRPr="00F3735A">
        <w:rPr>
          <w:color w:val="0070C0"/>
        </w:rPr>
        <w:t xml:space="preserve">he fact that the very same transaction code should be used in both the </w:t>
      </w:r>
      <w:proofErr w:type="gramStart"/>
      <w:r w:rsidRPr="00F3735A">
        <w:rPr>
          <w:color w:val="0070C0"/>
        </w:rPr>
        <w:t>legs</w:t>
      </w:r>
      <w:proofErr w:type="gramEnd"/>
      <w:r w:rsidRPr="00F3735A">
        <w:rPr>
          <w:color w:val="0070C0"/>
        </w:rPr>
        <w:t xml:space="preserve"> of a transaction is a </w:t>
      </w:r>
      <w:r w:rsidRPr="00CB0644">
        <w:rPr>
          <w:b/>
          <w:bCs/>
          <w:color w:val="0070C0"/>
        </w:rPr>
        <w:t>necessary precondition</w:t>
      </w:r>
      <w:r w:rsidRPr="00F3735A">
        <w:rPr>
          <w:color w:val="0070C0"/>
        </w:rPr>
        <w:t xml:space="preserve"> to save the immunization principle (i.e. both the delivery and the receiving agent will use the transaction code in order to have the same treatment of the transaction</w:t>
      </w:r>
      <w:r>
        <w:rPr>
          <w:color w:val="0070C0"/>
        </w:rPr>
        <w:t xml:space="preserve">, say for instance </w:t>
      </w:r>
      <w:r w:rsidRPr="00F3735A">
        <w:rPr>
          <w:color w:val="0070C0"/>
        </w:rPr>
        <w:t xml:space="preserve">PORT or MKUP). </w:t>
      </w:r>
      <w:r w:rsidRPr="00F3735A">
        <w:rPr>
          <w:color w:val="0070C0"/>
          <w:lang w:val="en-US"/>
        </w:rPr>
        <w:t>For sure</w:t>
      </w:r>
      <w:r>
        <w:rPr>
          <w:color w:val="0070C0"/>
          <w:lang w:val="en-US"/>
        </w:rPr>
        <w:t>,</w:t>
      </w:r>
      <w:r w:rsidRPr="00F3735A">
        <w:rPr>
          <w:color w:val="0070C0"/>
          <w:lang w:val="en-US"/>
        </w:rPr>
        <w:t xml:space="preserve"> </w:t>
      </w:r>
      <w:r>
        <w:rPr>
          <w:color w:val="0070C0"/>
          <w:lang w:val="en-US"/>
        </w:rPr>
        <w:t>prior to</w:t>
      </w:r>
      <w:r w:rsidRPr="00F3735A">
        <w:rPr>
          <w:color w:val="0070C0"/>
          <w:lang w:val="en-US"/>
        </w:rPr>
        <w:t xml:space="preserve"> setting </w:t>
      </w:r>
      <w:r>
        <w:rPr>
          <w:color w:val="0070C0"/>
          <w:lang w:val="en-US"/>
        </w:rPr>
        <w:t xml:space="preserve">as “conditional” </w:t>
      </w:r>
      <w:r w:rsidRPr="00F3735A">
        <w:rPr>
          <w:color w:val="0070C0"/>
          <w:lang w:val="en-US"/>
        </w:rPr>
        <w:t xml:space="preserve">a </w:t>
      </w:r>
      <w:r>
        <w:rPr>
          <w:color w:val="0070C0"/>
          <w:lang w:val="en-US"/>
        </w:rPr>
        <w:t xml:space="preserve">sub-set </w:t>
      </w:r>
      <w:r w:rsidRPr="00F3735A">
        <w:rPr>
          <w:color w:val="0070C0"/>
          <w:lang w:val="en-US"/>
        </w:rPr>
        <w:t>of transaction co</w:t>
      </w:r>
      <w:r>
        <w:rPr>
          <w:color w:val="0070C0"/>
          <w:lang w:val="en-US"/>
        </w:rPr>
        <w:t xml:space="preserve">de(s), the matching criteria would require those codes having the </w:t>
      </w:r>
      <w:r w:rsidRPr="0010074C">
        <w:rPr>
          <w:color w:val="0070C0"/>
          <w:lang w:val="en-US"/>
        </w:rPr>
        <w:t>same meaning across CSDs</w:t>
      </w:r>
      <w:r>
        <w:rPr>
          <w:color w:val="0070C0"/>
          <w:lang w:val="en-US"/>
        </w:rPr>
        <w:t>.</w:t>
      </w:r>
    </w:p>
    <w:p w14:paraId="06307351" w14:textId="77777777" w:rsidR="006F1097" w:rsidRDefault="006F1097" w:rsidP="006F1097">
      <w:pPr>
        <w:rPr>
          <w:color w:val="0070C0"/>
          <w:lang w:val="en-US"/>
        </w:rPr>
      </w:pPr>
      <w:r>
        <w:rPr>
          <w:color w:val="0070C0"/>
          <w:lang w:val="en-US"/>
        </w:rPr>
        <w:t xml:space="preserve">The above would </w:t>
      </w:r>
      <w:r w:rsidRPr="00506455">
        <w:rPr>
          <w:color w:val="0070C0"/>
          <w:lang w:val="en-US"/>
        </w:rPr>
        <w:t>grant hav</w:t>
      </w:r>
      <w:r>
        <w:rPr>
          <w:color w:val="0070C0"/>
          <w:lang w:val="en-US"/>
        </w:rPr>
        <w:t>ing</w:t>
      </w:r>
      <w:r w:rsidRPr="00B26DBE">
        <w:rPr>
          <w:color w:val="0070C0"/>
          <w:lang w:val="en-US"/>
        </w:rPr>
        <w:t xml:space="preserve"> a clean and consistent id</w:t>
      </w:r>
      <w:r>
        <w:rPr>
          <w:color w:val="0070C0"/>
          <w:lang w:val="en-US"/>
        </w:rPr>
        <w:t xml:space="preserve">entification of the exemption rational, as it would imply </w:t>
      </w:r>
      <w:r w:rsidRPr="00B7546A">
        <w:rPr>
          <w:b/>
          <w:bCs/>
          <w:color w:val="0070C0"/>
          <w:lang w:val="en-US"/>
        </w:rPr>
        <w:t>having both parties to agree on the transactions type ID</w:t>
      </w:r>
      <w:r>
        <w:rPr>
          <w:b/>
          <w:bCs/>
          <w:color w:val="0070C0"/>
          <w:lang w:val="en-US"/>
        </w:rPr>
        <w:t>.</w:t>
      </w:r>
      <w:r>
        <w:rPr>
          <w:color w:val="0070C0"/>
          <w:lang w:val="en-US"/>
        </w:rPr>
        <w:t xml:space="preserve"> Conversely, if </w:t>
      </w:r>
      <w:r>
        <w:rPr>
          <w:color w:val="0070C0"/>
          <w:lang w:val="en-US"/>
        </w:rPr>
        <w:lastRenderedPageBreak/>
        <w:t>this field remained out of the matching process, then w</w:t>
      </w:r>
      <w:r w:rsidRPr="00EA5A2F">
        <w:rPr>
          <w:color w:val="0070C0"/>
          <w:lang w:val="en-US"/>
        </w:rPr>
        <w:t xml:space="preserve">e </w:t>
      </w:r>
      <w:r>
        <w:rPr>
          <w:color w:val="0070C0"/>
          <w:lang w:val="en-US"/>
        </w:rPr>
        <w:t xml:space="preserve">would witness </w:t>
      </w:r>
      <w:r w:rsidRPr="00EA5A2F">
        <w:rPr>
          <w:color w:val="0070C0"/>
          <w:lang w:val="en-US"/>
        </w:rPr>
        <w:t>misalignment</w:t>
      </w:r>
      <w:r>
        <w:rPr>
          <w:color w:val="0070C0"/>
          <w:lang w:val="en-US"/>
        </w:rPr>
        <w:t>(s)</w:t>
      </w:r>
      <w:r w:rsidRPr="00EA5A2F">
        <w:rPr>
          <w:color w:val="0070C0"/>
          <w:lang w:val="en-US"/>
        </w:rPr>
        <w:t xml:space="preserve"> in the transaction type and</w:t>
      </w:r>
      <w:r>
        <w:rPr>
          <w:color w:val="0070C0"/>
          <w:lang w:val="en-US"/>
        </w:rPr>
        <w:t xml:space="preserve">, worse, a </w:t>
      </w:r>
      <w:r w:rsidRPr="00EA5A2F">
        <w:rPr>
          <w:color w:val="0070C0"/>
          <w:lang w:val="en-US"/>
        </w:rPr>
        <w:t>brea</w:t>
      </w:r>
      <w:r>
        <w:rPr>
          <w:color w:val="0070C0"/>
          <w:lang w:val="en-US"/>
        </w:rPr>
        <w:t>ch</w:t>
      </w:r>
      <w:r w:rsidRPr="00EA5A2F">
        <w:rPr>
          <w:color w:val="0070C0"/>
          <w:lang w:val="en-US"/>
        </w:rPr>
        <w:t xml:space="preserve"> in the </w:t>
      </w:r>
      <w:r>
        <w:rPr>
          <w:color w:val="0070C0"/>
          <w:lang w:val="en-US"/>
        </w:rPr>
        <w:t xml:space="preserve">immunization </w:t>
      </w:r>
      <w:r w:rsidRPr="00EA5A2F">
        <w:rPr>
          <w:color w:val="0070C0"/>
          <w:lang w:val="en-US"/>
        </w:rPr>
        <w:t>principl</w:t>
      </w:r>
      <w:r>
        <w:rPr>
          <w:color w:val="0070C0"/>
          <w:lang w:val="en-US"/>
        </w:rPr>
        <w:t>e</w:t>
      </w:r>
      <w:r w:rsidRPr="00EA5A2F">
        <w:rPr>
          <w:color w:val="0070C0"/>
          <w:lang w:val="en-US"/>
        </w:rPr>
        <w:t xml:space="preserve"> mentioned above </w:t>
      </w:r>
      <w:r>
        <w:rPr>
          <w:color w:val="0070C0"/>
          <w:lang w:val="en-US"/>
        </w:rPr>
        <w:t xml:space="preserve">(what we have addressed </w:t>
      </w:r>
      <w:r w:rsidRPr="00EA5A2F">
        <w:rPr>
          <w:color w:val="0070C0"/>
          <w:lang w:val="en-US"/>
        </w:rPr>
        <w:t xml:space="preserve">as </w:t>
      </w:r>
      <w:r>
        <w:rPr>
          <w:color w:val="0070C0"/>
          <w:lang w:val="en-US"/>
        </w:rPr>
        <w:t>a “</w:t>
      </w:r>
      <w:r w:rsidRPr="00EA5A2F">
        <w:rPr>
          <w:color w:val="0070C0"/>
          <w:lang w:val="en-US"/>
        </w:rPr>
        <w:t>misstatement</w:t>
      </w:r>
      <w:r>
        <w:rPr>
          <w:color w:val="0070C0"/>
          <w:lang w:val="en-US"/>
        </w:rPr>
        <w:t>”).</w:t>
      </w:r>
    </w:p>
    <w:p w14:paraId="0BC4AF4A" w14:textId="77777777" w:rsidR="006F1097" w:rsidRDefault="006F1097" w:rsidP="006F1097">
      <w:pPr>
        <w:rPr>
          <w:color w:val="0070C0"/>
          <w:lang w:val="en-US"/>
        </w:rPr>
      </w:pPr>
      <w:r>
        <w:rPr>
          <w:color w:val="0070C0"/>
          <w:lang w:val="en-US"/>
        </w:rPr>
        <w:t xml:space="preserve">There could be the case of </w:t>
      </w:r>
      <w:r w:rsidRPr="00506455">
        <w:rPr>
          <w:color w:val="0070C0"/>
          <w:lang w:val="en-US"/>
        </w:rPr>
        <w:t>one CSD having quoted the tr</w:t>
      </w:r>
      <w:r>
        <w:rPr>
          <w:color w:val="0070C0"/>
          <w:lang w:val="en-US"/>
        </w:rPr>
        <w:t xml:space="preserve">ansaction type in the message exempting, and a receiving one/CSD calculating penalties due to a transaction type ID </w:t>
      </w:r>
      <w:proofErr w:type="gramStart"/>
      <w:r>
        <w:rPr>
          <w:color w:val="0070C0"/>
          <w:lang w:val="en-US"/>
        </w:rPr>
        <w:t>not present</w:t>
      </w:r>
      <w:proofErr w:type="gramEnd"/>
      <w:r>
        <w:rPr>
          <w:color w:val="0070C0"/>
          <w:lang w:val="en-US"/>
        </w:rPr>
        <w:t xml:space="preserve"> in the exemption list.</w:t>
      </w:r>
    </w:p>
    <w:p w14:paraId="1F94B543" w14:textId="13855A97" w:rsidR="00DB2FD6" w:rsidRDefault="006F1097" w:rsidP="006F1097">
      <w:r>
        <w:rPr>
          <w:color w:val="0070C0"/>
          <w:lang w:val="en-US"/>
        </w:rPr>
        <w:t>In our answer to Q.15, it follows a list of “candidate” transaction codes that, in ABI’s opinion, should be considered for the exemption from the scope of “trading” qualification, as well as exempted from the scope of the settlement discipline measures, and that should be qualified for “conditional matching”. All of them are characterized by being independent from trading parties.</w:t>
      </w:r>
    </w:p>
    <w:permEnd w:id="2091009738"/>
    <w:p w14:paraId="26FA7BAC" w14:textId="24A9EB11" w:rsidR="00DB2FD6" w:rsidRDefault="00DB2FD6" w:rsidP="00DB2FD6">
      <w:r>
        <w:t>&lt;ESMA_QUESTION</w:t>
      </w:r>
      <w:r w:rsidR="00C62B79">
        <w:t>_SETD_</w:t>
      </w:r>
      <w:r>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Grigliatabella"/>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underlying causes of settlement fails that are considered as not attributable to the 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lastRenderedPageBreak/>
        <w:t>&lt;ESMA_QUESTION</w:t>
      </w:r>
      <w:r w:rsidR="00C62B79">
        <w:t>_SETD_</w:t>
      </w:r>
      <w:r>
        <w:t>2&gt;</w:t>
      </w:r>
    </w:p>
    <w:p w14:paraId="461DF093" w14:textId="2211AC76" w:rsidR="00641F03" w:rsidRDefault="00F30C25" w:rsidP="00641F03">
      <w:permStart w:id="757683016" w:edGrp="everyone"/>
      <w:r>
        <w:rPr>
          <w:rFonts w:ascii="Arial" w:eastAsia="Arial" w:hAnsi="Arial" w:cs="Arial"/>
          <w:color w:val="0070C0"/>
        </w:rPr>
        <w:t xml:space="preserve">Unfortunately, due to time constrains, </w:t>
      </w:r>
      <w:r w:rsidRPr="008D2C11">
        <w:rPr>
          <w:rFonts w:ascii="Arial" w:eastAsia="Arial" w:hAnsi="Arial" w:cs="Arial"/>
          <w:color w:val="0070C0"/>
        </w:rPr>
        <w:t>it was not possible to gather sufficient (qualitative) views on</w:t>
      </w:r>
      <w:r>
        <w:rPr>
          <w:rFonts w:ascii="Arial" w:eastAsia="Arial" w:hAnsi="Arial" w:cs="Arial"/>
          <w:color w:val="0070C0"/>
        </w:rPr>
        <w:t xml:space="preserve"> the</w:t>
      </w:r>
      <w:r w:rsidRPr="008D2C11">
        <w:rPr>
          <w:rFonts w:ascii="Arial" w:eastAsia="Arial" w:hAnsi="Arial" w:cs="Arial"/>
          <w:color w:val="0070C0"/>
        </w:rPr>
        <w:t xml:space="preserve"> costs and benefits</w:t>
      </w:r>
      <w:r>
        <w:rPr>
          <w:rFonts w:ascii="Arial" w:eastAsia="Arial" w:hAnsi="Arial" w:cs="Arial"/>
          <w:color w:val="0070C0"/>
        </w:rPr>
        <w:t xml:space="preserve"> </w:t>
      </w:r>
      <w:r w:rsidRPr="00C16E93">
        <w:rPr>
          <w:rFonts w:ascii="Arial" w:eastAsia="Arial" w:hAnsi="Arial" w:cs="Arial"/>
          <w:color w:val="0070C0"/>
        </w:rPr>
        <w:t>of the implementation of the respective exemptions from settlement discipline</w:t>
      </w:r>
      <w:r>
        <w:rPr>
          <w:rFonts w:ascii="Arial" w:eastAsia="Arial" w:hAnsi="Arial" w:cs="Arial"/>
          <w:color w:val="0070C0"/>
        </w:rPr>
        <w:t>.</w:t>
      </w:r>
    </w:p>
    <w:permEnd w:id="757683016"/>
    <w:p w14:paraId="30136E44" w14:textId="1A212137"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3108A525" w14:textId="77777777" w:rsidR="00637964" w:rsidRDefault="00637964" w:rsidP="00637964">
      <w:pPr>
        <w:rPr>
          <w:color w:val="0070C0"/>
        </w:rPr>
      </w:pPr>
      <w:permStart w:id="1724912856" w:edGrp="everyone"/>
      <w:r w:rsidRPr="00893411">
        <w:rPr>
          <w:color w:val="0070C0"/>
        </w:rPr>
        <w:t xml:space="preserve">Based on the analysis presented by our members, ABI </w:t>
      </w:r>
      <w:r>
        <w:rPr>
          <w:color w:val="0070C0"/>
        </w:rPr>
        <w:t xml:space="preserve">regards it important that </w:t>
      </w:r>
      <w:r w:rsidRPr="00893411">
        <w:rPr>
          <w:color w:val="0070C0"/>
        </w:rPr>
        <w:t>ESMA</w:t>
      </w:r>
      <w:r>
        <w:rPr>
          <w:color w:val="0070C0"/>
        </w:rPr>
        <w:t xml:space="preserve"> considers complementing</w:t>
      </w:r>
      <w:r w:rsidRPr="00893411">
        <w:rPr>
          <w:color w:val="0070C0"/>
        </w:rPr>
        <w:t xml:space="preserve"> the </w:t>
      </w:r>
      <w:r>
        <w:rPr>
          <w:color w:val="0070C0"/>
        </w:rPr>
        <w:t xml:space="preserve">list of exemptions, provided under paragraphs 17 and 18, </w:t>
      </w:r>
      <w:r w:rsidRPr="00665D06">
        <w:rPr>
          <w:color w:val="0070C0"/>
          <w:u w:val="single"/>
        </w:rPr>
        <w:t xml:space="preserve">with </w:t>
      </w:r>
      <w:r>
        <w:rPr>
          <w:color w:val="0070C0"/>
          <w:u w:val="single"/>
        </w:rPr>
        <w:t>five</w:t>
      </w:r>
      <w:r w:rsidRPr="00665D06">
        <w:rPr>
          <w:color w:val="0070C0"/>
          <w:u w:val="single"/>
        </w:rPr>
        <w:t xml:space="preserve"> further cases</w:t>
      </w:r>
      <w:r>
        <w:rPr>
          <w:color w:val="0070C0"/>
        </w:rPr>
        <w:t>, i.e. those listed in point a), b), c), d) and e) under par. 19. The latter ones are presented in the CP as the “</w:t>
      </w:r>
      <w:r w:rsidRPr="00647F59">
        <w:rPr>
          <w:i/>
          <w:iCs/>
          <w:color w:val="0070C0"/>
        </w:rPr>
        <w:t xml:space="preserve">circumstance deserving to be considered </w:t>
      </w:r>
      <w:r w:rsidRPr="00647F59">
        <w:rPr>
          <w:i/>
          <w:iCs/>
          <w:color w:val="0070C0"/>
          <w:u w:val="single"/>
        </w:rPr>
        <w:t>not</w:t>
      </w:r>
      <w:r w:rsidRPr="00647F59">
        <w:rPr>
          <w:i/>
          <w:iCs/>
          <w:color w:val="0070C0"/>
        </w:rPr>
        <w:t xml:space="preserve"> as ‘trading’</w:t>
      </w:r>
      <w:r>
        <w:rPr>
          <w:color w:val="0070C0"/>
        </w:rPr>
        <w:t xml:space="preserve"> “. Our members have reasons to support the inclusion of these 5 elements also under the list of “</w:t>
      </w:r>
      <w:r w:rsidRPr="00F53D5F">
        <w:rPr>
          <w:i/>
          <w:iCs/>
          <w:color w:val="0070C0"/>
        </w:rPr>
        <w:t>causes of settlement fails not attributable to participants to a transaction</w:t>
      </w:r>
      <w:r>
        <w:rPr>
          <w:color w:val="0070C0"/>
        </w:rPr>
        <w:t>”. More in detail:</w:t>
      </w:r>
    </w:p>
    <w:p w14:paraId="33B449EB" w14:textId="77777777" w:rsidR="00637964" w:rsidRPr="00637964" w:rsidRDefault="00637964" w:rsidP="00637964">
      <w:pPr>
        <w:pStyle w:val="Paragrafoelenco"/>
        <w:numPr>
          <w:ilvl w:val="0"/>
          <w:numId w:val="17"/>
        </w:numPr>
        <w:contextualSpacing/>
        <w:rPr>
          <w:color w:val="0070C0"/>
          <w:lang w:val="en-US"/>
        </w:rPr>
      </w:pPr>
      <w:r w:rsidRPr="00637964">
        <w:rPr>
          <w:color w:val="0070C0"/>
          <w:lang w:val="en-US"/>
        </w:rPr>
        <w:t xml:space="preserve">as far as it concerns </w:t>
      </w:r>
      <w:r w:rsidRPr="00637964">
        <w:rPr>
          <w:b/>
          <w:bCs/>
          <w:color w:val="0070C0"/>
          <w:lang w:val="en-US"/>
        </w:rPr>
        <w:t>point a)</w:t>
      </w:r>
      <w:r w:rsidRPr="00637964">
        <w:rPr>
          <w:color w:val="0070C0"/>
          <w:lang w:val="en-US"/>
        </w:rPr>
        <w:t>, i.e. “</w:t>
      </w:r>
      <w:r w:rsidRPr="00637964">
        <w:rPr>
          <w:i/>
          <w:iCs/>
          <w:color w:val="0070C0"/>
          <w:lang w:val="en-US"/>
        </w:rPr>
        <w:t>free-of-payment (</w:t>
      </w:r>
      <w:proofErr w:type="spellStart"/>
      <w:r w:rsidRPr="00637964">
        <w:rPr>
          <w:i/>
          <w:iCs/>
          <w:color w:val="0070C0"/>
          <w:lang w:val="en-US"/>
        </w:rPr>
        <w:t>FoP</w:t>
      </w:r>
      <w:proofErr w:type="spellEnd"/>
      <w:r w:rsidRPr="00637964">
        <w:rPr>
          <w:i/>
          <w:iCs/>
          <w:color w:val="0070C0"/>
          <w:lang w:val="en-US"/>
        </w:rPr>
        <w:t>) securities transfers to securities accounts at CSDs in the context of (de)</w:t>
      </w:r>
      <w:proofErr w:type="spellStart"/>
      <w:r w:rsidRPr="00637964">
        <w:rPr>
          <w:i/>
          <w:iCs/>
          <w:color w:val="0070C0"/>
          <w:lang w:val="en-US"/>
        </w:rPr>
        <w:t>mobilisation</w:t>
      </w:r>
      <w:proofErr w:type="spellEnd"/>
      <w:r w:rsidRPr="00637964">
        <w:rPr>
          <w:i/>
          <w:iCs/>
          <w:color w:val="0070C0"/>
          <w:lang w:val="en-US"/>
        </w:rPr>
        <w:t xml:space="preserve"> of collateral</w:t>
      </w:r>
      <w:r w:rsidRPr="00637964">
        <w:rPr>
          <w:color w:val="0070C0"/>
          <w:lang w:val="en-US"/>
        </w:rPr>
        <w:t>” (point ‘a’ under par. 19), ABI suggests adding it to list of causes underlying settlement fails not attributable to the participants to a transaction (hence to be excluded by the application for the cash penalties’ regime), and making the relevant matching fields (i.e. collateral-in (COLI) and collateral-out (COLO)) as “</w:t>
      </w:r>
      <w:r w:rsidRPr="00637964">
        <w:rPr>
          <w:b/>
          <w:bCs/>
          <w:i/>
          <w:iCs/>
          <w:color w:val="0070C0"/>
          <w:u w:val="single"/>
          <w:lang w:val="en-US"/>
        </w:rPr>
        <w:t>conditional matching fields</w:t>
      </w:r>
      <w:r w:rsidRPr="00637964">
        <w:rPr>
          <w:color w:val="0070C0"/>
          <w:lang w:val="en-US"/>
        </w:rPr>
        <w:t>”;</w:t>
      </w:r>
    </w:p>
    <w:p w14:paraId="26848F2B" w14:textId="77777777" w:rsidR="00637964" w:rsidRPr="00637964" w:rsidRDefault="00637964" w:rsidP="00637964">
      <w:pPr>
        <w:pStyle w:val="Paragrafoelenco"/>
        <w:numPr>
          <w:ilvl w:val="0"/>
          <w:numId w:val="17"/>
        </w:numPr>
        <w:contextualSpacing/>
        <w:rPr>
          <w:color w:val="0070C0"/>
          <w:lang w:val="en-US"/>
        </w:rPr>
      </w:pPr>
      <w:r w:rsidRPr="00637964">
        <w:rPr>
          <w:color w:val="0070C0"/>
          <w:lang w:val="en-US"/>
        </w:rPr>
        <w:t xml:space="preserve">as it regards </w:t>
      </w:r>
      <w:r w:rsidRPr="00637964">
        <w:rPr>
          <w:b/>
          <w:bCs/>
          <w:color w:val="0070C0"/>
          <w:lang w:val="en-US"/>
        </w:rPr>
        <w:t>point b)</w:t>
      </w:r>
      <w:r w:rsidRPr="00637964">
        <w:rPr>
          <w:color w:val="0070C0"/>
          <w:lang w:val="en-US"/>
        </w:rPr>
        <w:t xml:space="preserve"> under par. 19, i.e.  “</w:t>
      </w:r>
      <w:r w:rsidRPr="00637964">
        <w:rPr>
          <w:i/>
          <w:iCs/>
          <w:color w:val="0070C0"/>
          <w:lang w:val="en-US"/>
        </w:rPr>
        <w:t xml:space="preserve">market claims, corporate actions on stock, such as cash distributions (e.g. cash dividend, interest payment), securities distributions (e.g. stock dividend; bonus issue), </w:t>
      </w:r>
      <w:proofErr w:type="spellStart"/>
      <w:r w:rsidRPr="00637964">
        <w:rPr>
          <w:i/>
          <w:iCs/>
          <w:color w:val="0070C0"/>
          <w:lang w:val="en-US"/>
        </w:rPr>
        <w:t>reorganisations</w:t>
      </w:r>
      <w:proofErr w:type="spellEnd"/>
      <w:r w:rsidRPr="00637964">
        <w:rPr>
          <w:i/>
          <w:iCs/>
          <w:color w:val="0070C0"/>
          <w:lang w:val="en-US"/>
        </w:rPr>
        <w:t xml:space="preserve"> (e.g. conversion, stock split, redemption, tender offer)”</w:t>
      </w:r>
      <w:r w:rsidRPr="00637964">
        <w:rPr>
          <w:color w:val="0070C0"/>
          <w:lang w:val="en-US"/>
        </w:rPr>
        <w:t>, our members support their inclusion within the list of causes underlying settlement fails not attributable to the participants to a transaction (hence to be excluded by the application for the cash penalties’ regime) as they represent circumstances not born directly from trading and not attributable directly to participants (amongst other, we are referring to matching fields and flags such as “CLAI”, “TRAN”, “MARK UP”, MARK DOWN”, “ISSU”, “CORP”).</w:t>
      </w:r>
    </w:p>
    <w:p w14:paraId="46753372" w14:textId="77777777" w:rsidR="00637964" w:rsidRPr="006B7122" w:rsidRDefault="00637964" w:rsidP="00637964">
      <w:pPr>
        <w:rPr>
          <w:color w:val="0070C0"/>
        </w:rPr>
      </w:pPr>
      <w:r w:rsidRPr="006B7122">
        <w:rPr>
          <w:color w:val="0070C0"/>
        </w:rPr>
        <w:t xml:space="preserve">Further to the above, on the basis of our members’ feedback, ABI understands </w:t>
      </w:r>
      <w:r>
        <w:rPr>
          <w:color w:val="0070C0"/>
        </w:rPr>
        <w:t xml:space="preserve">that </w:t>
      </w:r>
      <w:r w:rsidRPr="006B7122">
        <w:rPr>
          <w:color w:val="0070C0"/>
        </w:rPr>
        <w:t xml:space="preserve">the lack of usage of “Partial Settlement” is one of the causes underlying a number of </w:t>
      </w:r>
      <w:proofErr w:type="gramStart"/>
      <w:r w:rsidRPr="006B7122">
        <w:rPr>
          <w:color w:val="0070C0"/>
        </w:rPr>
        <w:t>settlement</w:t>
      </w:r>
      <w:proofErr w:type="gramEnd"/>
      <w:r w:rsidRPr="006B7122">
        <w:rPr>
          <w:color w:val="0070C0"/>
        </w:rPr>
        <w:t xml:space="preserve"> fail </w:t>
      </w:r>
      <w:r w:rsidRPr="006B7122">
        <w:rPr>
          <w:color w:val="0070C0"/>
        </w:rPr>
        <w:lastRenderedPageBreak/>
        <w:t>instances</w:t>
      </w:r>
      <w:r>
        <w:rPr>
          <w:color w:val="0070C0"/>
        </w:rPr>
        <w:t>/</w:t>
      </w:r>
      <w:r w:rsidRPr="006B7122">
        <w:rPr>
          <w:color w:val="0070C0"/>
        </w:rPr>
        <w:t xml:space="preserve">circumstances. As we already mentioned in occasion of previous public consultations, ESMA should consider making the “Partial Settlement” qualifier a default setting, as this would contribute to reducing the </w:t>
      </w:r>
      <w:r w:rsidRPr="00C61C29">
        <w:rPr>
          <w:color w:val="0070C0"/>
          <w:u w:val="single"/>
        </w:rPr>
        <w:t>nominal</w:t>
      </w:r>
      <w:r w:rsidRPr="006B7122">
        <w:rPr>
          <w:color w:val="0070C0"/>
        </w:rPr>
        <w:t xml:space="preserve"> outstanding values on which settlement fail penalties would be computed.</w:t>
      </w:r>
    </w:p>
    <w:p w14:paraId="20B03AE8" w14:textId="1943798D" w:rsidR="00DB2FD6" w:rsidRDefault="00637964" w:rsidP="00637964">
      <w:r>
        <w:rPr>
          <w:color w:val="0070C0"/>
        </w:rPr>
        <w:t xml:space="preserve">Besides this, a further source of settlement fails whose causes are not attributable to participants to the transactions depends on CSDs’ cross border activities on which ESMA should liaise with CSDs </w:t>
      </w:r>
      <w:proofErr w:type="gramStart"/>
      <w:r>
        <w:rPr>
          <w:color w:val="0070C0"/>
        </w:rPr>
        <w:t>in order to</w:t>
      </w:r>
      <w:proofErr w:type="gramEnd"/>
      <w:r>
        <w:rPr>
          <w:color w:val="0070C0"/>
        </w:rPr>
        <w:t xml:space="preserve"> make them migrate to a real-time standardised management of such activities. Indeed, one further main cause due to which operations do not settle on time (especially in the case of ETFs) depends on CSDs’ lack of a standardised communication template (and relevant cut-off times associated to it) for their cross-border activities.</w:t>
      </w:r>
    </w:p>
    <w:permEnd w:id="1724912856"/>
    <w:p w14:paraId="127846B2" w14:textId="72F2BA1D" w:rsidR="00DB2FD6" w:rsidRDefault="00DB2FD6" w:rsidP="00DB2FD6">
      <w:r>
        <w:t>&lt;ESMA_QUESTION</w:t>
      </w:r>
      <w:r w:rsidR="00C62B79">
        <w:t>_SETD_</w:t>
      </w:r>
      <w:r>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Grigliatabella"/>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77777777" w:rsidR="00641F03" w:rsidRDefault="00641F03" w:rsidP="00641F03">
      <w:permStart w:id="396365287" w:edGrp="everyone"/>
      <w:r>
        <w:t>TYPE YOUR TEXT HERE</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lastRenderedPageBreak/>
        <w:t>Do any of the exemption proposed above breaks the immunization principle? Please provide arguments.</w:t>
      </w:r>
    </w:p>
    <w:p w14:paraId="19C42598" w14:textId="13CC0F71" w:rsidR="00DB2FD6" w:rsidRDefault="00DB2FD6" w:rsidP="00DB2FD6">
      <w:r>
        <w:t>&lt;ESMA_QUESTION</w:t>
      </w:r>
      <w:r w:rsidR="00C62B79">
        <w:t>_SETD_</w:t>
      </w:r>
      <w:r>
        <w:t>5&gt;</w:t>
      </w:r>
    </w:p>
    <w:p w14:paraId="14E2F570" w14:textId="2350127A" w:rsidR="00DB2FD6" w:rsidRDefault="00155F8B" w:rsidP="00DB2FD6">
      <w:permStart w:id="871588441" w:edGrp="everyone"/>
      <w:r>
        <w:rPr>
          <w:color w:val="0070C0"/>
        </w:rPr>
        <w:t xml:space="preserve">In ABI’s opinion </w:t>
      </w:r>
      <w:r w:rsidRPr="00C61C29">
        <w:rPr>
          <w:color w:val="0070C0"/>
          <w:u w:val="single"/>
        </w:rPr>
        <w:t>none</w:t>
      </w:r>
      <w:r w:rsidRPr="008E36B3">
        <w:rPr>
          <w:color w:val="0070C0"/>
        </w:rPr>
        <w:t xml:space="preserve"> of the exemptions proposed above by ESMA, and by ABI under Q</w:t>
      </w:r>
      <w:r>
        <w:rPr>
          <w:color w:val="0070C0"/>
        </w:rPr>
        <w:t>1, Q</w:t>
      </w:r>
      <w:r w:rsidRPr="008E36B3">
        <w:rPr>
          <w:color w:val="0070C0"/>
        </w:rPr>
        <w:t>3</w:t>
      </w:r>
      <w:r>
        <w:rPr>
          <w:color w:val="0070C0"/>
        </w:rPr>
        <w:t xml:space="preserve"> and Q15</w:t>
      </w:r>
      <w:r w:rsidRPr="008E36B3">
        <w:rPr>
          <w:color w:val="0070C0"/>
        </w:rPr>
        <w:t xml:space="preserve">, break the immunization principle, </w:t>
      </w:r>
      <w:r w:rsidRPr="00075B13">
        <w:rPr>
          <w:color w:val="0070C0"/>
          <w:u w:val="single"/>
        </w:rPr>
        <w:t>under the condition that</w:t>
      </w:r>
      <w:r>
        <w:rPr>
          <w:color w:val="0070C0"/>
        </w:rPr>
        <w:t xml:space="preserve"> “transaction types” will be part of Change Requests (CR) to amend T2S’ logics, aimed at introducing those transaction </w:t>
      </w:r>
      <w:proofErr w:type="gramStart"/>
      <w:r>
        <w:rPr>
          <w:color w:val="0070C0"/>
        </w:rPr>
        <w:t>types’</w:t>
      </w:r>
      <w:proofErr w:type="gramEnd"/>
      <w:r>
        <w:rPr>
          <w:color w:val="0070C0"/>
        </w:rPr>
        <w:t xml:space="preserve"> identification codes among </w:t>
      </w:r>
      <w:r w:rsidRPr="00C60828">
        <w:rPr>
          <w:b/>
          <w:bCs/>
          <w:color w:val="0070C0"/>
        </w:rPr>
        <w:t>conditional</w:t>
      </w:r>
      <w:r>
        <w:rPr>
          <w:color w:val="0070C0"/>
        </w:rPr>
        <w:t xml:space="preserve"> matching fields. It is understood that the immunization</w:t>
      </w:r>
      <w:r w:rsidRPr="008E36B3">
        <w:rPr>
          <w:color w:val="0070C0"/>
        </w:rPr>
        <w:t xml:space="preserve"> principle seeks to guarantee that “</w:t>
      </w:r>
      <w:r w:rsidRPr="00026C63">
        <w:rPr>
          <w:i/>
          <w:iCs/>
          <w:color w:val="0070C0"/>
        </w:rPr>
        <w:t>when a counterparty fails to deliver due to the failure to receive from a different counterparty, the former will be credited the same penalties it will be debited</w:t>
      </w:r>
      <w:r w:rsidRPr="008E36B3">
        <w:rPr>
          <w:color w:val="0070C0"/>
        </w:rPr>
        <w:t>”, as explained by ESMA under par.12.</w:t>
      </w:r>
    </w:p>
    <w:permEnd w:id="871588441"/>
    <w:p w14:paraId="61EE8C86" w14:textId="3EE825F5" w:rsidR="00DB2FD6" w:rsidRDefault="00DB2FD6" w:rsidP="00DB2FD6">
      <w:r>
        <w:t>&lt;ESMA_QUESTION</w:t>
      </w:r>
      <w:r w:rsidR="00C62B79">
        <w:t>_SETD_</w:t>
      </w:r>
      <w:r>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0170DAA3" w14:textId="77777777" w:rsidR="00DB2FD6" w:rsidRDefault="00DB2FD6" w:rsidP="00DB2FD6">
      <w:permStart w:id="23540048" w:edGrp="everyone"/>
      <w:r>
        <w:t>TYPE YOUR TEXT HERE</w:t>
      </w:r>
    </w:p>
    <w:permEnd w:id="23540048"/>
    <w:p w14:paraId="618040B5" w14:textId="77FDB55E" w:rsidR="00DB2FD6" w:rsidRDefault="00DB2FD6" w:rsidP="00DB2FD6">
      <w:r>
        <w:t>&lt;ESMA_QUESTION</w:t>
      </w:r>
      <w:r w:rsidR="00C62B79">
        <w:t>_SETD_</w:t>
      </w:r>
      <w:r>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534868EA" w14:textId="23A6ABD0" w:rsidR="00DB2FD6" w:rsidRDefault="00B50051" w:rsidP="00DB2FD6">
      <w:permStart w:id="988641873" w:edGrp="everyone"/>
      <w:r w:rsidRPr="008B2F83">
        <w:rPr>
          <w:color w:val="0070C0"/>
        </w:rPr>
        <w:t xml:space="preserve">Yes, we believe that CSDs </w:t>
      </w:r>
      <w:r>
        <w:rPr>
          <w:color w:val="0070C0"/>
        </w:rPr>
        <w:t xml:space="preserve">/ ICSDs </w:t>
      </w:r>
      <w:r w:rsidRPr="008B2F83">
        <w:rPr>
          <w:color w:val="0070C0"/>
        </w:rPr>
        <w:t>should strive to implement such filters as they serve the function of market infrastructure, and such filtering could be implemented and run only by their side.</w:t>
      </w:r>
    </w:p>
    <w:permEnd w:id="988641873"/>
    <w:p w14:paraId="1BEDB459" w14:textId="02DD5603" w:rsidR="00DB2FD6" w:rsidRDefault="00DB2FD6" w:rsidP="00DB2FD6">
      <w:r>
        <w:t>&lt;ESMA_QUESTION</w:t>
      </w:r>
      <w:r w:rsidR="00C62B79">
        <w:t>_SETD_</w:t>
      </w:r>
      <w:r>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3026B103" w14:textId="77777777" w:rsidR="00EB2988" w:rsidRPr="004C577A" w:rsidRDefault="00EB2988" w:rsidP="00EB2988">
      <w:pPr>
        <w:rPr>
          <w:color w:val="0070C0"/>
        </w:rPr>
      </w:pPr>
      <w:permStart w:id="722757342" w:edGrp="everyone"/>
      <w:r>
        <w:rPr>
          <w:color w:val="0070C0"/>
        </w:rPr>
        <w:t xml:space="preserve">ABI </w:t>
      </w:r>
      <w:r w:rsidRPr="004C577A">
        <w:rPr>
          <w:color w:val="0070C0"/>
        </w:rPr>
        <w:t>agree</w:t>
      </w:r>
      <w:r>
        <w:rPr>
          <w:color w:val="0070C0"/>
        </w:rPr>
        <w:t>s</w:t>
      </w:r>
      <w:r w:rsidRPr="004C577A">
        <w:rPr>
          <w:color w:val="0070C0"/>
        </w:rPr>
        <w:t xml:space="preserve"> with ESMA’s proposal regarding the five circumstances in which operations are not considered as trading. However, </w:t>
      </w:r>
      <w:r>
        <w:rPr>
          <w:color w:val="0070C0"/>
        </w:rPr>
        <w:t xml:space="preserve">it disagrees with the statement and rational under </w:t>
      </w:r>
      <w:r w:rsidRPr="004C577A">
        <w:rPr>
          <w:color w:val="0070C0"/>
        </w:rPr>
        <w:t xml:space="preserve">paragraph 20, </w:t>
      </w:r>
      <w:r>
        <w:rPr>
          <w:color w:val="0070C0"/>
        </w:rPr>
        <w:t>(Quote “</w:t>
      </w:r>
      <w:r w:rsidRPr="00155F14">
        <w:rPr>
          <w:i/>
          <w:iCs/>
          <w:color w:val="0070C0"/>
        </w:rPr>
        <w:t>ESMA does not think that a failed delivery on a market sale transaction caused by the delay in issuing the instrument on the primary market or restrictions during a corporate action should be considered as excluded from the application of both cash penalties and the mandatory buy-in regime</w:t>
      </w:r>
      <w:r>
        <w:rPr>
          <w:color w:val="0070C0"/>
        </w:rPr>
        <w:t>”)</w:t>
      </w:r>
      <w:r w:rsidRPr="004C577A">
        <w:rPr>
          <w:color w:val="0070C0"/>
        </w:rPr>
        <w:t xml:space="preserve">. Indeed, </w:t>
      </w:r>
      <w:proofErr w:type="gramStart"/>
      <w:r w:rsidRPr="004C577A">
        <w:rPr>
          <w:color w:val="0070C0"/>
        </w:rPr>
        <w:t>on the basis of</w:t>
      </w:r>
      <w:proofErr w:type="gramEnd"/>
      <w:r w:rsidRPr="004C577A">
        <w:rPr>
          <w:color w:val="0070C0"/>
        </w:rPr>
        <w:t xml:space="preserve"> our members’ feedback, a failed delivery on a market sale transaction caused by </w:t>
      </w:r>
      <w:r w:rsidRPr="00487581">
        <w:rPr>
          <w:b/>
          <w:bCs/>
          <w:color w:val="0070C0"/>
        </w:rPr>
        <w:t>a)</w:t>
      </w:r>
      <w:r w:rsidRPr="004C577A">
        <w:rPr>
          <w:color w:val="0070C0"/>
        </w:rPr>
        <w:t xml:space="preserve"> the delay in issuing the instrument on the primary market or </w:t>
      </w:r>
      <w:r w:rsidRPr="00487581">
        <w:rPr>
          <w:b/>
          <w:bCs/>
          <w:color w:val="0070C0"/>
        </w:rPr>
        <w:t xml:space="preserve">b) </w:t>
      </w:r>
      <w:r w:rsidRPr="004C577A">
        <w:rPr>
          <w:color w:val="0070C0"/>
        </w:rPr>
        <w:t xml:space="preserve">restrictions during a corporate action, </w:t>
      </w:r>
      <w:r w:rsidRPr="00F73409">
        <w:rPr>
          <w:color w:val="0070C0"/>
          <w:u w:val="single"/>
        </w:rPr>
        <w:t>should be excluded</w:t>
      </w:r>
      <w:r w:rsidRPr="004C577A">
        <w:rPr>
          <w:color w:val="0070C0"/>
        </w:rPr>
        <w:t xml:space="preserve"> from the application of both the cash penalties and the mandatory buy-in regime.</w:t>
      </w:r>
      <w:r>
        <w:rPr>
          <w:color w:val="0070C0"/>
        </w:rPr>
        <w:t xml:space="preserve"> Such </w:t>
      </w:r>
      <w:r w:rsidRPr="00D441F7">
        <w:rPr>
          <w:color w:val="0070C0"/>
        </w:rPr>
        <w:t xml:space="preserve">fail </w:t>
      </w:r>
      <w:r>
        <w:rPr>
          <w:color w:val="0070C0"/>
        </w:rPr>
        <w:t xml:space="preserve">would be </w:t>
      </w:r>
      <w:r w:rsidRPr="00D441F7">
        <w:rPr>
          <w:color w:val="0070C0"/>
        </w:rPr>
        <w:t xml:space="preserve">due to slow process in reconciliations or confirmation from </w:t>
      </w:r>
      <w:r>
        <w:rPr>
          <w:color w:val="0070C0"/>
        </w:rPr>
        <w:t>Participant Paying Agent(s) (</w:t>
      </w:r>
      <w:r w:rsidRPr="00826371">
        <w:rPr>
          <w:color w:val="0070C0"/>
        </w:rPr>
        <w:t>PPA</w:t>
      </w:r>
      <w:r w:rsidRPr="00142F0E">
        <w:rPr>
          <w:color w:val="0070C0"/>
        </w:rPr>
        <w:t xml:space="preserve">) </w:t>
      </w:r>
      <w:r w:rsidRPr="00826371">
        <w:rPr>
          <w:color w:val="0070C0"/>
        </w:rPr>
        <w:t>etc</w:t>
      </w:r>
      <w:r w:rsidRPr="00D441F7">
        <w:rPr>
          <w:color w:val="0070C0"/>
        </w:rPr>
        <w:t xml:space="preserve">, </w:t>
      </w:r>
      <w:r>
        <w:rPr>
          <w:color w:val="0070C0"/>
        </w:rPr>
        <w:t xml:space="preserve">and it would consist </w:t>
      </w:r>
      <w:r w:rsidRPr="00D441F7">
        <w:rPr>
          <w:color w:val="0070C0"/>
        </w:rPr>
        <w:t xml:space="preserve">in any case </w:t>
      </w:r>
      <w:r>
        <w:rPr>
          <w:color w:val="0070C0"/>
        </w:rPr>
        <w:t xml:space="preserve">in </w:t>
      </w:r>
      <w:r w:rsidRPr="00D441F7">
        <w:rPr>
          <w:color w:val="0070C0"/>
        </w:rPr>
        <w:t xml:space="preserve">a </w:t>
      </w:r>
      <w:proofErr w:type="gramStart"/>
      <w:r w:rsidRPr="00D441F7">
        <w:rPr>
          <w:color w:val="0070C0"/>
        </w:rPr>
        <w:t>fail</w:t>
      </w:r>
      <w:proofErr w:type="gramEnd"/>
      <w:r w:rsidRPr="00D441F7">
        <w:rPr>
          <w:color w:val="0070C0"/>
        </w:rPr>
        <w:t xml:space="preserve"> </w:t>
      </w:r>
      <w:r>
        <w:rPr>
          <w:color w:val="0070C0"/>
        </w:rPr>
        <w:t xml:space="preserve">not </w:t>
      </w:r>
      <w:r w:rsidRPr="00D441F7">
        <w:rPr>
          <w:color w:val="0070C0"/>
        </w:rPr>
        <w:t>generated by inaccuracy by the parties</w:t>
      </w:r>
      <w:r>
        <w:rPr>
          <w:color w:val="0070C0"/>
        </w:rPr>
        <w:t xml:space="preserve"> to the transaction</w:t>
      </w:r>
      <w:r w:rsidRPr="00D441F7">
        <w:rPr>
          <w:color w:val="0070C0"/>
        </w:rPr>
        <w:t xml:space="preserve">. </w:t>
      </w:r>
      <w:r>
        <w:rPr>
          <w:color w:val="0070C0"/>
        </w:rPr>
        <w:t xml:space="preserve">In this scope, it could be assessed whether providing for </w:t>
      </w:r>
      <w:r w:rsidRPr="00D441F7">
        <w:rPr>
          <w:color w:val="0070C0"/>
        </w:rPr>
        <w:t xml:space="preserve">some additional rules </w:t>
      </w:r>
      <w:r>
        <w:rPr>
          <w:color w:val="0070C0"/>
        </w:rPr>
        <w:t xml:space="preserve">for </w:t>
      </w:r>
      <w:r w:rsidRPr="00D441F7">
        <w:rPr>
          <w:color w:val="0070C0"/>
        </w:rPr>
        <w:t xml:space="preserve">trading venues </w:t>
      </w:r>
      <w:r>
        <w:rPr>
          <w:color w:val="0070C0"/>
        </w:rPr>
        <w:t xml:space="preserve">requesting </w:t>
      </w:r>
      <w:r w:rsidRPr="00D441F7">
        <w:rPr>
          <w:color w:val="0070C0"/>
        </w:rPr>
        <w:t>to list and/or quote only financial instruments that are already issued and confirmed.</w:t>
      </w:r>
    </w:p>
    <w:p w14:paraId="57619DAD" w14:textId="77777777" w:rsidR="00EB2988" w:rsidRPr="0092367C" w:rsidRDefault="00EB2988" w:rsidP="00EB2988">
      <w:pPr>
        <w:rPr>
          <w:color w:val="0070C0"/>
        </w:rPr>
      </w:pPr>
      <w:r w:rsidRPr="0092367C">
        <w:rPr>
          <w:color w:val="0070C0"/>
        </w:rPr>
        <w:t xml:space="preserve">Further on this topic of circumstances in which operations should not be considered as “trading”, also claims or transformations </w:t>
      </w:r>
      <w:proofErr w:type="spellStart"/>
      <w:r w:rsidRPr="0092367C">
        <w:rPr>
          <w:i/>
          <w:iCs/>
          <w:color w:val="0070C0"/>
        </w:rPr>
        <w:t>strictu</w:t>
      </w:r>
      <w:proofErr w:type="spellEnd"/>
      <w:r w:rsidRPr="0092367C">
        <w:rPr>
          <w:i/>
          <w:iCs/>
          <w:color w:val="0070C0"/>
        </w:rPr>
        <w:t xml:space="preserve"> sensu</w:t>
      </w:r>
      <w:r w:rsidRPr="0092367C">
        <w:rPr>
          <w:color w:val="0070C0"/>
        </w:rPr>
        <w:t xml:space="preserve"> should be excluded from that scope as these are the result of a transaction (instructed by the client) that was failing and on which a penalty has been already applied, it then generates a claim or transformation that is a “technical realignment of the corporate action in T2S” but it is instructed by the CSD and not by the client that has been charged already once on the parent trade.</w:t>
      </w:r>
    </w:p>
    <w:p w14:paraId="56EACAAA" w14:textId="77777777" w:rsidR="00EB2988" w:rsidRDefault="00EB2988" w:rsidP="00EB2988">
      <w:pPr>
        <w:rPr>
          <w:color w:val="0070C0"/>
        </w:rPr>
      </w:pPr>
      <w:r>
        <w:rPr>
          <w:color w:val="0070C0"/>
        </w:rPr>
        <w:t>Likewise, also portfolio</w:t>
      </w:r>
      <w:r w:rsidRPr="007A557B">
        <w:rPr>
          <w:color w:val="0070C0"/>
        </w:rPr>
        <w:t xml:space="preserve"> transfer</w:t>
      </w:r>
      <w:r>
        <w:rPr>
          <w:color w:val="0070C0"/>
        </w:rPr>
        <w:t>s</w:t>
      </w:r>
      <w:r w:rsidRPr="007A557B">
        <w:rPr>
          <w:color w:val="0070C0"/>
        </w:rPr>
        <w:t xml:space="preserve"> </w:t>
      </w:r>
      <w:r>
        <w:rPr>
          <w:color w:val="0070C0"/>
        </w:rPr>
        <w:t>(PORT) should be excluded from the scope of circumstances qualifiable as trading, specifically in cases of transfers with no change in the final Beneficial Owner (NCBO). ABI is aware, based on its members feedback, that in other Member States some stakeholders argue that</w:t>
      </w:r>
      <w:r w:rsidRPr="007A557B">
        <w:rPr>
          <w:color w:val="0070C0"/>
        </w:rPr>
        <w:t xml:space="preserve"> </w:t>
      </w:r>
      <w:r>
        <w:rPr>
          <w:color w:val="0070C0"/>
        </w:rPr>
        <w:t>a</w:t>
      </w:r>
      <w:r w:rsidRPr="007A557B">
        <w:rPr>
          <w:color w:val="0070C0"/>
        </w:rPr>
        <w:t>pply</w:t>
      </w:r>
      <w:r>
        <w:rPr>
          <w:color w:val="0070C0"/>
        </w:rPr>
        <w:t xml:space="preserve">ing </w:t>
      </w:r>
      <w:r w:rsidRPr="007A557B">
        <w:rPr>
          <w:color w:val="0070C0"/>
        </w:rPr>
        <w:t xml:space="preserve">penalties on </w:t>
      </w:r>
      <w:r>
        <w:rPr>
          <w:color w:val="0070C0"/>
        </w:rPr>
        <w:t xml:space="preserve">portfolio </w:t>
      </w:r>
      <w:r w:rsidRPr="007A557B">
        <w:rPr>
          <w:color w:val="0070C0"/>
        </w:rPr>
        <w:t>transfer</w:t>
      </w:r>
      <w:r>
        <w:rPr>
          <w:color w:val="0070C0"/>
        </w:rPr>
        <w:t>s</w:t>
      </w:r>
      <w:r w:rsidRPr="007A557B">
        <w:rPr>
          <w:color w:val="0070C0"/>
        </w:rPr>
        <w:t xml:space="preserve"> </w:t>
      </w:r>
      <w:r>
        <w:rPr>
          <w:color w:val="0070C0"/>
        </w:rPr>
        <w:t xml:space="preserve">would be </w:t>
      </w:r>
      <w:r w:rsidRPr="007A557B">
        <w:rPr>
          <w:color w:val="0070C0"/>
        </w:rPr>
        <w:t xml:space="preserve">neutral for the retail client </w:t>
      </w:r>
      <w:r>
        <w:rPr>
          <w:color w:val="0070C0"/>
        </w:rPr>
        <w:t xml:space="preserve">(because such client would not “see” the penalty for a delayed or failed portfolio transfer debited on its account) and, in force of such “client-penalty-neutrality”, penalties should be applied to PORT, even in cases where there is NCBO. However, such penalties would </w:t>
      </w:r>
      <w:r w:rsidRPr="007A557B">
        <w:rPr>
          <w:color w:val="0070C0"/>
        </w:rPr>
        <w:t xml:space="preserve">not </w:t>
      </w:r>
      <w:r>
        <w:rPr>
          <w:color w:val="0070C0"/>
        </w:rPr>
        <w:t xml:space="preserve">be “neutral” </w:t>
      </w:r>
      <w:r w:rsidRPr="007A557B">
        <w:rPr>
          <w:color w:val="0070C0"/>
        </w:rPr>
        <w:t xml:space="preserve">for </w:t>
      </w:r>
      <w:r>
        <w:rPr>
          <w:color w:val="0070C0"/>
        </w:rPr>
        <w:t xml:space="preserve">the two </w:t>
      </w:r>
      <w:r w:rsidRPr="007A557B">
        <w:rPr>
          <w:color w:val="0070C0"/>
        </w:rPr>
        <w:t>bank</w:t>
      </w:r>
      <w:r>
        <w:rPr>
          <w:color w:val="0070C0"/>
        </w:rPr>
        <w:t>s involved in that portfolio transfer with NCBO</w:t>
      </w:r>
      <w:r w:rsidRPr="007A557B">
        <w:rPr>
          <w:color w:val="0070C0"/>
        </w:rPr>
        <w:t xml:space="preserve">. </w:t>
      </w:r>
      <w:r>
        <w:rPr>
          <w:color w:val="0070C0"/>
        </w:rPr>
        <w:t xml:space="preserve">Indeed, the </w:t>
      </w:r>
      <w:r w:rsidRPr="007A557B">
        <w:rPr>
          <w:color w:val="0070C0"/>
        </w:rPr>
        <w:t xml:space="preserve">Bank </w:t>
      </w:r>
      <w:r>
        <w:rPr>
          <w:color w:val="0070C0"/>
        </w:rPr>
        <w:t xml:space="preserve">A (from which the PORT would originate, the bank left by the retail client) would be debited the </w:t>
      </w:r>
      <w:r w:rsidRPr="007952BC">
        <w:rPr>
          <w:color w:val="0070C0"/>
        </w:rPr>
        <w:t>penalty</w:t>
      </w:r>
      <w:r w:rsidRPr="007A557B">
        <w:rPr>
          <w:color w:val="0070C0"/>
        </w:rPr>
        <w:t xml:space="preserve"> on a PORT transfer </w:t>
      </w:r>
      <w:r>
        <w:rPr>
          <w:color w:val="0070C0"/>
        </w:rPr>
        <w:t xml:space="preserve">delay or fail, and it would </w:t>
      </w:r>
      <w:r w:rsidRPr="007A557B">
        <w:rPr>
          <w:color w:val="0070C0"/>
        </w:rPr>
        <w:t xml:space="preserve">never be </w:t>
      </w:r>
      <w:proofErr w:type="gramStart"/>
      <w:r w:rsidRPr="007A557B">
        <w:rPr>
          <w:color w:val="0070C0"/>
        </w:rPr>
        <w:t>in a position</w:t>
      </w:r>
      <w:proofErr w:type="gramEnd"/>
      <w:r w:rsidRPr="007A557B">
        <w:rPr>
          <w:color w:val="0070C0"/>
        </w:rPr>
        <w:t xml:space="preserve"> to transfer to the </w:t>
      </w:r>
      <w:r>
        <w:rPr>
          <w:color w:val="0070C0"/>
        </w:rPr>
        <w:t xml:space="preserve">retail </w:t>
      </w:r>
      <w:r w:rsidRPr="007A557B">
        <w:rPr>
          <w:color w:val="0070C0"/>
        </w:rPr>
        <w:t>client that, by the time penalty collection</w:t>
      </w:r>
      <w:r>
        <w:rPr>
          <w:color w:val="0070C0"/>
        </w:rPr>
        <w:t xml:space="preserve"> would occur</w:t>
      </w:r>
      <w:r w:rsidRPr="007A557B">
        <w:rPr>
          <w:color w:val="0070C0"/>
        </w:rPr>
        <w:t xml:space="preserve">, </w:t>
      </w:r>
      <w:r>
        <w:rPr>
          <w:color w:val="0070C0"/>
        </w:rPr>
        <w:t xml:space="preserve">it would </w:t>
      </w:r>
      <w:r w:rsidRPr="007A557B">
        <w:rPr>
          <w:color w:val="0070C0"/>
        </w:rPr>
        <w:t xml:space="preserve">have already closed any </w:t>
      </w:r>
      <w:r>
        <w:rPr>
          <w:color w:val="0070C0"/>
        </w:rPr>
        <w:lastRenderedPageBreak/>
        <w:t xml:space="preserve">contractual </w:t>
      </w:r>
      <w:r w:rsidRPr="007A557B">
        <w:rPr>
          <w:color w:val="0070C0"/>
        </w:rPr>
        <w:t xml:space="preserve">relation with </w:t>
      </w:r>
      <w:r>
        <w:rPr>
          <w:color w:val="0070C0"/>
        </w:rPr>
        <w:t>the PORT’s originating bank</w:t>
      </w:r>
      <w:r w:rsidRPr="007A557B">
        <w:rPr>
          <w:color w:val="0070C0"/>
        </w:rPr>
        <w:t xml:space="preserve">. </w:t>
      </w:r>
      <w:r>
        <w:rPr>
          <w:color w:val="0070C0"/>
        </w:rPr>
        <w:t xml:space="preserve">On the other side, though, the receiving bank would </w:t>
      </w:r>
      <w:r w:rsidRPr="007A557B">
        <w:rPr>
          <w:color w:val="0070C0"/>
        </w:rPr>
        <w:t xml:space="preserve">absorb the </w:t>
      </w:r>
      <w:r>
        <w:rPr>
          <w:color w:val="0070C0"/>
        </w:rPr>
        <w:t>credit</w:t>
      </w:r>
      <w:r w:rsidRPr="007A557B">
        <w:rPr>
          <w:color w:val="0070C0"/>
        </w:rPr>
        <w:t xml:space="preserve"> penalties not </w:t>
      </w:r>
      <w:r>
        <w:rPr>
          <w:color w:val="0070C0"/>
        </w:rPr>
        <w:t xml:space="preserve">debited </w:t>
      </w:r>
      <w:r w:rsidRPr="007A557B">
        <w:rPr>
          <w:color w:val="0070C0"/>
        </w:rPr>
        <w:t xml:space="preserve">to </w:t>
      </w:r>
      <w:r>
        <w:rPr>
          <w:color w:val="0070C0"/>
        </w:rPr>
        <w:t xml:space="preserve">retail </w:t>
      </w:r>
      <w:r w:rsidRPr="007A557B">
        <w:rPr>
          <w:color w:val="0070C0"/>
        </w:rPr>
        <w:t xml:space="preserve">client </w:t>
      </w:r>
      <w:r>
        <w:rPr>
          <w:color w:val="0070C0"/>
        </w:rPr>
        <w:t>who, on its turn,</w:t>
      </w:r>
      <w:r w:rsidRPr="007A557B">
        <w:rPr>
          <w:color w:val="0070C0"/>
        </w:rPr>
        <w:t xml:space="preserve"> </w:t>
      </w:r>
      <w:r>
        <w:rPr>
          <w:color w:val="0070C0"/>
        </w:rPr>
        <w:t xml:space="preserve">would almost likely </w:t>
      </w:r>
      <w:r w:rsidRPr="007A557B">
        <w:rPr>
          <w:color w:val="0070C0"/>
        </w:rPr>
        <w:t>not understand them. So</w:t>
      </w:r>
      <w:r>
        <w:rPr>
          <w:color w:val="0070C0"/>
        </w:rPr>
        <w:t>,</w:t>
      </w:r>
      <w:r w:rsidRPr="007A557B">
        <w:rPr>
          <w:color w:val="0070C0"/>
        </w:rPr>
        <w:t xml:space="preserve"> </w:t>
      </w:r>
      <w:r>
        <w:rPr>
          <w:color w:val="0070C0"/>
        </w:rPr>
        <w:t xml:space="preserve">ABI believes </w:t>
      </w:r>
      <w:r w:rsidRPr="007A557B">
        <w:rPr>
          <w:color w:val="0070C0"/>
        </w:rPr>
        <w:t xml:space="preserve">there are </w:t>
      </w:r>
      <w:r>
        <w:rPr>
          <w:color w:val="0070C0"/>
        </w:rPr>
        <w:t xml:space="preserve">valid </w:t>
      </w:r>
      <w:r w:rsidRPr="007A557B">
        <w:rPr>
          <w:color w:val="0070C0"/>
        </w:rPr>
        <w:t>argument</w:t>
      </w:r>
      <w:r>
        <w:rPr>
          <w:color w:val="0070C0"/>
        </w:rPr>
        <w:t>s</w:t>
      </w:r>
      <w:r w:rsidRPr="007A557B">
        <w:rPr>
          <w:color w:val="0070C0"/>
        </w:rPr>
        <w:t xml:space="preserve"> not to </w:t>
      </w:r>
      <w:r>
        <w:rPr>
          <w:color w:val="0070C0"/>
        </w:rPr>
        <w:t>consider PORT with NCBO as “trading” especially in cases where, as it occurs in Italy, T2S’ PORT indicator carries along information on the identity of the final beneficiary owner and its related fiscal / taxation information</w:t>
      </w:r>
      <w:r w:rsidRPr="007A557B">
        <w:rPr>
          <w:color w:val="0070C0"/>
        </w:rPr>
        <w:t>.</w:t>
      </w:r>
    </w:p>
    <w:p w14:paraId="3489743D" w14:textId="086DCD47" w:rsidR="00DB2FD6" w:rsidRDefault="00EB2988" w:rsidP="00EB2988">
      <w:r>
        <w:rPr>
          <w:color w:val="0070C0"/>
        </w:rPr>
        <w:t>Eventually, issuances, primary market instructions, instructions linked to a payment of a corporate action, or a redemption, are all nor client-driven, nor trading-driven trades but typically technical trades on which it would be non-sense applying settlement fail penalties.</w:t>
      </w:r>
    </w:p>
    <w:permEnd w:id="722757342"/>
    <w:p w14:paraId="183D1E1B" w14:textId="6B06A8E4" w:rsidR="00DB2FD6" w:rsidRDefault="00DB2FD6" w:rsidP="00DB2FD6">
      <w:r>
        <w:t>&lt;ESMA_QUESTION</w:t>
      </w:r>
      <w:r w:rsidR="00C62B79">
        <w:t>_SETD_</w:t>
      </w:r>
      <w:r>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Grigliatabella"/>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t>- One-off</w:t>
            </w:r>
          </w:p>
          <w:p w14:paraId="2EC8D04B"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9B9E020" w14:textId="77777777" w:rsidR="00641F03" w:rsidRDefault="00641F03" w:rsidP="00641F03">
      <w:permStart w:id="350045915" w:edGrp="everyone"/>
      <w:r>
        <w:t>TYPE YOUR TEXT HERE</w:t>
      </w:r>
    </w:p>
    <w:permEnd w:id="350045915"/>
    <w:p w14:paraId="3AD7D7FC" w14:textId="0F87E1E9" w:rsidR="00641F03" w:rsidRDefault="00641F03" w:rsidP="00641F03">
      <w:r>
        <w:t>&lt;ESMA_QUESTION</w:t>
      </w:r>
      <w:r w:rsidR="00C62B79">
        <w:t>_SETD_</w:t>
      </w:r>
      <w:r>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t>&lt;ESMA_QUESTION</w:t>
      </w:r>
      <w:r w:rsidR="00C62B79">
        <w:t>_SETD_</w:t>
      </w:r>
      <w:r>
        <w:t>10&gt;</w:t>
      </w:r>
    </w:p>
    <w:p w14:paraId="479E4089" w14:textId="77777777" w:rsidR="00DB2FD6" w:rsidRDefault="00DB2FD6" w:rsidP="00DB2FD6">
      <w:permStart w:id="809982355" w:edGrp="everyone"/>
      <w:r>
        <w:t>TYPE YOUR TEXT HERE</w:t>
      </w:r>
    </w:p>
    <w:permEnd w:id="809982355"/>
    <w:p w14:paraId="1D1E9852" w14:textId="0A0B74BA"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Grigliatabella"/>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77777777" w:rsidR="00641F03" w:rsidRDefault="00641F03" w:rsidP="00641F03">
      <w:permStart w:id="1413637038" w:edGrp="everyone"/>
      <w:r>
        <w:t>TYPE YOUR TEXT HERE</w:t>
      </w:r>
    </w:p>
    <w:permEnd w:id="1413637038"/>
    <w:p w14:paraId="009E8A42" w14:textId="373027D5"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lastRenderedPageBreak/>
        <w:t>&lt;ESMA_QUESTION</w:t>
      </w:r>
      <w:r w:rsidR="00C62B79">
        <w:t>_SETD_</w:t>
      </w:r>
      <w:r>
        <w:t>12&gt;</w:t>
      </w:r>
    </w:p>
    <w:p w14:paraId="1A44D2E6" w14:textId="77777777" w:rsidR="00DB2FD6" w:rsidRDefault="00DB2FD6" w:rsidP="00DB2FD6">
      <w:permStart w:id="1552639028" w:edGrp="everyone"/>
      <w:r>
        <w:t>TYPE YOUR TEXT HERE</w:t>
      </w:r>
    </w:p>
    <w:permEnd w:id="1552639028"/>
    <w:p w14:paraId="5D5B8B0F" w14:textId="54E08DD6" w:rsidR="00DB2FD6" w:rsidRDefault="00DB2FD6" w:rsidP="00DB2FD6">
      <w:r>
        <w:t>&lt;ESMA_QUESTION</w:t>
      </w:r>
      <w:r w:rsidR="00C62B79">
        <w:t>_SETD_</w:t>
      </w:r>
      <w:r>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rPr>
      </w:pPr>
      <w:r w:rsidRPr="005A33DE">
        <w:rPr>
          <w:b/>
        </w:rPr>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25CC68B7" w14:textId="77777777" w:rsidR="00DB2FD6" w:rsidRDefault="00DB2FD6" w:rsidP="00DB2FD6">
      <w:permStart w:id="672795755" w:edGrp="everyone"/>
      <w:r>
        <w:t>TYPE YOUR TEXT HERE</w:t>
      </w:r>
    </w:p>
    <w:permEnd w:id="672795755"/>
    <w:p w14:paraId="2DDA03E8" w14:textId="79ADC3D6" w:rsidR="00DB2FD6" w:rsidRDefault="00DB2FD6" w:rsidP="00DB2FD6">
      <w:r>
        <w:t>&lt;ESMA_QUESTION</w:t>
      </w:r>
      <w:r w:rsidR="00C62B79">
        <w:t>_SETD_</w:t>
      </w:r>
      <w:r>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55080D5A" w14:textId="77777777" w:rsidR="00DB2FD6" w:rsidRDefault="00DB2FD6" w:rsidP="00DB2FD6">
      <w:permStart w:id="485633781" w:edGrp="everyone"/>
      <w:r>
        <w:t>TYPE YOUR TEXT HERE</w:t>
      </w:r>
    </w:p>
    <w:permEnd w:id="485633781"/>
    <w:p w14:paraId="30F51AED" w14:textId="611AA4FB" w:rsidR="00DB2FD6" w:rsidRDefault="00DB2FD6" w:rsidP="00DB2FD6">
      <w:r>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7AB4DA74" w14:textId="77777777" w:rsidR="00304EE7" w:rsidRDefault="00304EE7" w:rsidP="00304EE7">
      <w:pPr>
        <w:rPr>
          <w:color w:val="0070C0"/>
        </w:rPr>
      </w:pPr>
      <w:permStart w:id="376904252" w:edGrp="everyone"/>
      <w:r w:rsidRPr="00AC07BD">
        <w:rPr>
          <w:color w:val="0070C0"/>
        </w:rPr>
        <w:lastRenderedPageBreak/>
        <w:t xml:space="preserve">For the reasons explained under </w:t>
      </w:r>
      <w:r>
        <w:rPr>
          <w:color w:val="0070C0"/>
        </w:rPr>
        <w:t xml:space="preserve">Q.1 and </w:t>
      </w:r>
      <w:r w:rsidRPr="00AC07BD">
        <w:rPr>
          <w:color w:val="0070C0"/>
        </w:rPr>
        <w:t xml:space="preserve">Q.3, in ABI’s opinion the following transaction type codes allowed by T2S should </w:t>
      </w:r>
      <w:r>
        <w:rPr>
          <w:color w:val="0070C0"/>
        </w:rPr>
        <w:t xml:space="preserve">also </w:t>
      </w:r>
      <w:r w:rsidRPr="00AC07BD">
        <w:rPr>
          <w:color w:val="0070C0"/>
        </w:rPr>
        <w:t>be exempted from the settlement discipline measures</w:t>
      </w:r>
      <w:r>
        <w:rPr>
          <w:color w:val="0070C0"/>
        </w:rPr>
        <w:t xml:space="preserve"> (as well as excluded from the qualification of “trading” as referred to under Q.1)</w:t>
      </w:r>
      <w:r>
        <w:t xml:space="preserve">. </w:t>
      </w:r>
      <w:r w:rsidRPr="00C20879">
        <w:rPr>
          <w:color w:val="0070C0"/>
        </w:rPr>
        <w:t>Such exclu</w:t>
      </w:r>
      <w:r>
        <w:rPr>
          <w:color w:val="0070C0"/>
        </w:rPr>
        <w:t>sion</w:t>
      </w:r>
      <w:r w:rsidRPr="00C20879">
        <w:rPr>
          <w:color w:val="0070C0"/>
        </w:rPr>
        <w:t xml:space="preserve"> </w:t>
      </w:r>
      <w:r>
        <w:rPr>
          <w:color w:val="0070C0"/>
        </w:rPr>
        <w:t xml:space="preserve">is supported by ABI </w:t>
      </w:r>
      <w:r w:rsidRPr="00C20879">
        <w:rPr>
          <w:color w:val="0070C0"/>
        </w:rPr>
        <w:t xml:space="preserve">as </w:t>
      </w:r>
      <w:r>
        <w:rPr>
          <w:color w:val="0070C0"/>
        </w:rPr>
        <w:t xml:space="preserve">these codes </w:t>
      </w:r>
      <w:r w:rsidRPr="00C20879">
        <w:rPr>
          <w:color w:val="0070C0"/>
        </w:rPr>
        <w:t>do not represent operation</w:t>
      </w:r>
      <w:r>
        <w:rPr>
          <w:color w:val="0070C0"/>
        </w:rPr>
        <w:t>s</w:t>
      </w:r>
      <w:r w:rsidRPr="00C20879">
        <w:rPr>
          <w:color w:val="0070C0"/>
        </w:rPr>
        <w:t xml:space="preserve"> stemming directly from trading, but the</w:t>
      </w:r>
      <w:r>
        <w:rPr>
          <w:color w:val="0070C0"/>
        </w:rPr>
        <w:t>y are the</w:t>
      </w:r>
      <w:r w:rsidRPr="00C20879">
        <w:rPr>
          <w:color w:val="0070C0"/>
        </w:rPr>
        <w:t xml:space="preserve"> result of an event born at a later stage compared to the time </w:t>
      </w:r>
      <w:r>
        <w:rPr>
          <w:color w:val="0070C0"/>
        </w:rPr>
        <w:t xml:space="preserve">at which </w:t>
      </w:r>
      <w:r w:rsidRPr="00C20879">
        <w:rPr>
          <w:color w:val="0070C0"/>
        </w:rPr>
        <w:t>the trading occurred on the relevant transaction.</w:t>
      </w:r>
      <w:r>
        <w:rPr>
          <w:color w:val="0070C0"/>
        </w:rPr>
        <w:t xml:space="preserve"> Among them, COLI, COLO, CORP, ISSU, MKDW, MKUP, OWNE, OWNI, PORT should in our opinion have a slightly higher priority than the rest of the list.</w:t>
      </w:r>
    </w:p>
    <w:tbl>
      <w:tblPr>
        <w:tblW w:w="5000" w:type="pct"/>
        <w:tblBorders>
          <w:top w:val="single" w:sz="6" w:space="0" w:color="D1D2D5"/>
          <w:left w:val="single" w:sz="6" w:space="0" w:color="D1D2D5"/>
          <w:bottom w:val="single" w:sz="6" w:space="0" w:color="D1D2D5"/>
          <w:right w:val="single" w:sz="6" w:space="0" w:color="D1D2D5"/>
          <w:insideH w:val="single" w:sz="6" w:space="0" w:color="D1D2D5"/>
          <w:insideV w:val="single" w:sz="6" w:space="0" w:color="D1D2D5"/>
        </w:tblBorders>
        <w:tblCellMar>
          <w:top w:w="75" w:type="dxa"/>
          <w:left w:w="75" w:type="dxa"/>
          <w:bottom w:w="75" w:type="dxa"/>
          <w:right w:w="75" w:type="dxa"/>
        </w:tblCellMar>
        <w:tblLook w:val="04A0" w:firstRow="1" w:lastRow="0" w:firstColumn="1" w:lastColumn="0" w:noHBand="0" w:noVBand="1"/>
      </w:tblPr>
      <w:tblGrid>
        <w:gridCol w:w="2557"/>
        <w:gridCol w:w="3040"/>
        <w:gridCol w:w="3459"/>
      </w:tblGrid>
      <w:tr w:rsidR="00304EE7" w:rsidRPr="007261B0" w14:paraId="1B086EFA" w14:textId="77777777" w:rsidTr="00AD05E6">
        <w:tc>
          <w:tcPr>
            <w:tcW w:w="1293" w:type="pct"/>
            <w:shd w:val="clear" w:color="auto" w:fill="auto"/>
            <w:tcMar>
              <w:top w:w="120" w:type="dxa"/>
              <w:left w:w="300" w:type="dxa"/>
              <w:bottom w:w="120" w:type="dxa"/>
              <w:right w:w="300" w:type="dxa"/>
            </w:tcMar>
          </w:tcPr>
          <w:p w14:paraId="072D89D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737CC4">
              <w:t>AUTO</w:t>
            </w:r>
          </w:p>
        </w:tc>
        <w:tc>
          <w:tcPr>
            <w:tcW w:w="1568" w:type="pct"/>
            <w:shd w:val="clear" w:color="auto" w:fill="auto"/>
            <w:tcMar>
              <w:top w:w="120" w:type="dxa"/>
              <w:left w:w="300" w:type="dxa"/>
              <w:bottom w:w="120" w:type="dxa"/>
              <w:right w:w="300" w:type="dxa"/>
            </w:tcMar>
          </w:tcPr>
          <w:p w14:paraId="790E57D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737CC4">
              <w:t>AutoCollateralisation</w:t>
            </w:r>
            <w:proofErr w:type="spellEnd"/>
          </w:p>
        </w:tc>
        <w:tc>
          <w:tcPr>
            <w:tcW w:w="2139" w:type="pct"/>
            <w:shd w:val="clear" w:color="auto" w:fill="auto"/>
            <w:tcMar>
              <w:top w:w="120" w:type="dxa"/>
              <w:left w:w="300" w:type="dxa"/>
              <w:bottom w:w="120" w:type="dxa"/>
              <w:right w:w="300" w:type="dxa"/>
            </w:tcMar>
          </w:tcPr>
          <w:p w14:paraId="364BF52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737CC4">
              <w:t>Relates to an auto-collateralisation movement.</w:t>
            </w:r>
          </w:p>
        </w:tc>
      </w:tr>
      <w:tr w:rsidR="00304EE7" w:rsidRPr="007261B0" w14:paraId="41385E48" w14:textId="77777777" w:rsidTr="00AD05E6">
        <w:tc>
          <w:tcPr>
            <w:tcW w:w="1293" w:type="pct"/>
            <w:shd w:val="clear" w:color="auto" w:fill="auto"/>
            <w:tcMar>
              <w:top w:w="120" w:type="dxa"/>
              <w:left w:w="300" w:type="dxa"/>
              <w:bottom w:w="120" w:type="dxa"/>
              <w:right w:w="300" w:type="dxa"/>
            </w:tcMar>
            <w:hideMark/>
          </w:tcPr>
          <w:p w14:paraId="2D961AD4"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BSBK</w:t>
            </w:r>
          </w:p>
        </w:tc>
        <w:tc>
          <w:tcPr>
            <w:tcW w:w="1568" w:type="pct"/>
            <w:shd w:val="clear" w:color="auto" w:fill="auto"/>
            <w:tcMar>
              <w:top w:w="120" w:type="dxa"/>
              <w:left w:w="300" w:type="dxa"/>
              <w:bottom w:w="120" w:type="dxa"/>
              <w:right w:w="300" w:type="dxa"/>
            </w:tcMar>
            <w:hideMark/>
          </w:tcPr>
          <w:p w14:paraId="728FFEB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Buy Sell Back</w:t>
            </w:r>
          </w:p>
        </w:tc>
        <w:tc>
          <w:tcPr>
            <w:tcW w:w="2139" w:type="pct"/>
            <w:shd w:val="clear" w:color="auto" w:fill="auto"/>
            <w:tcMar>
              <w:top w:w="120" w:type="dxa"/>
              <w:left w:w="300" w:type="dxa"/>
              <w:bottom w:w="120" w:type="dxa"/>
              <w:right w:w="300" w:type="dxa"/>
            </w:tcMar>
            <w:hideMark/>
          </w:tcPr>
          <w:p w14:paraId="192BD28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buy sell back transaction.</w:t>
            </w:r>
          </w:p>
        </w:tc>
      </w:tr>
      <w:tr w:rsidR="00304EE7" w:rsidRPr="007261B0" w14:paraId="55BFF841" w14:textId="77777777" w:rsidTr="00AD05E6">
        <w:tc>
          <w:tcPr>
            <w:tcW w:w="0" w:type="auto"/>
            <w:shd w:val="clear" w:color="auto" w:fill="auto"/>
            <w:tcMar>
              <w:top w:w="120" w:type="dxa"/>
              <w:left w:w="300" w:type="dxa"/>
              <w:bottom w:w="120" w:type="dxa"/>
              <w:right w:w="300" w:type="dxa"/>
            </w:tcMar>
            <w:hideMark/>
          </w:tcPr>
          <w:p w14:paraId="2A85D6CF"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BYIY</w:t>
            </w:r>
          </w:p>
        </w:tc>
        <w:tc>
          <w:tcPr>
            <w:tcW w:w="0" w:type="auto"/>
            <w:shd w:val="clear" w:color="auto" w:fill="auto"/>
            <w:tcMar>
              <w:top w:w="120" w:type="dxa"/>
              <w:left w:w="300" w:type="dxa"/>
              <w:bottom w:w="120" w:type="dxa"/>
              <w:right w:w="300" w:type="dxa"/>
            </w:tcMar>
            <w:hideMark/>
          </w:tcPr>
          <w:p w14:paraId="6B8E973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Buy In</w:t>
            </w:r>
          </w:p>
        </w:tc>
        <w:tc>
          <w:tcPr>
            <w:tcW w:w="0" w:type="auto"/>
            <w:shd w:val="clear" w:color="auto" w:fill="auto"/>
            <w:tcMar>
              <w:top w:w="120" w:type="dxa"/>
              <w:left w:w="300" w:type="dxa"/>
              <w:bottom w:w="120" w:type="dxa"/>
              <w:right w:w="300" w:type="dxa"/>
            </w:tcMar>
            <w:hideMark/>
          </w:tcPr>
          <w:p w14:paraId="584B2464"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The transaction relates to a buy-in by the market following a delivery transaction failure.</w:t>
            </w:r>
          </w:p>
        </w:tc>
      </w:tr>
      <w:tr w:rsidR="00304EE7" w:rsidRPr="007261B0" w14:paraId="1A37F22D" w14:textId="77777777" w:rsidTr="00AD05E6">
        <w:tc>
          <w:tcPr>
            <w:tcW w:w="0" w:type="auto"/>
            <w:shd w:val="clear" w:color="auto" w:fill="auto"/>
            <w:tcMar>
              <w:top w:w="120" w:type="dxa"/>
              <w:left w:w="300" w:type="dxa"/>
              <w:bottom w:w="120" w:type="dxa"/>
              <w:right w:w="300" w:type="dxa"/>
            </w:tcMar>
            <w:hideMark/>
          </w:tcPr>
          <w:p w14:paraId="40A3ACF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CLAI</w:t>
            </w:r>
          </w:p>
        </w:tc>
        <w:tc>
          <w:tcPr>
            <w:tcW w:w="0" w:type="auto"/>
            <w:shd w:val="clear" w:color="auto" w:fill="auto"/>
            <w:tcMar>
              <w:top w:w="120" w:type="dxa"/>
              <w:left w:w="300" w:type="dxa"/>
              <w:bottom w:w="120" w:type="dxa"/>
              <w:right w:w="300" w:type="dxa"/>
            </w:tcMar>
            <w:hideMark/>
          </w:tcPr>
          <w:p w14:paraId="622FEB14"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 xml:space="preserve">Market </w:t>
            </w:r>
            <w:proofErr w:type="spellStart"/>
            <w:r w:rsidRPr="001D0D66">
              <w:rPr>
                <w:rFonts w:eastAsia="Times New Roman" w:cs="Times New Roman"/>
                <w:color w:val="333D3E"/>
                <w:szCs w:val="22"/>
                <w:lang w:val="it-IT" w:eastAsia="it-IT"/>
              </w:rPr>
              <w:t>Claim</w:t>
            </w:r>
            <w:proofErr w:type="spellEnd"/>
          </w:p>
        </w:tc>
        <w:tc>
          <w:tcPr>
            <w:tcW w:w="0" w:type="auto"/>
            <w:shd w:val="clear" w:color="auto" w:fill="auto"/>
            <w:tcMar>
              <w:top w:w="120" w:type="dxa"/>
              <w:left w:w="300" w:type="dxa"/>
              <w:bottom w:w="120" w:type="dxa"/>
              <w:right w:w="300" w:type="dxa"/>
            </w:tcMar>
            <w:hideMark/>
          </w:tcPr>
          <w:p w14:paraId="635A4C8F"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Transaction resulting from a market claim.</w:t>
            </w:r>
          </w:p>
        </w:tc>
      </w:tr>
      <w:tr w:rsidR="00304EE7" w:rsidRPr="007261B0" w14:paraId="4B7FF354" w14:textId="77777777" w:rsidTr="00AD05E6">
        <w:tc>
          <w:tcPr>
            <w:tcW w:w="0" w:type="auto"/>
            <w:shd w:val="clear" w:color="auto" w:fill="auto"/>
            <w:tcMar>
              <w:top w:w="120" w:type="dxa"/>
              <w:left w:w="300" w:type="dxa"/>
              <w:bottom w:w="120" w:type="dxa"/>
              <w:right w:w="300" w:type="dxa"/>
            </w:tcMar>
            <w:hideMark/>
          </w:tcPr>
          <w:p w14:paraId="6F52753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CNCB</w:t>
            </w:r>
          </w:p>
        </w:tc>
        <w:tc>
          <w:tcPr>
            <w:tcW w:w="0" w:type="auto"/>
            <w:shd w:val="clear" w:color="auto" w:fill="auto"/>
            <w:tcMar>
              <w:top w:w="120" w:type="dxa"/>
              <w:left w:w="300" w:type="dxa"/>
              <w:bottom w:w="120" w:type="dxa"/>
              <w:right w:w="300" w:type="dxa"/>
            </w:tcMar>
            <w:hideMark/>
          </w:tcPr>
          <w:p w14:paraId="4967F37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 xml:space="preserve">Central Bank </w:t>
            </w:r>
            <w:proofErr w:type="spellStart"/>
            <w:r w:rsidRPr="001D0D66">
              <w:rPr>
                <w:rFonts w:eastAsia="Times New Roman" w:cs="Times New Roman"/>
                <w:color w:val="333D3E"/>
                <w:szCs w:val="22"/>
                <w:lang w:val="it-IT" w:eastAsia="it-IT"/>
              </w:rPr>
              <w:t>Collateral</w:t>
            </w:r>
            <w:proofErr w:type="spellEnd"/>
            <w:r w:rsidRPr="001D0D66">
              <w:rPr>
                <w:rFonts w:eastAsia="Times New Roman" w:cs="Times New Roman"/>
                <w:color w:val="333D3E"/>
                <w:szCs w:val="22"/>
                <w:lang w:val="it-IT" w:eastAsia="it-IT"/>
              </w:rPr>
              <w:t xml:space="preserve"> </w:t>
            </w:r>
            <w:proofErr w:type="spellStart"/>
            <w:r w:rsidRPr="001D0D66">
              <w:rPr>
                <w:rFonts w:eastAsia="Times New Roman" w:cs="Times New Roman"/>
                <w:color w:val="333D3E"/>
                <w:szCs w:val="22"/>
                <w:lang w:val="it-IT" w:eastAsia="it-IT"/>
              </w:rPr>
              <w:t>Operation</w:t>
            </w:r>
            <w:proofErr w:type="spellEnd"/>
          </w:p>
        </w:tc>
        <w:tc>
          <w:tcPr>
            <w:tcW w:w="0" w:type="auto"/>
            <w:shd w:val="clear" w:color="auto" w:fill="auto"/>
            <w:tcMar>
              <w:top w:w="120" w:type="dxa"/>
              <w:left w:w="300" w:type="dxa"/>
              <w:bottom w:w="120" w:type="dxa"/>
              <w:right w:w="300" w:type="dxa"/>
            </w:tcMar>
            <w:hideMark/>
          </w:tcPr>
          <w:p w14:paraId="33F4A58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collateral delivery/receipt to a National Central Bank for central bank credit operations.</w:t>
            </w:r>
          </w:p>
        </w:tc>
      </w:tr>
      <w:tr w:rsidR="00304EE7" w:rsidRPr="007261B0" w14:paraId="48B0128D" w14:textId="77777777" w:rsidTr="00AD05E6">
        <w:tc>
          <w:tcPr>
            <w:tcW w:w="0" w:type="auto"/>
            <w:shd w:val="clear" w:color="auto" w:fill="auto"/>
            <w:tcMar>
              <w:top w:w="120" w:type="dxa"/>
              <w:left w:w="300" w:type="dxa"/>
              <w:bottom w:w="120" w:type="dxa"/>
              <w:right w:w="300" w:type="dxa"/>
            </w:tcMar>
            <w:hideMark/>
          </w:tcPr>
          <w:p w14:paraId="06A6C6F2"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COLI</w:t>
            </w:r>
          </w:p>
        </w:tc>
        <w:tc>
          <w:tcPr>
            <w:tcW w:w="0" w:type="auto"/>
            <w:shd w:val="clear" w:color="auto" w:fill="auto"/>
            <w:tcMar>
              <w:top w:w="120" w:type="dxa"/>
              <w:left w:w="300" w:type="dxa"/>
              <w:bottom w:w="120" w:type="dxa"/>
              <w:right w:w="300" w:type="dxa"/>
            </w:tcMar>
            <w:hideMark/>
          </w:tcPr>
          <w:p w14:paraId="472AD4D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Collateral</w:t>
            </w:r>
            <w:proofErr w:type="spellEnd"/>
            <w:r w:rsidRPr="001D0D66">
              <w:rPr>
                <w:rFonts w:eastAsia="Times New Roman" w:cs="Times New Roman"/>
                <w:color w:val="333D3E"/>
                <w:szCs w:val="22"/>
                <w:lang w:val="it-IT" w:eastAsia="it-IT"/>
              </w:rPr>
              <w:t xml:space="preserve"> In</w:t>
            </w:r>
          </w:p>
        </w:tc>
        <w:tc>
          <w:tcPr>
            <w:tcW w:w="0" w:type="auto"/>
            <w:shd w:val="clear" w:color="auto" w:fill="auto"/>
            <w:tcMar>
              <w:top w:w="120" w:type="dxa"/>
              <w:left w:w="300" w:type="dxa"/>
              <w:bottom w:w="120" w:type="dxa"/>
              <w:right w:w="300" w:type="dxa"/>
            </w:tcMar>
            <w:hideMark/>
          </w:tcPr>
          <w:p w14:paraId="5133BB9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collateral transaction, from the point of view of the collateral taker or its agent.</w:t>
            </w:r>
          </w:p>
        </w:tc>
      </w:tr>
      <w:tr w:rsidR="00304EE7" w:rsidRPr="007261B0" w14:paraId="156ECCE2" w14:textId="77777777" w:rsidTr="00AD05E6">
        <w:tc>
          <w:tcPr>
            <w:tcW w:w="0" w:type="auto"/>
            <w:shd w:val="clear" w:color="auto" w:fill="auto"/>
            <w:tcMar>
              <w:top w:w="120" w:type="dxa"/>
              <w:left w:w="300" w:type="dxa"/>
              <w:bottom w:w="120" w:type="dxa"/>
              <w:right w:w="300" w:type="dxa"/>
            </w:tcMar>
            <w:hideMark/>
          </w:tcPr>
          <w:p w14:paraId="25C499BE"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COLO</w:t>
            </w:r>
          </w:p>
        </w:tc>
        <w:tc>
          <w:tcPr>
            <w:tcW w:w="0" w:type="auto"/>
            <w:shd w:val="clear" w:color="auto" w:fill="auto"/>
            <w:tcMar>
              <w:top w:w="120" w:type="dxa"/>
              <w:left w:w="300" w:type="dxa"/>
              <w:bottom w:w="120" w:type="dxa"/>
              <w:right w:w="300" w:type="dxa"/>
            </w:tcMar>
            <w:hideMark/>
          </w:tcPr>
          <w:p w14:paraId="024AE4C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Collateral</w:t>
            </w:r>
            <w:proofErr w:type="spellEnd"/>
            <w:r w:rsidRPr="001D0D66">
              <w:rPr>
                <w:rFonts w:eastAsia="Times New Roman" w:cs="Times New Roman"/>
                <w:color w:val="333D3E"/>
                <w:szCs w:val="22"/>
                <w:lang w:val="it-IT" w:eastAsia="it-IT"/>
              </w:rPr>
              <w:t xml:space="preserve"> Out</w:t>
            </w:r>
          </w:p>
        </w:tc>
        <w:tc>
          <w:tcPr>
            <w:tcW w:w="0" w:type="auto"/>
            <w:shd w:val="clear" w:color="auto" w:fill="auto"/>
            <w:tcMar>
              <w:top w:w="120" w:type="dxa"/>
              <w:left w:w="300" w:type="dxa"/>
              <w:bottom w:w="120" w:type="dxa"/>
              <w:right w:w="300" w:type="dxa"/>
            </w:tcMar>
            <w:hideMark/>
          </w:tcPr>
          <w:p w14:paraId="0E380043"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collateral transaction, from the point of view of the collateral giver or its agent.</w:t>
            </w:r>
          </w:p>
        </w:tc>
      </w:tr>
      <w:tr w:rsidR="00304EE7" w:rsidRPr="007261B0" w14:paraId="1189A4BF" w14:textId="77777777" w:rsidTr="00AD05E6">
        <w:tc>
          <w:tcPr>
            <w:tcW w:w="0" w:type="auto"/>
            <w:shd w:val="clear" w:color="auto" w:fill="auto"/>
            <w:tcMar>
              <w:top w:w="120" w:type="dxa"/>
              <w:left w:w="300" w:type="dxa"/>
              <w:bottom w:w="120" w:type="dxa"/>
              <w:right w:w="300" w:type="dxa"/>
            </w:tcMar>
            <w:hideMark/>
          </w:tcPr>
          <w:p w14:paraId="56B6A99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CONV</w:t>
            </w:r>
          </w:p>
        </w:tc>
        <w:tc>
          <w:tcPr>
            <w:tcW w:w="0" w:type="auto"/>
            <w:shd w:val="clear" w:color="auto" w:fill="auto"/>
            <w:tcMar>
              <w:top w:w="120" w:type="dxa"/>
              <w:left w:w="300" w:type="dxa"/>
              <w:bottom w:w="120" w:type="dxa"/>
              <w:right w:w="300" w:type="dxa"/>
            </w:tcMar>
            <w:hideMark/>
          </w:tcPr>
          <w:p w14:paraId="38957F4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DR Conversion</w:t>
            </w:r>
          </w:p>
        </w:tc>
        <w:tc>
          <w:tcPr>
            <w:tcW w:w="0" w:type="auto"/>
            <w:shd w:val="clear" w:color="auto" w:fill="auto"/>
            <w:tcMar>
              <w:top w:w="120" w:type="dxa"/>
              <w:left w:w="300" w:type="dxa"/>
              <w:bottom w:w="120" w:type="dxa"/>
              <w:right w:w="300" w:type="dxa"/>
            </w:tcMar>
            <w:hideMark/>
          </w:tcPr>
          <w:p w14:paraId="5A412DDF"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depository receipt conversion.</w:t>
            </w:r>
          </w:p>
        </w:tc>
      </w:tr>
      <w:tr w:rsidR="00304EE7" w:rsidRPr="007261B0" w14:paraId="4A3E499F" w14:textId="77777777" w:rsidTr="00AD05E6">
        <w:tc>
          <w:tcPr>
            <w:tcW w:w="0" w:type="auto"/>
            <w:shd w:val="clear" w:color="auto" w:fill="auto"/>
            <w:tcMar>
              <w:top w:w="120" w:type="dxa"/>
              <w:left w:w="300" w:type="dxa"/>
              <w:bottom w:w="120" w:type="dxa"/>
              <w:right w:w="300" w:type="dxa"/>
            </w:tcMar>
          </w:tcPr>
          <w:p w14:paraId="6881F9F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5C63CD">
              <w:lastRenderedPageBreak/>
              <w:t>CORP</w:t>
            </w:r>
          </w:p>
        </w:tc>
        <w:tc>
          <w:tcPr>
            <w:tcW w:w="0" w:type="auto"/>
            <w:shd w:val="clear" w:color="auto" w:fill="auto"/>
            <w:tcMar>
              <w:top w:w="120" w:type="dxa"/>
              <w:left w:w="300" w:type="dxa"/>
              <w:bottom w:w="120" w:type="dxa"/>
              <w:right w:w="300" w:type="dxa"/>
            </w:tcMar>
          </w:tcPr>
          <w:p w14:paraId="5D5F7CFA"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5C63CD">
              <w:t>Corporate Action</w:t>
            </w:r>
          </w:p>
        </w:tc>
        <w:tc>
          <w:tcPr>
            <w:tcW w:w="0" w:type="auto"/>
            <w:shd w:val="clear" w:color="auto" w:fill="auto"/>
            <w:tcMar>
              <w:top w:w="120" w:type="dxa"/>
              <w:left w:w="300" w:type="dxa"/>
              <w:bottom w:w="120" w:type="dxa"/>
              <w:right w:w="300" w:type="dxa"/>
            </w:tcMar>
          </w:tcPr>
          <w:p w14:paraId="334A7383"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5C63CD">
              <w:t>Relates to a corporate action.</w:t>
            </w:r>
          </w:p>
        </w:tc>
      </w:tr>
      <w:tr w:rsidR="00304EE7" w:rsidRPr="007261B0" w14:paraId="1AF38FEE" w14:textId="77777777" w:rsidTr="00AD05E6">
        <w:tc>
          <w:tcPr>
            <w:tcW w:w="0" w:type="auto"/>
            <w:shd w:val="clear" w:color="auto" w:fill="auto"/>
            <w:tcMar>
              <w:top w:w="120" w:type="dxa"/>
              <w:left w:w="300" w:type="dxa"/>
              <w:bottom w:w="120" w:type="dxa"/>
              <w:right w:w="300" w:type="dxa"/>
            </w:tcMar>
            <w:hideMark/>
          </w:tcPr>
          <w:p w14:paraId="529B3B37"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ETFT</w:t>
            </w:r>
          </w:p>
        </w:tc>
        <w:tc>
          <w:tcPr>
            <w:tcW w:w="0" w:type="auto"/>
            <w:shd w:val="clear" w:color="auto" w:fill="auto"/>
            <w:tcMar>
              <w:top w:w="120" w:type="dxa"/>
              <w:left w:w="300" w:type="dxa"/>
              <w:bottom w:w="120" w:type="dxa"/>
              <w:right w:w="300" w:type="dxa"/>
            </w:tcMar>
            <w:hideMark/>
          </w:tcPr>
          <w:p w14:paraId="283BA0BF"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 xml:space="preserve">Exchange </w:t>
            </w:r>
            <w:proofErr w:type="spellStart"/>
            <w:r w:rsidRPr="001D0D66">
              <w:rPr>
                <w:rFonts w:eastAsia="Times New Roman" w:cs="Times New Roman"/>
                <w:color w:val="333D3E"/>
                <w:szCs w:val="22"/>
                <w:lang w:val="it-IT" w:eastAsia="it-IT"/>
              </w:rPr>
              <w:t>Traded</w:t>
            </w:r>
            <w:proofErr w:type="spellEnd"/>
            <w:r w:rsidRPr="001D0D66">
              <w:rPr>
                <w:rFonts w:eastAsia="Times New Roman" w:cs="Times New Roman"/>
                <w:color w:val="333D3E"/>
                <w:szCs w:val="22"/>
                <w:lang w:val="it-IT" w:eastAsia="it-IT"/>
              </w:rPr>
              <w:t xml:space="preserve"> Funds</w:t>
            </w:r>
          </w:p>
        </w:tc>
        <w:tc>
          <w:tcPr>
            <w:tcW w:w="0" w:type="auto"/>
            <w:shd w:val="clear" w:color="auto" w:fill="auto"/>
            <w:tcMar>
              <w:top w:w="120" w:type="dxa"/>
              <w:left w:w="300" w:type="dxa"/>
              <w:bottom w:w="120" w:type="dxa"/>
              <w:right w:w="300" w:type="dxa"/>
            </w:tcMar>
            <w:hideMark/>
          </w:tcPr>
          <w:p w14:paraId="12928B3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an exchange traded fund (ETF) creation or redemption.</w:t>
            </w:r>
          </w:p>
        </w:tc>
      </w:tr>
      <w:tr w:rsidR="00304EE7" w:rsidRPr="007261B0" w14:paraId="34538832" w14:textId="77777777" w:rsidTr="00AD05E6">
        <w:tc>
          <w:tcPr>
            <w:tcW w:w="0" w:type="auto"/>
            <w:shd w:val="clear" w:color="auto" w:fill="auto"/>
            <w:tcMar>
              <w:top w:w="120" w:type="dxa"/>
              <w:left w:w="300" w:type="dxa"/>
              <w:bottom w:w="120" w:type="dxa"/>
              <w:right w:w="300" w:type="dxa"/>
            </w:tcMar>
            <w:hideMark/>
          </w:tcPr>
          <w:p w14:paraId="0CE553D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ISSU</w:t>
            </w:r>
          </w:p>
        </w:tc>
        <w:tc>
          <w:tcPr>
            <w:tcW w:w="0" w:type="auto"/>
            <w:shd w:val="clear" w:color="auto" w:fill="auto"/>
            <w:tcMar>
              <w:top w:w="120" w:type="dxa"/>
              <w:left w:w="300" w:type="dxa"/>
              <w:bottom w:w="120" w:type="dxa"/>
              <w:right w:w="300" w:type="dxa"/>
            </w:tcMar>
            <w:hideMark/>
          </w:tcPr>
          <w:p w14:paraId="54CEF3D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Issuance</w:t>
            </w:r>
            <w:proofErr w:type="spellEnd"/>
          </w:p>
        </w:tc>
        <w:tc>
          <w:tcPr>
            <w:tcW w:w="0" w:type="auto"/>
            <w:shd w:val="clear" w:color="auto" w:fill="auto"/>
            <w:tcMar>
              <w:top w:w="120" w:type="dxa"/>
              <w:left w:w="300" w:type="dxa"/>
              <w:bottom w:w="120" w:type="dxa"/>
              <w:right w:w="300" w:type="dxa"/>
            </w:tcMar>
            <w:hideMark/>
          </w:tcPr>
          <w:p w14:paraId="226C6B0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the issuance of a security such as an equity or a depository receipt.</w:t>
            </w:r>
          </w:p>
        </w:tc>
      </w:tr>
      <w:tr w:rsidR="00304EE7" w:rsidRPr="007261B0" w14:paraId="041D3919" w14:textId="77777777" w:rsidTr="00AD05E6">
        <w:tc>
          <w:tcPr>
            <w:tcW w:w="0" w:type="auto"/>
            <w:shd w:val="clear" w:color="auto" w:fill="auto"/>
            <w:tcMar>
              <w:top w:w="120" w:type="dxa"/>
              <w:left w:w="300" w:type="dxa"/>
              <w:bottom w:w="120" w:type="dxa"/>
              <w:right w:w="300" w:type="dxa"/>
            </w:tcMar>
            <w:hideMark/>
          </w:tcPr>
          <w:p w14:paraId="039CC20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MKDW</w:t>
            </w:r>
          </w:p>
        </w:tc>
        <w:tc>
          <w:tcPr>
            <w:tcW w:w="0" w:type="auto"/>
            <w:shd w:val="clear" w:color="auto" w:fill="auto"/>
            <w:tcMar>
              <w:top w:w="120" w:type="dxa"/>
              <w:left w:w="300" w:type="dxa"/>
              <w:bottom w:w="120" w:type="dxa"/>
              <w:right w:w="300" w:type="dxa"/>
            </w:tcMar>
            <w:hideMark/>
          </w:tcPr>
          <w:p w14:paraId="2FCC548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Mark-Down</w:t>
            </w:r>
          </w:p>
        </w:tc>
        <w:tc>
          <w:tcPr>
            <w:tcW w:w="0" w:type="auto"/>
            <w:shd w:val="clear" w:color="auto" w:fill="auto"/>
            <w:tcMar>
              <w:top w:w="120" w:type="dxa"/>
              <w:left w:w="300" w:type="dxa"/>
              <w:bottom w:w="120" w:type="dxa"/>
              <w:right w:w="300" w:type="dxa"/>
            </w:tcMar>
            <w:hideMark/>
          </w:tcPr>
          <w:p w14:paraId="4CD435B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the decrease of positions held by an ICSD at the common depository due to custody operations (repurchase, pre-release, proceed of corp. event realigned).</w:t>
            </w:r>
          </w:p>
        </w:tc>
      </w:tr>
      <w:tr w:rsidR="00304EE7" w:rsidRPr="007261B0" w14:paraId="19365949" w14:textId="77777777" w:rsidTr="00AD05E6">
        <w:tc>
          <w:tcPr>
            <w:tcW w:w="0" w:type="auto"/>
            <w:shd w:val="clear" w:color="auto" w:fill="auto"/>
            <w:tcMar>
              <w:top w:w="120" w:type="dxa"/>
              <w:left w:w="300" w:type="dxa"/>
              <w:bottom w:w="120" w:type="dxa"/>
              <w:right w:w="300" w:type="dxa"/>
            </w:tcMar>
            <w:hideMark/>
          </w:tcPr>
          <w:p w14:paraId="70242D7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MKUP</w:t>
            </w:r>
          </w:p>
        </w:tc>
        <w:tc>
          <w:tcPr>
            <w:tcW w:w="0" w:type="auto"/>
            <w:shd w:val="clear" w:color="auto" w:fill="auto"/>
            <w:tcMar>
              <w:top w:w="120" w:type="dxa"/>
              <w:left w:w="300" w:type="dxa"/>
              <w:bottom w:w="120" w:type="dxa"/>
              <w:right w:w="300" w:type="dxa"/>
            </w:tcMar>
            <w:hideMark/>
          </w:tcPr>
          <w:p w14:paraId="36F18068"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Mark-Up</w:t>
            </w:r>
          </w:p>
        </w:tc>
        <w:tc>
          <w:tcPr>
            <w:tcW w:w="0" w:type="auto"/>
            <w:shd w:val="clear" w:color="auto" w:fill="auto"/>
            <w:tcMar>
              <w:top w:w="120" w:type="dxa"/>
              <w:left w:w="300" w:type="dxa"/>
              <w:bottom w:w="120" w:type="dxa"/>
              <w:right w:w="300" w:type="dxa"/>
            </w:tcMar>
            <w:hideMark/>
          </w:tcPr>
          <w:p w14:paraId="69D7DC9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the increase of positions held by an ICSD at the common depository due to custody operations (repurchase, pre-release, proceed of corporate event realigned).</w:t>
            </w:r>
          </w:p>
        </w:tc>
      </w:tr>
      <w:tr w:rsidR="00304EE7" w:rsidRPr="007261B0" w14:paraId="55D92CF8" w14:textId="77777777" w:rsidTr="00AD05E6">
        <w:tc>
          <w:tcPr>
            <w:tcW w:w="0" w:type="auto"/>
            <w:shd w:val="clear" w:color="auto" w:fill="auto"/>
            <w:tcMar>
              <w:top w:w="120" w:type="dxa"/>
              <w:left w:w="300" w:type="dxa"/>
              <w:bottom w:w="120" w:type="dxa"/>
              <w:right w:w="300" w:type="dxa"/>
            </w:tcMar>
          </w:tcPr>
          <w:p w14:paraId="550C037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739A1">
              <w:t>OWNI</w:t>
            </w:r>
          </w:p>
        </w:tc>
        <w:tc>
          <w:tcPr>
            <w:tcW w:w="0" w:type="auto"/>
            <w:shd w:val="clear" w:color="auto" w:fill="auto"/>
            <w:tcMar>
              <w:top w:w="120" w:type="dxa"/>
              <w:left w:w="300" w:type="dxa"/>
              <w:bottom w:w="120" w:type="dxa"/>
              <w:right w:w="300" w:type="dxa"/>
            </w:tcMar>
          </w:tcPr>
          <w:p w14:paraId="48EE8E34"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739A1">
              <w:t>Internal account Transfer</w:t>
            </w:r>
          </w:p>
        </w:tc>
        <w:tc>
          <w:tcPr>
            <w:tcW w:w="0" w:type="auto"/>
            <w:shd w:val="clear" w:color="auto" w:fill="auto"/>
            <w:tcMar>
              <w:top w:w="120" w:type="dxa"/>
              <w:left w:w="300" w:type="dxa"/>
              <w:bottom w:w="120" w:type="dxa"/>
              <w:right w:w="300" w:type="dxa"/>
            </w:tcMar>
          </w:tcPr>
          <w:p w14:paraId="02D238C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739A1">
              <w:t>Relates to an account transfer involving one instructing party (message sender)</w:t>
            </w:r>
            <w:r>
              <w:t xml:space="preserve"> </w:t>
            </w:r>
            <w:r w:rsidRPr="001739A1">
              <w:t>t</w:t>
            </w:r>
            <w:r>
              <w:t>o</w:t>
            </w:r>
            <w:r w:rsidRPr="001739A1">
              <w:t xml:space="preserve"> one account servicer (messages receiver).</w:t>
            </w:r>
          </w:p>
        </w:tc>
      </w:tr>
      <w:tr w:rsidR="00304EE7" w:rsidRPr="007261B0" w14:paraId="2745D8FE" w14:textId="77777777" w:rsidTr="00AD05E6">
        <w:tc>
          <w:tcPr>
            <w:tcW w:w="0" w:type="auto"/>
            <w:shd w:val="clear" w:color="auto" w:fill="auto"/>
            <w:tcMar>
              <w:top w:w="120" w:type="dxa"/>
              <w:left w:w="300" w:type="dxa"/>
              <w:bottom w:w="120" w:type="dxa"/>
              <w:right w:w="300" w:type="dxa"/>
            </w:tcMar>
            <w:hideMark/>
          </w:tcPr>
          <w:p w14:paraId="079EF78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PLAC</w:t>
            </w:r>
          </w:p>
        </w:tc>
        <w:tc>
          <w:tcPr>
            <w:tcW w:w="0" w:type="auto"/>
            <w:shd w:val="clear" w:color="auto" w:fill="auto"/>
            <w:tcMar>
              <w:top w:w="120" w:type="dxa"/>
              <w:left w:w="300" w:type="dxa"/>
              <w:bottom w:w="120" w:type="dxa"/>
              <w:right w:w="300" w:type="dxa"/>
            </w:tcMar>
            <w:hideMark/>
          </w:tcPr>
          <w:p w14:paraId="788B6AF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Placement</w:t>
            </w:r>
          </w:p>
        </w:tc>
        <w:tc>
          <w:tcPr>
            <w:tcW w:w="0" w:type="auto"/>
            <w:shd w:val="clear" w:color="auto" w:fill="auto"/>
            <w:tcMar>
              <w:top w:w="120" w:type="dxa"/>
              <w:left w:w="300" w:type="dxa"/>
              <w:bottom w:w="120" w:type="dxa"/>
              <w:right w:w="300" w:type="dxa"/>
            </w:tcMar>
            <w:hideMark/>
          </w:tcPr>
          <w:p w14:paraId="17941712"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the placement/new issue of a financial instrument.</w:t>
            </w:r>
          </w:p>
        </w:tc>
      </w:tr>
      <w:tr w:rsidR="00304EE7" w:rsidRPr="007261B0" w14:paraId="0117D006" w14:textId="77777777" w:rsidTr="00AD05E6">
        <w:tc>
          <w:tcPr>
            <w:tcW w:w="0" w:type="auto"/>
            <w:shd w:val="clear" w:color="auto" w:fill="auto"/>
            <w:tcMar>
              <w:top w:w="120" w:type="dxa"/>
              <w:left w:w="300" w:type="dxa"/>
              <w:bottom w:w="120" w:type="dxa"/>
              <w:right w:w="300" w:type="dxa"/>
            </w:tcMar>
            <w:hideMark/>
          </w:tcPr>
          <w:p w14:paraId="3DA25EBE"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PORT/OWNE</w:t>
            </w:r>
          </w:p>
          <w:p w14:paraId="7F05618F" w14:textId="704029F1" w:rsidR="00304EE7" w:rsidRPr="00A75B67" w:rsidRDefault="00304EE7" w:rsidP="00A75B67">
            <w:pPr>
              <w:shd w:val="clear" w:color="auto" w:fill="F9F9F9"/>
              <w:spacing w:after="240" w:line="240" w:lineRule="auto"/>
              <w:jc w:val="left"/>
              <w:rPr>
                <w:rFonts w:eastAsia="Times New Roman" w:cs="Times New Roman"/>
                <w:color w:val="81848F"/>
                <w:szCs w:val="22"/>
                <w:lang w:val="en-US" w:eastAsia="it-IT"/>
              </w:rPr>
            </w:pPr>
            <w:r w:rsidRPr="00A92276">
              <w:rPr>
                <w:rFonts w:eastAsia="Times New Roman" w:cs="Times New Roman"/>
                <w:color w:val="81848F"/>
                <w:szCs w:val="22"/>
                <w:lang w:val="en-US" w:eastAsia="it-IT"/>
              </w:rPr>
              <w:t xml:space="preserve">If qualifier is BENE and Data Source Scheme is not </w:t>
            </w:r>
            <w:r w:rsidRPr="00A92276">
              <w:rPr>
                <w:rFonts w:eastAsia="Times New Roman" w:cs="Times New Roman"/>
                <w:color w:val="81848F"/>
                <w:szCs w:val="22"/>
                <w:lang w:val="en-US" w:eastAsia="it-IT"/>
              </w:rPr>
              <w:lastRenderedPageBreak/>
              <w:t xml:space="preserve">present, Indicator must contain one of the following </w:t>
            </w:r>
            <w:proofErr w:type="spellStart"/>
            <w:proofErr w:type="gramStart"/>
            <w:r w:rsidRPr="00A92276">
              <w:rPr>
                <w:rFonts w:eastAsia="Times New Roman" w:cs="Times New Roman"/>
                <w:color w:val="81848F"/>
                <w:szCs w:val="22"/>
                <w:lang w:val="en-US" w:eastAsia="it-IT"/>
              </w:rPr>
              <w:t>codes:NBEN</w:t>
            </w:r>
            <w:proofErr w:type="spellEnd"/>
            <w:proofErr w:type="gramEnd"/>
            <w:r w:rsidRPr="00A92276">
              <w:rPr>
                <w:rFonts w:eastAsia="Times New Roman" w:cs="Times New Roman"/>
                <w:color w:val="81848F"/>
                <w:szCs w:val="22"/>
                <w:lang w:val="en-US" w:eastAsia="it-IT"/>
              </w:rPr>
              <w:t>/NCBO</w:t>
            </w:r>
          </w:p>
        </w:tc>
        <w:tc>
          <w:tcPr>
            <w:tcW w:w="0" w:type="auto"/>
            <w:shd w:val="clear" w:color="auto" w:fill="auto"/>
            <w:tcMar>
              <w:top w:w="120" w:type="dxa"/>
              <w:left w:w="300" w:type="dxa"/>
              <w:bottom w:w="120" w:type="dxa"/>
              <w:right w:w="300" w:type="dxa"/>
            </w:tcMar>
            <w:hideMark/>
          </w:tcPr>
          <w:p w14:paraId="0C7CB50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lastRenderedPageBreak/>
              <w:t xml:space="preserve">Portfolio </w:t>
            </w:r>
            <w:proofErr w:type="spellStart"/>
            <w:r w:rsidRPr="001D0D66">
              <w:rPr>
                <w:rFonts w:eastAsia="Times New Roman" w:cs="Times New Roman"/>
                <w:color w:val="333D3E"/>
                <w:szCs w:val="22"/>
                <w:lang w:val="it-IT" w:eastAsia="it-IT"/>
              </w:rPr>
              <w:t>Move</w:t>
            </w:r>
            <w:proofErr w:type="spellEnd"/>
          </w:p>
        </w:tc>
        <w:tc>
          <w:tcPr>
            <w:tcW w:w="0" w:type="auto"/>
            <w:shd w:val="clear" w:color="auto" w:fill="auto"/>
            <w:tcMar>
              <w:top w:w="120" w:type="dxa"/>
              <w:left w:w="300" w:type="dxa"/>
              <w:bottom w:w="120" w:type="dxa"/>
              <w:right w:w="300" w:type="dxa"/>
            </w:tcMar>
            <w:hideMark/>
          </w:tcPr>
          <w:p w14:paraId="7F7D32EE" w14:textId="0E4ECBD0" w:rsidR="00304EE7" w:rsidRPr="001D0D66" w:rsidRDefault="00304EE7" w:rsidP="00A75B67">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 xml:space="preserve">Relates to a portfolio move from one investment manager to another and/or from an account servicer to </w:t>
            </w:r>
            <w:r w:rsidRPr="001D0D66">
              <w:rPr>
                <w:rFonts w:eastAsia="Times New Roman" w:cs="Times New Roman"/>
                <w:color w:val="333D3E"/>
                <w:szCs w:val="22"/>
                <w:lang w:val="en-US" w:eastAsia="it-IT"/>
              </w:rPr>
              <w:lastRenderedPageBreak/>
              <w:t>another. It is generally charged differently than another account.</w:t>
            </w:r>
          </w:p>
        </w:tc>
      </w:tr>
      <w:tr w:rsidR="00304EE7" w:rsidRPr="007261B0" w14:paraId="5FAAB6F5" w14:textId="77777777" w:rsidTr="00AD05E6">
        <w:tc>
          <w:tcPr>
            <w:tcW w:w="0" w:type="auto"/>
            <w:shd w:val="clear" w:color="auto" w:fill="auto"/>
            <w:tcMar>
              <w:top w:w="120" w:type="dxa"/>
              <w:left w:w="300" w:type="dxa"/>
              <w:bottom w:w="120" w:type="dxa"/>
              <w:right w:w="300" w:type="dxa"/>
            </w:tcMar>
            <w:hideMark/>
          </w:tcPr>
          <w:p w14:paraId="09941787"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lastRenderedPageBreak/>
              <w:t>REAL</w:t>
            </w:r>
          </w:p>
        </w:tc>
        <w:tc>
          <w:tcPr>
            <w:tcW w:w="0" w:type="auto"/>
            <w:shd w:val="clear" w:color="auto" w:fill="auto"/>
            <w:tcMar>
              <w:top w:w="120" w:type="dxa"/>
              <w:left w:w="300" w:type="dxa"/>
              <w:bottom w:w="120" w:type="dxa"/>
              <w:right w:w="300" w:type="dxa"/>
            </w:tcMar>
            <w:hideMark/>
          </w:tcPr>
          <w:p w14:paraId="1157430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Realignment</w:t>
            </w:r>
            <w:proofErr w:type="spellEnd"/>
          </w:p>
        </w:tc>
        <w:tc>
          <w:tcPr>
            <w:tcW w:w="0" w:type="auto"/>
            <w:shd w:val="clear" w:color="auto" w:fill="auto"/>
            <w:tcMar>
              <w:top w:w="120" w:type="dxa"/>
              <w:left w:w="300" w:type="dxa"/>
              <w:bottom w:w="120" w:type="dxa"/>
              <w:right w:w="300" w:type="dxa"/>
            </w:tcMar>
            <w:hideMark/>
          </w:tcPr>
          <w:p w14:paraId="5BB23BB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realignment of positions.</w:t>
            </w:r>
          </w:p>
        </w:tc>
      </w:tr>
      <w:tr w:rsidR="00304EE7" w:rsidRPr="007261B0" w14:paraId="4ACBEED5" w14:textId="77777777" w:rsidTr="00AD05E6">
        <w:tc>
          <w:tcPr>
            <w:tcW w:w="0" w:type="auto"/>
            <w:shd w:val="clear" w:color="auto" w:fill="auto"/>
            <w:tcMar>
              <w:top w:w="120" w:type="dxa"/>
              <w:left w:w="300" w:type="dxa"/>
              <w:bottom w:w="120" w:type="dxa"/>
              <w:right w:w="300" w:type="dxa"/>
            </w:tcMar>
            <w:hideMark/>
          </w:tcPr>
          <w:p w14:paraId="3339CFB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REDM</w:t>
            </w:r>
          </w:p>
        </w:tc>
        <w:tc>
          <w:tcPr>
            <w:tcW w:w="0" w:type="auto"/>
            <w:shd w:val="clear" w:color="auto" w:fill="auto"/>
            <w:tcMar>
              <w:top w:w="120" w:type="dxa"/>
              <w:left w:w="300" w:type="dxa"/>
              <w:bottom w:w="120" w:type="dxa"/>
              <w:right w:w="300" w:type="dxa"/>
            </w:tcMar>
            <w:hideMark/>
          </w:tcPr>
          <w:p w14:paraId="4BE34D5E"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Redemption</w:t>
            </w:r>
            <w:proofErr w:type="spellEnd"/>
            <w:r w:rsidRPr="001D0D66">
              <w:rPr>
                <w:rFonts w:eastAsia="Times New Roman" w:cs="Times New Roman"/>
                <w:color w:val="333D3E"/>
                <w:szCs w:val="22"/>
                <w:lang w:val="it-IT" w:eastAsia="it-IT"/>
              </w:rPr>
              <w:t xml:space="preserve"> (Funds)</w:t>
            </w:r>
          </w:p>
        </w:tc>
        <w:tc>
          <w:tcPr>
            <w:tcW w:w="0" w:type="auto"/>
            <w:shd w:val="clear" w:color="auto" w:fill="auto"/>
            <w:tcMar>
              <w:top w:w="120" w:type="dxa"/>
              <w:left w:w="300" w:type="dxa"/>
              <w:bottom w:w="120" w:type="dxa"/>
              <w:right w:w="300" w:type="dxa"/>
            </w:tcMar>
            <w:hideMark/>
          </w:tcPr>
          <w:p w14:paraId="6A1BE277"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redemption of Funds (Funds Industry ONLY).</w:t>
            </w:r>
          </w:p>
        </w:tc>
      </w:tr>
      <w:tr w:rsidR="00304EE7" w:rsidRPr="007261B0" w14:paraId="1681B65F" w14:textId="77777777" w:rsidTr="00AD05E6">
        <w:tc>
          <w:tcPr>
            <w:tcW w:w="0" w:type="auto"/>
            <w:shd w:val="clear" w:color="auto" w:fill="auto"/>
            <w:tcMar>
              <w:top w:w="120" w:type="dxa"/>
              <w:left w:w="300" w:type="dxa"/>
              <w:bottom w:w="120" w:type="dxa"/>
              <w:right w:w="300" w:type="dxa"/>
            </w:tcMar>
            <w:hideMark/>
          </w:tcPr>
          <w:p w14:paraId="0C96480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RELE</w:t>
            </w:r>
          </w:p>
        </w:tc>
        <w:tc>
          <w:tcPr>
            <w:tcW w:w="0" w:type="auto"/>
            <w:shd w:val="clear" w:color="auto" w:fill="auto"/>
            <w:tcMar>
              <w:top w:w="120" w:type="dxa"/>
              <w:left w:w="300" w:type="dxa"/>
              <w:bottom w:w="120" w:type="dxa"/>
              <w:right w:w="300" w:type="dxa"/>
            </w:tcMar>
            <w:hideMark/>
          </w:tcPr>
          <w:p w14:paraId="7C562EE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DR Release/</w:t>
            </w:r>
            <w:proofErr w:type="spellStart"/>
            <w:r w:rsidRPr="001D0D66">
              <w:rPr>
                <w:rFonts w:eastAsia="Times New Roman" w:cs="Times New Roman"/>
                <w:color w:val="333D3E"/>
                <w:szCs w:val="22"/>
                <w:lang w:val="it-IT" w:eastAsia="it-IT"/>
              </w:rPr>
              <w:t>Cancellation</w:t>
            </w:r>
            <w:proofErr w:type="spellEnd"/>
          </w:p>
        </w:tc>
        <w:tc>
          <w:tcPr>
            <w:tcW w:w="0" w:type="auto"/>
            <w:shd w:val="clear" w:color="auto" w:fill="auto"/>
            <w:tcMar>
              <w:top w:w="120" w:type="dxa"/>
              <w:left w:w="300" w:type="dxa"/>
              <w:bottom w:w="120" w:type="dxa"/>
              <w:right w:w="300" w:type="dxa"/>
            </w:tcMar>
            <w:hideMark/>
          </w:tcPr>
          <w:p w14:paraId="11521F2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release (into/from local) of Depository Receipt operation.</w:t>
            </w:r>
          </w:p>
        </w:tc>
      </w:tr>
      <w:tr w:rsidR="00304EE7" w:rsidRPr="007261B0" w14:paraId="7601D2D9" w14:textId="77777777" w:rsidTr="00AD05E6">
        <w:tc>
          <w:tcPr>
            <w:tcW w:w="0" w:type="auto"/>
            <w:shd w:val="clear" w:color="auto" w:fill="auto"/>
            <w:tcMar>
              <w:top w:w="120" w:type="dxa"/>
              <w:left w:w="300" w:type="dxa"/>
              <w:bottom w:w="120" w:type="dxa"/>
              <w:right w:w="300" w:type="dxa"/>
            </w:tcMar>
            <w:hideMark/>
          </w:tcPr>
          <w:p w14:paraId="093E0B8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REPU</w:t>
            </w:r>
          </w:p>
        </w:tc>
        <w:tc>
          <w:tcPr>
            <w:tcW w:w="0" w:type="auto"/>
            <w:shd w:val="clear" w:color="auto" w:fill="auto"/>
            <w:tcMar>
              <w:top w:w="120" w:type="dxa"/>
              <w:left w:w="300" w:type="dxa"/>
              <w:bottom w:w="120" w:type="dxa"/>
              <w:right w:w="300" w:type="dxa"/>
            </w:tcMar>
            <w:hideMark/>
          </w:tcPr>
          <w:p w14:paraId="2C4C98DA"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Repo</w:t>
            </w:r>
          </w:p>
        </w:tc>
        <w:tc>
          <w:tcPr>
            <w:tcW w:w="0" w:type="auto"/>
            <w:shd w:val="clear" w:color="auto" w:fill="auto"/>
            <w:tcMar>
              <w:top w:w="120" w:type="dxa"/>
              <w:left w:w="300" w:type="dxa"/>
              <w:bottom w:w="120" w:type="dxa"/>
              <w:right w:w="300" w:type="dxa"/>
            </w:tcMar>
            <w:hideMark/>
          </w:tcPr>
          <w:p w14:paraId="1190AB2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repurchase agreement transaction.</w:t>
            </w:r>
          </w:p>
        </w:tc>
      </w:tr>
      <w:tr w:rsidR="00304EE7" w:rsidRPr="007261B0" w14:paraId="755FEF7A" w14:textId="77777777" w:rsidTr="00AD05E6">
        <w:tc>
          <w:tcPr>
            <w:tcW w:w="0" w:type="auto"/>
            <w:shd w:val="clear" w:color="auto" w:fill="auto"/>
            <w:tcMar>
              <w:top w:w="120" w:type="dxa"/>
              <w:left w:w="300" w:type="dxa"/>
              <w:bottom w:w="120" w:type="dxa"/>
              <w:right w:w="300" w:type="dxa"/>
            </w:tcMar>
            <w:hideMark/>
          </w:tcPr>
          <w:p w14:paraId="3F02C212"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VPO</w:t>
            </w:r>
          </w:p>
        </w:tc>
        <w:tc>
          <w:tcPr>
            <w:tcW w:w="0" w:type="auto"/>
            <w:shd w:val="clear" w:color="auto" w:fill="auto"/>
            <w:tcMar>
              <w:top w:w="120" w:type="dxa"/>
              <w:left w:w="300" w:type="dxa"/>
              <w:bottom w:w="120" w:type="dxa"/>
              <w:right w:w="300" w:type="dxa"/>
            </w:tcMar>
            <w:hideMark/>
          </w:tcPr>
          <w:p w14:paraId="67DC147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Reverse Repo</w:t>
            </w:r>
          </w:p>
        </w:tc>
        <w:tc>
          <w:tcPr>
            <w:tcW w:w="0" w:type="auto"/>
            <w:shd w:val="clear" w:color="auto" w:fill="auto"/>
            <w:tcMar>
              <w:top w:w="120" w:type="dxa"/>
              <w:left w:w="300" w:type="dxa"/>
              <w:bottom w:w="120" w:type="dxa"/>
              <w:right w:w="300" w:type="dxa"/>
            </w:tcMar>
            <w:hideMark/>
          </w:tcPr>
          <w:p w14:paraId="0109F09A"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reverse repurchase agreement transaction.</w:t>
            </w:r>
          </w:p>
        </w:tc>
      </w:tr>
      <w:tr w:rsidR="00304EE7" w:rsidRPr="007261B0" w14:paraId="6B7F27C9" w14:textId="77777777" w:rsidTr="00AD05E6">
        <w:tc>
          <w:tcPr>
            <w:tcW w:w="0" w:type="auto"/>
            <w:shd w:val="clear" w:color="auto" w:fill="auto"/>
            <w:tcMar>
              <w:top w:w="120" w:type="dxa"/>
              <w:left w:w="300" w:type="dxa"/>
              <w:bottom w:w="120" w:type="dxa"/>
              <w:right w:w="300" w:type="dxa"/>
            </w:tcMar>
            <w:hideMark/>
          </w:tcPr>
          <w:p w14:paraId="7C73099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SBBK</w:t>
            </w:r>
          </w:p>
        </w:tc>
        <w:tc>
          <w:tcPr>
            <w:tcW w:w="0" w:type="auto"/>
            <w:shd w:val="clear" w:color="auto" w:fill="auto"/>
            <w:tcMar>
              <w:top w:w="120" w:type="dxa"/>
              <w:left w:w="300" w:type="dxa"/>
              <w:bottom w:w="120" w:type="dxa"/>
              <w:right w:w="300" w:type="dxa"/>
            </w:tcMar>
            <w:hideMark/>
          </w:tcPr>
          <w:p w14:paraId="6444BFC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Sell Buy Back</w:t>
            </w:r>
          </w:p>
        </w:tc>
        <w:tc>
          <w:tcPr>
            <w:tcW w:w="0" w:type="auto"/>
            <w:shd w:val="clear" w:color="auto" w:fill="auto"/>
            <w:tcMar>
              <w:top w:w="120" w:type="dxa"/>
              <w:left w:w="300" w:type="dxa"/>
              <w:bottom w:w="120" w:type="dxa"/>
              <w:right w:w="300" w:type="dxa"/>
            </w:tcMar>
            <w:hideMark/>
          </w:tcPr>
          <w:p w14:paraId="3C7EE76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sell buy back transaction.</w:t>
            </w:r>
          </w:p>
        </w:tc>
      </w:tr>
      <w:tr w:rsidR="00304EE7" w:rsidRPr="007261B0" w14:paraId="7B659D5B" w14:textId="77777777" w:rsidTr="00AD05E6">
        <w:tc>
          <w:tcPr>
            <w:tcW w:w="0" w:type="auto"/>
            <w:shd w:val="clear" w:color="auto" w:fill="auto"/>
            <w:tcMar>
              <w:top w:w="120" w:type="dxa"/>
              <w:left w:w="300" w:type="dxa"/>
              <w:bottom w:w="120" w:type="dxa"/>
              <w:right w:w="300" w:type="dxa"/>
            </w:tcMar>
            <w:hideMark/>
          </w:tcPr>
          <w:p w14:paraId="08264907"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SBRE</w:t>
            </w:r>
          </w:p>
        </w:tc>
        <w:tc>
          <w:tcPr>
            <w:tcW w:w="0" w:type="auto"/>
            <w:shd w:val="clear" w:color="auto" w:fill="auto"/>
            <w:tcMar>
              <w:top w:w="120" w:type="dxa"/>
              <w:left w:w="300" w:type="dxa"/>
              <w:bottom w:w="120" w:type="dxa"/>
              <w:right w:w="300" w:type="dxa"/>
            </w:tcMar>
            <w:hideMark/>
          </w:tcPr>
          <w:p w14:paraId="3FCC408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Borrowing</w:t>
            </w:r>
            <w:proofErr w:type="spellEnd"/>
            <w:r w:rsidRPr="001D0D66">
              <w:rPr>
                <w:rFonts w:eastAsia="Times New Roman" w:cs="Times New Roman"/>
                <w:color w:val="333D3E"/>
                <w:szCs w:val="22"/>
                <w:lang w:val="it-IT" w:eastAsia="it-IT"/>
              </w:rPr>
              <w:t xml:space="preserve"> </w:t>
            </w:r>
            <w:proofErr w:type="spellStart"/>
            <w:r w:rsidRPr="001D0D66">
              <w:rPr>
                <w:rFonts w:eastAsia="Times New Roman" w:cs="Times New Roman"/>
                <w:color w:val="333D3E"/>
                <w:szCs w:val="22"/>
                <w:lang w:val="it-IT" w:eastAsia="it-IT"/>
              </w:rPr>
              <w:t>Reallocation</w:t>
            </w:r>
            <w:proofErr w:type="spellEnd"/>
          </w:p>
        </w:tc>
        <w:tc>
          <w:tcPr>
            <w:tcW w:w="0" w:type="auto"/>
            <w:shd w:val="clear" w:color="auto" w:fill="auto"/>
            <w:tcMar>
              <w:top w:w="120" w:type="dxa"/>
              <w:left w:w="300" w:type="dxa"/>
              <w:bottom w:w="120" w:type="dxa"/>
              <w:right w:w="300" w:type="dxa"/>
            </w:tcMar>
            <w:hideMark/>
          </w:tcPr>
          <w:p w14:paraId="19D42A4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Internal reallocation of a borrowed holding from one safekeeping account to another.</w:t>
            </w:r>
          </w:p>
        </w:tc>
      </w:tr>
      <w:tr w:rsidR="00304EE7" w:rsidRPr="007261B0" w14:paraId="5D95CC9D" w14:textId="77777777" w:rsidTr="00AD05E6">
        <w:tc>
          <w:tcPr>
            <w:tcW w:w="0" w:type="auto"/>
            <w:shd w:val="clear" w:color="auto" w:fill="auto"/>
            <w:tcMar>
              <w:top w:w="120" w:type="dxa"/>
              <w:left w:w="300" w:type="dxa"/>
              <w:bottom w:w="120" w:type="dxa"/>
              <w:right w:w="300" w:type="dxa"/>
            </w:tcMar>
            <w:hideMark/>
          </w:tcPr>
          <w:p w14:paraId="0452B08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SECB</w:t>
            </w:r>
          </w:p>
        </w:tc>
        <w:tc>
          <w:tcPr>
            <w:tcW w:w="0" w:type="auto"/>
            <w:shd w:val="clear" w:color="auto" w:fill="auto"/>
            <w:tcMar>
              <w:top w:w="120" w:type="dxa"/>
              <w:left w:w="300" w:type="dxa"/>
              <w:bottom w:w="120" w:type="dxa"/>
              <w:right w:w="300" w:type="dxa"/>
            </w:tcMar>
            <w:hideMark/>
          </w:tcPr>
          <w:p w14:paraId="734B30A3"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 xml:space="preserve">Securities </w:t>
            </w:r>
            <w:proofErr w:type="spellStart"/>
            <w:r w:rsidRPr="001D0D66">
              <w:rPr>
                <w:rFonts w:eastAsia="Times New Roman" w:cs="Times New Roman"/>
                <w:color w:val="333D3E"/>
                <w:szCs w:val="22"/>
                <w:lang w:val="it-IT" w:eastAsia="it-IT"/>
              </w:rPr>
              <w:t>Borrowing</w:t>
            </w:r>
            <w:proofErr w:type="spellEnd"/>
          </w:p>
        </w:tc>
        <w:tc>
          <w:tcPr>
            <w:tcW w:w="0" w:type="auto"/>
            <w:shd w:val="clear" w:color="auto" w:fill="auto"/>
            <w:tcMar>
              <w:top w:w="120" w:type="dxa"/>
              <w:left w:w="300" w:type="dxa"/>
              <w:bottom w:w="120" w:type="dxa"/>
              <w:right w:w="300" w:type="dxa"/>
            </w:tcMar>
            <w:hideMark/>
          </w:tcPr>
          <w:p w14:paraId="2695D84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 xml:space="preserve">Relates to a </w:t>
            </w:r>
            <w:proofErr w:type="gramStart"/>
            <w:r w:rsidRPr="001D0D66">
              <w:rPr>
                <w:rFonts w:eastAsia="Times New Roman" w:cs="Times New Roman"/>
                <w:color w:val="333D3E"/>
                <w:szCs w:val="22"/>
                <w:lang w:val="en-US" w:eastAsia="it-IT"/>
              </w:rPr>
              <w:t>securities</w:t>
            </w:r>
            <w:proofErr w:type="gramEnd"/>
            <w:r w:rsidRPr="001D0D66">
              <w:rPr>
                <w:rFonts w:eastAsia="Times New Roman" w:cs="Times New Roman"/>
                <w:color w:val="333D3E"/>
                <w:szCs w:val="22"/>
                <w:lang w:val="en-US" w:eastAsia="it-IT"/>
              </w:rPr>
              <w:t xml:space="preserve"> borrowing operation.</w:t>
            </w:r>
          </w:p>
        </w:tc>
      </w:tr>
      <w:tr w:rsidR="00304EE7" w:rsidRPr="007261B0" w14:paraId="58202B41" w14:textId="77777777" w:rsidTr="00AD05E6">
        <w:tc>
          <w:tcPr>
            <w:tcW w:w="0" w:type="auto"/>
            <w:shd w:val="clear" w:color="auto" w:fill="auto"/>
            <w:tcMar>
              <w:top w:w="120" w:type="dxa"/>
              <w:left w:w="300" w:type="dxa"/>
              <w:bottom w:w="120" w:type="dxa"/>
              <w:right w:w="300" w:type="dxa"/>
            </w:tcMar>
            <w:hideMark/>
          </w:tcPr>
          <w:p w14:paraId="56D79A2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SECL</w:t>
            </w:r>
          </w:p>
        </w:tc>
        <w:tc>
          <w:tcPr>
            <w:tcW w:w="0" w:type="auto"/>
            <w:shd w:val="clear" w:color="auto" w:fill="auto"/>
            <w:tcMar>
              <w:top w:w="120" w:type="dxa"/>
              <w:left w:w="300" w:type="dxa"/>
              <w:bottom w:w="120" w:type="dxa"/>
              <w:right w:w="300" w:type="dxa"/>
            </w:tcMar>
            <w:hideMark/>
          </w:tcPr>
          <w:p w14:paraId="28425C7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Securities Lending</w:t>
            </w:r>
          </w:p>
        </w:tc>
        <w:tc>
          <w:tcPr>
            <w:tcW w:w="0" w:type="auto"/>
            <w:shd w:val="clear" w:color="auto" w:fill="auto"/>
            <w:tcMar>
              <w:top w:w="120" w:type="dxa"/>
              <w:left w:w="300" w:type="dxa"/>
              <w:bottom w:w="120" w:type="dxa"/>
              <w:right w:w="300" w:type="dxa"/>
            </w:tcMar>
            <w:hideMark/>
          </w:tcPr>
          <w:p w14:paraId="14E2B40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securities lending operation.</w:t>
            </w:r>
          </w:p>
        </w:tc>
      </w:tr>
      <w:tr w:rsidR="00304EE7" w:rsidRPr="007261B0" w14:paraId="6E17A8B6" w14:textId="77777777" w:rsidTr="00AD05E6">
        <w:tc>
          <w:tcPr>
            <w:tcW w:w="0" w:type="auto"/>
            <w:shd w:val="clear" w:color="auto" w:fill="auto"/>
            <w:tcMar>
              <w:top w:w="120" w:type="dxa"/>
              <w:left w:w="300" w:type="dxa"/>
              <w:bottom w:w="120" w:type="dxa"/>
              <w:right w:w="300" w:type="dxa"/>
            </w:tcMar>
            <w:hideMark/>
          </w:tcPr>
          <w:p w14:paraId="652852D9"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SLRE</w:t>
            </w:r>
          </w:p>
        </w:tc>
        <w:tc>
          <w:tcPr>
            <w:tcW w:w="0" w:type="auto"/>
            <w:shd w:val="clear" w:color="auto" w:fill="auto"/>
            <w:tcMar>
              <w:top w:w="120" w:type="dxa"/>
              <w:left w:w="300" w:type="dxa"/>
              <w:bottom w:w="120" w:type="dxa"/>
              <w:right w:w="300" w:type="dxa"/>
            </w:tcMar>
            <w:hideMark/>
          </w:tcPr>
          <w:p w14:paraId="56FF40CC"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 xml:space="preserve">Lending </w:t>
            </w:r>
            <w:proofErr w:type="spellStart"/>
            <w:r w:rsidRPr="001D0D66">
              <w:rPr>
                <w:rFonts w:eastAsia="Times New Roman" w:cs="Times New Roman"/>
                <w:color w:val="333D3E"/>
                <w:szCs w:val="22"/>
                <w:lang w:val="it-IT" w:eastAsia="it-IT"/>
              </w:rPr>
              <w:t>Reallocation</w:t>
            </w:r>
            <w:proofErr w:type="spellEnd"/>
          </w:p>
        </w:tc>
        <w:tc>
          <w:tcPr>
            <w:tcW w:w="0" w:type="auto"/>
            <w:shd w:val="clear" w:color="auto" w:fill="auto"/>
            <w:tcMar>
              <w:top w:w="120" w:type="dxa"/>
              <w:left w:w="300" w:type="dxa"/>
              <w:bottom w:w="120" w:type="dxa"/>
              <w:right w:w="300" w:type="dxa"/>
            </w:tcMar>
            <w:hideMark/>
          </w:tcPr>
          <w:p w14:paraId="1965B684"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Internal reallocation of a holding on loan from one safekeeping account to another.</w:t>
            </w:r>
          </w:p>
        </w:tc>
      </w:tr>
      <w:tr w:rsidR="00304EE7" w:rsidRPr="007261B0" w14:paraId="59CC468F" w14:textId="77777777" w:rsidTr="00AD05E6">
        <w:tc>
          <w:tcPr>
            <w:tcW w:w="0" w:type="auto"/>
            <w:shd w:val="clear" w:color="auto" w:fill="auto"/>
            <w:tcMar>
              <w:top w:w="120" w:type="dxa"/>
              <w:left w:w="300" w:type="dxa"/>
              <w:bottom w:w="120" w:type="dxa"/>
              <w:right w:w="300" w:type="dxa"/>
            </w:tcMar>
            <w:hideMark/>
          </w:tcPr>
          <w:p w14:paraId="1CB0484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lastRenderedPageBreak/>
              <w:t>SUBS</w:t>
            </w:r>
          </w:p>
        </w:tc>
        <w:tc>
          <w:tcPr>
            <w:tcW w:w="0" w:type="auto"/>
            <w:shd w:val="clear" w:color="auto" w:fill="auto"/>
            <w:tcMar>
              <w:top w:w="120" w:type="dxa"/>
              <w:left w:w="300" w:type="dxa"/>
              <w:bottom w:w="120" w:type="dxa"/>
              <w:right w:w="300" w:type="dxa"/>
            </w:tcMar>
            <w:hideMark/>
          </w:tcPr>
          <w:p w14:paraId="31D09C16"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Subscription (Funds)</w:t>
            </w:r>
          </w:p>
        </w:tc>
        <w:tc>
          <w:tcPr>
            <w:tcW w:w="0" w:type="auto"/>
            <w:shd w:val="clear" w:color="auto" w:fill="auto"/>
            <w:tcMar>
              <w:top w:w="120" w:type="dxa"/>
              <w:left w:w="300" w:type="dxa"/>
              <w:bottom w:w="120" w:type="dxa"/>
              <w:right w:w="300" w:type="dxa"/>
            </w:tcMar>
            <w:hideMark/>
          </w:tcPr>
          <w:p w14:paraId="2B00D3D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subscription to funds (Funds Industry ONLY).</w:t>
            </w:r>
          </w:p>
        </w:tc>
      </w:tr>
      <w:tr w:rsidR="00304EE7" w:rsidRPr="007261B0" w14:paraId="1DC5B1AC" w14:textId="77777777" w:rsidTr="00AD05E6">
        <w:tc>
          <w:tcPr>
            <w:tcW w:w="0" w:type="auto"/>
            <w:shd w:val="clear" w:color="auto" w:fill="auto"/>
            <w:tcMar>
              <w:top w:w="120" w:type="dxa"/>
              <w:left w:w="300" w:type="dxa"/>
              <w:bottom w:w="120" w:type="dxa"/>
              <w:right w:w="300" w:type="dxa"/>
            </w:tcMar>
            <w:hideMark/>
          </w:tcPr>
          <w:p w14:paraId="0CBBB92A"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SWIF</w:t>
            </w:r>
          </w:p>
        </w:tc>
        <w:tc>
          <w:tcPr>
            <w:tcW w:w="0" w:type="auto"/>
            <w:shd w:val="clear" w:color="auto" w:fill="auto"/>
            <w:tcMar>
              <w:top w:w="120" w:type="dxa"/>
              <w:left w:w="300" w:type="dxa"/>
              <w:bottom w:w="120" w:type="dxa"/>
              <w:right w:w="300" w:type="dxa"/>
            </w:tcMar>
            <w:hideMark/>
          </w:tcPr>
          <w:p w14:paraId="18BB323D"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Switch From</w:t>
            </w:r>
          </w:p>
        </w:tc>
        <w:tc>
          <w:tcPr>
            <w:tcW w:w="0" w:type="auto"/>
            <w:shd w:val="clear" w:color="auto" w:fill="auto"/>
            <w:tcMar>
              <w:top w:w="120" w:type="dxa"/>
              <w:left w:w="300" w:type="dxa"/>
              <w:bottom w:w="120" w:type="dxa"/>
              <w:right w:w="300" w:type="dxa"/>
            </w:tcMar>
            <w:hideMark/>
          </w:tcPr>
          <w:p w14:paraId="6083078E"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Transaction is a change of an investment from one sub-fund to another sub-fund (redemption-leg).</w:t>
            </w:r>
          </w:p>
        </w:tc>
      </w:tr>
      <w:tr w:rsidR="00304EE7" w:rsidRPr="007261B0" w14:paraId="4330D284" w14:textId="77777777" w:rsidTr="00AD05E6">
        <w:tc>
          <w:tcPr>
            <w:tcW w:w="0" w:type="auto"/>
            <w:shd w:val="clear" w:color="auto" w:fill="auto"/>
            <w:tcMar>
              <w:top w:w="120" w:type="dxa"/>
              <w:left w:w="300" w:type="dxa"/>
              <w:bottom w:w="120" w:type="dxa"/>
              <w:right w:w="300" w:type="dxa"/>
            </w:tcMar>
            <w:hideMark/>
          </w:tcPr>
          <w:p w14:paraId="443DDA37"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SWIT</w:t>
            </w:r>
          </w:p>
        </w:tc>
        <w:tc>
          <w:tcPr>
            <w:tcW w:w="0" w:type="auto"/>
            <w:shd w:val="clear" w:color="auto" w:fill="auto"/>
            <w:tcMar>
              <w:top w:w="120" w:type="dxa"/>
              <w:left w:w="300" w:type="dxa"/>
              <w:bottom w:w="120" w:type="dxa"/>
              <w:right w:w="300" w:type="dxa"/>
            </w:tcMar>
            <w:hideMark/>
          </w:tcPr>
          <w:p w14:paraId="13E95BCE"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Switch To</w:t>
            </w:r>
          </w:p>
        </w:tc>
        <w:tc>
          <w:tcPr>
            <w:tcW w:w="0" w:type="auto"/>
            <w:shd w:val="clear" w:color="auto" w:fill="auto"/>
            <w:tcMar>
              <w:top w:w="120" w:type="dxa"/>
              <w:left w:w="300" w:type="dxa"/>
              <w:bottom w:w="120" w:type="dxa"/>
              <w:right w:w="300" w:type="dxa"/>
            </w:tcMar>
            <w:hideMark/>
          </w:tcPr>
          <w:p w14:paraId="7A73AFEB"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Transaction is a change of an investment from one sub-fund to another sub-fund (subscription-leg).</w:t>
            </w:r>
          </w:p>
        </w:tc>
      </w:tr>
      <w:tr w:rsidR="00304EE7" w:rsidRPr="007261B0" w14:paraId="42705307" w14:textId="77777777" w:rsidTr="00AD05E6">
        <w:tc>
          <w:tcPr>
            <w:tcW w:w="0" w:type="auto"/>
            <w:shd w:val="clear" w:color="auto" w:fill="auto"/>
            <w:tcMar>
              <w:top w:w="120" w:type="dxa"/>
              <w:left w:w="300" w:type="dxa"/>
              <w:bottom w:w="120" w:type="dxa"/>
              <w:right w:w="300" w:type="dxa"/>
            </w:tcMar>
            <w:hideMark/>
          </w:tcPr>
          <w:p w14:paraId="4308ED71"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SYND</w:t>
            </w:r>
          </w:p>
        </w:tc>
        <w:tc>
          <w:tcPr>
            <w:tcW w:w="0" w:type="auto"/>
            <w:shd w:val="clear" w:color="auto" w:fill="auto"/>
            <w:tcMar>
              <w:top w:w="120" w:type="dxa"/>
              <w:left w:w="300" w:type="dxa"/>
              <w:bottom w:w="120" w:type="dxa"/>
              <w:right w:w="300" w:type="dxa"/>
            </w:tcMar>
            <w:hideMark/>
          </w:tcPr>
          <w:p w14:paraId="4889D993"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Syndicate</w:t>
            </w:r>
            <w:proofErr w:type="spellEnd"/>
            <w:r w:rsidRPr="001D0D66">
              <w:rPr>
                <w:rFonts w:eastAsia="Times New Roman" w:cs="Times New Roman"/>
                <w:color w:val="333D3E"/>
                <w:szCs w:val="22"/>
                <w:lang w:val="it-IT" w:eastAsia="it-IT"/>
              </w:rPr>
              <w:t xml:space="preserve"> of Underwriters</w:t>
            </w:r>
          </w:p>
        </w:tc>
        <w:tc>
          <w:tcPr>
            <w:tcW w:w="0" w:type="auto"/>
            <w:shd w:val="clear" w:color="auto" w:fill="auto"/>
            <w:tcMar>
              <w:top w:w="120" w:type="dxa"/>
              <w:left w:w="300" w:type="dxa"/>
              <w:bottom w:w="120" w:type="dxa"/>
              <w:right w:w="300" w:type="dxa"/>
            </w:tcMar>
            <w:hideMark/>
          </w:tcPr>
          <w:p w14:paraId="6B6CA7DA"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the issue of financial instruments through a syndicate of underwriters and a Lead Manager.</w:t>
            </w:r>
          </w:p>
        </w:tc>
      </w:tr>
      <w:tr w:rsidR="00304EE7" w:rsidRPr="007261B0" w14:paraId="7CE0A6C5" w14:textId="77777777" w:rsidTr="00AD05E6">
        <w:tc>
          <w:tcPr>
            <w:tcW w:w="0" w:type="auto"/>
            <w:shd w:val="clear" w:color="auto" w:fill="auto"/>
            <w:tcMar>
              <w:top w:w="120" w:type="dxa"/>
              <w:left w:w="300" w:type="dxa"/>
              <w:bottom w:w="120" w:type="dxa"/>
              <w:right w:w="300" w:type="dxa"/>
            </w:tcMar>
            <w:hideMark/>
          </w:tcPr>
          <w:p w14:paraId="6A2DFEB2"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TRPO</w:t>
            </w:r>
          </w:p>
        </w:tc>
        <w:tc>
          <w:tcPr>
            <w:tcW w:w="0" w:type="auto"/>
            <w:shd w:val="clear" w:color="auto" w:fill="auto"/>
            <w:tcMar>
              <w:top w:w="120" w:type="dxa"/>
              <w:left w:w="300" w:type="dxa"/>
              <w:bottom w:w="120" w:type="dxa"/>
              <w:right w:w="300" w:type="dxa"/>
            </w:tcMar>
            <w:hideMark/>
          </w:tcPr>
          <w:p w14:paraId="0190D3A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Triparty</w:t>
            </w:r>
            <w:proofErr w:type="spellEnd"/>
            <w:r w:rsidRPr="001D0D66">
              <w:rPr>
                <w:rFonts w:eastAsia="Times New Roman" w:cs="Times New Roman"/>
                <w:color w:val="333D3E"/>
                <w:szCs w:val="22"/>
                <w:lang w:val="it-IT" w:eastAsia="it-IT"/>
              </w:rPr>
              <w:t xml:space="preserve"> Repo</w:t>
            </w:r>
          </w:p>
        </w:tc>
        <w:tc>
          <w:tcPr>
            <w:tcW w:w="0" w:type="auto"/>
            <w:shd w:val="clear" w:color="auto" w:fill="auto"/>
            <w:tcMar>
              <w:top w:w="120" w:type="dxa"/>
              <w:left w:w="300" w:type="dxa"/>
              <w:bottom w:w="120" w:type="dxa"/>
              <w:right w:w="300" w:type="dxa"/>
            </w:tcMar>
            <w:hideMark/>
          </w:tcPr>
          <w:p w14:paraId="2C13564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triparty repurchase agreement.</w:t>
            </w:r>
          </w:p>
        </w:tc>
      </w:tr>
      <w:tr w:rsidR="00304EE7" w:rsidRPr="007261B0" w14:paraId="1083D57B" w14:textId="77777777" w:rsidTr="00AD05E6">
        <w:tc>
          <w:tcPr>
            <w:tcW w:w="0" w:type="auto"/>
            <w:shd w:val="clear" w:color="auto" w:fill="auto"/>
            <w:tcMar>
              <w:top w:w="120" w:type="dxa"/>
              <w:left w:w="300" w:type="dxa"/>
              <w:bottom w:w="120" w:type="dxa"/>
              <w:right w:w="300" w:type="dxa"/>
            </w:tcMar>
            <w:hideMark/>
          </w:tcPr>
          <w:p w14:paraId="516AD0E2"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r w:rsidRPr="001D0D66">
              <w:rPr>
                <w:rFonts w:eastAsia="Times New Roman" w:cs="Times New Roman"/>
                <w:color w:val="333D3E"/>
                <w:szCs w:val="22"/>
                <w:lang w:val="it-IT" w:eastAsia="it-IT"/>
              </w:rPr>
              <w:t>TRVO</w:t>
            </w:r>
          </w:p>
        </w:tc>
        <w:tc>
          <w:tcPr>
            <w:tcW w:w="0" w:type="auto"/>
            <w:shd w:val="clear" w:color="auto" w:fill="auto"/>
            <w:tcMar>
              <w:top w:w="120" w:type="dxa"/>
              <w:left w:w="300" w:type="dxa"/>
              <w:bottom w:w="120" w:type="dxa"/>
              <w:right w:w="300" w:type="dxa"/>
            </w:tcMar>
            <w:hideMark/>
          </w:tcPr>
          <w:p w14:paraId="09DC5355"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it-IT" w:eastAsia="it-IT"/>
              </w:rPr>
            </w:pPr>
            <w:proofErr w:type="spellStart"/>
            <w:r w:rsidRPr="001D0D66">
              <w:rPr>
                <w:rFonts w:eastAsia="Times New Roman" w:cs="Times New Roman"/>
                <w:color w:val="333D3E"/>
                <w:szCs w:val="22"/>
                <w:lang w:val="it-IT" w:eastAsia="it-IT"/>
              </w:rPr>
              <w:t>Triparty</w:t>
            </w:r>
            <w:proofErr w:type="spellEnd"/>
            <w:r w:rsidRPr="001D0D66">
              <w:rPr>
                <w:rFonts w:eastAsia="Times New Roman" w:cs="Times New Roman"/>
                <w:color w:val="333D3E"/>
                <w:szCs w:val="22"/>
                <w:lang w:val="it-IT" w:eastAsia="it-IT"/>
              </w:rPr>
              <w:t xml:space="preserve"> Reverse Repo</w:t>
            </w:r>
          </w:p>
        </w:tc>
        <w:tc>
          <w:tcPr>
            <w:tcW w:w="0" w:type="auto"/>
            <w:shd w:val="clear" w:color="auto" w:fill="auto"/>
            <w:tcMar>
              <w:top w:w="120" w:type="dxa"/>
              <w:left w:w="300" w:type="dxa"/>
              <w:bottom w:w="120" w:type="dxa"/>
              <w:right w:w="300" w:type="dxa"/>
            </w:tcMar>
            <w:hideMark/>
          </w:tcPr>
          <w:p w14:paraId="6475A690" w14:textId="77777777" w:rsidR="00304EE7" w:rsidRPr="001D0D66" w:rsidRDefault="00304EE7" w:rsidP="00AD05E6">
            <w:pPr>
              <w:shd w:val="clear" w:color="auto" w:fill="FFFFFF"/>
              <w:spacing w:before="100" w:beforeAutospacing="1" w:after="100" w:afterAutospacing="1" w:line="240" w:lineRule="auto"/>
              <w:ind w:left="360"/>
              <w:jc w:val="left"/>
              <w:rPr>
                <w:rFonts w:eastAsia="Times New Roman" w:cs="Times New Roman"/>
                <w:color w:val="333D3E"/>
                <w:szCs w:val="22"/>
                <w:lang w:val="en-US" w:eastAsia="it-IT"/>
              </w:rPr>
            </w:pPr>
            <w:r w:rsidRPr="001D0D66">
              <w:rPr>
                <w:rFonts w:eastAsia="Times New Roman" w:cs="Times New Roman"/>
                <w:color w:val="333D3E"/>
                <w:szCs w:val="22"/>
                <w:lang w:val="en-US" w:eastAsia="it-IT"/>
              </w:rPr>
              <w:t>Relates to a triparty reverse repurchase agreement.</w:t>
            </w:r>
          </w:p>
        </w:tc>
      </w:tr>
    </w:tbl>
    <w:p w14:paraId="2EC5FCA2" w14:textId="73F0DF56" w:rsidR="00DB2FD6" w:rsidRDefault="00DB2FD6" w:rsidP="00DB2FD6"/>
    <w:permEnd w:id="376904252"/>
    <w:p w14:paraId="7C79ACB0" w14:textId="1492B8A3" w:rsidR="00DB2FD6" w:rsidRDefault="00DB2FD6" w:rsidP="00DB2FD6">
      <w:r>
        <w:t>&lt;ESMA_QUESTION</w:t>
      </w:r>
      <w:r w:rsidR="00C62B79">
        <w:t>_SETD_</w:t>
      </w:r>
      <w:r>
        <w:t>15&gt;</w:t>
      </w: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D258E" w14:textId="77777777" w:rsidR="005534E2" w:rsidRDefault="005534E2" w:rsidP="007E7997">
      <w:pPr>
        <w:spacing w:line="240" w:lineRule="auto"/>
      </w:pPr>
      <w:r>
        <w:separator/>
      </w:r>
    </w:p>
  </w:endnote>
  <w:endnote w:type="continuationSeparator" w:id="0">
    <w:p w14:paraId="5E5662DF" w14:textId="77777777" w:rsidR="005534E2" w:rsidRDefault="005534E2" w:rsidP="007E7997">
      <w:pPr>
        <w:spacing w:line="240" w:lineRule="auto"/>
      </w:pPr>
      <w:r>
        <w:continuationSeparator/>
      </w:r>
    </w:p>
  </w:endnote>
  <w:endnote w:type="continuationNotice" w:id="1">
    <w:p w14:paraId="53B08FC8" w14:textId="77777777" w:rsidR="005534E2" w:rsidRDefault="00553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FB6A" w14:textId="77777777" w:rsidR="005534E2" w:rsidRDefault="005534E2" w:rsidP="007E7997">
      <w:pPr>
        <w:spacing w:line="240" w:lineRule="auto"/>
      </w:pPr>
      <w:r>
        <w:separator/>
      </w:r>
    </w:p>
  </w:footnote>
  <w:footnote w:type="continuationSeparator" w:id="0">
    <w:p w14:paraId="596B8731" w14:textId="77777777" w:rsidR="005534E2" w:rsidRDefault="005534E2" w:rsidP="007E7997">
      <w:pPr>
        <w:spacing w:line="240" w:lineRule="auto"/>
      </w:pPr>
      <w:r>
        <w:continuationSeparator/>
      </w:r>
    </w:p>
  </w:footnote>
  <w:footnote w:type="continuationNotice" w:id="1">
    <w:p w14:paraId="42718A65" w14:textId="77777777" w:rsidR="005534E2" w:rsidRDefault="00553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7BF9D54" w:rsidR="00D77369" w:rsidRPr="00DB2FD6" w:rsidRDefault="00D77369" w:rsidP="008858FE">
    <w:pPr>
      <w:pStyle w:val="Intestazion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443EE"/>
    <w:multiLevelType w:val="hybridMultilevel"/>
    <w:tmpl w:val="888E4B42"/>
    <w:lvl w:ilvl="0" w:tplc="1B420E00">
      <w:numFmt w:val="bullet"/>
      <w:lvlText w:val="-"/>
      <w:lvlJc w:val="left"/>
      <w:pPr>
        <w:ind w:left="720" w:hanging="360"/>
      </w:pPr>
      <w:rPr>
        <w:rFonts w:ascii="Aptos" w:eastAsiaTheme="minorEastAsia"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04165969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5F8B"/>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4EE7"/>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4E2"/>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964"/>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097"/>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3B18"/>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B67"/>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09E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051"/>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2988"/>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2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193D"/>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FD6"/>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stosegnaposto"/>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34145D"/>
    <w:rsid w:val="0040032B"/>
    <w:rsid w:val="004E4CF9"/>
    <w:rsid w:val="005D66AB"/>
    <w:rsid w:val="006D3543"/>
    <w:rsid w:val="00813189"/>
    <w:rsid w:val="008222A0"/>
    <w:rsid w:val="00836D47"/>
    <w:rsid w:val="00993537"/>
    <w:rsid w:val="009B6B9C"/>
    <w:rsid w:val="00B22006"/>
    <w:rsid w:val="00B46CAE"/>
    <w:rsid w:val="00D40353"/>
    <w:rsid w:val="00DC3796"/>
    <w:rsid w:val="00DC4211"/>
    <w:rsid w:val="00F81463"/>
    <w:rsid w:val="00FB19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40353"/>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ESMA74-2119945925-2037</_dlc_DocId>
    <_dlc_DocIdUrl xmlns="d0fb0f98-34f9-4d57-9559-eb8efd17aa5e">
      <Url>https://securitiesandmarketsauth.sharepoint.com/sites/sherpa-trdu/_layouts/15/DocIdRedir.aspx?ID=ESMA74-2119945925-2037</Url>
      <Description>ESMA74-2119945925-2037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34FAE009-7B8A-4702-96E1-EB10B74C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3961</Words>
  <Characters>22581</Characters>
  <Application>Microsoft Office Word</Application>
  <DocSecurity>8</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Michela Costa</cp:lastModifiedBy>
  <cp:revision>44</cp:revision>
  <cp:lastPrinted>2023-09-09T09:53:00Z</cp:lastPrinted>
  <dcterms:created xsi:type="dcterms:W3CDTF">2024-06-19T21:32:00Z</dcterms:created>
  <dcterms:modified xsi:type="dcterms:W3CDTF">2024-09-09T10:19:00Z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81db5172-c043-40ed-a78d-a0fb05a5f055</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