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110ECC8C"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9942"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8E6F8A" w:rsidRDefault="002533FC" w:rsidP="00EC6066">
          <w:pPr>
            <w:pStyle w:val="ListParagraph"/>
            <w:rPr>
              <w:lang w:val="en-GB"/>
            </w:rPr>
          </w:pPr>
          <w:r w:rsidRPr="008E6F8A">
            <w:rPr>
              <w:lang w:val="en-GB"/>
            </w:rPr>
            <w:t>respond to the question stated;</w:t>
          </w:r>
        </w:p>
        <w:p w14:paraId="72FD40F6" w14:textId="77777777" w:rsidR="002533FC" w:rsidRPr="008E6F8A" w:rsidRDefault="002533FC" w:rsidP="00EC6066">
          <w:pPr>
            <w:pStyle w:val="ListParagraph"/>
            <w:rPr>
              <w:lang w:val="en-GB"/>
            </w:rPr>
          </w:pPr>
          <w:r w:rsidRPr="008E6F8A">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8E6F8A" w:rsidRDefault="002533FC" w:rsidP="00EC6066">
          <w:pPr>
            <w:pStyle w:val="ListParagraph"/>
            <w:rPr>
              <w:lang w:val="en-GB"/>
            </w:rPr>
          </w:pPr>
          <w:r w:rsidRPr="008E6F8A">
            <w:rPr>
              <w:lang w:val="en-GB"/>
            </w:rPr>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9" w:history="1">
            <w:r w:rsidR="00281B6A" w:rsidRPr="00510C4A">
              <w:rPr>
                <w:rStyle w:val="Hyperlink"/>
              </w:rPr>
              <w:t>https://www.esma.europa.eu/press-</w:t>
            </w:r>
            <w:r w:rsidR="00281B6A" w:rsidRPr="00510C4A">
              <w:rPr>
                <w:rStyle w:val="Hyperlink"/>
              </w:rPr>
              <w:lastRenderedPageBreak/>
              <w:t>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0" w:history="1">
            <w:r w:rsidRPr="005B6B12">
              <w:rPr>
                <w:rStyle w:val="Hyperlink"/>
              </w:rPr>
              <w:t>www.esma.europa.eu</w:t>
            </w:r>
          </w:hyperlink>
          <w:r w:rsidRPr="005B6B12">
            <w:t xml:space="preserve"> under the heading </w:t>
          </w:r>
          <w:r w:rsidRPr="00025A7F">
            <w:rPr>
              <w:rStyle w:val="Hyperlink"/>
            </w:rPr>
            <w:t>‘</w:t>
          </w:r>
          <w:hyperlink r:id="rId21"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2"/>
          <w:footerReference w:type="even" r:id="rId23"/>
          <w:footerReference w:type="default" r:id="rId24"/>
          <w:headerReference w:type="first" r:id="rId25"/>
          <w:foot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5402E4" w:rsidRPr="00557BD2" w14:paraId="183FA56F" w14:textId="77777777" w:rsidTr="00D21C35">
        <w:tc>
          <w:tcPr>
            <w:tcW w:w="4531" w:type="dxa"/>
          </w:tcPr>
          <w:p w14:paraId="4C01A6C9" w14:textId="77777777" w:rsidR="005402E4" w:rsidRPr="00557BD2" w:rsidRDefault="005402E4" w:rsidP="005402E4">
            <w:pPr>
              <w:rPr>
                <w:color w:val="00379F" w:themeColor="text1"/>
                <w:sz w:val="24"/>
                <w:szCs w:val="22"/>
              </w:rPr>
            </w:pPr>
            <w:r w:rsidRPr="00557BD2">
              <w:rPr>
                <w:color w:val="00379F" w:themeColor="text1"/>
                <w:sz w:val="24"/>
                <w:szCs w:val="22"/>
              </w:rPr>
              <w:t>Name of the company / organisation</w:t>
            </w:r>
          </w:p>
        </w:tc>
        <w:sdt>
          <w:sdtPr>
            <w:id w:val="-803776227"/>
            <w:placeholder>
              <w:docPart w:val="B1A3BBDF76C541858114663E5965616E"/>
            </w:placeholder>
          </w:sdtPr>
          <w:sdtEndPr/>
          <w:sdtContent>
            <w:tc>
              <w:tcPr>
                <w:tcW w:w="4531" w:type="dxa"/>
              </w:tcPr>
              <w:p w14:paraId="76683ED7" w14:textId="6D35C404" w:rsidR="005402E4" w:rsidRPr="00557BD2" w:rsidRDefault="005402E4" w:rsidP="005402E4">
                <w:r>
                  <w:t xml:space="preserve">State </w:t>
                </w:r>
                <w:r w:rsidRPr="003941BC">
                  <w:rPr>
                    <w:sz w:val="24"/>
                    <w:szCs w:val="21"/>
                  </w:rPr>
                  <w:t xml:space="preserve">Street </w:t>
                </w:r>
                <w:r>
                  <w:t>Corporation</w:t>
                </w:r>
              </w:p>
            </w:tc>
          </w:sdtContent>
        </w:sdt>
      </w:tr>
      <w:tr w:rsidR="005402E4" w:rsidRPr="00557BD2" w14:paraId="528511B7" w14:textId="77777777" w:rsidTr="00D21C35">
        <w:tc>
          <w:tcPr>
            <w:tcW w:w="4531" w:type="dxa"/>
          </w:tcPr>
          <w:p w14:paraId="5CBA5961" w14:textId="77777777" w:rsidR="005402E4" w:rsidRPr="00557BD2" w:rsidRDefault="005402E4" w:rsidP="005402E4">
            <w:pPr>
              <w:rPr>
                <w:color w:val="00379F" w:themeColor="text1"/>
                <w:sz w:val="24"/>
                <w:szCs w:val="22"/>
              </w:rPr>
            </w:pPr>
            <w:r w:rsidRPr="00557BD2">
              <w:rPr>
                <w:color w:val="00379F" w:themeColor="text1"/>
                <w:sz w:val="24"/>
                <w:szCs w:val="22"/>
              </w:rPr>
              <w:t>Activity</w:t>
            </w:r>
          </w:p>
        </w:tc>
        <w:sdt>
          <w:sdtPr>
            <w:id w:val="-609434665"/>
            <w:placeholder>
              <w:docPart w:val="27BFAC6F04CF4ED99AE4CC2A86272895"/>
            </w:placeholder>
          </w:sdtPr>
          <w:sdtEndPr/>
          <w:sdtContent>
            <w:sdt>
              <w:sdtPr>
                <w:id w:val="-1752416002"/>
                <w:placeholder>
                  <w:docPart w:val="A74ABEB6D1D54DCEBEFB3B9F1F8574CD"/>
                </w:placeholder>
              </w:sdtPr>
              <w:sdtEndPr/>
              <w:sdtContent>
                <w:tc>
                  <w:tcPr>
                    <w:tcW w:w="4531" w:type="dxa"/>
                  </w:tcPr>
                  <w:p w14:paraId="241AB88E" w14:textId="1A8E65E0" w:rsidR="00026C87" w:rsidRPr="00026C87" w:rsidRDefault="00026C87" w:rsidP="00026C87">
                    <w:pPr>
                      <w:jc w:val="left"/>
                    </w:pPr>
                    <w:r>
                      <w:t>I</w:t>
                    </w:r>
                    <w:r w:rsidRPr="00026C87">
                      <w:t>nvestment</w:t>
                    </w:r>
                    <w:r>
                      <w:t xml:space="preserve"> </w:t>
                    </w:r>
                    <w:r w:rsidRPr="00026C87">
                      <w:t>servicing,</w:t>
                    </w:r>
                    <w:r>
                      <w:t xml:space="preserve"> </w:t>
                    </w:r>
                    <w:r w:rsidRPr="00026C87">
                      <w:t>investment</w:t>
                    </w:r>
                    <w:r>
                      <w:t xml:space="preserve"> </w:t>
                    </w:r>
                    <w:r w:rsidRPr="00026C87">
                      <w:t>management and investment research and</w:t>
                    </w:r>
                    <w:r>
                      <w:t xml:space="preserve"> </w:t>
                    </w:r>
                    <w:r w:rsidRPr="00026C87">
                      <w:t>trading</w:t>
                    </w:r>
                  </w:p>
                  <w:p w14:paraId="7403D812" w14:textId="3026EE7D" w:rsidR="005402E4" w:rsidRPr="00557BD2" w:rsidRDefault="005402E4" w:rsidP="005402E4"/>
                </w:tc>
              </w:sdtContent>
            </w:sdt>
          </w:sdtContent>
        </w:sdt>
      </w:tr>
      <w:tr w:rsidR="005402E4" w:rsidRPr="00557BD2" w14:paraId="3D982432" w14:textId="77777777" w:rsidTr="00D21C35">
        <w:tc>
          <w:tcPr>
            <w:tcW w:w="4531" w:type="dxa"/>
          </w:tcPr>
          <w:p w14:paraId="7771F8C5" w14:textId="77777777" w:rsidR="005402E4" w:rsidRPr="00557BD2" w:rsidRDefault="005402E4" w:rsidP="005402E4">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7B27C9CF5A34E71A4B241006994666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16B56E4F" w:rsidR="005402E4" w:rsidRPr="00557BD2" w:rsidRDefault="005402E4" w:rsidP="005402E4">
                <w:r>
                  <w:t>Europe</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6BE3FFB8" w14:textId="74F17A0A" w:rsidR="00DA4F15" w:rsidRPr="00544E0C" w:rsidRDefault="00026C87" w:rsidP="00DA4F15">
      <w:pPr>
        <w:rPr>
          <w:color w:val="auto"/>
        </w:rPr>
      </w:pPr>
      <w:permStart w:id="842152120" w:edGrp="everyone"/>
      <w:r w:rsidRPr="00544E0C">
        <w:rPr>
          <w:color w:val="auto"/>
        </w:rPr>
        <w:t xml:space="preserve">We generally agree with the characteristics of suspension of subscriptions, repurchases and redemptions as proposed under Article 1 of the two Delegated Regulations. </w:t>
      </w:r>
    </w:p>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0B085D9C" w14:textId="49CB26E8" w:rsidR="00DA4F15" w:rsidRPr="00544E0C" w:rsidRDefault="00FD7F5B" w:rsidP="00DA4F15">
      <w:pPr>
        <w:rPr>
          <w:color w:val="auto"/>
        </w:rPr>
      </w:pPr>
      <w:permStart w:id="227106512" w:edGrp="everyone"/>
      <w:r w:rsidRPr="00544E0C">
        <w:rPr>
          <w:color w:val="auto"/>
        </w:rPr>
        <w:t xml:space="preserve">We agree with this approach and consider important to maintain the right for the fund </w:t>
      </w:r>
      <w:r w:rsidR="00FB177B" w:rsidRPr="00544E0C">
        <w:rPr>
          <w:color w:val="auto"/>
        </w:rPr>
        <w:t>M</w:t>
      </w:r>
      <w:r w:rsidRPr="00544E0C">
        <w:rPr>
          <w:color w:val="auto"/>
        </w:rPr>
        <w:t xml:space="preserve">anager not to execute such order until the suspension on redemptions is lifted. </w:t>
      </w:r>
    </w:p>
    <w:permEnd w:id="227106512"/>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lastRenderedPageBreak/>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744C6E01" w14:textId="7C67D43E" w:rsidR="00DA4F15" w:rsidRPr="00544E0C" w:rsidRDefault="00FD7F5B" w:rsidP="00DA4F15">
      <w:pPr>
        <w:rPr>
          <w:color w:val="auto"/>
        </w:rPr>
      </w:pPr>
      <w:permStart w:id="1010463442" w:edGrp="everyone"/>
      <w:r w:rsidRPr="00544E0C">
        <w:rPr>
          <w:color w:val="auto"/>
        </w:rPr>
        <w:t xml:space="preserve">We would argue that the </w:t>
      </w:r>
      <w:r w:rsidR="00FB177B" w:rsidRPr="00544E0C">
        <w:rPr>
          <w:color w:val="auto"/>
        </w:rPr>
        <w:t>f</w:t>
      </w:r>
      <w:r w:rsidRPr="00544E0C">
        <w:rPr>
          <w:color w:val="auto"/>
        </w:rPr>
        <w:t>und Manager</w:t>
      </w:r>
      <w:r w:rsidR="00FB177B" w:rsidRPr="00544E0C">
        <w:rPr>
          <w:color w:val="auto"/>
        </w:rPr>
        <w:t>/fund Board</w:t>
      </w:r>
      <w:r w:rsidRPr="00544E0C">
        <w:rPr>
          <w:color w:val="auto"/>
        </w:rPr>
        <w:t xml:space="preserve"> should retain flexibility in determining which approach would be suitable for its fund. </w:t>
      </w:r>
      <w:r w:rsidR="00451938" w:rsidRPr="00544E0C">
        <w:rPr>
          <w:color w:val="auto"/>
        </w:rPr>
        <w:t xml:space="preserve">The goal should be to ensure fair treatment of investors at all times and efficient execution of those redemption orders. </w:t>
      </w:r>
      <w:r w:rsidRPr="00544E0C">
        <w:rPr>
          <w:color w:val="auto"/>
        </w:rPr>
        <w:t xml:space="preserve">We would support an approach </w:t>
      </w:r>
      <w:r w:rsidR="00241A2B" w:rsidRPr="00544E0C">
        <w:rPr>
          <w:color w:val="auto"/>
        </w:rPr>
        <w:t xml:space="preserve">taking </w:t>
      </w:r>
      <w:r w:rsidRPr="00544E0C">
        <w:rPr>
          <w:color w:val="auto"/>
        </w:rPr>
        <w:t xml:space="preserve">into account the chronological order and </w:t>
      </w:r>
      <w:r w:rsidR="00241A2B" w:rsidRPr="00544E0C">
        <w:rPr>
          <w:color w:val="auto"/>
        </w:rPr>
        <w:t xml:space="preserve">the </w:t>
      </w:r>
      <w:r w:rsidRPr="00544E0C">
        <w:rPr>
          <w:color w:val="auto"/>
        </w:rPr>
        <w:t xml:space="preserve">pro rata </w:t>
      </w:r>
      <w:r w:rsidR="00241A2B" w:rsidRPr="00544E0C">
        <w:rPr>
          <w:color w:val="auto"/>
        </w:rPr>
        <w:t>of non-executed redemptions orders</w:t>
      </w:r>
      <w:r w:rsidRPr="00544E0C">
        <w:rPr>
          <w:color w:val="auto"/>
        </w:rPr>
        <w:t xml:space="preserve">. This approach should be </w:t>
      </w:r>
      <w:r w:rsidR="00241A2B" w:rsidRPr="00544E0C">
        <w:rPr>
          <w:color w:val="auto"/>
        </w:rPr>
        <w:t xml:space="preserve">adequately </w:t>
      </w:r>
      <w:r w:rsidRPr="00544E0C">
        <w:rPr>
          <w:color w:val="auto"/>
        </w:rPr>
        <w:t xml:space="preserve">considered and disclosed in the </w:t>
      </w:r>
      <w:r w:rsidR="00005EF9" w:rsidRPr="00544E0C">
        <w:rPr>
          <w:color w:val="auto"/>
        </w:rPr>
        <w:t>p</w:t>
      </w:r>
      <w:r w:rsidRPr="00544E0C">
        <w:rPr>
          <w:color w:val="auto"/>
        </w:rPr>
        <w:t xml:space="preserve">rospectus of the fund.  </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B0B41C1" w14:textId="0C1C695C" w:rsidR="00DA4F15" w:rsidRPr="00544E0C" w:rsidRDefault="00F85FD4" w:rsidP="00DA4F15">
      <w:pPr>
        <w:rPr>
          <w:color w:val="auto"/>
        </w:rPr>
      </w:pPr>
      <w:permStart w:id="2089954106" w:edGrp="everyone"/>
      <w:r w:rsidRPr="00544E0C">
        <w:rPr>
          <w:color w:val="auto"/>
        </w:rPr>
        <w:t xml:space="preserve">No further comments. </w:t>
      </w:r>
    </w:p>
    <w:permEnd w:id="2089954106"/>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4F64055A" w14:textId="1C4B3E68" w:rsidR="00DA4F15" w:rsidRPr="00544E0C" w:rsidRDefault="00F23174" w:rsidP="00DA4F15">
      <w:pPr>
        <w:rPr>
          <w:color w:val="auto"/>
        </w:rPr>
      </w:pPr>
      <w:permStart w:id="2144415196" w:edGrp="everyone"/>
      <w:r w:rsidRPr="00544E0C">
        <w:rPr>
          <w:color w:val="auto"/>
        </w:rPr>
        <w:t>No further comments.</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lastRenderedPageBreak/>
        <w:t>&lt;ESMA_QUESTION_SLMT_6&gt;</w:t>
      </w:r>
    </w:p>
    <w:p w14:paraId="280FD240" w14:textId="7B471405" w:rsidR="00DA4F15" w:rsidRPr="00544E0C" w:rsidRDefault="00F23174" w:rsidP="00DA4F15">
      <w:pPr>
        <w:rPr>
          <w:color w:val="auto"/>
        </w:rPr>
      </w:pPr>
      <w:permStart w:id="441538008" w:edGrp="everyone"/>
      <w:r w:rsidRPr="00544E0C">
        <w:rPr>
          <w:color w:val="auto"/>
        </w:rPr>
        <w:t>We would not consider the distinction between AIFs and UCITS as a relevant factor when determining the characteristics of  suspension of subscriptions, repurchases and redemptions. If allowed flexibility, fund Managers should be able to adapt LMTs use to the specificities of their funds.</w:t>
      </w:r>
    </w:p>
    <w:permEnd w:id="441538008"/>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1D654B0B" w14:textId="16E14D73" w:rsidR="00DA4F15" w:rsidRPr="00544E0C" w:rsidRDefault="00F85FD4" w:rsidP="00DA4F15">
      <w:pPr>
        <w:rPr>
          <w:color w:val="auto"/>
        </w:rPr>
      </w:pPr>
      <w:permStart w:id="637092435" w:edGrp="everyone"/>
      <w:r w:rsidRPr="00544E0C">
        <w:rPr>
          <w:color w:val="auto"/>
        </w:rPr>
        <w:t xml:space="preserve">We generally agree with the description of redemption gates. It is important however that full flexibility is given to managers to determine an appropriate activation threshold for each fund. As we explain in more details in our responses below, we believe that any fixed minimum activation thresholds would go against the principle of </w:t>
      </w:r>
      <w:r w:rsidR="00FB177B" w:rsidRPr="00544E0C">
        <w:rPr>
          <w:color w:val="auto"/>
        </w:rPr>
        <w:t>f</w:t>
      </w:r>
      <w:r w:rsidRPr="00544E0C">
        <w:rPr>
          <w:color w:val="auto"/>
        </w:rPr>
        <w:t>und Manager</w:t>
      </w:r>
      <w:r w:rsidR="00FB177B" w:rsidRPr="00544E0C">
        <w:rPr>
          <w:color w:val="auto"/>
        </w:rPr>
        <w:t>/fund Board</w:t>
      </w:r>
      <w:r w:rsidRPr="00544E0C">
        <w:rPr>
          <w:color w:val="auto"/>
        </w:rPr>
        <w:t>’s discretion.</w:t>
      </w:r>
    </w:p>
    <w:permEnd w:id="637092435"/>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742E69C2" w14:textId="1CBB3D8B" w:rsidR="00DA4F15" w:rsidRPr="00544E0C" w:rsidRDefault="00F85FD4" w:rsidP="00DA4F15">
      <w:pPr>
        <w:rPr>
          <w:color w:val="auto"/>
        </w:rPr>
      </w:pPr>
      <w:permStart w:id="1095595777" w:edGrp="everyone"/>
      <w:r w:rsidRPr="00544E0C">
        <w:rPr>
          <w:color w:val="auto"/>
        </w:rPr>
        <w:t xml:space="preserve">As stated in the previous response, we want to emphasise that any threshold should not result in automatic activation of redemption gates, rather be a trigger for the </w:t>
      </w:r>
      <w:r w:rsidR="00057512" w:rsidRPr="00544E0C">
        <w:rPr>
          <w:color w:val="auto"/>
        </w:rPr>
        <w:t>f</w:t>
      </w:r>
      <w:r w:rsidR="00E242F9" w:rsidRPr="00544E0C">
        <w:rPr>
          <w:color w:val="auto"/>
        </w:rPr>
        <w:t>und Manager</w:t>
      </w:r>
      <w:r w:rsidRPr="00544E0C">
        <w:rPr>
          <w:color w:val="auto"/>
        </w:rPr>
        <w:t>/</w:t>
      </w:r>
      <w:r w:rsidR="00057512" w:rsidRPr="00544E0C">
        <w:rPr>
          <w:color w:val="auto"/>
        </w:rPr>
        <w:t>f</w:t>
      </w:r>
      <w:r w:rsidRPr="00544E0C">
        <w:rPr>
          <w:color w:val="auto"/>
        </w:rPr>
        <w:t xml:space="preserve">und Board to consider activation of the redemption gate in cases where it is in the best interest of investors. We would also point out that there could be alternative methods to be considered when calibrating redemption gate thresholds, depending for example on the </w:t>
      </w:r>
      <w:r w:rsidR="00241A2B" w:rsidRPr="00544E0C">
        <w:rPr>
          <w:color w:val="auto"/>
        </w:rPr>
        <w:t xml:space="preserve">dealing </w:t>
      </w:r>
      <w:r w:rsidRPr="00544E0C">
        <w:rPr>
          <w:color w:val="auto"/>
        </w:rPr>
        <w:t xml:space="preserve">frequency of the fund, so </w:t>
      </w:r>
      <w:r w:rsidR="00273BB3" w:rsidRPr="00544E0C">
        <w:rPr>
          <w:color w:val="auto"/>
        </w:rPr>
        <w:t xml:space="preserve">ultimately flexibility needs to be preserved also as regards the discretion of the </w:t>
      </w:r>
      <w:r w:rsidR="00FB177B" w:rsidRPr="00544E0C">
        <w:rPr>
          <w:color w:val="auto"/>
        </w:rPr>
        <w:t>f</w:t>
      </w:r>
      <w:r w:rsidR="00273BB3" w:rsidRPr="00544E0C">
        <w:rPr>
          <w:color w:val="auto"/>
        </w:rPr>
        <w:t>und Manager</w:t>
      </w:r>
      <w:r w:rsidR="00FB177B" w:rsidRPr="00544E0C">
        <w:rPr>
          <w:color w:val="auto"/>
        </w:rPr>
        <w:t>/fund Board</w:t>
      </w:r>
      <w:r w:rsidR="00273BB3" w:rsidRPr="00544E0C">
        <w:rPr>
          <w:color w:val="auto"/>
        </w:rPr>
        <w:t xml:space="preserve"> to apply the best suited methodology for defining activation thresholds. </w:t>
      </w:r>
    </w:p>
    <w:permEnd w:id="1095595777"/>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04633D81" w14:textId="2A79C1F8" w:rsidR="009D0EDD" w:rsidRPr="00544E0C" w:rsidRDefault="009D0EDD" w:rsidP="009D0EDD">
      <w:pPr>
        <w:rPr>
          <w:color w:val="auto"/>
        </w:rPr>
      </w:pPr>
      <w:permStart w:id="1593604636" w:edGrp="everyone"/>
      <w:r w:rsidRPr="00544E0C">
        <w:rPr>
          <w:color w:val="auto"/>
        </w:rPr>
        <w:t xml:space="preserve">The decision to activate redemption gates should ultimately rest with the </w:t>
      </w:r>
      <w:r w:rsidR="00057512" w:rsidRPr="00544E0C">
        <w:rPr>
          <w:color w:val="auto"/>
        </w:rPr>
        <w:t>f</w:t>
      </w:r>
      <w:r w:rsidRPr="00544E0C">
        <w:rPr>
          <w:color w:val="auto"/>
        </w:rPr>
        <w:t xml:space="preserve">und </w:t>
      </w:r>
      <w:r w:rsidR="00E242F9" w:rsidRPr="00544E0C">
        <w:rPr>
          <w:color w:val="auto"/>
        </w:rPr>
        <w:t>M</w:t>
      </w:r>
      <w:r w:rsidRPr="00544E0C">
        <w:rPr>
          <w:color w:val="auto"/>
        </w:rPr>
        <w:t xml:space="preserve">anager/ fund Board rather than be activated automatically upon exceedance of a set threshold. The automatic activation of redemption gates does not allow for proper consideration of the specific circumstances that exist at that point in time, or whether activation of the redemption gate is necessary or in the best interest of investors. Moreover, in case of full disclosure of the activation thresholds there is a risk of creating first mover advantage incentive for sophisticated investors. </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0FEBA6D9" w14:textId="78DD7E31" w:rsidR="00DA4F15" w:rsidRPr="00544E0C" w:rsidRDefault="00E50F99" w:rsidP="00DA4F15">
      <w:pPr>
        <w:rPr>
          <w:color w:val="auto"/>
        </w:rPr>
      </w:pPr>
      <w:permStart w:id="1731209023" w:edGrp="everyone"/>
      <w:r w:rsidRPr="00544E0C">
        <w:rPr>
          <w:color w:val="auto"/>
        </w:rPr>
        <w:t>Please refer to our response to the previous question, we do not think that an automatic activation of redemption gates should be pursued as a default option. Unless the fund Manager</w:t>
      </w:r>
      <w:r w:rsidR="00FB177B" w:rsidRPr="00544E0C">
        <w:rPr>
          <w:color w:val="auto"/>
        </w:rPr>
        <w:t>/fund Board</w:t>
      </w:r>
      <w:r w:rsidRPr="00544E0C">
        <w:rPr>
          <w:color w:val="auto"/>
        </w:rPr>
        <w:t xml:space="preserve"> decides to design the process of LMTs use in such an automatic way, flexibility around the activation of all LMTs should remain the baseline principle.</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7F91C2BF" w14:textId="6DA016B5" w:rsidR="00DA4F15" w:rsidRPr="00544E0C" w:rsidRDefault="00C73FED" w:rsidP="00DA4F15">
      <w:pPr>
        <w:rPr>
          <w:color w:val="auto"/>
        </w:rPr>
      </w:pPr>
      <w:permStart w:id="1637379018" w:edGrp="everyone"/>
      <w:r w:rsidRPr="00544E0C">
        <w:rPr>
          <w:color w:val="auto"/>
        </w:rPr>
        <w:t>We agree that the activation threshold shall not be expressed at the level of the single redemption order.</w:t>
      </w:r>
    </w:p>
    <w:permEnd w:id="1637379018"/>
    <w:p w14:paraId="15E92701" w14:textId="77777777" w:rsidR="00DA4F15" w:rsidRDefault="00DA4F15" w:rsidP="00DA4F15">
      <w:r>
        <w:lastRenderedPageBreak/>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1C5D2B6F" w14:textId="4E48AC4D" w:rsidR="00DA4F15" w:rsidRPr="00544E0C" w:rsidRDefault="00057512" w:rsidP="00DA4F15">
      <w:pPr>
        <w:rPr>
          <w:color w:val="auto"/>
        </w:rPr>
      </w:pPr>
      <w:permStart w:id="2066760871" w:edGrp="everyone"/>
      <w:r w:rsidRPr="00544E0C">
        <w:rPr>
          <w:color w:val="auto"/>
        </w:rPr>
        <w:t>We agree that investors should have the right to cancel non-executed redemptions orders but this should be subject to the consent of the fund Manager</w:t>
      </w:r>
      <w:r w:rsidR="00FB177B" w:rsidRPr="00544E0C">
        <w:rPr>
          <w:color w:val="auto"/>
        </w:rPr>
        <w:t>/fund Board</w:t>
      </w:r>
      <w:r w:rsidRPr="00544E0C">
        <w:rPr>
          <w:color w:val="auto"/>
        </w:rPr>
        <w:t xml:space="preserve">, in order to prevent situations where the cancellation could disrupt asset sales already underway to fulfil redemptions, with further negative impacts to the best interest of remaining investors. Moreover, we do not see merits in differentiating between AIFs and UCITS in this specific instance.   </w:t>
      </w:r>
    </w:p>
    <w:permEnd w:id="2066760871"/>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3ACCEB9F" w:rsidR="00DA4F15" w:rsidRPr="00544E0C" w:rsidRDefault="009F52EC" w:rsidP="00DA4F15">
      <w:pPr>
        <w:rPr>
          <w:color w:val="auto"/>
        </w:rPr>
      </w:pPr>
      <w:permStart w:id="533931948" w:edGrp="everyone"/>
      <w:r w:rsidRPr="00544E0C">
        <w:rPr>
          <w:color w:val="auto"/>
        </w:rPr>
        <w:t xml:space="preserve">As long as </w:t>
      </w:r>
      <w:r w:rsidR="00FE3494" w:rsidRPr="00544E0C">
        <w:rPr>
          <w:color w:val="auto"/>
        </w:rPr>
        <w:t>the fund Manager/fund Board has discretion to deploy the LMT which is most suitable to the fund’s specific circumstances based on an assessment of prevailing market and liquidity conditions</w:t>
      </w:r>
      <w:r w:rsidRPr="00544E0C">
        <w:rPr>
          <w:color w:val="auto"/>
        </w:rPr>
        <w:t>, we do not see a need to have different characteristics based on the investment strategies</w:t>
      </w:r>
      <w:r w:rsidR="00057512" w:rsidRPr="00544E0C">
        <w:rPr>
          <w:color w:val="auto"/>
        </w:rPr>
        <w:t xml:space="preserve"> or between AIFs and UCITS</w:t>
      </w:r>
      <w:r w:rsidRPr="00544E0C">
        <w:rPr>
          <w:color w:val="auto"/>
        </w:rPr>
        <w:t xml:space="preserve">. </w:t>
      </w:r>
    </w:p>
    <w:permEnd w:id="53393194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06006E5C" w:rsidR="00DA4F15" w:rsidRPr="00544E0C" w:rsidRDefault="006D1E9F" w:rsidP="00DA4F15">
      <w:pPr>
        <w:rPr>
          <w:color w:val="auto"/>
        </w:rPr>
      </w:pPr>
      <w:permStart w:id="1676745201" w:edGrp="everyone"/>
      <w:r w:rsidRPr="00544E0C">
        <w:rPr>
          <w:color w:val="auto"/>
        </w:rPr>
        <w:lastRenderedPageBreak/>
        <w:t>To support the fair treatment of all investors, LMTs should generally be applied in the same manner to all investors.</w:t>
      </w:r>
    </w:p>
    <w:permEnd w:id="1676745201"/>
    <w:p w14:paraId="2636F905" w14:textId="77777777"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09C5815D" w:rsidR="00DA4F15" w:rsidRPr="00544E0C" w:rsidRDefault="007D2357" w:rsidP="00DA4F15">
      <w:pPr>
        <w:rPr>
          <w:color w:val="auto"/>
        </w:rPr>
      </w:pPr>
      <w:permStart w:id="1749575065" w:edGrp="everyone"/>
      <w:r w:rsidRPr="00544E0C">
        <w:rPr>
          <w:color w:val="auto"/>
        </w:rPr>
        <w:t>No further comment.</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4D1C727" w14:textId="298AAD00" w:rsidR="00DA4F15" w:rsidRPr="00544E0C" w:rsidRDefault="00C73FED" w:rsidP="00DA4F15">
      <w:pPr>
        <w:rPr>
          <w:color w:val="auto"/>
        </w:rPr>
      </w:pPr>
      <w:permStart w:id="346123938" w:edGrp="everyone"/>
      <w:r w:rsidRPr="00544E0C">
        <w:rPr>
          <w:color w:val="auto"/>
        </w:rPr>
        <w:t>We broadly agree with the description of extensions of notice period.</w:t>
      </w:r>
    </w:p>
    <w:permEnd w:id="346123938"/>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014D774" w14:textId="13E2A57B" w:rsidR="00DA4F15" w:rsidRPr="00544E0C" w:rsidRDefault="00311D47" w:rsidP="00DA4F15">
      <w:pPr>
        <w:rPr>
          <w:color w:val="auto"/>
        </w:rPr>
      </w:pPr>
      <w:permStart w:id="1104090374" w:edGrp="everyone"/>
      <w:r w:rsidRPr="00544E0C">
        <w:rPr>
          <w:color w:val="auto"/>
        </w:rPr>
        <w:t>Similar to our response to Question 14</w:t>
      </w:r>
      <w:r w:rsidR="00F852F8" w:rsidRPr="00544E0C">
        <w:rPr>
          <w:color w:val="auto"/>
        </w:rPr>
        <w:t>, to support the fair treatment of all investors, LMTs should generally be applied in the same manner to all investors.</w:t>
      </w:r>
    </w:p>
    <w:permEnd w:id="1104090374"/>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lastRenderedPageBreak/>
        <w:t>&lt;ESMA_QUESTION_SLMT_18&gt;</w:t>
      </w:r>
    </w:p>
    <w:p w14:paraId="281B713F" w14:textId="5BB89C2C" w:rsidR="00DA4F15" w:rsidRPr="00544E0C" w:rsidRDefault="00387517" w:rsidP="00DA4F15">
      <w:pPr>
        <w:rPr>
          <w:color w:val="auto"/>
        </w:rPr>
      </w:pPr>
      <w:permStart w:id="85027830" w:edGrp="everyone"/>
      <w:r w:rsidRPr="00544E0C">
        <w:rPr>
          <w:bCs/>
          <w:color w:val="auto"/>
          <w:lang w:val="en-US"/>
        </w:rPr>
        <w:t>We believe that depending on the nature of the fund, and given that the time required to return to normal dealing cannot always be anticipated,</w:t>
      </w:r>
      <w:r w:rsidR="00C73FED" w:rsidRPr="00544E0C">
        <w:rPr>
          <w:bCs/>
          <w:color w:val="auto"/>
          <w:lang w:val="en-US"/>
        </w:rPr>
        <w:t xml:space="preserve"> a fund </w:t>
      </w:r>
      <w:r w:rsidRPr="00544E0C">
        <w:rPr>
          <w:bCs/>
          <w:color w:val="auto"/>
          <w:lang w:val="en-US"/>
        </w:rPr>
        <w:t>Manager</w:t>
      </w:r>
      <w:r w:rsidR="00FB177B" w:rsidRPr="00544E0C">
        <w:rPr>
          <w:color w:val="auto"/>
        </w:rPr>
        <w:t>/fund Board</w:t>
      </w:r>
      <w:r w:rsidRPr="00544E0C">
        <w:rPr>
          <w:bCs/>
          <w:color w:val="auto"/>
          <w:lang w:val="en-US"/>
        </w:rPr>
        <w:t xml:space="preserve"> should have the flexibility to choose whether to apply extensions of notice period for a pre-defined period of time or for an indefinite period.</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5FEF6CAA" w:rsidR="00DA4F15" w:rsidRPr="00544E0C" w:rsidRDefault="00387517" w:rsidP="00DA4F15">
      <w:pPr>
        <w:rPr>
          <w:color w:val="auto"/>
        </w:rPr>
      </w:pPr>
      <w:permStart w:id="700061978" w:edGrp="everyone"/>
      <w:r w:rsidRPr="00544E0C">
        <w:rPr>
          <w:color w:val="auto"/>
        </w:rPr>
        <w:t>We do not see merit in the RTS providing different characteristics of extension of notice period based on different investment strategies and between different types of funds. As long as the fund Manager</w:t>
      </w:r>
      <w:r w:rsidR="00FB177B" w:rsidRPr="00544E0C">
        <w:rPr>
          <w:color w:val="auto"/>
        </w:rPr>
        <w:t>/fund Board</w:t>
      </w:r>
      <w:r w:rsidRPr="00544E0C">
        <w:rPr>
          <w:color w:val="auto"/>
        </w:rPr>
        <w:t xml:space="preserve"> retains an appropriate level of discretion, this should be enough to take into account the specificities of each individual fund. </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616CB20B" w14:textId="1AE33FF4" w:rsidR="00DA4F15" w:rsidRPr="00544E0C" w:rsidRDefault="00842453" w:rsidP="00DA4F15">
      <w:pPr>
        <w:rPr>
          <w:color w:val="auto"/>
        </w:rPr>
      </w:pPr>
      <w:permStart w:id="736693926" w:edGrp="everyone"/>
      <w:r w:rsidRPr="00544E0C">
        <w:rPr>
          <w:color w:val="auto"/>
        </w:rPr>
        <w:t xml:space="preserve">We believe that there could be circumstances where, in the best interest of investors and in case of market liquidity issues, the execution of redemptions orders should not follow the original notice period. Therefore we would suggest flexibility on this specific point. </w:t>
      </w:r>
    </w:p>
    <w:permEnd w:id="736693926"/>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lastRenderedPageBreak/>
        <w:t>&lt;ESMA_QUESTION_SLMT_21&gt;</w:t>
      </w:r>
    </w:p>
    <w:p w14:paraId="3EEEE327" w14:textId="06882483" w:rsidR="00DA4F15" w:rsidRPr="00544E0C" w:rsidRDefault="00842453" w:rsidP="00DA4F15">
      <w:pPr>
        <w:rPr>
          <w:color w:val="auto"/>
        </w:rPr>
      </w:pPr>
      <w:permStart w:id="2145268849" w:edGrp="everyone"/>
      <w:r w:rsidRPr="00544E0C">
        <w:rPr>
          <w:color w:val="auto"/>
        </w:rPr>
        <w:t xml:space="preserve">When activating or deactivating a LMT, we always ensure that all investors are treated in the same way and adopt an approach to pending redemption orders which ensure a chronological consistency in execution. </w:t>
      </w:r>
    </w:p>
    <w:permEnd w:id="2145268849"/>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6D4E4396" w14:textId="74ADB1D8" w:rsidR="006937CE" w:rsidRPr="00544E0C" w:rsidRDefault="006937CE" w:rsidP="006937CE">
      <w:pPr>
        <w:rPr>
          <w:color w:val="auto"/>
        </w:rPr>
      </w:pPr>
      <w:permStart w:id="97392340" w:edGrp="everyone"/>
    </w:p>
    <w:permEnd w:id="97392340"/>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70D80DC2" w:rsidR="00DA4F15" w:rsidRPr="006937CE" w:rsidRDefault="006937CE" w:rsidP="00DA4F15">
      <w:pPr>
        <w:rPr>
          <w:color w:val="FF0000"/>
        </w:rPr>
      </w:pPr>
      <w:permStart w:id="1430278361" w:edGrp="everyone"/>
      <w:permStart w:id="646406651" w:edGrp="everyone"/>
      <w:r w:rsidRPr="006937CE">
        <w:rPr>
          <w:color w:val="FF0000"/>
        </w:rPr>
        <w:t>.</w:t>
      </w:r>
      <w:permEnd w:id="1430278361"/>
    </w:p>
    <w:permEnd w:id="646406651"/>
    <w:p w14:paraId="41482D45" w14:textId="77777777" w:rsidR="00DA4F15" w:rsidRDefault="00DA4F15" w:rsidP="00DA4F15">
      <w:r>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21B6650B" w14:textId="57EA2DE9" w:rsidR="00DA4F15" w:rsidRPr="006937CE" w:rsidRDefault="00DA4F15" w:rsidP="00DA4F15">
      <w:pPr>
        <w:rPr>
          <w:color w:val="FF0000"/>
        </w:rPr>
      </w:pPr>
      <w:permStart w:id="1731542779" w:edGrp="everyone"/>
    </w:p>
    <w:permEnd w:id="1731542779"/>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with the description of swing pricing and the corresponding characteristics? If not, please justify your position.</w:t>
      </w:r>
    </w:p>
    <w:p w14:paraId="54329BB0" w14:textId="77777777" w:rsidR="00DA4F15" w:rsidRDefault="00DA4F15" w:rsidP="00DA4F15">
      <w:r>
        <w:t>&lt;ESMA_QUESTION_SLMT_25&gt;</w:t>
      </w:r>
    </w:p>
    <w:p w14:paraId="348B87BB" w14:textId="62780568" w:rsidR="00DA4F15" w:rsidRPr="00544E0C" w:rsidRDefault="006937CE" w:rsidP="00DA4F15">
      <w:pPr>
        <w:rPr>
          <w:color w:val="auto"/>
        </w:rPr>
      </w:pPr>
      <w:permStart w:id="440675277" w:edGrp="everyone"/>
      <w:r w:rsidRPr="00544E0C">
        <w:rPr>
          <w:color w:val="auto"/>
          <w:highlight w:val="yellow"/>
        </w:rPr>
        <w:t>Yes we broadly agree with the description of swing pricing and the corresponding characteristics. We take the view that in normal market conditions and for relatively small flows it should not be systematically required to include implicit costs in swing price estimates. Ex ante market impact cannot be predicted with a high degree of confidence</w:t>
      </w:r>
      <w:r w:rsidR="003E771F" w:rsidRPr="00544E0C">
        <w:rPr>
          <w:color w:val="auto"/>
        </w:rPr>
        <w:t xml:space="preserve"> and should always be conducted on a best-effort basis</w:t>
      </w:r>
      <w:r w:rsidRPr="00544E0C">
        <w:rPr>
          <w:color w:val="auto"/>
          <w:highlight w:val="yellow"/>
        </w:rPr>
        <w:t>.</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4BAE65DA" w:rsidR="00DA4F15" w:rsidRPr="00544E0C" w:rsidRDefault="006937CE" w:rsidP="00DA4F15">
      <w:pPr>
        <w:rPr>
          <w:color w:val="auto"/>
        </w:rPr>
      </w:pPr>
      <w:permStart w:id="1067799245" w:edGrp="everyone"/>
      <w:r w:rsidRPr="00544E0C">
        <w:rPr>
          <w:color w:val="auto"/>
        </w:rPr>
        <w:t>No further comment.</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31744E09" w:rsidR="00DA4F15" w:rsidRPr="00544E0C" w:rsidRDefault="00E529AF" w:rsidP="00DA4F15">
      <w:pPr>
        <w:rPr>
          <w:color w:val="auto"/>
        </w:rPr>
      </w:pPr>
      <w:permStart w:id="1045646515" w:edGrp="everyone"/>
      <w:r w:rsidRPr="00544E0C">
        <w:rPr>
          <w:color w:val="auto"/>
        </w:rPr>
        <w:t xml:space="preserve">We do not see merit in the RTSs providing different characteristics of </w:t>
      </w:r>
      <w:r w:rsidR="00451938" w:rsidRPr="00544E0C">
        <w:rPr>
          <w:color w:val="auto"/>
        </w:rPr>
        <w:t>swing pricing</w:t>
      </w:r>
      <w:r w:rsidRPr="00544E0C">
        <w:rPr>
          <w:color w:val="auto"/>
        </w:rPr>
        <w:t xml:space="preserve"> based on different investment strategies and between different types of funds. As long as the fund Manager</w:t>
      </w:r>
      <w:r w:rsidR="00FB177B" w:rsidRPr="00544E0C">
        <w:rPr>
          <w:color w:val="auto"/>
        </w:rPr>
        <w:t>/fund Board</w:t>
      </w:r>
      <w:r w:rsidRPr="00544E0C">
        <w:rPr>
          <w:color w:val="auto"/>
        </w:rPr>
        <w:t xml:space="preserve"> retains an appropriate level of discretion, this should be enough to take into account the specificities of each individual fund</w:t>
      </w:r>
      <w:r w:rsidR="006937CE" w:rsidRPr="00544E0C">
        <w:rPr>
          <w:color w:val="auto"/>
        </w:rPr>
        <w:t>.</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lastRenderedPageBreak/>
        <w:t>&lt;ESMA_QUESTION_SLMT_28&gt;</w:t>
      </w:r>
    </w:p>
    <w:p w14:paraId="4A9362A1" w14:textId="4E81B3D4" w:rsidR="008F328B" w:rsidRPr="00544E0C" w:rsidRDefault="00874863" w:rsidP="00DA4F15">
      <w:pPr>
        <w:rPr>
          <w:color w:val="auto"/>
        </w:rPr>
      </w:pPr>
      <w:permStart w:id="546384282" w:edGrp="everyone"/>
      <w:r w:rsidRPr="00544E0C">
        <w:rPr>
          <w:color w:val="auto"/>
        </w:rPr>
        <w:t xml:space="preserve">In our opinion, it should be possible to apply different swing factors or different anti-dilution tools to different </w:t>
      </w:r>
      <w:r w:rsidR="00FE3494" w:rsidRPr="00544E0C">
        <w:rPr>
          <w:color w:val="auto"/>
        </w:rPr>
        <w:t xml:space="preserve">share </w:t>
      </w:r>
      <w:r w:rsidRPr="00544E0C">
        <w:rPr>
          <w:color w:val="auto"/>
        </w:rPr>
        <w:t xml:space="preserve">classes of the same fund. </w:t>
      </w:r>
      <w:r w:rsidR="008F328B" w:rsidRPr="00544E0C">
        <w:rPr>
          <w:color w:val="auto"/>
        </w:rPr>
        <w:t xml:space="preserve">This would be the case for example when a fund Manager needs to reflect the different costs incurred by the different </w:t>
      </w:r>
      <w:r w:rsidR="00FE3494" w:rsidRPr="00544E0C">
        <w:rPr>
          <w:color w:val="auto"/>
        </w:rPr>
        <w:t xml:space="preserve">share </w:t>
      </w:r>
      <w:r w:rsidR="008F328B" w:rsidRPr="00544E0C">
        <w:rPr>
          <w:color w:val="auto"/>
        </w:rPr>
        <w:t xml:space="preserve">classes, or when an ETF share class co-exists with other </w:t>
      </w:r>
      <w:r w:rsidR="00FE3494" w:rsidRPr="00544E0C">
        <w:rPr>
          <w:color w:val="auto"/>
        </w:rPr>
        <w:t xml:space="preserve">share </w:t>
      </w:r>
      <w:r w:rsidR="008F328B" w:rsidRPr="00544E0C">
        <w:rPr>
          <w:color w:val="auto"/>
        </w:rPr>
        <w:t>classes in the same fund. For ETF share classes in particular</w:t>
      </w:r>
      <w:r w:rsidR="00FE3494" w:rsidRPr="00544E0C">
        <w:rPr>
          <w:color w:val="auto"/>
        </w:rPr>
        <w:t>,</w:t>
      </w:r>
      <w:r w:rsidR="008F328B" w:rsidRPr="00544E0C">
        <w:rPr>
          <w:color w:val="auto"/>
        </w:rPr>
        <w:t xml:space="preserve"> the adoption of a swing factor would not make sense given the operational specificities of the ETF structure. We further expand on these ETF specificities under question 36. </w:t>
      </w:r>
      <w:r w:rsidRPr="00544E0C">
        <w:rPr>
          <w:color w:val="auto"/>
        </w:rPr>
        <w:t xml:space="preserve"> </w:t>
      </w:r>
    </w:p>
    <w:permEnd w:id="546384282"/>
    <w:p w14:paraId="1370407B" w14:textId="7BA02AB5"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7788412F" w14:textId="0929C548" w:rsidR="00DA4F15" w:rsidRDefault="006937CE" w:rsidP="00DA4F15">
      <w:permStart w:id="1529225249" w:edGrp="everyone"/>
      <w:r>
        <w:t xml:space="preserve"> </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509EE9CD" w14:textId="327822C5" w:rsidR="00DA4F15" w:rsidRDefault="006937CE" w:rsidP="00DA4F15">
      <w:permStart w:id="621349682" w:edGrp="everyone"/>
      <w:r>
        <w:t xml:space="preserve"> </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2B68ADBB" w:rsidR="00DA4F15" w:rsidRDefault="00DA4F15" w:rsidP="00DA4F15">
      <w:permStart w:id="1647707371" w:edGrp="everyone"/>
    </w:p>
    <w:permEnd w:id="1647707371"/>
    <w:p w14:paraId="5A3AD0B1" w14:textId="77777777" w:rsidR="00DA4F15" w:rsidRDefault="00DA4F15" w:rsidP="00DA4F15">
      <w:r>
        <w:lastRenderedPageBreak/>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32AAC853" w14:textId="689AD88E" w:rsidR="00DA4F15" w:rsidRPr="00544E0C" w:rsidRDefault="00E529AF" w:rsidP="00DA4F15">
      <w:pPr>
        <w:rPr>
          <w:color w:val="auto"/>
        </w:rPr>
      </w:pPr>
      <w:permStart w:id="1085082725" w:edGrp="everyone"/>
      <w:r w:rsidRPr="00544E0C">
        <w:rPr>
          <w:color w:val="auto"/>
        </w:rPr>
        <w:t>Yes we broadly agree with the description of the anti-dilution levy and the corresponding characteristics. We take the view that in normal market conditions and for relatively small flows it should not be systematically required to include implicit costs in ADL estimates. Ex ante market impact cannot be predicted with a high degree of confidence</w:t>
      </w:r>
      <w:r w:rsidR="003E771F" w:rsidRPr="00544E0C">
        <w:rPr>
          <w:color w:val="auto"/>
        </w:rPr>
        <w:t xml:space="preserve"> and should always be conducted on a best-effort basis</w:t>
      </w:r>
      <w:r w:rsidRPr="00544E0C">
        <w:rPr>
          <w:color w:val="auto"/>
        </w:rPr>
        <w:t>.</w:t>
      </w:r>
    </w:p>
    <w:permEnd w:id="1085082725"/>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3537608B" w:rsidR="00DA4F15" w:rsidRPr="00544E0C" w:rsidRDefault="00E529AF" w:rsidP="00DA4F15">
      <w:pPr>
        <w:rPr>
          <w:color w:val="auto"/>
        </w:rPr>
      </w:pPr>
      <w:permStart w:id="1171087067" w:edGrp="everyone"/>
      <w:r w:rsidRPr="00544E0C">
        <w:rPr>
          <w:color w:val="auto"/>
        </w:rPr>
        <w:t>No further comment</w:t>
      </w:r>
    </w:p>
    <w:permEnd w:id="1171087067"/>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22BBDA7D" w14:textId="5B120A22" w:rsidR="00DA4F15" w:rsidRPr="00544E0C" w:rsidRDefault="008F328B" w:rsidP="00DA4F15">
      <w:pPr>
        <w:rPr>
          <w:color w:val="auto"/>
        </w:rPr>
      </w:pPr>
      <w:permStart w:id="523176774" w:edGrp="everyone"/>
      <w:r w:rsidRPr="00544E0C">
        <w:rPr>
          <w:color w:val="auto"/>
        </w:rPr>
        <w:t xml:space="preserve">In line with our response to Question 28, it should be possible to apply different swing factors or different anti-dilution tools to different </w:t>
      </w:r>
      <w:r w:rsidR="00C95E30" w:rsidRPr="00544E0C">
        <w:rPr>
          <w:color w:val="auto"/>
        </w:rPr>
        <w:t xml:space="preserve">share </w:t>
      </w:r>
      <w:r w:rsidRPr="00544E0C">
        <w:rPr>
          <w:color w:val="auto"/>
        </w:rPr>
        <w:t xml:space="preserve">classes of the same fund. This would be the case for example when a fund Manager needs to reflect the different costs incurred by the different </w:t>
      </w:r>
      <w:r w:rsidR="00C95E30" w:rsidRPr="00544E0C">
        <w:rPr>
          <w:color w:val="auto"/>
        </w:rPr>
        <w:t xml:space="preserve">share </w:t>
      </w:r>
      <w:r w:rsidRPr="00544E0C">
        <w:rPr>
          <w:color w:val="auto"/>
        </w:rPr>
        <w:t>classes, or when an ETF share class co-exists with other asset classes in the same fund. For ETF share classes in particular the adoption of a swing factor would not make sense given the operational specificities of the ETF structure. We further expand on these ETF specificities under question 36.</w:t>
      </w:r>
    </w:p>
    <w:permEnd w:id="523176774"/>
    <w:p w14:paraId="1BB9B053" w14:textId="77777777" w:rsidR="00DA4F15" w:rsidRDefault="00DA4F15" w:rsidP="00DA4F15">
      <w:r>
        <w:lastRenderedPageBreak/>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1DE94B0A" w14:textId="592F74DD" w:rsidR="00DA4F15" w:rsidRPr="00544E0C" w:rsidRDefault="00E529AF" w:rsidP="00DA4F15">
      <w:pPr>
        <w:rPr>
          <w:color w:val="auto"/>
        </w:rPr>
      </w:pPr>
      <w:permStart w:id="1985707259" w:edGrp="everyone"/>
      <w:r w:rsidRPr="00544E0C">
        <w:rPr>
          <w:color w:val="auto"/>
        </w:rPr>
        <w:t xml:space="preserve">We do not see merit in the RTSs providing different characteristics of </w:t>
      </w:r>
      <w:r w:rsidR="00451938" w:rsidRPr="00544E0C">
        <w:rPr>
          <w:color w:val="auto"/>
        </w:rPr>
        <w:t>anti-dilution levy</w:t>
      </w:r>
      <w:r w:rsidRPr="00544E0C">
        <w:rPr>
          <w:color w:val="auto"/>
        </w:rPr>
        <w:t xml:space="preserve"> based on different investment strategies and between different types of funds. As long as the fund Manager</w:t>
      </w:r>
      <w:r w:rsidR="00FB177B" w:rsidRPr="00544E0C">
        <w:rPr>
          <w:color w:val="auto"/>
        </w:rPr>
        <w:t>/fund Board</w:t>
      </w:r>
      <w:r w:rsidRPr="00544E0C">
        <w:rPr>
          <w:color w:val="auto"/>
        </w:rPr>
        <w:t xml:space="preserve"> retains an appropriate level of discretion, this should be enough to take into account the specificities of each individual fund.</w:t>
      </w:r>
    </w:p>
    <w:permEnd w:id="1985707259"/>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29A30BDC" w14:textId="77777777" w:rsidR="00F67C7F" w:rsidRPr="00544E0C" w:rsidRDefault="00F67C7F" w:rsidP="00DA4F15">
      <w:pPr>
        <w:rPr>
          <w:color w:val="auto"/>
        </w:rPr>
      </w:pPr>
      <w:permStart w:id="272712298" w:edGrp="everyone"/>
      <w:r w:rsidRPr="00544E0C">
        <w:rPr>
          <w:color w:val="auto"/>
        </w:rPr>
        <w:t>We broadly agree with the principles and characteristics of redemptions in kind, but we want to highlight some relevant considerations related specifically to ETF and that should be acknowledged in the RTS.</w:t>
      </w:r>
    </w:p>
    <w:p w14:paraId="518AF087" w14:textId="031D0A66" w:rsidR="00F67C7F" w:rsidRPr="00544E0C" w:rsidRDefault="00F67C7F" w:rsidP="00DA4F15">
      <w:pPr>
        <w:rPr>
          <w:color w:val="auto"/>
        </w:rPr>
      </w:pPr>
      <w:r w:rsidRPr="00544E0C">
        <w:rPr>
          <w:color w:val="auto"/>
        </w:rPr>
        <w:t>Firstly, as recognized by the IOSCO’s Guidelines on Anti-Dilution Liquidity Management Tools from December 2023, ETFs have an operational structure which sets them apart from other open-ended funds, as a result of which ETFs were excluded from the application of the Recommendations. This has not been reflected in the ESMA’s RTS and Guidelines.</w:t>
      </w:r>
    </w:p>
    <w:p w14:paraId="0C4A594C" w14:textId="77777777" w:rsidR="00B27AEE" w:rsidRPr="00544E0C" w:rsidRDefault="00F67C7F" w:rsidP="00DA4F15">
      <w:pPr>
        <w:rPr>
          <w:color w:val="auto"/>
        </w:rPr>
      </w:pPr>
      <w:r w:rsidRPr="00544E0C">
        <w:rPr>
          <w:color w:val="auto"/>
        </w:rPr>
        <w:t xml:space="preserve">Secondly, given ETF’s specificity, we believe that the notion of redemption in kind should not include the process of creation/redemption of shares which takes place between the ETF issuer and the Authorised Participant. These activities lie at the core of the ETF structure and are not related to market conditions or liquidity management considerations which underpin the rationale of LMT.  </w:t>
      </w:r>
    </w:p>
    <w:p w14:paraId="305BCC31" w14:textId="45EA2581" w:rsidR="00B27AEE" w:rsidRPr="00544E0C" w:rsidRDefault="00B27AEE" w:rsidP="00DA4F15">
      <w:pPr>
        <w:rPr>
          <w:color w:val="auto"/>
        </w:rPr>
      </w:pPr>
      <w:r w:rsidRPr="00544E0C">
        <w:rPr>
          <w:color w:val="auto"/>
        </w:rPr>
        <w:t>Third, the RTS introduces a derogation for an in-kind redemption to be processed pro rata if the Fund is market</w:t>
      </w:r>
      <w:r w:rsidR="007D209C" w:rsidRPr="00544E0C">
        <w:rPr>
          <w:color w:val="auto"/>
        </w:rPr>
        <w:t>ed</w:t>
      </w:r>
      <w:r w:rsidRPr="00544E0C">
        <w:rPr>
          <w:color w:val="auto"/>
        </w:rPr>
        <w:t xml:space="preserve"> to professional investors and if the investment policy of the fund is to replicate an index. This would suggest that active ETFs which do not replicate an index would not be included in the derogation. </w:t>
      </w:r>
      <w:r w:rsidR="007D209C" w:rsidRPr="00544E0C">
        <w:rPr>
          <w:color w:val="auto"/>
        </w:rPr>
        <w:t xml:space="preserve">The rationale for this approach is not adequately explained </w:t>
      </w:r>
      <w:r w:rsidR="007D209C" w:rsidRPr="00544E0C">
        <w:rPr>
          <w:color w:val="auto"/>
        </w:rPr>
        <w:lastRenderedPageBreak/>
        <w:t xml:space="preserve">in the </w:t>
      </w:r>
      <w:r w:rsidR="009752F7" w:rsidRPr="00544E0C">
        <w:rPr>
          <w:color w:val="auto"/>
        </w:rPr>
        <w:t>Guidelines and RTS</w:t>
      </w:r>
      <w:r w:rsidRPr="00544E0C">
        <w:rPr>
          <w:color w:val="auto"/>
        </w:rPr>
        <w:t>, as in the case of active ETFs as for index tracking ETFs, the process of redemption in-kind is always the result of a negotiation with the professional investor as to what securities will be included as in kind assets.</w:t>
      </w:r>
    </w:p>
    <w:p w14:paraId="69283573" w14:textId="1F361C00" w:rsidR="00DA4F15" w:rsidRPr="00544E0C" w:rsidRDefault="00B27AEE" w:rsidP="00DA4F15">
      <w:pPr>
        <w:rPr>
          <w:color w:val="auto"/>
        </w:rPr>
      </w:pPr>
      <w:r w:rsidRPr="00544E0C">
        <w:rPr>
          <w:color w:val="auto"/>
        </w:rPr>
        <w:t xml:space="preserve">More generally, it is important to not mandate a transfer of a vertical slice of the portfolio (pro rata) in all circumstances. We see benefit in clarifying that </w:t>
      </w:r>
      <w:r w:rsidR="00314AE1" w:rsidRPr="00544E0C">
        <w:rPr>
          <w:color w:val="auto"/>
        </w:rPr>
        <w:t>where a type of transfer of assets (e.g. pro rata share) is applied to one redeeming professional investor</w:t>
      </w:r>
      <w:r w:rsidRPr="00544E0C">
        <w:rPr>
          <w:color w:val="auto"/>
        </w:rPr>
        <w:t>,</w:t>
      </w:r>
      <w:r w:rsidR="00314AE1" w:rsidRPr="00544E0C">
        <w:rPr>
          <w:color w:val="auto"/>
        </w:rPr>
        <w:t xml:space="preserve"> this should not automatically extend to the rest of redeeming investors in the same way</w:t>
      </w:r>
      <w:r w:rsidR="0068598A" w:rsidRPr="00544E0C">
        <w:rPr>
          <w:color w:val="auto"/>
        </w:rPr>
        <w:t>, but it should remain the responsibility of the fund Manager to make sure that the interest of all remaining investors is adequately preserved</w:t>
      </w:r>
      <w:r w:rsidR="00314AE1" w:rsidRPr="00544E0C">
        <w:rPr>
          <w:color w:val="auto"/>
        </w:rPr>
        <w:t>.</w:t>
      </w:r>
      <w:r w:rsidR="00F67C7F" w:rsidRPr="00544E0C">
        <w:rPr>
          <w:color w:val="auto"/>
        </w:rPr>
        <w:t xml:space="preserve">  </w:t>
      </w:r>
    </w:p>
    <w:permEnd w:id="272712298"/>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68E746EB" w14:textId="1AADD1D4" w:rsidR="00DA4F15" w:rsidRPr="00544E0C" w:rsidRDefault="00B27AEE" w:rsidP="00DA4F15">
      <w:pPr>
        <w:rPr>
          <w:color w:val="auto"/>
        </w:rPr>
      </w:pPr>
      <w:permStart w:id="1098730208" w:edGrp="everyone"/>
      <w:r w:rsidRPr="00544E0C">
        <w:rPr>
          <w:color w:val="auto"/>
        </w:rPr>
        <w:t xml:space="preserve">Please refer to our response to question </w:t>
      </w:r>
      <w:r w:rsidR="00676ADA" w:rsidRPr="00544E0C">
        <w:rPr>
          <w:color w:val="auto"/>
        </w:rPr>
        <w:t xml:space="preserve">36 </w:t>
      </w:r>
      <w:r w:rsidRPr="00544E0C">
        <w:rPr>
          <w:color w:val="auto"/>
        </w:rPr>
        <w:t xml:space="preserve">as </w:t>
      </w:r>
      <w:r w:rsidR="00676ADA" w:rsidRPr="00544E0C">
        <w:rPr>
          <w:color w:val="auto"/>
        </w:rPr>
        <w:t xml:space="preserve">it </w:t>
      </w:r>
      <w:r w:rsidRPr="00544E0C">
        <w:rPr>
          <w:color w:val="auto"/>
        </w:rPr>
        <w:t>relates to specific ETF consideration</w:t>
      </w:r>
      <w:r w:rsidR="008F328B" w:rsidRPr="00544E0C">
        <w:rPr>
          <w:color w:val="auto"/>
        </w:rPr>
        <w:t>s</w:t>
      </w:r>
      <w:r w:rsidRPr="00544E0C">
        <w:rPr>
          <w:color w:val="auto"/>
        </w:rPr>
        <w:t>.</w:t>
      </w:r>
      <w:r w:rsidR="0060582D" w:rsidRPr="00544E0C">
        <w:rPr>
          <w:color w:val="auto"/>
        </w:rPr>
        <w:t xml:space="preserve"> </w:t>
      </w:r>
      <w:bookmarkStart w:id="0" w:name="_Hlk178862532"/>
      <w:r w:rsidR="0060582D" w:rsidRPr="00544E0C">
        <w:rPr>
          <w:color w:val="auto"/>
        </w:rPr>
        <w:t>Moreover, we would like to point out that in certain jurisdictions</w:t>
      </w:r>
      <w:r w:rsidR="00A91EC0" w:rsidRPr="00544E0C">
        <w:rPr>
          <w:color w:val="auto"/>
        </w:rPr>
        <w:t>,</w:t>
      </w:r>
      <w:r w:rsidR="0060582D" w:rsidRPr="00544E0C">
        <w:rPr>
          <w:color w:val="auto"/>
        </w:rPr>
        <w:t xml:space="preserve"> as for example Ireland, </w:t>
      </w:r>
      <w:r w:rsidR="00FE3494" w:rsidRPr="00544E0C">
        <w:rPr>
          <w:color w:val="auto"/>
        </w:rPr>
        <w:t xml:space="preserve">it </w:t>
      </w:r>
      <w:r w:rsidR="00545BAC" w:rsidRPr="00544E0C">
        <w:rPr>
          <w:color w:val="auto"/>
        </w:rPr>
        <w:t xml:space="preserve">is current practice that </w:t>
      </w:r>
      <w:r w:rsidR="0060582D" w:rsidRPr="00544E0C">
        <w:rPr>
          <w:color w:val="auto"/>
        </w:rPr>
        <w:t>the fund Manager</w:t>
      </w:r>
      <w:r w:rsidR="00FB177B" w:rsidRPr="00544E0C">
        <w:rPr>
          <w:color w:val="auto"/>
        </w:rPr>
        <w:t>/fund Board</w:t>
      </w:r>
      <w:r w:rsidR="0060582D" w:rsidRPr="00544E0C">
        <w:rPr>
          <w:color w:val="auto"/>
        </w:rPr>
        <w:t xml:space="preserve"> can</w:t>
      </w:r>
      <w:r w:rsidR="00545BAC" w:rsidRPr="00544E0C">
        <w:rPr>
          <w:color w:val="auto"/>
        </w:rPr>
        <w:t>,</w:t>
      </w:r>
      <w:r w:rsidR="0060582D" w:rsidRPr="00544E0C">
        <w:rPr>
          <w:color w:val="auto"/>
        </w:rPr>
        <w:t xml:space="preserve"> at discretion</w:t>
      </w:r>
      <w:r w:rsidR="00545BAC" w:rsidRPr="00544E0C">
        <w:rPr>
          <w:color w:val="auto"/>
        </w:rPr>
        <w:t>,</w:t>
      </w:r>
      <w:r w:rsidR="0060582D" w:rsidRPr="00544E0C">
        <w:rPr>
          <w:color w:val="auto"/>
        </w:rPr>
        <w:t xml:space="preserve"> force the redemption in kind on all types of investors when redemptions breach a certain activation threshold expressed as % of the fund’s NAV.</w:t>
      </w:r>
      <w:r w:rsidR="00E878FB" w:rsidRPr="00544E0C">
        <w:rPr>
          <w:color w:val="auto"/>
        </w:rPr>
        <w:t xml:space="preserve"> </w:t>
      </w:r>
      <w:bookmarkEnd w:id="0"/>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10B2B17F" w:rsidR="00DA4F15" w:rsidRPr="00544E0C" w:rsidRDefault="00676ADA" w:rsidP="00DA4F15">
      <w:pPr>
        <w:rPr>
          <w:color w:val="auto"/>
        </w:rPr>
      </w:pPr>
      <w:permStart w:id="927141195" w:edGrp="everyone"/>
      <w:r w:rsidRPr="00544E0C">
        <w:rPr>
          <w:color w:val="auto"/>
        </w:rPr>
        <w:t>Please refer to our response to question 36 as it relates to specific ETF considerations.</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lastRenderedPageBreak/>
        <w:t>&lt;ESMA_QUESTION_SLMT_39&gt;</w:t>
      </w:r>
    </w:p>
    <w:p w14:paraId="302ADC90" w14:textId="7F4EDC89" w:rsidR="00DA4F15" w:rsidRPr="00E22E96" w:rsidRDefault="00DA4F15" w:rsidP="00DA4F15">
      <w:pPr>
        <w:rPr>
          <w:color w:val="FF0000"/>
        </w:rPr>
      </w:pPr>
      <w:permStart w:id="510677301" w:edGrp="everyone"/>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42EFEAB5" w14:textId="154AE6CE" w:rsidR="00DA4F15" w:rsidRPr="00544E0C" w:rsidRDefault="00E22E96" w:rsidP="00DA4F15">
      <w:pPr>
        <w:rPr>
          <w:color w:val="auto"/>
        </w:rPr>
      </w:pPr>
      <w:permStart w:id="2037011811" w:edGrp="everyone"/>
      <w:r w:rsidRPr="00544E0C">
        <w:rPr>
          <w:color w:val="auto"/>
        </w:rPr>
        <w:t xml:space="preserve">We would like to refer to the </w:t>
      </w:r>
      <w:r w:rsidR="001339EA" w:rsidRPr="00544E0C">
        <w:rPr>
          <w:color w:val="auto"/>
        </w:rPr>
        <w:t xml:space="preserve">response provided by </w:t>
      </w:r>
      <w:r w:rsidR="00F35C24" w:rsidRPr="00544E0C">
        <w:rPr>
          <w:color w:val="auto"/>
        </w:rPr>
        <w:t>the European Fund and Asset Management Association (EFAMA)</w:t>
      </w:r>
      <w:r w:rsidRPr="00544E0C">
        <w:rPr>
          <w:color w:val="auto"/>
        </w:rPr>
        <w:t xml:space="preserve"> on this specific point. </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A82A03F" w14:textId="4FF675B5" w:rsidR="00DA4F15" w:rsidRDefault="00DA4F15" w:rsidP="00DA4F15">
      <w:permStart w:id="585316222" w:edGrp="everyone"/>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0D1B9695" w14:textId="0242F282" w:rsidR="00DA4F15" w:rsidRDefault="00DA4F15" w:rsidP="00DA4F15">
      <w:permStart w:id="221516517" w:edGrp="everyone"/>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769D80AA" w:rsidR="00DA4F15" w:rsidRDefault="00DA4F15" w:rsidP="00DA4F15">
      <w:permStart w:id="69550584" w:edGrp="everyone"/>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646AA996" w14:textId="28FA4026" w:rsidR="00DA4F15" w:rsidRDefault="00DA4F15" w:rsidP="00DA4F15">
      <w:permStart w:id="1794260798" w:edGrp="everyone"/>
    </w:p>
    <w:permEnd w:id="1794260798"/>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3578EE66" w:rsidR="00DA4F15" w:rsidRDefault="00DA4F15" w:rsidP="00DA4F15">
      <w:permStart w:id="1279335310" w:edGrp="everyone"/>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above-mentioned reasoning in relation to the possible costs and benefits of the option taken by ESMA as regards the characteristics </w:t>
      </w:r>
      <w:r>
        <w:lastRenderedPageBreak/>
        <w:t>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1C2B1619" w:rsidR="00DA4F15" w:rsidRDefault="00DA4F15" w:rsidP="00DA4F15">
      <w:permStart w:id="1733898629" w:edGrp="everyone"/>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56FFAFFC" w:rsidR="00DA4F15" w:rsidRDefault="00DA4F15" w:rsidP="00DA4F15">
      <w:permStart w:id="1224744272" w:edGrp="everyone"/>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7"/>
      <w:footerReference w:type="even" r:id="rId28"/>
      <w:footerReference w:type="default" r:id="rId29"/>
      <w:footerReference w:type="first" r:id="rId3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F66F" w14:textId="77777777" w:rsidR="00F56455" w:rsidRDefault="00F56455" w:rsidP="007E7997">
      <w:pPr>
        <w:spacing w:line="240" w:lineRule="auto"/>
      </w:pPr>
      <w:r>
        <w:separator/>
      </w:r>
    </w:p>
  </w:endnote>
  <w:endnote w:type="continuationSeparator" w:id="0">
    <w:p w14:paraId="26870886" w14:textId="77777777" w:rsidR="00F56455" w:rsidRDefault="00F56455" w:rsidP="007E7997">
      <w:pPr>
        <w:spacing w:line="240" w:lineRule="auto"/>
      </w:pPr>
      <w:r>
        <w:continuationSeparator/>
      </w:r>
    </w:p>
  </w:endnote>
  <w:endnote w:type="continuationNotice" w:id="1">
    <w:p w14:paraId="3D145AA5" w14:textId="77777777" w:rsidR="00F56455" w:rsidRDefault="00F56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4107" w14:textId="654A7FE6" w:rsidR="00531041" w:rsidRDefault="00531041">
    <w:pPr>
      <w:pStyle w:val="Footer"/>
    </w:pPr>
    <w:r>
      <w:rPr>
        <w:noProof/>
      </w:rPr>
      <mc:AlternateContent>
        <mc:Choice Requires="wps">
          <w:drawing>
            <wp:anchor distT="0" distB="0" distL="0" distR="0" simplePos="0" relativeHeight="251660291" behindDoc="0" locked="0" layoutInCell="1" allowOverlap="1" wp14:anchorId="7619840D" wp14:editId="5ED07758">
              <wp:simplePos x="635" y="635"/>
              <wp:positionH relativeFrom="page">
                <wp:align>left</wp:align>
              </wp:positionH>
              <wp:positionV relativeFrom="page">
                <wp:align>bottom</wp:align>
              </wp:positionV>
              <wp:extent cx="443865" cy="443865"/>
              <wp:effectExtent l="0" t="0" r="6350" b="0"/>
              <wp:wrapNone/>
              <wp:docPr id="1218494163" name="Text Box 2"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AC3D2" w14:textId="57A7362A"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19840D" id="_x0000_t202" coordsize="21600,21600" o:spt="202" path="m,l,21600r21600,l21600,xe">
              <v:stroke joinstyle="miter"/>
              <v:path gradientshapeok="t" o:connecttype="rect"/>
            </v:shapetype>
            <v:shape id="Text Box 2" o:spid="_x0000_s1026" type="#_x0000_t202" alt="Information Classification: Limited Access" style="position:absolute;margin-left:0;margin-top:0;width:34.95pt;height:34.95pt;z-index:251660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42AC3D2" w14:textId="57A7362A"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EF19" w14:textId="737CAAFF" w:rsidR="00531041" w:rsidRDefault="00531041">
    <w:pPr>
      <w:pStyle w:val="Footer"/>
    </w:pPr>
    <w:r>
      <w:rPr>
        <w:noProof/>
      </w:rPr>
      <mc:AlternateContent>
        <mc:Choice Requires="wps">
          <w:drawing>
            <wp:anchor distT="0" distB="0" distL="0" distR="0" simplePos="0" relativeHeight="251661315" behindDoc="0" locked="0" layoutInCell="1" allowOverlap="1" wp14:anchorId="10B8FC97" wp14:editId="3B020BC1">
              <wp:simplePos x="635" y="635"/>
              <wp:positionH relativeFrom="page">
                <wp:align>left</wp:align>
              </wp:positionH>
              <wp:positionV relativeFrom="page">
                <wp:align>bottom</wp:align>
              </wp:positionV>
              <wp:extent cx="443865" cy="443865"/>
              <wp:effectExtent l="0" t="0" r="6350" b="0"/>
              <wp:wrapNone/>
              <wp:docPr id="1122372601" name="Text Box 3"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523D3" w14:textId="308C57F4"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B8FC97" id="_x0000_t202" coordsize="21600,21600" o:spt="202" path="m,l,21600r21600,l21600,xe">
              <v:stroke joinstyle="miter"/>
              <v:path gradientshapeok="t" o:connecttype="rect"/>
            </v:shapetype>
            <v:shape id="Text Box 3" o:spid="_x0000_s1027" type="#_x0000_t202" alt="Information Classification: Limited Access" style="position:absolute;margin-left:0;margin-top:0;width:34.95pt;height:34.95pt;z-index:251661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C9523D3" w14:textId="308C57F4"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3007" w14:textId="731F0C38" w:rsidR="00531041" w:rsidRDefault="00531041">
    <w:pPr>
      <w:pStyle w:val="Footer"/>
    </w:pPr>
    <w:r>
      <w:rPr>
        <w:noProof/>
      </w:rPr>
      <mc:AlternateContent>
        <mc:Choice Requires="wps">
          <w:drawing>
            <wp:anchor distT="0" distB="0" distL="0" distR="0" simplePos="0" relativeHeight="251659267" behindDoc="0" locked="0" layoutInCell="1" allowOverlap="1" wp14:anchorId="0924BDA1" wp14:editId="6DC89904">
              <wp:simplePos x="904875" y="9963150"/>
              <wp:positionH relativeFrom="page">
                <wp:align>left</wp:align>
              </wp:positionH>
              <wp:positionV relativeFrom="page">
                <wp:align>bottom</wp:align>
              </wp:positionV>
              <wp:extent cx="443865" cy="443865"/>
              <wp:effectExtent l="0" t="0" r="6350" b="0"/>
              <wp:wrapNone/>
              <wp:docPr id="733405182" name="Text Box 1"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6266C" w14:textId="55CD059A"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24BDA1" id="_x0000_t202" coordsize="21600,21600" o:spt="202" path="m,l,21600r21600,l21600,xe">
              <v:stroke joinstyle="miter"/>
              <v:path gradientshapeok="t" o:connecttype="rect"/>
            </v:shapetype>
            <v:shape id="Text Box 1" o:spid="_x0000_s1028" type="#_x0000_t202" alt="Information Classification: Limited Access" style="position:absolute;margin-left:0;margin-top:0;width:34.95pt;height:34.95pt;z-index:251659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D16266C" w14:textId="55CD059A"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D05F" w14:textId="7AB26894" w:rsidR="00531041" w:rsidRDefault="00531041">
    <w:pPr>
      <w:pStyle w:val="Footer"/>
    </w:pPr>
    <w:r>
      <w:rPr>
        <w:noProof/>
      </w:rPr>
      <mc:AlternateContent>
        <mc:Choice Requires="wps">
          <w:drawing>
            <wp:anchor distT="0" distB="0" distL="0" distR="0" simplePos="0" relativeHeight="251663363" behindDoc="0" locked="0" layoutInCell="1" allowOverlap="1" wp14:anchorId="2962E4D0" wp14:editId="3E03F9FE">
              <wp:simplePos x="635" y="635"/>
              <wp:positionH relativeFrom="page">
                <wp:align>left</wp:align>
              </wp:positionH>
              <wp:positionV relativeFrom="page">
                <wp:align>bottom</wp:align>
              </wp:positionV>
              <wp:extent cx="443865" cy="443865"/>
              <wp:effectExtent l="0" t="0" r="6350" b="0"/>
              <wp:wrapNone/>
              <wp:docPr id="2139645577" name="Text Box 5"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6DECB" w14:textId="4ECDDF12"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62E4D0" id="_x0000_t202" coordsize="21600,21600" o:spt="202" path="m,l,21600r21600,l21600,xe">
              <v:stroke joinstyle="miter"/>
              <v:path gradientshapeok="t" o:connecttype="rect"/>
            </v:shapetype>
            <v:shape id="Text Box 5" o:spid="_x0000_s1029" type="#_x0000_t202" alt="Information Classification: Limited Access" style="position:absolute;margin-left:0;margin-top:0;width:34.95pt;height:34.95pt;z-index:2516633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9F6DECB" w14:textId="4ECDDF12"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2145" w14:textId="77777777" w:rsidR="00531041" w:rsidRDefault="00531041" w:rsidP="002533FC">
    <w:pPr>
      <w:rPr>
        <w:color w:val="001B4F" w:themeColor="text1" w:themeShade="80"/>
        <w:sz w:val="16"/>
        <w:szCs w:val="16"/>
      </w:rPr>
    </w:pPr>
    <w:r>
      <w:rPr>
        <w:noProof/>
        <w:color w:val="001B4F" w:themeColor="text1" w:themeShade="80"/>
        <w:sz w:val="16"/>
        <w:szCs w:val="16"/>
      </w:rPr>
      <mc:AlternateContent>
        <mc:Choice Requires="wps">
          <w:drawing>
            <wp:anchor distT="0" distB="0" distL="0" distR="0" simplePos="0" relativeHeight="251664387" behindDoc="0" locked="0" layoutInCell="1" allowOverlap="1" wp14:anchorId="06814C6F" wp14:editId="748A5A92">
              <wp:simplePos x="904875" y="9334500"/>
              <wp:positionH relativeFrom="page">
                <wp:align>left</wp:align>
              </wp:positionH>
              <wp:positionV relativeFrom="page">
                <wp:align>bottom</wp:align>
              </wp:positionV>
              <wp:extent cx="443865" cy="443865"/>
              <wp:effectExtent l="0" t="0" r="6350" b="0"/>
              <wp:wrapNone/>
              <wp:docPr id="1486669909" name="Text Box 6"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746C6" w14:textId="7462FC3C"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814C6F" id="_x0000_t202" coordsize="21600,21600" o:spt="202" path="m,l,21600r21600,l21600,xe">
              <v:stroke joinstyle="miter"/>
              <v:path gradientshapeok="t" o:connecttype="rect"/>
            </v:shapetype>
            <v:shape id="Text Box 6" o:spid="_x0000_s1030" type="#_x0000_t202" alt="Information Classification: Limited Access" style="position:absolute;left:0;text-align:left;margin-left:0;margin-top:0;width:34.95pt;height:34.95pt;z-index:25166438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7F746C6" w14:textId="7462FC3C"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sdt>
    <w:sdtPr>
      <w:rPr>
        <w:color w:val="001B4F" w:themeColor="text1" w:themeShade="80"/>
        <w:sz w:val="16"/>
        <w:szCs w:val="16"/>
      </w:rPr>
      <w:id w:val="-1421483652"/>
      <w:docPartObj>
        <w:docPartGallery w:val="Page Numbers (Bottom of Page)"/>
        <w:docPartUnique/>
      </w:docPartObj>
    </w:sdtPr>
    <w:sdtEndPr/>
    <w:sdtContent>
      <w:p w14:paraId="70AFCDE4" w14:textId="14736FA1"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1C9" w14:textId="6B47AB76" w:rsidR="00531041" w:rsidRDefault="00531041">
    <w:pPr>
      <w:pStyle w:val="Footer"/>
    </w:pPr>
    <w:r>
      <w:rPr>
        <w:noProof/>
      </w:rPr>
      <mc:AlternateContent>
        <mc:Choice Requires="wps">
          <w:drawing>
            <wp:anchor distT="0" distB="0" distL="0" distR="0" simplePos="0" relativeHeight="251662339" behindDoc="0" locked="0" layoutInCell="1" allowOverlap="1" wp14:anchorId="3789B7D1" wp14:editId="78993C58">
              <wp:simplePos x="635" y="635"/>
              <wp:positionH relativeFrom="page">
                <wp:align>left</wp:align>
              </wp:positionH>
              <wp:positionV relativeFrom="page">
                <wp:align>bottom</wp:align>
              </wp:positionV>
              <wp:extent cx="443865" cy="443865"/>
              <wp:effectExtent l="0" t="0" r="6350" b="0"/>
              <wp:wrapNone/>
              <wp:docPr id="1171457207" name="Text Box 4"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61983" w14:textId="3AFD8D35"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89B7D1" id="_x0000_t202" coordsize="21600,21600" o:spt="202" path="m,l,21600r21600,l21600,xe">
              <v:stroke joinstyle="miter"/>
              <v:path gradientshapeok="t" o:connecttype="rect"/>
            </v:shapetype>
            <v:shape id="Text Box 4" o:spid="_x0000_s1031" type="#_x0000_t202" alt="Information Classification: Limited Access" style="position:absolute;margin-left:0;margin-top:0;width:34.95pt;height:34.95pt;z-index:25166233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4EB61983" w14:textId="3AFD8D35"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E19" w14:textId="6B150774" w:rsidR="00531041" w:rsidRDefault="00531041">
    <w:pPr>
      <w:pStyle w:val="Footer"/>
    </w:pPr>
    <w:r>
      <w:rPr>
        <w:noProof/>
      </w:rPr>
      <mc:AlternateContent>
        <mc:Choice Requires="wps">
          <w:drawing>
            <wp:anchor distT="0" distB="0" distL="0" distR="0" simplePos="0" relativeHeight="251666435" behindDoc="0" locked="0" layoutInCell="1" allowOverlap="1" wp14:anchorId="20CBDC7C" wp14:editId="008941F6">
              <wp:simplePos x="635" y="635"/>
              <wp:positionH relativeFrom="page">
                <wp:align>left</wp:align>
              </wp:positionH>
              <wp:positionV relativeFrom="page">
                <wp:align>bottom</wp:align>
              </wp:positionV>
              <wp:extent cx="443865" cy="443865"/>
              <wp:effectExtent l="0" t="0" r="6350" b="0"/>
              <wp:wrapNone/>
              <wp:docPr id="2103941794" name="Text Box 8"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7F47B" w14:textId="3D8AD1EC"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CBDC7C" id="_x0000_t202" coordsize="21600,21600" o:spt="202" path="m,l,21600r21600,l21600,xe">
              <v:stroke joinstyle="miter"/>
              <v:path gradientshapeok="t" o:connecttype="rect"/>
            </v:shapetype>
            <v:shape id="Text Box 8" o:spid="_x0000_s1032" type="#_x0000_t202" alt="Information Classification: Limited Access" style="position:absolute;margin-left:0;margin-top:0;width:34.95pt;height:34.95pt;z-index:25166643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0197F47B" w14:textId="3D8AD1EC"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C61A" w14:textId="1524C21B" w:rsidR="006A44DA" w:rsidRDefault="00531041" w:rsidP="00B73281">
    <w:pPr>
      <w:pStyle w:val="Footer"/>
      <w:jc w:val="right"/>
    </w:pPr>
    <w:r>
      <w:rPr>
        <w:noProof/>
      </w:rPr>
      <mc:AlternateContent>
        <mc:Choice Requires="wps">
          <w:drawing>
            <wp:anchor distT="0" distB="0" distL="0" distR="0" simplePos="0" relativeHeight="251667459" behindDoc="0" locked="0" layoutInCell="1" allowOverlap="1" wp14:anchorId="3E373A12" wp14:editId="26CBAE3E">
              <wp:simplePos x="904875" y="9963150"/>
              <wp:positionH relativeFrom="page">
                <wp:align>left</wp:align>
              </wp:positionH>
              <wp:positionV relativeFrom="page">
                <wp:align>bottom</wp:align>
              </wp:positionV>
              <wp:extent cx="443865" cy="443865"/>
              <wp:effectExtent l="0" t="0" r="6350" b="0"/>
              <wp:wrapNone/>
              <wp:docPr id="76688571" name="Text Box 9"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01C17" w14:textId="45D27C9D"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373A12" id="_x0000_t202" coordsize="21600,21600" o:spt="202" path="m,l,21600r21600,l21600,xe">
              <v:stroke joinstyle="miter"/>
              <v:path gradientshapeok="t" o:connecttype="rect"/>
            </v:shapetype>
            <v:shape id="Text Box 9" o:spid="_x0000_s1033" type="#_x0000_t202" alt="Information Classification: Limited Access" style="position:absolute;left:0;text-align:left;margin-left:0;margin-top:0;width:34.95pt;height:34.95pt;z-index:2516674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37D01C17" w14:textId="45D27C9D"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sdt>
      <w:sdtPr>
        <w:id w:val="-1314024557"/>
        <w:docPartObj>
          <w:docPartGallery w:val="Page Numbers (Bottom of Page)"/>
          <w:docPartUnique/>
        </w:docPartObj>
      </w:sdtPr>
      <w:sdtEndPr>
        <w:rPr>
          <w:noProof/>
        </w:rPr>
      </w:sdtEndPr>
      <w:sdtContent>
        <w:r w:rsidR="006A44DA">
          <w:fldChar w:fldCharType="begin"/>
        </w:r>
        <w:r w:rsidR="006A44DA">
          <w:instrText xml:space="preserve"> PAGE   \* MERGEFORMAT </w:instrText>
        </w:r>
        <w:r w:rsidR="006A44DA">
          <w:fldChar w:fldCharType="separate"/>
        </w:r>
        <w:r w:rsidR="006A44DA">
          <w:rPr>
            <w:noProof/>
          </w:rPr>
          <w:t>14</w:t>
        </w:r>
        <w:r w:rsidR="006A44DA">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2F5F" w14:textId="64EE1CAE" w:rsidR="00531041" w:rsidRDefault="00531041">
    <w:pPr>
      <w:pStyle w:val="Footer"/>
    </w:pPr>
    <w:r>
      <w:rPr>
        <w:noProof/>
      </w:rPr>
      <mc:AlternateContent>
        <mc:Choice Requires="wps">
          <w:drawing>
            <wp:anchor distT="0" distB="0" distL="0" distR="0" simplePos="0" relativeHeight="251665411" behindDoc="0" locked="0" layoutInCell="1" allowOverlap="1" wp14:anchorId="1DCF232B" wp14:editId="0227D800">
              <wp:simplePos x="635" y="635"/>
              <wp:positionH relativeFrom="page">
                <wp:align>left</wp:align>
              </wp:positionH>
              <wp:positionV relativeFrom="page">
                <wp:align>bottom</wp:align>
              </wp:positionV>
              <wp:extent cx="443865" cy="443865"/>
              <wp:effectExtent l="0" t="0" r="6350" b="0"/>
              <wp:wrapNone/>
              <wp:docPr id="338218420" name="Text Box 7" descr="Information Classification: Limi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02C3A" w14:textId="286D9021"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CF232B" id="_x0000_t202" coordsize="21600,21600" o:spt="202" path="m,l,21600r21600,l21600,xe">
              <v:stroke joinstyle="miter"/>
              <v:path gradientshapeok="t" o:connecttype="rect"/>
            </v:shapetype>
            <v:shape id="Text Box 7" o:spid="_x0000_s1034" type="#_x0000_t202" alt="Information Classification: Limited Access" style="position:absolute;margin-left:0;margin-top:0;width:34.95pt;height:34.95pt;z-index:25166541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5C02C3A" w14:textId="286D9021" w:rsidR="00531041" w:rsidRPr="00531041" w:rsidRDefault="00531041" w:rsidP="00531041">
                    <w:pPr>
                      <w:spacing w:after="0"/>
                      <w:rPr>
                        <w:rFonts w:ascii="Calibri" w:eastAsia="Calibri" w:hAnsi="Calibri" w:cs="Calibri"/>
                        <w:noProof/>
                        <w:color w:val="000000"/>
                        <w:sz w:val="20"/>
                      </w:rPr>
                    </w:pPr>
                    <w:r w:rsidRPr="00531041">
                      <w:rPr>
                        <w:rFonts w:ascii="Calibri" w:eastAsia="Calibri" w:hAnsi="Calibri" w:cs="Calibri"/>
                        <w:noProof/>
                        <w:color w:val="000000"/>
                        <w:sz w:val="20"/>
                      </w:rPr>
                      <w:t>Information Classification: Limited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AA6D" w14:textId="77777777" w:rsidR="00F56455" w:rsidRDefault="00F56455" w:rsidP="007E7997">
      <w:pPr>
        <w:spacing w:line="240" w:lineRule="auto"/>
      </w:pPr>
      <w:r>
        <w:separator/>
      </w:r>
    </w:p>
  </w:footnote>
  <w:footnote w:type="continuationSeparator" w:id="0">
    <w:p w14:paraId="290FB66B" w14:textId="77777777" w:rsidR="00F56455" w:rsidRDefault="00F56455" w:rsidP="007E7997">
      <w:pPr>
        <w:spacing w:line="240" w:lineRule="auto"/>
      </w:pPr>
      <w:r>
        <w:continuationSeparator/>
      </w:r>
    </w:p>
  </w:footnote>
  <w:footnote w:type="continuationNotice" w:id="1">
    <w:p w14:paraId="5E6A7D59" w14:textId="77777777" w:rsidR="00F56455" w:rsidRDefault="00F56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B7BAB5B"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Header"/>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2"/>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EF9"/>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515"/>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C87"/>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57512"/>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2AE0"/>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39EA"/>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5A2"/>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B89"/>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A2B"/>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3BB3"/>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9B7"/>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1D47"/>
    <w:rsid w:val="003120D5"/>
    <w:rsid w:val="003124F5"/>
    <w:rsid w:val="0031252F"/>
    <w:rsid w:val="00312D33"/>
    <w:rsid w:val="0031315D"/>
    <w:rsid w:val="003134B2"/>
    <w:rsid w:val="0031396B"/>
    <w:rsid w:val="003139A6"/>
    <w:rsid w:val="00313C60"/>
    <w:rsid w:val="00313F4E"/>
    <w:rsid w:val="00314117"/>
    <w:rsid w:val="0031452B"/>
    <w:rsid w:val="0031472B"/>
    <w:rsid w:val="00314AE1"/>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517"/>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089"/>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71F"/>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93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6"/>
    <w:rsid w:val="005250DA"/>
    <w:rsid w:val="005251EB"/>
    <w:rsid w:val="00525584"/>
    <w:rsid w:val="005264C5"/>
    <w:rsid w:val="00526E5D"/>
    <w:rsid w:val="00526FDB"/>
    <w:rsid w:val="005279B7"/>
    <w:rsid w:val="00527C09"/>
    <w:rsid w:val="00527F8C"/>
    <w:rsid w:val="005300C2"/>
    <w:rsid w:val="0053097A"/>
    <w:rsid w:val="00531041"/>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2E4"/>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4E0C"/>
    <w:rsid w:val="005452DD"/>
    <w:rsid w:val="00545831"/>
    <w:rsid w:val="00545BAC"/>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4FC"/>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82D"/>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6ADA"/>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98A"/>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7CE"/>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1E9F"/>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09C"/>
    <w:rsid w:val="007D218E"/>
    <w:rsid w:val="007D2222"/>
    <w:rsid w:val="007D2357"/>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0EE"/>
    <w:rsid w:val="008416BF"/>
    <w:rsid w:val="008417A5"/>
    <w:rsid w:val="00841A54"/>
    <w:rsid w:val="00842453"/>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3"/>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70B"/>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6E99"/>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6F8A"/>
    <w:rsid w:val="008E76C0"/>
    <w:rsid w:val="008E7DF7"/>
    <w:rsid w:val="008F05CB"/>
    <w:rsid w:val="008F076D"/>
    <w:rsid w:val="008F0D64"/>
    <w:rsid w:val="008F121A"/>
    <w:rsid w:val="008F19D7"/>
    <w:rsid w:val="008F29DA"/>
    <w:rsid w:val="008F2D5D"/>
    <w:rsid w:val="008F3010"/>
    <w:rsid w:val="008F3070"/>
    <w:rsid w:val="008F328B"/>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5E88"/>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2F7"/>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0EDD"/>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1D65"/>
    <w:rsid w:val="009F2098"/>
    <w:rsid w:val="009F26C1"/>
    <w:rsid w:val="009F2B45"/>
    <w:rsid w:val="009F34D6"/>
    <w:rsid w:val="009F3A1F"/>
    <w:rsid w:val="009F3C54"/>
    <w:rsid w:val="009F4246"/>
    <w:rsid w:val="009F43DB"/>
    <w:rsid w:val="009F43EE"/>
    <w:rsid w:val="009F4730"/>
    <w:rsid w:val="009F4ACC"/>
    <w:rsid w:val="009F4F0A"/>
    <w:rsid w:val="009F4FA0"/>
    <w:rsid w:val="009F52EC"/>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1EC0"/>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AEE"/>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3FED"/>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5E30"/>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39F9"/>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2E96"/>
    <w:rsid w:val="00E2321A"/>
    <w:rsid w:val="00E23712"/>
    <w:rsid w:val="00E2423D"/>
    <w:rsid w:val="00E242F9"/>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0F99"/>
    <w:rsid w:val="00E51EE2"/>
    <w:rsid w:val="00E52995"/>
    <w:rsid w:val="00E529AF"/>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878FB"/>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174"/>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24"/>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455"/>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C7F"/>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2F8"/>
    <w:rsid w:val="00F85326"/>
    <w:rsid w:val="00F85424"/>
    <w:rsid w:val="00F8555C"/>
    <w:rsid w:val="00F85660"/>
    <w:rsid w:val="00F85707"/>
    <w:rsid w:val="00F85C22"/>
    <w:rsid w:val="00F85EFD"/>
    <w:rsid w:val="00F85F30"/>
    <w:rsid w:val="00F85FD4"/>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177B"/>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D7F5B"/>
    <w:rsid w:val="00FE0364"/>
    <w:rsid w:val="00FE0EB1"/>
    <w:rsid w:val="00FE1327"/>
    <w:rsid w:val="00FE17F0"/>
    <w:rsid w:val="00FE1DDC"/>
    <w:rsid w:val="00FE2071"/>
    <w:rsid w:val="00FE2356"/>
    <w:rsid w:val="00FE3494"/>
    <w:rsid w:val="00FE3C32"/>
    <w:rsid w:val="00FE4207"/>
    <w:rsid w:val="00FE4306"/>
    <w:rsid w:val="00FE4A62"/>
    <w:rsid w:val="00FE4BCA"/>
    <w:rsid w:val="00FE526A"/>
    <w:rsid w:val="00FE55B5"/>
    <w:rsid w:val="00FE5D37"/>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HTMLPreformatted">
    <w:name w:val="HTML Preformatted"/>
    <w:basedOn w:val="Normal"/>
    <w:link w:val="HTMLPreformattedChar"/>
    <w:uiPriority w:val="99"/>
    <w:semiHidden/>
    <w:unhideWhenUsed/>
    <w:rsid w:val="00026C87"/>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26C87"/>
    <w:rPr>
      <w:rFonts w:ascii="Consolas" w:hAnsi="Consolas"/>
      <w:color w:val="181818" w:themeColor="background1" w:themeShade="1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87528926">
      <w:bodyDiv w:val="1"/>
      <w:marLeft w:val="0"/>
      <w:marRight w:val="0"/>
      <w:marTop w:val="0"/>
      <w:marBottom w:val="0"/>
      <w:divBdr>
        <w:top w:val="none" w:sz="0" w:space="0" w:color="auto"/>
        <w:left w:val="none" w:sz="0" w:space="0" w:color="auto"/>
        <w:bottom w:val="none" w:sz="0" w:space="0" w:color="auto"/>
        <w:right w:val="none" w:sz="0" w:space="0" w:color="auto"/>
      </w:divBdr>
    </w:div>
    <w:div w:id="1406535919">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955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sma.europa.e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esma.europa.eu/press-news/consultations/consultation-liquidity-management-tools-fun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3BBDF76C541858114663E5965616E"/>
        <w:category>
          <w:name w:val="General"/>
          <w:gallery w:val="placeholder"/>
        </w:category>
        <w:types>
          <w:type w:val="bbPlcHdr"/>
        </w:types>
        <w:behaviors>
          <w:behavior w:val="content"/>
        </w:behaviors>
        <w:guid w:val="{B77B06AF-BAA1-4879-A1A9-FBA5E1E0BD86}"/>
      </w:docPartPr>
      <w:docPartBody>
        <w:p w:rsidR="00A11C5F" w:rsidRDefault="00A11C5F" w:rsidP="00A11C5F">
          <w:pPr>
            <w:pStyle w:val="B1A3BBDF76C541858114663E5965616E"/>
          </w:pPr>
          <w:r w:rsidRPr="00DA1A90">
            <w:rPr>
              <w:rStyle w:val="PlaceholderText"/>
            </w:rPr>
            <w:t>Click or tap here to enter text.</w:t>
          </w:r>
        </w:p>
      </w:docPartBody>
    </w:docPart>
    <w:docPart>
      <w:docPartPr>
        <w:name w:val="27BFAC6F04CF4ED99AE4CC2A86272895"/>
        <w:category>
          <w:name w:val="General"/>
          <w:gallery w:val="placeholder"/>
        </w:category>
        <w:types>
          <w:type w:val="bbPlcHdr"/>
        </w:types>
        <w:behaviors>
          <w:behavior w:val="content"/>
        </w:behaviors>
        <w:guid w:val="{7FFD5B63-0887-4879-8A9B-643F89E569E3}"/>
      </w:docPartPr>
      <w:docPartBody>
        <w:p w:rsidR="00A11C5F" w:rsidRDefault="00A11C5F" w:rsidP="00A11C5F">
          <w:pPr>
            <w:pStyle w:val="27BFAC6F04CF4ED99AE4CC2A86272895"/>
          </w:pPr>
          <w:r w:rsidRPr="00DA1A90">
            <w:rPr>
              <w:rStyle w:val="PlaceholderText"/>
            </w:rPr>
            <w:t>Click or tap here to enter text.</w:t>
          </w:r>
        </w:p>
      </w:docPartBody>
    </w:docPart>
    <w:docPart>
      <w:docPartPr>
        <w:name w:val="97B27C9CF5A34E71A4B2410069946662"/>
        <w:category>
          <w:name w:val="General"/>
          <w:gallery w:val="placeholder"/>
        </w:category>
        <w:types>
          <w:type w:val="bbPlcHdr"/>
        </w:types>
        <w:behaviors>
          <w:behavior w:val="content"/>
        </w:behaviors>
        <w:guid w:val="{709C894A-EDE4-4A8A-B01B-4F8A82DBD62A}"/>
      </w:docPartPr>
      <w:docPartBody>
        <w:p w:rsidR="00A11C5F" w:rsidRDefault="00A11C5F" w:rsidP="00A11C5F">
          <w:pPr>
            <w:pStyle w:val="97B27C9CF5A34E71A4B2410069946662"/>
          </w:pPr>
          <w:r w:rsidRPr="00DA1A90">
            <w:rPr>
              <w:rStyle w:val="PlaceholderText"/>
            </w:rPr>
            <w:t>Choose an item.</w:t>
          </w:r>
        </w:p>
      </w:docPartBody>
    </w:docPart>
    <w:docPart>
      <w:docPartPr>
        <w:name w:val="A74ABEB6D1D54DCEBEFB3B9F1F8574CD"/>
        <w:category>
          <w:name w:val="General"/>
          <w:gallery w:val="placeholder"/>
        </w:category>
        <w:types>
          <w:type w:val="bbPlcHdr"/>
        </w:types>
        <w:behaviors>
          <w:behavior w:val="content"/>
        </w:behaviors>
        <w:guid w:val="{8553475C-7B87-4651-9AF1-856BE569CE1E}"/>
      </w:docPartPr>
      <w:docPartBody>
        <w:p w:rsidR="00A11C5F" w:rsidRDefault="00A11C5F" w:rsidP="00A11C5F">
          <w:pPr>
            <w:pStyle w:val="A74ABEB6D1D54DCEBEFB3B9F1F8574CD"/>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31B48"/>
    <w:rsid w:val="00171343"/>
    <w:rsid w:val="002826FB"/>
    <w:rsid w:val="002F71C9"/>
    <w:rsid w:val="003C3A27"/>
    <w:rsid w:val="003E2607"/>
    <w:rsid w:val="004E4CF9"/>
    <w:rsid w:val="00586BE6"/>
    <w:rsid w:val="00747575"/>
    <w:rsid w:val="00775480"/>
    <w:rsid w:val="00782F18"/>
    <w:rsid w:val="00813189"/>
    <w:rsid w:val="008222A0"/>
    <w:rsid w:val="00836D47"/>
    <w:rsid w:val="00860BBF"/>
    <w:rsid w:val="0087748B"/>
    <w:rsid w:val="00967557"/>
    <w:rsid w:val="00993561"/>
    <w:rsid w:val="00996016"/>
    <w:rsid w:val="009B6B9C"/>
    <w:rsid w:val="009C794D"/>
    <w:rsid w:val="00A11C5F"/>
    <w:rsid w:val="00A408D7"/>
    <w:rsid w:val="00AC6273"/>
    <w:rsid w:val="00B22006"/>
    <w:rsid w:val="00C336E8"/>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C5F"/>
    <w:rPr>
      <w:color w:val="808080"/>
    </w:rPr>
  </w:style>
  <w:style w:type="paragraph" w:customStyle="1" w:styleId="B1A3BBDF76C541858114663E5965616E">
    <w:name w:val="B1A3BBDF76C541858114663E5965616E"/>
    <w:rsid w:val="00A11C5F"/>
    <w:rPr>
      <w:kern w:val="2"/>
      <w:lang w:eastAsia="zh-CN"/>
      <w14:ligatures w14:val="standardContextual"/>
    </w:rPr>
  </w:style>
  <w:style w:type="paragraph" w:customStyle="1" w:styleId="27BFAC6F04CF4ED99AE4CC2A86272895">
    <w:name w:val="27BFAC6F04CF4ED99AE4CC2A86272895"/>
    <w:rsid w:val="00A11C5F"/>
    <w:rPr>
      <w:kern w:val="2"/>
      <w:lang w:eastAsia="zh-CN"/>
      <w14:ligatures w14:val="standardContextual"/>
    </w:rPr>
  </w:style>
  <w:style w:type="paragraph" w:customStyle="1" w:styleId="97B27C9CF5A34E71A4B2410069946662">
    <w:name w:val="97B27C9CF5A34E71A4B2410069946662"/>
    <w:rsid w:val="00A11C5F"/>
    <w:rPr>
      <w:kern w:val="2"/>
      <w:lang w:eastAsia="zh-CN"/>
      <w14:ligatures w14:val="standardContextual"/>
    </w:rPr>
  </w:style>
  <w:style w:type="paragraph" w:customStyle="1" w:styleId="A74ABEB6D1D54DCEBEFB3B9F1F8574CD">
    <w:name w:val="A74ABEB6D1D54DCEBEFB3B9F1F8574CD"/>
    <w:rsid w:val="00A11C5F"/>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Metadata/LabelInfo.xml><?xml version="1.0" encoding="utf-8"?>
<clbl:labelList xmlns:clbl="http://schemas.microsoft.com/office/2020/mipLabelMetadata">
  <clbl:label id="{0202a21f-30de-4fd1-b547-e7d4361e1fc9}" enabled="1" method="Privileged" siteId="{3f0bdd77-1711-49bc-9b8c-6f2ba3e1c08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Faltoni, Guido</cp:lastModifiedBy>
  <cp:revision>6</cp:revision>
  <cp:lastPrinted>2023-09-09T09:53:00Z</cp:lastPrinted>
  <dcterms:created xsi:type="dcterms:W3CDTF">2024-10-04T18:18:00Z</dcterms:created>
  <dcterms:modified xsi:type="dcterms:W3CDTF">2024-10-08T22:32:00Z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y fmtid="{D5CDD505-2E9C-101B-9397-08002B2CF9AE}" pid="16" name="ClassificationContentMarkingFooterShapeIds">
    <vt:lpwstr>2bb6dffe,48a0bed3,42e60bf9,45d304b7,7f886689,589cc855,1428cdb4,7d679aa2,4922cbb</vt:lpwstr>
  </property>
  <property fmtid="{D5CDD505-2E9C-101B-9397-08002B2CF9AE}" pid="17" name="ClassificationContentMarkingFooterFontProps">
    <vt:lpwstr>#000000,10,Calibri</vt:lpwstr>
  </property>
  <property fmtid="{D5CDD505-2E9C-101B-9397-08002B2CF9AE}" pid="18" name="ClassificationContentMarkingFooterText">
    <vt:lpwstr>Information Classification: Limited Access</vt:lpwstr>
  </property>
  <property fmtid="{D5CDD505-2E9C-101B-9397-08002B2CF9AE}" pid="19" name="MSIP_Label_0202a21f-30de-4fd1-b547-e7d4361e1fc9_Enabled">
    <vt:lpwstr>true</vt:lpwstr>
  </property>
  <property fmtid="{D5CDD505-2E9C-101B-9397-08002B2CF9AE}" pid="20" name="MSIP_Label_0202a21f-30de-4fd1-b547-e7d4361e1fc9_SetDate">
    <vt:lpwstr>2024-09-25T20:23:54Z</vt:lpwstr>
  </property>
  <property fmtid="{D5CDD505-2E9C-101B-9397-08002B2CF9AE}" pid="21" name="MSIP_Label_0202a21f-30de-4fd1-b547-e7d4361e1fc9_Method">
    <vt:lpwstr>Privileged</vt:lpwstr>
  </property>
  <property fmtid="{D5CDD505-2E9C-101B-9397-08002B2CF9AE}" pid="22" name="MSIP_Label_0202a21f-30de-4fd1-b547-e7d4361e1fc9_Name">
    <vt:lpwstr>Limited Access</vt:lpwstr>
  </property>
  <property fmtid="{D5CDD505-2E9C-101B-9397-08002B2CF9AE}" pid="23" name="MSIP_Label_0202a21f-30de-4fd1-b547-e7d4361e1fc9_SiteId">
    <vt:lpwstr>3f0bdd77-1711-49bc-9b8c-6f2ba3e1c085</vt:lpwstr>
  </property>
  <property fmtid="{D5CDD505-2E9C-101B-9397-08002B2CF9AE}" pid="24" name="MSIP_Label_0202a21f-30de-4fd1-b547-e7d4361e1fc9_ActionId">
    <vt:lpwstr>d171a9c1-b8a2-47df-be7d-c44a4a25a2a4</vt:lpwstr>
  </property>
  <property fmtid="{D5CDD505-2E9C-101B-9397-08002B2CF9AE}" pid="25" name="MSIP_Label_0202a21f-30de-4fd1-b547-e7d4361e1fc9_ContentBits">
    <vt:lpwstr>2</vt:lpwstr>
  </property>
  <property fmtid="{D5CDD505-2E9C-101B-9397-08002B2CF9AE}" pid="26" name="_AdHocReviewCycleID">
    <vt:i4>-968367494</vt:i4>
  </property>
  <property fmtid="{D5CDD505-2E9C-101B-9397-08002B2CF9AE}" pid="27" name="_NewReviewCycle">
    <vt:lpwstr/>
  </property>
  <property fmtid="{D5CDD505-2E9C-101B-9397-08002B2CF9AE}" pid="28" name="_EmailSubject">
    <vt:lpwstr>RE: State Street response to ESMA consultation on LMTs</vt:lpwstr>
  </property>
  <property fmtid="{D5CDD505-2E9C-101B-9397-08002B2CF9AE}" pid="29" name="_AuthorEmail">
    <vt:lpwstr>GFaltoni@StateStreet.com</vt:lpwstr>
  </property>
  <property fmtid="{D5CDD505-2E9C-101B-9397-08002B2CF9AE}" pid="30" name="_AuthorEmailDisplayName">
    <vt:lpwstr>Faltoni, Guido</vt:lpwstr>
  </property>
</Properties>
</file>