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110ECC8C"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21" w:history="1">
            <w:r w:rsidR="00281B6A" w:rsidRPr="00510C4A">
              <w:rPr>
                <w:rStyle w:val="Hyperlink"/>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2" w:history="1">
            <w:r w:rsidRPr="005B6B12">
              <w:rPr>
                <w:rStyle w:val="Hyperlink"/>
              </w:rPr>
              <w:t>www.esma.europa.eu</w:t>
            </w:r>
          </w:hyperlink>
          <w:r w:rsidRPr="005B6B12">
            <w:t xml:space="preserve"> under the heading </w:t>
          </w:r>
          <w:r w:rsidRPr="00025A7F">
            <w:rPr>
              <w:rStyle w:val="Hyperlink"/>
            </w:rPr>
            <w:t>‘</w:t>
          </w:r>
          <w:hyperlink r:id="rId23"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4"/>
          <w:footerReference w:type="default" r:id="rId25"/>
          <w:headerReference w:type="first" r:id="rId26"/>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0C2F179F" w:rsidR="00635BCA" w:rsidRPr="00557BD2" w:rsidRDefault="0040589B" w:rsidP="00D21C35">
                <w:r>
                  <w:t>BlackRock</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3B53E697" w:rsidR="00635BCA" w:rsidRPr="00557BD2" w:rsidRDefault="0040589B" w:rsidP="00D21C35">
                <w:r>
                  <w:t>Asset Management</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5A238F52" w:rsidR="00635BCA" w:rsidRPr="00557BD2" w:rsidRDefault="0040589B" w:rsidP="00D21C35">
                <w:r>
                  <w:t>International</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61A46A33" w14:textId="0844BFD8" w:rsidR="0040589B" w:rsidRDefault="0040589B" w:rsidP="0040589B">
      <w:pPr>
        <w:rPr>
          <w:rFonts w:ascii="BLK Fort" w:hAnsi="BLK Fort" w:cs="Arial"/>
          <w:bCs/>
          <w:sz w:val="20"/>
        </w:rPr>
      </w:pPr>
      <w:r>
        <w:rPr>
          <w:rFonts w:ascii="BLK Fort" w:hAnsi="BLK Fort" w:cs="Arial"/>
          <w:bCs/>
          <w:sz w:val="20"/>
        </w:rPr>
        <w:t xml:space="preserve">The characteristics define suspension of subscriptions, repurchases and redemptions as “temporarily disallowing the subscription, repurchase and redemption of the fund’s units or shares” and suggest that “the fund cannot be closed for redemptions and repurchases and continue to accept subscriptions (and vice versa)”. </w:t>
      </w:r>
    </w:p>
    <w:p w14:paraId="7B8B1BF0" w14:textId="77777777" w:rsidR="0040589B" w:rsidRDefault="0040589B" w:rsidP="0040589B">
      <w:pPr>
        <w:spacing w:after="200"/>
        <w:rPr>
          <w:rFonts w:ascii="BLK Fort" w:hAnsi="BLK Fort" w:cs="Arial"/>
          <w:sz w:val="20"/>
        </w:rPr>
      </w:pPr>
      <w:r w:rsidRPr="00D75F4D">
        <w:rPr>
          <w:rFonts w:ascii="BLK Fort" w:hAnsi="BLK Fort" w:cs="Open Sans"/>
          <w:sz w:val="20"/>
        </w:rPr>
        <w:t>Fund documentation provided to investors outlining the circumstances under which subscriptions would be suspended does not usually assume that suspending redemptions will automatically trigger the suspension of subscriptions. Introducing such a rule would be a change to existing market practice.</w:t>
      </w:r>
      <w:r>
        <w:rPr>
          <w:rFonts w:ascii="BLK Fort" w:hAnsi="BLK Fort" w:cs="Open Sans"/>
          <w:sz w:val="20"/>
        </w:rPr>
        <w:t xml:space="preserve"> </w:t>
      </w:r>
      <w:r>
        <w:rPr>
          <w:rFonts w:ascii="BLK Fort" w:hAnsi="BLK Fort" w:cs="Arial"/>
          <w:bCs/>
          <w:sz w:val="20"/>
        </w:rPr>
        <w:t>In our view those three things should all be able to function independently of each other and the RTS should be amended to reflect that. See our response to Q. 4.</w:t>
      </w:r>
    </w:p>
    <w:p w14:paraId="335650F7" w14:textId="19281FA1" w:rsidR="005864FB" w:rsidRPr="001A3F86" w:rsidRDefault="0040589B" w:rsidP="0040589B">
      <w:pPr>
        <w:rPr>
          <w:rFonts w:ascii="BLK Fort" w:hAnsi="BLK Fort" w:cs="Arial"/>
          <w:bCs/>
          <w:sz w:val="20"/>
        </w:rPr>
      </w:pPr>
      <w:r>
        <w:rPr>
          <w:rFonts w:ascii="BLK Fort" w:hAnsi="BLK Fort" w:cs="Arial"/>
          <w:bCs/>
          <w:sz w:val="20"/>
        </w:rPr>
        <w:t xml:space="preserve">Secondly, with reference to section 2.2.1.16 (which defines a ‘soft closure’), we would like to emphasise that ‘soft closure’ can go beyond just closing the fund to new subscriptions. Often, a soft close will involve agreeing an amount that can be divided up between investors seeking to transact. </w:t>
      </w:r>
      <w:r w:rsidRPr="65D46FE3">
        <w:rPr>
          <w:rFonts w:ascii="BLK Fort" w:hAnsi="BLK Fort" w:cs="Arial"/>
          <w:sz w:val="20"/>
        </w:rPr>
        <w:t xml:space="preserve">We recommend allowing a broader </w:t>
      </w:r>
      <w:r>
        <w:rPr>
          <w:rFonts w:ascii="BLK Fort" w:hAnsi="BLK Fort" w:cs="Arial"/>
          <w:sz w:val="20"/>
        </w:rPr>
        <w:t>definition</w:t>
      </w:r>
      <w:r w:rsidRPr="65D46FE3">
        <w:rPr>
          <w:rFonts w:ascii="BLK Fort" w:hAnsi="BLK Fort" w:cs="Arial"/>
          <w:sz w:val="20"/>
        </w:rPr>
        <w:t xml:space="preserve"> </w:t>
      </w:r>
      <w:r>
        <w:rPr>
          <w:rFonts w:ascii="BLK Fort" w:hAnsi="BLK Fort" w:cs="Arial"/>
          <w:sz w:val="20"/>
        </w:rPr>
        <w:t xml:space="preserve">of a ‘soft close’, </w:t>
      </w:r>
      <w:r w:rsidRPr="65D46FE3">
        <w:rPr>
          <w:rFonts w:ascii="BLK Fort" w:hAnsi="BLK Fort" w:cs="Arial"/>
          <w:sz w:val="20"/>
        </w:rPr>
        <w:t>with</w:t>
      </w:r>
      <w:r>
        <w:rPr>
          <w:rFonts w:ascii="BLK Fort" w:hAnsi="BLK Fort" w:cs="Arial"/>
          <w:bCs/>
          <w:sz w:val="20"/>
        </w:rPr>
        <w:t xml:space="preserve"> a sliding scale </w:t>
      </w:r>
      <w:r w:rsidRPr="65D46FE3">
        <w:rPr>
          <w:rFonts w:ascii="BLK Fort" w:hAnsi="BLK Fort" w:cs="Arial"/>
          <w:sz w:val="20"/>
        </w:rPr>
        <w:t>of measures</w:t>
      </w:r>
      <w:r>
        <w:rPr>
          <w:rFonts w:ascii="BLK Fort" w:hAnsi="BLK Fort" w:cs="Arial"/>
          <w:bCs/>
          <w:sz w:val="20"/>
        </w:rPr>
        <w:t xml:space="preserve"> </w:t>
      </w:r>
      <w:r w:rsidRPr="65D46FE3">
        <w:rPr>
          <w:rFonts w:ascii="BLK Fort" w:hAnsi="BLK Fort" w:cs="Arial"/>
          <w:sz w:val="20"/>
        </w:rPr>
        <w:t xml:space="preserve">including </w:t>
      </w:r>
      <w:r>
        <w:rPr>
          <w:rFonts w:ascii="BLK Fort" w:hAnsi="BLK Fort" w:cs="Arial"/>
          <w:bCs/>
          <w:sz w:val="20"/>
        </w:rPr>
        <w:t xml:space="preserve">maximum subscriptions, which will determine whether you temporarily gate subscriptions, or suspend them entirely. </w:t>
      </w:r>
    </w:p>
    <w:p w14:paraId="4820C4E6" w14:textId="116CE209" w:rsidR="00DA4F15" w:rsidRDefault="00DA4F15" w:rsidP="00DA4F15">
      <w:r>
        <w:t>&lt;ESMA_QUESTION_SLMT_1&gt;</w:t>
      </w:r>
    </w:p>
    <w:p w14:paraId="2C2E979A" w14:textId="77777777" w:rsidR="00DA4F15" w:rsidRDefault="00DA4F15" w:rsidP="00DA4F15">
      <w:pPr>
        <w:pStyle w:val="Questionstyle"/>
        <w:numPr>
          <w:ilvl w:val="0"/>
          <w:numId w:val="14"/>
        </w:numPr>
        <w:tabs>
          <w:tab w:val="clear" w:pos="567"/>
        </w:tabs>
        <w:spacing w:after="240" w:line="256" w:lineRule="auto"/>
        <w:ind w:left="851" w:hanging="851"/>
      </w:pPr>
      <w:r>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lastRenderedPageBreak/>
        <w:t>&lt;ESMA_QUESTION_SLMT_2&gt;</w:t>
      </w:r>
    </w:p>
    <w:p w14:paraId="14930B3B" w14:textId="056A00FB" w:rsidR="0040589B" w:rsidRDefault="0040589B" w:rsidP="0040589B">
      <w:pPr>
        <w:rPr>
          <w:rFonts w:ascii="BLK Fort" w:hAnsi="BLK Fort" w:cs="Arial"/>
          <w:bCs/>
          <w:sz w:val="20"/>
        </w:rPr>
      </w:pPr>
      <w:r w:rsidRPr="65D46FE3">
        <w:rPr>
          <w:rFonts w:ascii="BLK Fort" w:hAnsi="BLK Fort" w:cs="Arial"/>
          <w:sz w:val="20"/>
        </w:rPr>
        <w:t>This approach may present a number of operational and cross-border issues for a typical mutual fund. As a general principle for a regular dealing fund</w:t>
      </w:r>
      <w:r>
        <w:rPr>
          <w:rFonts w:ascii="BLK Fort" w:hAnsi="BLK Fort" w:cs="Arial"/>
          <w:sz w:val="20"/>
        </w:rPr>
        <w:t>,</w:t>
      </w:r>
      <w:r w:rsidRPr="65D46FE3">
        <w:rPr>
          <w:rFonts w:ascii="BLK Fort" w:hAnsi="BLK Fort" w:cs="Arial"/>
          <w:sz w:val="20"/>
        </w:rPr>
        <w:t xml:space="preserve"> if</w:t>
      </w:r>
      <w:r>
        <w:rPr>
          <w:rFonts w:ascii="BLK Fort" w:hAnsi="BLK Fort" w:cs="Arial"/>
          <w:bCs/>
          <w:sz w:val="20"/>
        </w:rPr>
        <w:t xml:space="preserve"> the order has been placed in good faith </w:t>
      </w:r>
      <w:r w:rsidRPr="65D46FE3">
        <w:rPr>
          <w:rFonts w:ascii="BLK Fort" w:hAnsi="BLK Fort" w:cs="Arial"/>
          <w:sz w:val="20"/>
        </w:rPr>
        <w:t>before the relevant dealing cut off time</w:t>
      </w:r>
      <w:r>
        <w:rPr>
          <w:rFonts w:ascii="BLK Fort" w:hAnsi="BLK Fort" w:cs="Arial"/>
          <w:bCs/>
          <w:sz w:val="20"/>
        </w:rPr>
        <w:t xml:space="preserve">, it should be honoured. There should be flexibility for funds distributed via straight through processing (STP) </w:t>
      </w:r>
      <w:r w:rsidRPr="65D46FE3">
        <w:rPr>
          <w:rFonts w:ascii="BLK Fort" w:hAnsi="BLK Fort" w:cs="Arial"/>
          <w:sz w:val="20"/>
        </w:rPr>
        <w:t xml:space="preserve">procedures </w:t>
      </w:r>
      <w:r>
        <w:rPr>
          <w:rFonts w:ascii="BLK Fort" w:hAnsi="BLK Fort" w:cs="Arial"/>
          <w:bCs/>
          <w:sz w:val="20"/>
        </w:rPr>
        <w:t xml:space="preserve">to account for time zone challenges. </w:t>
      </w:r>
    </w:p>
    <w:p w14:paraId="13503BF2" w14:textId="4EB43E9A" w:rsidR="0040589B" w:rsidRDefault="0040589B" w:rsidP="0040589B">
      <w:pPr>
        <w:rPr>
          <w:rFonts w:ascii="BLK Fort" w:hAnsi="BLK Fort" w:cs="Arial"/>
          <w:bCs/>
          <w:sz w:val="20"/>
        </w:rPr>
      </w:pPr>
      <w:r>
        <w:rPr>
          <w:rFonts w:ascii="BLK Fort" w:hAnsi="BLK Fort" w:cs="Arial"/>
          <w:bCs/>
          <w:sz w:val="20"/>
        </w:rPr>
        <w:t xml:space="preserve">For example, investors from Asian markets </w:t>
      </w:r>
      <w:r w:rsidRPr="65D46FE3">
        <w:rPr>
          <w:rFonts w:ascii="BLK Fort" w:hAnsi="BLK Fort" w:cs="Arial"/>
          <w:sz w:val="20"/>
        </w:rPr>
        <w:t xml:space="preserve">using STP notification processes </w:t>
      </w:r>
      <w:r>
        <w:rPr>
          <w:rFonts w:ascii="BLK Fort" w:hAnsi="BLK Fort" w:cs="Arial"/>
          <w:bCs/>
          <w:sz w:val="20"/>
        </w:rPr>
        <w:t xml:space="preserve">to European funds </w:t>
      </w:r>
      <w:r w:rsidRPr="65D46FE3">
        <w:rPr>
          <w:rFonts w:ascii="BLK Fort" w:hAnsi="BLK Fort" w:cs="Arial"/>
          <w:sz w:val="20"/>
        </w:rPr>
        <w:t>will send their orders during Asian working hours</w:t>
      </w:r>
      <w:r>
        <w:rPr>
          <w:rFonts w:ascii="BLK Fort" w:hAnsi="BLK Fort" w:cs="Arial"/>
          <w:sz w:val="20"/>
        </w:rPr>
        <w:t xml:space="preserve"> -</w:t>
      </w:r>
      <w:r w:rsidRPr="65D46FE3">
        <w:rPr>
          <w:rFonts w:ascii="BLK Fort" w:hAnsi="BLK Fort" w:cs="Arial"/>
          <w:sz w:val="20"/>
        </w:rPr>
        <w:t xml:space="preserve"> which are before the European markets open. These investors c</w:t>
      </w:r>
      <w:r>
        <w:rPr>
          <w:rFonts w:ascii="BLK Fort" w:hAnsi="BLK Fort" w:cs="Arial"/>
          <w:bCs/>
          <w:sz w:val="20"/>
        </w:rPr>
        <w:t xml:space="preserve">ould be disadvantaged for having chosen European funds over Asian ones if their orders are not executed. </w:t>
      </w:r>
      <w:r w:rsidRPr="65D46FE3">
        <w:rPr>
          <w:rFonts w:ascii="BLK Fort" w:hAnsi="BLK Fort" w:cs="Arial"/>
          <w:sz w:val="20"/>
        </w:rPr>
        <w:t xml:space="preserve">This is far from an anecdotal issue given the success of European funds in Asian markets. </w:t>
      </w:r>
      <w:r>
        <w:rPr>
          <w:rFonts w:ascii="BLK Fort" w:hAnsi="BLK Fort" w:cs="Arial"/>
          <w:bCs/>
          <w:sz w:val="20"/>
        </w:rPr>
        <w:t xml:space="preserve">Managers are contractually obliged to honour those orders and enable them to go automatically to the transfer agent, per the terms of business. </w:t>
      </w:r>
    </w:p>
    <w:p w14:paraId="08186438" w14:textId="77777777" w:rsidR="0040589B" w:rsidRDefault="0040589B" w:rsidP="0040589B">
      <w:pPr>
        <w:rPr>
          <w:rFonts w:ascii="BLK Fort" w:hAnsi="BLK Fort" w:cs="Arial"/>
          <w:sz w:val="20"/>
        </w:rPr>
      </w:pPr>
      <w:r w:rsidRPr="65D46FE3">
        <w:rPr>
          <w:rFonts w:ascii="BLK Fort" w:hAnsi="BLK Fort" w:cs="Arial"/>
          <w:sz w:val="20"/>
        </w:rPr>
        <w:t xml:space="preserve">It </w:t>
      </w:r>
      <w:r>
        <w:rPr>
          <w:rFonts w:ascii="BLK Fort" w:hAnsi="BLK Fort" w:cs="Arial"/>
          <w:sz w:val="20"/>
        </w:rPr>
        <w:t>would be</w:t>
      </w:r>
      <w:r w:rsidRPr="65D46FE3">
        <w:rPr>
          <w:rFonts w:ascii="BLK Fort" w:hAnsi="BLK Fort" w:cs="Arial"/>
          <w:sz w:val="20"/>
        </w:rPr>
        <w:t xml:space="preserve"> a very complex process to reverse these types of deal flows without losing confidence in the European fund structure</w:t>
      </w:r>
      <w:r>
        <w:rPr>
          <w:rFonts w:ascii="BLK Fort" w:hAnsi="BLK Fort" w:cs="Arial"/>
          <w:sz w:val="20"/>
        </w:rPr>
        <w:t>. I</w:t>
      </w:r>
      <w:r w:rsidRPr="65D46FE3">
        <w:rPr>
          <w:rFonts w:ascii="BLK Fort" w:hAnsi="BLK Fort" w:cs="Arial"/>
          <w:sz w:val="20"/>
        </w:rPr>
        <w:t xml:space="preserve">n this case it would be preferable to suspend dealing </w:t>
      </w:r>
      <w:r>
        <w:rPr>
          <w:rFonts w:ascii="BLK Fort" w:hAnsi="BLK Fort" w:cs="Arial"/>
          <w:sz w:val="20"/>
        </w:rPr>
        <w:t>at the final cut off point for orders on the relevant dealing day, so that all future trades on subsequent days are suspended.</w:t>
      </w:r>
    </w:p>
    <w:p w14:paraId="0BC747D3" w14:textId="4D04C679" w:rsidR="00DA4F15" w:rsidRDefault="00DA4F15" w:rsidP="00DA4F15">
      <w:r>
        <w:t>&lt;ESMA_QUESTION_SLMT_2&gt;</w:t>
      </w:r>
    </w:p>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6BC1F6EA" w14:textId="77777777" w:rsidR="0040589B" w:rsidRPr="005851D3" w:rsidRDefault="0040589B" w:rsidP="0040589B">
      <w:pPr>
        <w:rPr>
          <w:rFonts w:ascii="BLK Fort" w:hAnsi="BLK Fort" w:cs="Arial"/>
          <w:bCs/>
          <w:sz w:val="20"/>
        </w:rPr>
      </w:pPr>
      <w:r>
        <w:rPr>
          <w:rFonts w:ascii="BLK Fort" w:hAnsi="BLK Fort" w:cs="Arial"/>
          <w:bCs/>
          <w:sz w:val="20"/>
        </w:rPr>
        <w:t xml:space="preserve">Assuming liquidity has improved prior to re-opening, we would resume orders chronologically. Those who placed redemption orders first before the suspension would have their orders executed first and so on, until all orders are completed. </w:t>
      </w:r>
    </w:p>
    <w:p w14:paraId="2DC386AB" w14:textId="14DF13BC" w:rsidR="00DA4F15" w:rsidRDefault="00DA4F15" w:rsidP="00DA4F15">
      <w:r>
        <w:t>&lt;ESMA_QUESTION_SLMT_3&gt;</w:t>
      </w:r>
    </w:p>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118D09BA" w14:textId="77777777" w:rsidR="0040589B" w:rsidRDefault="0040589B" w:rsidP="0040589B">
      <w:pPr>
        <w:rPr>
          <w:rFonts w:ascii="BLK Fort" w:hAnsi="BLK Fort" w:cs="Arial"/>
          <w:bCs/>
          <w:sz w:val="20"/>
        </w:rPr>
      </w:pPr>
      <w:r>
        <w:rPr>
          <w:rFonts w:ascii="BLK Fort" w:hAnsi="BLK Fort" w:cs="Arial"/>
          <w:bCs/>
          <w:sz w:val="20"/>
        </w:rPr>
        <w:t>Yes, subscriptions, repurchases and redemptions can function independently from each other so long as the NAV can still be priced. For example, an illiquid fund may still be able to buy assets whilst not being able to sell and vice versa. This happened on several occasions during the COVID-19 pandemic, where funds could either buy but not sell, sell but not buy, or in some instances could neither sell nor buy.</w:t>
      </w:r>
    </w:p>
    <w:p w14:paraId="5CE13103" w14:textId="77777777" w:rsidR="0040589B" w:rsidRDefault="0040589B" w:rsidP="0040589B">
      <w:pPr>
        <w:rPr>
          <w:rFonts w:ascii="BLK Fort" w:hAnsi="BLK Fort" w:cs="Arial"/>
          <w:bCs/>
          <w:sz w:val="20"/>
        </w:rPr>
      </w:pPr>
      <w:r>
        <w:rPr>
          <w:rFonts w:ascii="BLK Fort" w:hAnsi="BLK Fort" w:cs="Arial"/>
          <w:bCs/>
          <w:sz w:val="20"/>
        </w:rPr>
        <w:lastRenderedPageBreak/>
        <w:t xml:space="preserve">Ultimately. this is a decision that should be guided by the liquidity needs of the investor, the liquidity profile of the assets and the liquidity strategy  of the fund. If a suspension was introduced to address redemption pressures, reopening subscriptions before redemptions - where viable - could help the overall liquidity position of the fund and be beneficial to the remaining investors.  </w:t>
      </w:r>
    </w:p>
    <w:p w14:paraId="53D8BF95" w14:textId="00DDED31" w:rsidR="0040589B" w:rsidRDefault="0040589B" w:rsidP="0040589B">
      <w:pPr>
        <w:rPr>
          <w:rFonts w:ascii="BLK Fort" w:hAnsi="BLK Fort" w:cs="Arial"/>
          <w:bCs/>
          <w:sz w:val="20"/>
        </w:rPr>
      </w:pPr>
      <w:r>
        <w:rPr>
          <w:rFonts w:ascii="BLK Fort" w:hAnsi="BLK Fort" w:cs="Arial"/>
          <w:bCs/>
          <w:sz w:val="20"/>
        </w:rPr>
        <w:t>Separately, some investors may be pursuing investment strategies that involve regular savings via subscriptions to a fund. These subscriptions should be facilitated to the greatest extent possible to minimise disruption for these investment strategies.</w:t>
      </w:r>
    </w:p>
    <w:p w14:paraId="21DA3114" w14:textId="4BC30D39" w:rsidR="00DA4F15" w:rsidRDefault="00DA4F15" w:rsidP="00DA4F15">
      <w:r>
        <w:t>&lt;ESMA_QUESTION_SLMT_4&gt;</w:t>
      </w:r>
    </w:p>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291DD080" w14:textId="77777777" w:rsidR="0040589B" w:rsidRPr="00B8375A" w:rsidRDefault="0040589B" w:rsidP="0040589B">
      <w:pPr>
        <w:rPr>
          <w:rFonts w:ascii="BLK Fort" w:hAnsi="BLK Fort" w:cs="Arial"/>
          <w:bCs/>
          <w:sz w:val="20"/>
        </w:rPr>
      </w:pPr>
      <w:r>
        <w:rPr>
          <w:rFonts w:ascii="BLK Fort" w:hAnsi="BLK Fort" w:cs="Arial"/>
          <w:bCs/>
          <w:sz w:val="20"/>
        </w:rPr>
        <w:t xml:space="preserve">No. </w:t>
      </w:r>
    </w:p>
    <w:p w14:paraId="436ACA0F" w14:textId="52421240" w:rsidR="00DA4F15" w:rsidRDefault="00DA4F15" w:rsidP="00DA4F15">
      <w:r>
        <w:t>&lt;ESMA_QUESTION_SLMT_5&gt;</w:t>
      </w:r>
    </w:p>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10EB1C0D" w14:textId="77777777" w:rsidR="0040589B" w:rsidRDefault="0040589B" w:rsidP="0040589B">
      <w:pPr>
        <w:rPr>
          <w:rFonts w:ascii="BLK Fort" w:hAnsi="BLK Fort" w:cs="Arial"/>
          <w:bCs/>
          <w:sz w:val="20"/>
        </w:rPr>
      </w:pPr>
      <w:r>
        <w:rPr>
          <w:rFonts w:ascii="BLK Fort" w:hAnsi="BLK Fort" w:cs="Arial"/>
          <w:bCs/>
          <w:sz w:val="20"/>
        </w:rPr>
        <w:t xml:space="preserve">While we do not believe there is a need to prescriptively differentiate the characteristics of suspension of subscriptions, repurchases and redemptions between fund types and strategies, we do see some differences in how they’re used in practice, so it is important not to make them overly prescriptive. </w:t>
      </w:r>
    </w:p>
    <w:p w14:paraId="22151C3F" w14:textId="06A8B317" w:rsidR="0040589B" w:rsidRDefault="0040589B" w:rsidP="0040589B">
      <w:pPr>
        <w:rPr>
          <w:rFonts w:ascii="BLK Fort" w:hAnsi="BLK Fort" w:cs="Arial"/>
          <w:bCs/>
          <w:sz w:val="20"/>
        </w:rPr>
      </w:pPr>
      <w:r>
        <w:rPr>
          <w:rFonts w:ascii="BLK Fort" w:hAnsi="BLK Fort" w:cs="Arial"/>
          <w:bCs/>
          <w:sz w:val="20"/>
        </w:rPr>
        <w:t xml:space="preserve">Generally, in a UCITS fund a redemption gate is used as an exceptional circumstances tool when redemptions exceed a threshold and where the fund has liquidity concerns about being to realise the assets in the underlying markets. </w:t>
      </w:r>
    </w:p>
    <w:p w14:paraId="72945656" w14:textId="77777777" w:rsidR="0040589B" w:rsidRDefault="0040589B" w:rsidP="0040589B">
      <w:pPr>
        <w:rPr>
          <w:rFonts w:ascii="BLK Fort" w:hAnsi="BLK Fort" w:cs="Arial"/>
          <w:bCs/>
          <w:sz w:val="20"/>
        </w:rPr>
      </w:pPr>
      <w:r>
        <w:rPr>
          <w:rFonts w:ascii="BLK Fort" w:hAnsi="BLK Fort" w:cs="Arial"/>
          <w:bCs/>
          <w:sz w:val="20"/>
        </w:rPr>
        <w:t xml:space="preserve">In more illiquid funds, e.g. ELTIF or other institutional vehicles with periodic redemption periods, it is likely that gates will be used more systematically. For example, the final RTS for ELTIF permit AIFMs to use gates on a systematic basis at each dealing point, e.g. no more than 5% redemptions on any one dealing day depending on the fund’s overall expected liquidity. </w:t>
      </w:r>
    </w:p>
    <w:p w14:paraId="634DF072" w14:textId="3FC128F0" w:rsidR="0040589B" w:rsidRPr="00E95593" w:rsidRDefault="0040589B" w:rsidP="0040589B">
      <w:pPr>
        <w:rPr>
          <w:rFonts w:ascii="BLK Fort" w:hAnsi="BLK Fort" w:cs="Arial"/>
          <w:bCs/>
          <w:sz w:val="20"/>
        </w:rPr>
      </w:pPr>
      <w:r>
        <w:rPr>
          <w:rFonts w:ascii="BLK Fort" w:hAnsi="BLK Fort" w:cs="Arial"/>
          <w:bCs/>
          <w:sz w:val="20"/>
        </w:rPr>
        <w:t xml:space="preserve">We would see a similar approach being of value to other AIFs with similar limited redemption characteristics. It is important that the use of gates and the liquidity profile of the fund are clearly disclosed to both regulators and investors to ensure liquidity expectations are well understood. </w:t>
      </w:r>
    </w:p>
    <w:p w14:paraId="14A7733B" w14:textId="1D6BF927" w:rsidR="00DA4F15" w:rsidRDefault="00DA4F15" w:rsidP="00DA4F15">
      <w:r>
        <w:lastRenderedPageBreak/>
        <w:t>&lt;ESMA_QUESTION_SLMT_6&gt;</w:t>
      </w:r>
    </w:p>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039014F7" w14:textId="0980CF3B" w:rsidR="0040589B" w:rsidRDefault="0040589B" w:rsidP="0040589B">
      <w:pPr>
        <w:rPr>
          <w:rFonts w:ascii="BLK Fort" w:hAnsi="BLK Fort" w:cs="Arial"/>
          <w:bCs/>
          <w:sz w:val="20"/>
        </w:rPr>
      </w:pPr>
      <w:r>
        <w:rPr>
          <w:rFonts w:ascii="BLK Fort" w:hAnsi="BLK Fort" w:cs="Arial"/>
          <w:bCs/>
          <w:sz w:val="20"/>
        </w:rPr>
        <w:t xml:space="preserve">It should not be mandatory for redemption gate thresholds to be expressed as a percentage of the NAV. While this is one way to think about gates, it is not the only one. It should also be possible for a portfolio manager to express the threshold as a </w:t>
      </w:r>
      <w:r w:rsidRPr="65D46FE3">
        <w:rPr>
          <w:rFonts w:ascii="BLK Fort" w:hAnsi="BLK Fort" w:cs="Arial"/>
          <w:sz w:val="20"/>
        </w:rPr>
        <w:t xml:space="preserve">currency </w:t>
      </w:r>
      <w:r>
        <w:rPr>
          <w:rFonts w:ascii="BLK Fort" w:hAnsi="BLK Fort" w:cs="Arial"/>
          <w:bCs/>
          <w:sz w:val="20"/>
        </w:rPr>
        <w:t xml:space="preserve">amount </w:t>
      </w:r>
      <w:r w:rsidRPr="65D46FE3">
        <w:rPr>
          <w:rFonts w:ascii="BLK Fort" w:hAnsi="BLK Fort" w:cs="Arial"/>
          <w:sz w:val="20"/>
        </w:rPr>
        <w:t xml:space="preserve">(e.g. in € or $ depending on the dealing currency of the fund) </w:t>
      </w:r>
      <w:r>
        <w:rPr>
          <w:rFonts w:ascii="BLK Fort" w:hAnsi="BLK Fort" w:cs="Arial"/>
          <w:bCs/>
          <w:sz w:val="20"/>
        </w:rPr>
        <w:t xml:space="preserve">that they think the market can sustain. </w:t>
      </w:r>
    </w:p>
    <w:p w14:paraId="066EF5EB" w14:textId="77777777" w:rsidR="0040589B" w:rsidRDefault="0040589B" w:rsidP="0040589B">
      <w:pPr>
        <w:rPr>
          <w:rFonts w:ascii="BLK Fort" w:hAnsi="BLK Fort" w:cs="Arial"/>
          <w:bCs/>
          <w:sz w:val="20"/>
        </w:rPr>
      </w:pPr>
      <w:r>
        <w:rPr>
          <w:rFonts w:ascii="BLK Fort" w:hAnsi="BLK Fort" w:cs="Arial"/>
          <w:bCs/>
          <w:sz w:val="20"/>
        </w:rPr>
        <w:t xml:space="preserve">Secondly, section 2.2.3.31 would disallow gating mechanisms under which redeeming investors placing redemption orders below the redemption threshold would </w:t>
      </w:r>
      <w:r w:rsidRPr="65D46FE3">
        <w:rPr>
          <w:rFonts w:ascii="BLK Fort" w:hAnsi="BLK Fort" w:cs="Arial"/>
          <w:sz w:val="20"/>
        </w:rPr>
        <w:t xml:space="preserve">be allowed to have </w:t>
      </w:r>
      <w:r>
        <w:rPr>
          <w:rFonts w:ascii="BLK Fort" w:hAnsi="BLK Fort" w:cs="Arial"/>
          <w:bCs/>
          <w:sz w:val="20"/>
        </w:rPr>
        <w:t>their redemption order fully executed, while redeeming investors placing orders above the threshold would get their orders only partially executed. ESMA considers this would be discriminatory. We disagree – by applying a maximum amount that investors can redeem, fund managers are acting fairly and in the best interest of all investors. Where unlimited redemptions are not feasible, we consider it fairer that investors should be able to have the same maximum amount redeemed. While some investors may wish to redeem more, it would be unfair to meet their full request and leave little or nothing for others.</w:t>
      </w:r>
    </w:p>
    <w:p w14:paraId="27998D6C" w14:textId="267F8DC8" w:rsidR="0040589B" w:rsidRPr="00287F3B" w:rsidRDefault="0040589B" w:rsidP="0040589B">
      <w:pPr>
        <w:rPr>
          <w:rFonts w:ascii="BLK Fort" w:hAnsi="BLK Fort" w:cs="Arial"/>
          <w:bCs/>
          <w:sz w:val="20"/>
        </w:rPr>
      </w:pPr>
      <w:r>
        <w:rPr>
          <w:rFonts w:ascii="BLK Fort" w:hAnsi="BLK Fort" w:cs="Arial"/>
          <w:bCs/>
          <w:sz w:val="20"/>
        </w:rPr>
        <w:t xml:space="preserve">Lastly, the characteristics state that the fund manager/fund board “shall specify in advance whether the part of redemption orders that have not been executed, as a result of activation of the redemption gate, and that have been carried forward to the next dealing date, shall have any priority or not over redemption orders submitted for execution the following day.” </w:t>
      </w:r>
      <w:r w:rsidRPr="65D46FE3">
        <w:rPr>
          <w:rFonts w:ascii="BLK Fort" w:hAnsi="BLK Fort" w:cs="Arial"/>
          <w:sz w:val="20"/>
        </w:rPr>
        <w:t>This potentially brings an element of unfairness</w:t>
      </w:r>
      <w:r>
        <w:rPr>
          <w:rFonts w:ascii="BLK Fort" w:hAnsi="BLK Fort" w:cs="Arial"/>
          <w:bCs/>
          <w:sz w:val="20"/>
        </w:rPr>
        <w:t xml:space="preserve">, the gated redeemers, - or subscribers (!) – should always get priority over those submitting a new redemption or subscription request. </w:t>
      </w:r>
    </w:p>
    <w:p w14:paraId="66D6190F" w14:textId="44DAEABC" w:rsidR="00DA4F15" w:rsidRDefault="00DA4F15" w:rsidP="00DA4F15">
      <w:r>
        <w:t>&lt;ESMA_QUESTION_SLMT_7&gt;</w:t>
      </w:r>
    </w:p>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5E0B3614" w14:textId="77777777" w:rsidR="0040589B" w:rsidRPr="00B221BC" w:rsidRDefault="0040589B" w:rsidP="0040589B">
      <w:pPr>
        <w:rPr>
          <w:rFonts w:ascii="BLK Fort" w:hAnsi="BLK Fort" w:cs="Arial"/>
          <w:bCs/>
          <w:sz w:val="20"/>
        </w:rPr>
      </w:pPr>
      <w:r>
        <w:rPr>
          <w:rFonts w:ascii="BLK Fort" w:hAnsi="BLK Fort" w:cs="Arial"/>
          <w:bCs/>
          <w:sz w:val="20"/>
        </w:rPr>
        <w:t xml:space="preserve">It should be possible for a portfolio manager to express the threshold as a </w:t>
      </w:r>
      <w:r w:rsidRPr="65D46FE3">
        <w:rPr>
          <w:rFonts w:ascii="BLK Fort" w:hAnsi="BLK Fort" w:cs="Arial"/>
          <w:sz w:val="20"/>
        </w:rPr>
        <w:t xml:space="preserve">currency </w:t>
      </w:r>
      <w:r>
        <w:rPr>
          <w:rFonts w:ascii="BLK Fort" w:hAnsi="BLK Fort" w:cs="Arial"/>
          <w:bCs/>
          <w:sz w:val="20"/>
        </w:rPr>
        <w:t xml:space="preserve"> amount </w:t>
      </w:r>
      <w:r w:rsidRPr="65D46FE3">
        <w:rPr>
          <w:rFonts w:ascii="BLK Fort" w:hAnsi="BLK Fort" w:cs="Arial"/>
          <w:sz w:val="20"/>
        </w:rPr>
        <w:t xml:space="preserve">(e.g. in €, $ or other dealing currency of the fund) </w:t>
      </w:r>
      <w:r>
        <w:rPr>
          <w:rFonts w:ascii="BLK Fort" w:hAnsi="BLK Fort" w:cs="Arial"/>
          <w:bCs/>
          <w:sz w:val="20"/>
        </w:rPr>
        <w:t xml:space="preserve">that they think the market can sustain. In this scenario, all redeeming/subscribing investors would be entitled to an equal share of that amount, with minimum and maximum limits applied. </w:t>
      </w:r>
    </w:p>
    <w:p w14:paraId="08EEB889" w14:textId="7F283735" w:rsidR="00DA4F15" w:rsidRDefault="00DA4F15" w:rsidP="00DA4F15">
      <w:r>
        <w:t>&lt;ESMA_QUESTION_SLMT_8&gt;</w:t>
      </w:r>
    </w:p>
    <w:p w14:paraId="492A0323"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25DA45BC" w14:textId="77777777" w:rsidR="0040589B" w:rsidRDefault="00DA4F15" w:rsidP="00DA4F15">
      <w:r>
        <w:t>&lt;ESMA_QUESTION_SLMT_9&gt;</w:t>
      </w:r>
    </w:p>
    <w:p w14:paraId="157CACB0" w14:textId="77777777" w:rsidR="0040589B" w:rsidRDefault="0040589B" w:rsidP="0040589B">
      <w:pPr>
        <w:rPr>
          <w:rFonts w:ascii="BLK Fort" w:hAnsi="BLK Fort" w:cs="Arial"/>
          <w:bCs/>
          <w:sz w:val="20"/>
        </w:rPr>
      </w:pPr>
      <w:r>
        <w:rPr>
          <w:rFonts w:ascii="BLK Fort" w:hAnsi="BLK Fort" w:cs="Arial"/>
          <w:bCs/>
          <w:sz w:val="20"/>
        </w:rPr>
        <w:t>Irrespective of whether gates are activated automatically or by the fund manager when activation thresholds are surpassed, l</w:t>
      </w:r>
      <w:r w:rsidRPr="00126FE9">
        <w:rPr>
          <w:rFonts w:ascii="BLK Fort" w:hAnsi="BLK Fort" w:cs="Arial"/>
          <w:bCs/>
          <w:sz w:val="20"/>
        </w:rPr>
        <w:t>iquidity mechanisms should</w:t>
      </w:r>
      <w:r>
        <w:rPr>
          <w:rFonts w:ascii="BLK Fort" w:hAnsi="BLK Fort" w:cs="Arial"/>
          <w:bCs/>
          <w:sz w:val="20"/>
        </w:rPr>
        <w:t xml:space="preserve"> always</w:t>
      </w:r>
      <w:r w:rsidRPr="00126FE9">
        <w:rPr>
          <w:rFonts w:ascii="BLK Fort" w:hAnsi="BLK Fort" w:cs="Arial"/>
          <w:bCs/>
          <w:sz w:val="20"/>
        </w:rPr>
        <w:t xml:space="preserve"> allow flexibility </w:t>
      </w:r>
      <w:r>
        <w:rPr>
          <w:rFonts w:ascii="BLK Fort" w:hAnsi="BLK Fort" w:cs="Arial"/>
          <w:bCs/>
          <w:sz w:val="20"/>
        </w:rPr>
        <w:t>for managers and/or fund boards to</w:t>
      </w:r>
      <w:r w:rsidRPr="00126FE9">
        <w:rPr>
          <w:rFonts w:ascii="BLK Fort" w:hAnsi="BLK Fort" w:cs="Arial"/>
          <w:bCs/>
          <w:sz w:val="20"/>
        </w:rPr>
        <w:t xml:space="preserve"> adjust to different and unexpected market conditions</w:t>
      </w:r>
      <w:r>
        <w:rPr>
          <w:rFonts w:ascii="BLK Fort" w:hAnsi="BLK Fort" w:cs="Arial"/>
          <w:bCs/>
          <w:sz w:val="20"/>
        </w:rPr>
        <w:t xml:space="preserve"> in the best interest of investors. Ultimately, if a fund is subject to a high volume of redemptions, but that same fund is still experiencing inflows there may not be a need to gate the fund; the decision should be determined by the fund’s overall liquidity position. </w:t>
      </w:r>
    </w:p>
    <w:p w14:paraId="06A01D69" w14:textId="77777777" w:rsidR="0040589B" w:rsidRDefault="0040589B" w:rsidP="0040589B">
      <w:pPr>
        <w:rPr>
          <w:rFonts w:ascii="BLK Fort" w:hAnsi="BLK Fort" w:cs="Arial"/>
          <w:bCs/>
          <w:sz w:val="20"/>
        </w:rPr>
      </w:pPr>
      <w:r>
        <w:rPr>
          <w:rFonts w:ascii="BLK Fort" w:hAnsi="BLK Fort" w:cs="Arial"/>
          <w:bCs/>
          <w:sz w:val="20"/>
        </w:rPr>
        <w:t xml:space="preserve">Managers should not be forced to implement a gate in the event of a threshold being exceeded if it would not be in the best interest of investors. There would also be a risk of first mover advantage in such a scenario because investors would be aware that orders are limited once an activation threshold is reached and could be incentivised to redeem from the fund when they otherwise would not have. We saw these dynamics play out in money market funds (MMFs) in March 2020 when the direct link between a breach of the 30% weekly liquidity threshold and the triggering of a decision-making process around imposing redemption fees and gates caused procyclical behaviour by investors. </w:t>
      </w:r>
    </w:p>
    <w:p w14:paraId="64A7D3FE" w14:textId="77777777" w:rsidR="0040589B" w:rsidRDefault="0040589B" w:rsidP="00DA4F15"/>
    <w:p w14:paraId="27BD3D8A" w14:textId="1B614F34" w:rsidR="00DA4F15" w:rsidRDefault="00DA4F15" w:rsidP="00DA4F15">
      <w:r>
        <w:t>&lt;ESMA_QUESTION_SLMT_9&gt;</w:t>
      </w:r>
    </w:p>
    <w:p w14:paraId="21EEAD3A" w14:textId="77777777" w:rsidR="00DA4F15" w:rsidRDefault="00DA4F15" w:rsidP="00DA4F15">
      <w:pPr>
        <w:pStyle w:val="Questionstyle"/>
        <w:numPr>
          <w:ilvl w:val="0"/>
          <w:numId w:val="14"/>
        </w:numPr>
        <w:tabs>
          <w:tab w:val="clear" w:pos="567"/>
        </w:tabs>
        <w:spacing w:after="240" w:line="256" w:lineRule="auto"/>
        <w:ind w:left="851" w:hanging="851"/>
      </w:pPr>
      <w:r>
        <w:t>Do you think that the automatic activation of redemption gates shall not be permitted for some types of funds. If yes, please explain your position.</w:t>
      </w:r>
    </w:p>
    <w:p w14:paraId="5C785898" w14:textId="77777777" w:rsidR="00DA4F15" w:rsidRDefault="00DA4F15" w:rsidP="00DA4F15">
      <w:r>
        <w:t>&lt;ESMA_QUESTION_SLMT_10&gt;</w:t>
      </w:r>
    </w:p>
    <w:p w14:paraId="2828922E" w14:textId="77777777" w:rsidR="0040589B" w:rsidRPr="0040589B" w:rsidRDefault="0040589B" w:rsidP="0040589B">
      <w:pPr>
        <w:rPr>
          <w:rFonts w:ascii="BLK Fort" w:hAnsi="BLK Fort" w:cs="Arial"/>
          <w:bCs/>
          <w:sz w:val="20"/>
        </w:rPr>
      </w:pPr>
      <w:r w:rsidRPr="0040589B">
        <w:rPr>
          <w:rFonts w:ascii="BLK Fort" w:hAnsi="BLK Fort" w:cs="Arial"/>
          <w:bCs/>
          <w:sz w:val="20"/>
        </w:rPr>
        <w:t>No, we think all funds should at least have the option to automatically activate redemption gates. The fund manager is then best-placed to decide if such a tool would be appropriate for the fund in question, taking into account the investor profile, underlying assets and investment strategy etc.</w:t>
      </w:r>
    </w:p>
    <w:p w14:paraId="059CE889" w14:textId="63A3BB9D" w:rsidR="00DA4F15" w:rsidRDefault="00DA4F15" w:rsidP="00DA4F15">
      <w:r>
        <w:t>&lt;ESMA_QUESTION_SLMT_10&gt;</w:t>
      </w:r>
    </w:p>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0B693DA7" w14:textId="77777777" w:rsidR="0040589B" w:rsidRPr="006E728A" w:rsidRDefault="0040589B" w:rsidP="0040589B">
      <w:pPr>
        <w:rPr>
          <w:rFonts w:ascii="BLK Fort" w:hAnsi="BLK Fort" w:cs="Arial"/>
          <w:bCs/>
          <w:sz w:val="20"/>
        </w:rPr>
      </w:pPr>
      <w:r>
        <w:rPr>
          <w:rFonts w:ascii="BLK Fort" w:hAnsi="BLK Fort" w:cs="Arial"/>
          <w:bCs/>
          <w:sz w:val="20"/>
        </w:rPr>
        <w:lastRenderedPageBreak/>
        <w:t xml:space="preserve">Yes, the activation threshold should not be expressed at the level of a single redemption order, but at the fund level – either as a % of the NAV </w:t>
      </w:r>
      <w:r w:rsidRPr="00C31F4E">
        <w:rPr>
          <w:rFonts w:ascii="BLK Fort" w:hAnsi="BLK Fort" w:cs="Arial"/>
          <w:b/>
          <w:sz w:val="20"/>
          <w:u w:val="single"/>
        </w:rPr>
        <w:t>or</w:t>
      </w:r>
      <w:r>
        <w:rPr>
          <w:rFonts w:ascii="BLK Fort" w:hAnsi="BLK Fort" w:cs="Arial"/>
          <w:bCs/>
          <w:sz w:val="20"/>
        </w:rPr>
        <w:t xml:space="preserve"> as a total </w:t>
      </w:r>
      <w:r w:rsidRPr="65D46FE3">
        <w:rPr>
          <w:rFonts w:ascii="BLK Fort" w:hAnsi="BLK Fort" w:cs="Arial"/>
          <w:sz w:val="20"/>
        </w:rPr>
        <w:t>amount in the dealing currency of the fund</w:t>
      </w:r>
      <w:r>
        <w:rPr>
          <w:rFonts w:ascii="BLK Fort" w:hAnsi="BLK Fort" w:cs="Arial"/>
          <w:bCs/>
          <w:sz w:val="20"/>
        </w:rPr>
        <w:t>.</w:t>
      </w:r>
    </w:p>
    <w:p w14:paraId="2C8A1088" w14:textId="16B61DD9" w:rsidR="00DA4F15" w:rsidRDefault="00DA4F15" w:rsidP="00DA4F15">
      <w:r>
        <w:t>&lt;ESMA_QUESTION_SLMT_11&gt;</w:t>
      </w:r>
    </w:p>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670EE873" w14:textId="77777777" w:rsidR="0040589B" w:rsidRDefault="0040589B" w:rsidP="0040589B">
      <w:pPr>
        <w:rPr>
          <w:rFonts w:ascii="BLK Fort" w:hAnsi="BLK Fort" w:cs="Arial"/>
          <w:bCs/>
          <w:sz w:val="20"/>
        </w:rPr>
      </w:pPr>
      <w:r>
        <w:rPr>
          <w:rFonts w:ascii="BLK Fort" w:hAnsi="BLK Fort" w:cs="Arial"/>
          <w:bCs/>
          <w:sz w:val="20"/>
        </w:rPr>
        <w:t xml:space="preserve">If redemption risk is proving to be a cause for concern, then providing investors with the </w:t>
      </w:r>
      <w:r w:rsidRPr="00257B56">
        <w:rPr>
          <w:rFonts w:ascii="BLK Fort" w:hAnsi="BLK Fort" w:cs="Arial"/>
          <w:b/>
          <w:sz w:val="20"/>
          <w:u w:val="single"/>
        </w:rPr>
        <w:t>option</w:t>
      </w:r>
      <w:r>
        <w:rPr>
          <w:rFonts w:ascii="BLK Fort" w:hAnsi="BLK Fort" w:cs="Arial"/>
          <w:bCs/>
          <w:sz w:val="20"/>
        </w:rPr>
        <w:t xml:space="preserve"> (but not right) to cancel the non-executed part of the redemption orders may alleviate some of that risk. Therefore, it should be possible - but </w:t>
      </w:r>
      <w:r w:rsidRPr="00257B56">
        <w:rPr>
          <w:rFonts w:ascii="BLK Fort" w:hAnsi="BLK Fort" w:cs="Arial"/>
          <w:b/>
          <w:sz w:val="20"/>
          <w:u w:val="single"/>
        </w:rPr>
        <w:t>only</w:t>
      </w:r>
      <w:r w:rsidRPr="00F667C8">
        <w:rPr>
          <w:rFonts w:ascii="BLK Fort" w:hAnsi="BLK Fort" w:cs="Arial"/>
          <w:b/>
          <w:sz w:val="20"/>
        </w:rPr>
        <w:t xml:space="preserve"> </w:t>
      </w:r>
      <w:r>
        <w:rPr>
          <w:rFonts w:ascii="BLK Fort" w:hAnsi="BLK Fort" w:cs="Arial"/>
          <w:bCs/>
          <w:sz w:val="20"/>
        </w:rPr>
        <w:t xml:space="preserve">so long as there would be no material negative impact for remaining investors. </w:t>
      </w:r>
    </w:p>
    <w:p w14:paraId="71A4D720" w14:textId="77777777" w:rsidR="0040589B" w:rsidRDefault="0040589B" w:rsidP="0040589B">
      <w:pPr>
        <w:rPr>
          <w:rFonts w:ascii="BLK Fort" w:hAnsi="BLK Fort" w:cs="Arial"/>
          <w:bCs/>
          <w:sz w:val="20"/>
        </w:rPr>
      </w:pPr>
      <w:r>
        <w:rPr>
          <w:rFonts w:ascii="BLK Fort" w:hAnsi="BLK Fort" w:cs="Arial"/>
          <w:bCs/>
          <w:sz w:val="20"/>
        </w:rPr>
        <w:t xml:space="preserve">The decision to grant that request therefore must be at the discretion of the manager on a case-by-case basis. For example, it would not be appropriate for one big investor to effectively block the entire fund by making a large redemption request, only to subsequently cancel if markets improved later. </w:t>
      </w:r>
    </w:p>
    <w:p w14:paraId="52E36AD0" w14:textId="77777777" w:rsidR="0040589B" w:rsidRDefault="0040589B" w:rsidP="0040589B">
      <w:pPr>
        <w:rPr>
          <w:rFonts w:ascii="BLK Fort" w:hAnsi="BLK Fort" w:cs="Arial"/>
          <w:bCs/>
          <w:sz w:val="20"/>
        </w:rPr>
      </w:pPr>
      <w:r>
        <w:rPr>
          <w:rFonts w:ascii="BLK Fort" w:hAnsi="BLK Fort" w:cs="Arial"/>
          <w:bCs/>
          <w:sz w:val="20"/>
        </w:rPr>
        <w:t>Less-liquid funds by nature of their underlying assets may require additional time to complete sales to meet redemption requests. In the interest of remaining investors, fund managers will seek to avoid scenarios in which asset sales are commenced to fund redemptions, and then subsequently withdrawn. This is especially the case for less-liquid funds where this would be very disruptive to the fund’s overall liquidity risk management and strategy.</w:t>
      </w:r>
    </w:p>
    <w:p w14:paraId="6FD8E0E8" w14:textId="4BBA6565" w:rsidR="0040589B" w:rsidRPr="0040589B" w:rsidRDefault="0040589B" w:rsidP="0040589B">
      <w:pPr>
        <w:rPr>
          <w:rFonts w:ascii="BLK Fort" w:hAnsi="BLK Fort" w:cs="Arial"/>
          <w:bCs/>
          <w:sz w:val="20"/>
        </w:rPr>
      </w:pPr>
      <w:r w:rsidRPr="65D46FE3">
        <w:rPr>
          <w:rFonts w:ascii="BLK Fort" w:hAnsi="BLK Fort" w:cs="Arial"/>
          <w:sz w:val="20"/>
        </w:rPr>
        <w:t xml:space="preserve">Otherwise, </w:t>
      </w:r>
      <w:r>
        <w:rPr>
          <w:rFonts w:ascii="BLK Fort" w:hAnsi="BLK Fort" w:cs="Arial"/>
          <w:bCs/>
          <w:sz w:val="20"/>
        </w:rPr>
        <w:t xml:space="preserve">BlackRock sees no need for differentiated approaches for UCITS and AIFs. </w:t>
      </w:r>
    </w:p>
    <w:p w14:paraId="74231973" w14:textId="18FC00C4" w:rsidR="00DA4F15" w:rsidRDefault="00DA4F15" w:rsidP="00DA4F15">
      <w:r>
        <w:t>&lt;ESMA_QUESTION_SLMT_12&gt;</w:t>
      </w:r>
    </w:p>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09A3A050" w14:textId="77777777" w:rsidR="0040589B" w:rsidRPr="005A5ECD" w:rsidRDefault="0040589B" w:rsidP="0040589B">
      <w:pPr>
        <w:rPr>
          <w:rFonts w:ascii="BLK Fort" w:hAnsi="BLK Fort" w:cs="Arial"/>
          <w:bCs/>
          <w:sz w:val="20"/>
        </w:rPr>
      </w:pPr>
      <w:r w:rsidRPr="005A5ECD">
        <w:rPr>
          <w:rFonts w:ascii="BLK Fort" w:hAnsi="BLK Fort" w:cs="Arial"/>
          <w:bCs/>
          <w:sz w:val="20"/>
        </w:rPr>
        <w:t>No</w:t>
      </w:r>
      <w:r>
        <w:rPr>
          <w:rFonts w:ascii="BLK Fort" w:hAnsi="BLK Fort" w:cs="Arial"/>
          <w:bCs/>
          <w:sz w:val="20"/>
        </w:rPr>
        <w:t>, the characteristics should be the same, although the thresholds themselves could of course be different. Either way, the gating mechanism should work the same way.</w:t>
      </w:r>
    </w:p>
    <w:p w14:paraId="1CCF2572" w14:textId="242ACCB5" w:rsidR="00DA4F15" w:rsidRDefault="00DA4F15" w:rsidP="00DA4F15">
      <w:r>
        <w:t>&lt;ESMA_QUESTION_SLMT_13&gt;</w:t>
      </w:r>
    </w:p>
    <w:p w14:paraId="51DC3E4F" w14:textId="77777777" w:rsidR="00DA4F15" w:rsidRDefault="00DA4F15" w:rsidP="00DA4F15">
      <w:pPr>
        <w:pStyle w:val="Questionstyle"/>
        <w:numPr>
          <w:ilvl w:val="0"/>
          <w:numId w:val="14"/>
        </w:numPr>
        <w:tabs>
          <w:tab w:val="clear" w:pos="567"/>
        </w:tabs>
        <w:spacing w:after="240" w:line="256" w:lineRule="auto"/>
        <w:ind w:left="851" w:hanging="851"/>
      </w:pPr>
      <w:r>
        <w:lastRenderedPageBreak/>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98A4356" w14:textId="77777777" w:rsidR="0040589B" w:rsidRPr="0040589B" w:rsidRDefault="0040589B" w:rsidP="0040589B">
      <w:pPr>
        <w:rPr>
          <w:rFonts w:ascii="BLK Fort" w:hAnsi="BLK Fort" w:cs="Arial"/>
          <w:bCs/>
          <w:sz w:val="20"/>
        </w:rPr>
      </w:pPr>
      <w:r w:rsidRPr="0040589B">
        <w:rPr>
          <w:rFonts w:ascii="BLK Fort" w:hAnsi="BLK Fort" w:cs="Arial"/>
          <w:bCs/>
          <w:sz w:val="20"/>
        </w:rPr>
        <w:t xml:space="preserve">In most cases, yes. All share classes in a UCITS funds should certainly be treated the same. However, there may be some AIFs with concentrated investor bases, where a redemption of significant size could generate a trade that cannot be executed without having an adverse market impact on other fund investors. Typically, this type of investor will hold a different class of fund shares to other investors. To enhance the effectiveness of gates, policymakers could explore the possibility of refining the tool to allow application to specific share classes (e.g. those limited to institutional investors), or even specific investors. </w:t>
      </w:r>
    </w:p>
    <w:p w14:paraId="25FBF09C" w14:textId="4CC106B3" w:rsidR="00DA4F15" w:rsidRDefault="00DA4F15" w:rsidP="00DA4F15">
      <w:r>
        <w:t>&lt;ESMA_QUESTION_SLMT_14&gt;</w:t>
      </w:r>
    </w:p>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1E1DAB66" w14:textId="77777777" w:rsidR="0040589B" w:rsidRPr="0040589B" w:rsidRDefault="0040589B" w:rsidP="0040589B">
      <w:pPr>
        <w:rPr>
          <w:rFonts w:ascii="BLK Fort" w:hAnsi="BLK Fort" w:cs="Arial"/>
          <w:bCs/>
          <w:sz w:val="20"/>
        </w:rPr>
      </w:pPr>
      <w:r w:rsidRPr="0040589B">
        <w:rPr>
          <w:rFonts w:ascii="BLK Fort" w:hAnsi="BLK Fort" w:cs="Arial"/>
          <w:bCs/>
          <w:sz w:val="20"/>
        </w:rPr>
        <w:t xml:space="preserve">Gates are less suited to funds with retail client bases or those distributed through intermediaries and platforms. The distribution architecture for these funds is increasingly automated and would not lend itself to such ad-hoc interventions. For these types of funds swing pricing is a more appropriate way to manage dilution risk.  </w:t>
      </w:r>
    </w:p>
    <w:p w14:paraId="41FB0B81" w14:textId="77777777" w:rsidR="0040589B" w:rsidRPr="0040589B" w:rsidRDefault="0040589B" w:rsidP="0040589B">
      <w:pPr>
        <w:rPr>
          <w:rFonts w:ascii="BLK Fort" w:hAnsi="BLK Fort" w:cs="Arial"/>
          <w:bCs/>
          <w:sz w:val="20"/>
        </w:rPr>
      </w:pPr>
      <w:r w:rsidRPr="0040589B">
        <w:rPr>
          <w:rFonts w:ascii="BLK Fort" w:hAnsi="BLK Fort" w:cs="Arial"/>
          <w:bCs/>
          <w:sz w:val="20"/>
        </w:rPr>
        <w:t xml:space="preserve">We would also reiterate that per our response to Q. 7, the characteristics of gates should be widened to cover soft closures </w:t>
      </w:r>
      <w:bookmarkStart w:id="0" w:name="_Hlk177044088"/>
      <w:r w:rsidRPr="0040589B">
        <w:rPr>
          <w:rFonts w:ascii="BLK Fort" w:hAnsi="BLK Fort" w:cs="Arial"/>
          <w:bCs/>
          <w:sz w:val="20"/>
        </w:rPr>
        <w:t xml:space="preserve">as well, to account for the fact that liquidity issues can also arise from subscriptions, not just redemptions. </w:t>
      </w:r>
      <w:bookmarkEnd w:id="0"/>
    </w:p>
    <w:p w14:paraId="587A190D" w14:textId="60698FDD" w:rsidR="00DA4F15" w:rsidRDefault="00DA4F15" w:rsidP="00DA4F15">
      <w:r>
        <w:t>&lt;ESMA_QUESTION_SLMT_15&gt;</w:t>
      </w:r>
    </w:p>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030523F4" w14:textId="77777777" w:rsidR="0040589B" w:rsidRDefault="0040589B" w:rsidP="0040589B">
      <w:pPr>
        <w:rPr>
          <w:rFonts w:ascii="BLK Fort" w:hAnsi="BLK Fort" w:cs="Arial"/>
          <w:bCs/>
          <w:sz w:val="20"/>
        </w:rPr>
      </w:pPr>
      <w:r>
        <w:rPr>
          <w:rFonts w:ascii="BLK Fort" w:hAnsi="BLK Fort" w:cs="Arial"/>
          <w:bCs/>
          <w:sz w:val="20"/>
        </w:rPr>
        <w:t xml:space="preserve">Yes. </w:t>
      </w:r>
    </w:p>
    <w:p w14:paraId="17405A48" w14:textId="5D494F06" w:rsidR="00DA4F15" w:rsidRDefault="00DA4F15" w:rsidP="00DA4F15">
      <w:r>
        <w:t>&lt;ESMA_QUESTION_SLMT_16&gt;</w:t>
      </w:r>
    </w:p>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lastRenderedPageBreak/>
        <w:t>&lt;ESMA_QUESTION_SLMT_17&gt;</w:t>
      </w:r>
    </w:p>
    <w:p w14:paraId="2C4F457B" w14:textId="77777777" w:rsidR="0040589B" w:rsidRDefault="0040589B" w:rsidP="0040589B">
      <w:pPr>
        <w:rPr>
          <w:rFonts w:ascii="BLK Fort" w:hAnsi="BLK Fort" w:cs="Arial"/>
          <w:bCs/>
          <w:sz w:val="20"/>
        </w:rPr>
      </w:pPr>
      <w:r>
        <w:rPr>
          <w:rFonts w:ascii="BLK Fort" w:hAnsi="BLK Fort" w:cs="Arial"/>
          <w:bCs/>
          <w:sz w:val="20"/>
        </w:rPr>
        <w:t xml:space="preserve">Yes, generally speaking all investors should be subject to the same notice period extension in keeping with the principle of equal treatment of investors. However, the RTS should not preclude AIFs from setting different lock-in periods for professional investors, provided this has been agreed in advance and has been clearly laid out in the offering documents. AIFs with illiquid investments will generally need different approaches to extension of notice periods when compared to UCITS. Allowing for the rules to differ based on the nature of the fund would allow for more appropriate rules in each case. </w:t>
      </w:r>
    </w:p>
    <w:p w14:paraId="441AC6E4" w14:textId="2B43A623" w:rsidR="00DA4F15" w:rsidRDefault="00DA4F15" w:rsidP="00DA4F15">
      <w:r>
        <w:t>&lt;ESMA_QUESTION_SLMT_17&gt;</w:t>
      </w:r>
    </w:p>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B3C7A45" w14:textId="77777777" w:rsidR="0040589B" w:rsidRDefault="00DA4F15" w:rsidP="00DA4F15">
      <w:r>
        <w:t>&lt;ESMA_QUESTION_SLMT_18&gt;</w:t>
      </w:r>
    </w:p>
    <w:p w14:paraId="48098DD0" w14:textId="793D7ECF" w:rsidR="0040589B" w:rsidRPr="0040589B" w:rsidRDefault="0040589B" w:rsidP="00DA4F15">
      <w:pPr>
        <w:rPr>
          <w:rFonts w:ascii="BLK Fort" w:hAnsi="BLK Fort" w:cs="Arial"/>
          <w:bCs/>
          <w:sz w:val="20"/>
        </w:rPr>
      </w:pPr>
      <w:r>
        <w:rPr>
          <w:rFonts w:ascii="BLK Fort" w:hAnsi="BLK Fort" w:cs="Arial"/>
          <w:bCs/>
          <w:sz w:val="20"/>
        </w:rPr>
        <w:t xml:space="preserve">Yes, extensions of notice periods may be applied for a pre-defined period of time, but this should not be mandatory. In other words, we support wording that suggests notice periods </w:t>
      </w:r>
      <w:r w:rsidRPr="004B3EDD">
        <w:rPr>
          <w:rFonts w:ascii="BLK Fort" w:hAnsi="BLK Fort" w:cs="Arial"/>
          <w:b/>
          <w:sz w:val="20"/>
          <w:u w:val="single"/>
        </w:rPr>
        <w:t>may be</w:t>
      </w:r>
      <w:r>
        <w:rPr>
          <w:rFonts w:ascii="BLK Fort" w:hAnsi="BLK Fort" w:cs="Arial"/>
          <w:bCs/>
          <w:sz w:val="20"/>
        </w:rPr>
        <w:t xml:space="preserve"> extended for a pre-defined period of time, but not that they </w:t>
      </w:r>
      <w:r w:rsidRPr="004B3EDD">
        <w:rPr>
          <w:rFonts w:ascii="BLK Fort" w:hAnsi="BLK Fort" w:cs="Arial"/>
          <w:b/>
          <w:sz w:val="20"/>
          <w:u w:val="single"/>
        </w:rPr>
        <w:t>must be</w:t>
      </w:r>
      <w:r>
        <w:rPr>
          <w:rFonts w:ascii="BLK Fort" w:hAnsi="BLK Fort" w:cs="Arial"/>
          <w:bCs/>
          <w:sz w:val="20"/>
        </w:rPr>
        <w:t xml:space="preserve"> extended for a pre-defined period of time. In most cases, a fund manager cannot predict with any certainty when the situation necessitating the extension of the notice period in the first place will be resolved. </w:t>
      </w:r>
    </w:p>
    <w:p w14:paraId="4AD28A51" w14:textId="4CC5D83B" w:rsidR="00DA4F15" w:rsidRDefault="00DA4F15" w:rsidP="00DA4F15">
      <w:r>
        <w:t>&lt;ESMA_QUESTION_SLMT_18&gt;</w:t>
      </w:r>
    </w:p>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1C6AFD10" w14:textId="77777777" w:rsidR="0040589B" w:rsidRPr="0040589B" w:rsidRDefault="0040589B" w:rsidP="0040589B">
      <w:pPr>
        <w:rPr>
          <w:rFonts w:ascii="BLK Fort" w:hAnsi="BLK Fort" w:cs="Arial"/>
          <w:bCs/>
          <w:sz w:val="20"/>
        </w:rPr>
      </w:pPr>
      <w:r w:rsidRPr="0040589B">
        <w:rPr>
          <w:rFonts w:ascii="BLK Fort" w:hAnsi="BLK Fort" w:cs="Arial"/>
          <w:bCs/>
          <w:sz w:val="20"/>
        </w:rPr>
        <w:t>No.</w:t>
      </w:r>
    </w:p>
    <w:p w14:paraId="73906F45" w14:textId="5D05315D" w:rsidR="00DA4F15" w:rsidRDefault="00DA4F15" w:rsidP="00DA4F15">
      <w:r>
        <w:t>&lt;ESMA_QUESTION_SLMT_19&gt;</w:t>
      </w:r>
    </w:p>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07DA2ED6" w14:textId="77777777" w:rsidR="0040589B" w:rsidRDefault="0040589B" w:rsidP="0040589B">
      <w:pPr>
        <w:rPr>
          <w:rFonts w:ascii="BLK Fort" w:hAnsi="BLK Fort" w:cs="Arial"/>
          <w:bCs/>
          <w:sz w:val="20"/>
        </w:rPr>
      </w:pPr>
      <w:r>
        <w:rPr>
          <w:rFonts w:ascii="BLK Fort" w:hAnsi="BLK Fort" w:cs="Arial"/>
          <w:bCs/>
          <w:sz w:val="20"/>
        </w:rPr>
        <w:lastRenderedPageBreak/>
        <w:t>They would be executed under the original notice period, unless extreme circumstances e.g. a severe liquidity strain, made this unfeasible, in which case the order might need to be deferred to the next dealing day.</w:t>
      </w:r>
    </w:p>
    <w:p w14:paraId="264597CA" w14:textId="1A190447" w:rsidR="00DA4F15" w:rsidRDefault="00DA4F15" w:rsidP="00DA4F15">
      <w:r>
        <w:t>&lt;ESMA_QUESTION_SLMT_20&gt;</w:t>
      </w:r>
    </w:p>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0CA64727" w14:textId="77777777" w:rsidR="0040589B" w:rsidRPr="005851D3" w:rsidRDefault="0040589B" w:rsidP="0040589B">
      <w:pPr>
        <w:rPr>
          <w:rFonts w:ascii="BLK Fort" w:hAnsi="BLK Fort" w:cs="Arial"/>
          <w:bCs/>
          <w:sz w:val="20"/>
        </w:rPr>
      </w:pPr>
      <w:r>
        <w:rPr>
          <w:rFonts w:ascii="BLK Fort" w:hAnsi="BLK Fort" w:cs="Arial"/>
          <w:bCs/>
          <w:sz w:val="20"/>
        </w:rPr>
        <w:t>We would resume orders chronologically. Those who placed orders first before the extension of the notice period would have their orders executed first and so on, until all orders are completed. Managers should be obliged to keep investors informed when activating and deactivating notice period extensions.</w:t>
      </w:r>
    </w:p>
    <w:p w14:paraId="599F1817" w14:textId="1C08D67C" w:rsidR="00DA4F15" w:rsidRDefault="00DA4F15" w:rsidP="00DA4F15">
      <w:r>
        <w:t>&lt;ESMA_QUESTION_SLMT_21&gt;</w:t>
      </w:r>
    </w:p>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2957BB10" w14:textId="77777777" w:rsidR="0040589B" w:rsidRDefault="0040589B" w:rsidP="0040589B">
      <w:pPr>
        <w:rPr>
          <w:rFonts w:ascii="BLK Fort" w:hAnsi="BLK Fort" w:cs="Arial"/>
          <w:bCs/>
          <w:sz w:val="20"/>
        </w:rPr>
      </w:pPr>
      <w:r>
        <w:rPr>
          <w:rFonts w:ascii="BLK Fort" w:hAnsi="BLK Fort" w:cs="Arial"/>
          <w:bCs/>
          <w:sz w:val="20"/>
        </w:rPr>
        <w:t xml:space="preserve">No. Firstly, as </w:t>
      </w:r>
      <w:r w:rsidRPr="65D46FE3">
        <w:rPr>
          <w:rFonts w:ascii="BLK Fort" w:hAnsi="BLK Fort" w:cs="Arial"/>
          <w:sz w:val="20"/>
        </w:rPr>
        <w:t xml:space="preserve">noted </w:t>
      </w:r>
      <w:r>
        <w:rPr>
          <w:rFonts w:ascii="BLK Fort" w:hAnsi="BLK Fort" w:cs="Arial"/>
          <w:bCs/>
          <w:sz w:val="20"/>
        </w:rPr>
        <w:t xml:space="preserve">for other tools in the RTS, the RTS assume that costs only arise when a fund is trying to sell assets, but costs can equally arise when </w:t>
      </w:r>
      <w:r w:rsidRPr="65D46FE3">
        <w:rPr>
          <w:rFonts w:ascii="BLK Fort" w:hAnsi="BLK Fort" w:cs="Arial"/>
          <w:sz w:val="20"/>
        </w:rPr>
        <w:t>the fund is</w:t>
      </w:r>
      <w:r>
        <w:rPr>
          <w:rFonts w:ascii="BLK Fort" w:hAnsi="BLK Fort" w:cs="Arial"/>
          <w:bCs/>
          <w:sz w:val="20"/>
        </w:rPr>
        <w:t xml:space="preserve"> trying to buy assets. The characteristics as written fail to recognise that transaction costs may also be generated from subscriptions, and they should be widened to reflect this possibility.</w:t>
      </w:r>
    </w:p>
    <w:p w14:paraId="0943FC41" w14:textId="77777777" w:rsidR="0040589B" w:rsidRDefault="0040589B" w:rsidP="0040589B">
      <w:pPr>
        <w:rPr>
          <w:rFonts w:ascii="BLK Fort" w:hAnsi="BLK Fort" w:cs="Arial"/>
          <w:bCs/>
          <w:sz w:val="20"/>
        </w:rPr>
      </w:pPr>
      <w:r>
        <w:rPr>
          <w:rFonts w:ascii="BLK Fort" w:hAnsi="BLK Fort" w:cs="Arial"/>
          <w:bCs/>
          <w:sz w:val="20"/>
        </w:rPr>
        <w:t xml:space="preserve">Secondly, the RTS state that the fee cannot be zero. We disagree with this approach, especially because the swing factor is allowed to be zero elsewhere in the RTS. If thresholds are allowed, and the cost of liquidity is negligible, then we see no reason for a fixed fee to be applied in that scenario. </w:t>
      </w:r>
    </w:p>
    <w:p w14:paraId="27D36EAA" w14:textId="77777777" w:rsidR="0040589B" w:rsidRDefault="0040589B" w:rsidP="0040589B">
      <w:pPr>
        <w:rPr>
          <w:rFonts w:ascii="BLK Fort" w:hAnsi="BLK Fort" w:cs="Arial"/>
          <w:bCs/>
          <w:sz w:val="20"/>
        </w:rPr>
      </w:pPr>
      <w:r>
        <w:rPr>
          <w:rFonts w:ascii="BLK Fort" w:hAnsi="BLK Fort" w:cs="Arial"/>
          <w:bCs/>
          <w:sz w:val="20"/>
        </w:rPr>
        <w:t>The RTS are inconsistent in that the characteristics suggest the fee must impose on transacting investors the estimated explicit and implicit costs of their transaction, but equally the fee must be fixed or have low variation, and that it should be ‘pre-defined’. We consider these obligations to be contradictory because the cost of liquidity is variable and suggest removing the ‘pre-defined’ obligation.</w:t>
      </w:r>
    </w:p>
    <w:p w14:paraId="7C1F8201" w14:textId="416A588A" w:rsidR="0040589B" w:rsidRDefault="0040589B" w:rsidP="0040589B">
      <w:pPr>
        <w:rPr>
          <w:rFonts w:ascii="BLK Fort" w:hAnsi="BLK Fort" w:cs="Arial"/>
          <w:bCs/>
          <w:sz w:val="20"/>
        </w:rPr>
      </w:pPr>
      <w:r>
        <w:rPr>
          <w:rFonts w:ascii="BLK Fort" w:hAnsi="BLK Fort" w:cs="Arial"/>
          <w:bCs/>
          <w:sz w:val="20"/>
        </w:rPr>
        <w:t xml:space="preserve">The draft characteristics say the redemption fees should be paid to the fund “to the benefit” of the remaining investors – this is misleading. It would be more accurate to </w:t>
      </w:r>
      <w:proofErr w:type="gramStart"/>
      <w:r>
        <w:rPr>
          <w:rFonts w:ascii="BLK Fort" w:hAnsi="BLK Fort" w:cs="Arial"/>
          <w:bCs/>
          <w:sz w:val="20"/>
        </w:rPr>
        <w:t>say</w:t>
      </w:r>
      <w:proofErr w:type="gramEnd"/>
      <w:r>
        <w:rPr>
          <w:rFonts w:ascii="BLK Fort" w:hAnsi="BLK Fort" w:cs="Arial"/>
          <w:bCs/>
          <w:sz w:val="20"/>
        </w:rPr>
        <w:t xml:space="preserve"> “redemption fees are paid to the fund with a view to mitigating any potential disadvantage to remaining investors from the transacting investor’s actions”.</w:t>
      </w:r>
    </w:p>
    <w:p w14:paraId="1821EDFA" w14:textId="77777777" w:rsidR="0040589B" w:rsidRDefault="0040589B" w:rsidP="0040589B">
      <w:pPr>
        <w:spacing w:line="259" w:lineRule="auto"/>
        <w:rPr>
          <w:rFonts w:ascii="BLK Fort" w:hAnsi="BLK Fort" w:cs="Arial"/>
          <w:bCs/>
          <w:sz w:val="20"/>
        </w:rPr>
      </w:pPr>
      <w:r>
        <w:rPr>
          <w:rFonts w:ascii="BLK Fort" w:hAnsi="BLK Fort" w:cs="Arial"/>
          <w:bCs/>
          <w:sz w:val="20"/>
        </w:rPr>
        <w:lastRenderedPageBreak/>
        <w:t xml:space="preserve">Lastly, the characteristics stipulate that “investors placing redemption orders that correspond to a certain redemption fee level shall all be charged the same redemption fee”. In practice this is problematic. Trading and market impact are calculated at the sub-fund level where the result of all dealing is calculated based on overall redemptions from the fund, not just smaller pieces of it. Therefore, it is harder to justify charging smaller transactions less. </w:t>
      </w:r>
      <w:r w:rsidRPr="65D46FE3">
        <w:rPr>
          <w:rFonts w:ascii="BLK Fort" w:hAnsi="BLK Fort" w:cs="Arial"/>
          <w:sz w:val="20"/>
        </w:rPr>
        <w:t>This approach would not be followed</w:t>
      </w:r>
      <w:r>
        <w:rPr>
          <w:rFonts w:ascii="BLK Fort" w:hAnsi="BLK Fort" w:cs="Arial"/>
          <w:bCs/>
          <w:sz w:val="20"/>
        </w:rPr>
        <w:t xml:space="preserve"> with other anti-dilution tools because it </w:t>
      </w:r>
      <w:r w:rsidRPr="65D46FE3">
        <w:rPr>
          <w:rFonts w:ascii="BLK Fort" w:hAnsi="BLK Fort" w:cs="Arial"/>
          <w:sz w:val="20"/>
        </w:rPr>
        <w:t xml:space="preserve">could potentially </w:t>
      </w:r>
      <w:r>
        <w:rPr>
          <w:rFonts w:ascii="BLK Fort" w:hAnsi="BLK Fort" w:cs="Arial"/>
          <w:bCs/>
          <w:sz w:val="20"/>
        </w:rPr>
        <w:t xml:space="preserve">mean there could be a slice of </w:t>
      </w:r>
      <w:r w:rsidRPr="65D46FE3">
        <w:rPr>
          <w:rFonts w:ascii="BLK Fort" w:hAnsi="BLK Fort" w:cs="Arial"/>
          <w:sz w:val="20"/>
        </w:rPr>
        <w:t xml:space="preserve">the overall </w:t>
      </w:r>
      <w:r>
        <w:rPr>
          <w:rFonts w:ascii="BLK Fort" w:hAnsi="BLK Fort" w:cs="Arial"/>
          <w:bCs/>
          <w:sz w:val="20"/>
        </w:rPr>
        <w:t xml:space="preserve">cost not picked up by </w:t>
      </w:r>
      <w:r w:rsidRPr="65D46FE3">
        <w:rPr>
          <w:rFonts w:ascii="BLK Fort" w:hAnsi="BLK Fort" w:cs="Arial"/>
          <w:sz w:val="20"/>
        </w:rPr>
        <w:t>any shareholder.</w:t>
      </w:r>
    </w:p>
    <w:p w14:paraId="42CD0DE4" w14:textId="77777777" w:rsidR="0040589B" w:rsidRDefault="0040589B" w:rsidP="0040589B">
      <w:pPr>
        <w:rPr>
          <w:rFonts w:ascii="BLK Fort" w:hAnsi="BLK Fort" w:cs="Arial"/>
          <w:bCs/>
          <w:sz w:val="20"/>
        </w:rPr>
      </w:pPr>
      <w:r>
        <w:rPr>
          <w:rFonts w:ascii="BLK Fort" w:hAnsi="BLK Fort" w:cs="Arial"/>
          <w:bCs/>
          <w:sz w:val="20"/>
        </w:rPr>
        <w:t>In general, w</w:t>
      </w:r>
      <w:r w:rsidRPr="005F0B7F">
        <w:rPr>
          <w:rFonts w:ascii="BLK Fort" w:hAnsi="BLK Fort" w:cs="Arial"/>
          <w:bCs/>
          <w:sz w:val="20"/>
        </w:rPr>
        <w:t>e encourage flexibility in how managers adopt these tools, subject to the core principle of mitigating material dilution of investors being upheld</w:t>
      </w:r>
      <w:r>
        <w:rPr>
          <w:rFonts w:ascii="BLK Fort" w:hAnsi="BLK Fort" w:cs="Arial"/>
          <w:bCs/>
          <w:sz w:val="20"/>
        </w:rPr>
        <w:t>. We would note as a reminder that in general, f</w:t>
      </w:r>
      <w:r w:rsidRPr="00D6083F">
        <w:rPr>
          <w:rFonts w:ascii="BLK Fort" w:hAnsi="BLK Fort" w:cs="Arial"/>
          <w:bCs/>
          <w:sz w:val="20"/>
        </w:rPr>
        <w:t xml:space="preserve">unds with significant dealing volumes may be better served by an anti-dilution LMT applied at the fund level (e.g., swing pricing) rather than a tool that is applied at individual deal level </w:t>
      </w:r>
      <w:r>
        <w:rPr>
          <w:rFonts w:ascii="BLK Fort" w:hAnsi="BLK Fort" w:cs="Arial"/>
          <w:bCs/>
          <w:sz w:val="20"/>
        </w:rPr>
        <w:t>like a redemption/subscription fee.</w:t>
      </w:r>
    </w:p>
    <w:p w14:paraId="16413F78" w14:textId="0C57B6B4" w:rsidR="00DA4F15" w:rsidRDefault="00DA4F15" w:rsidP="00DA4F15">
      <w:r>
        <w:t>&lt;ESMA_QUESTION_SLMT_22&gt;</w:t>
      </w:r>
    </w:p>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69C4FA3" w14:textId="77777777" w:rsidR="0040589B" w:rsidRPr="00A73B21" w:rsidRDefault="0040589B" w:rsidP="0040589B">
      <w:pPr>
        <w:rPr>
          <w:rFonts w:ascii="BLK Fort" w:hAnsi="BLK Fort" w:cs="Arial"/>
          <w:bCs/>
          <w:sz w:val="20"/>
        </w:rPr>
      </w:pPr>
      <w:r>
        <w:rPr>
          <w:rFonts w:ascii="BLK Fort" w:hAnsi="BLK Fort" w:cs="Arial"/>
          <w:bCs/>
          <w:sz w:val="20"/>
        </w:rPr>
        <w:t xml:space="preserve">Subscription fees described above should be included. </w:t>
      </w:r>
    </w:p>
    <w:p w14:paraId="08FD8CD5" w14:textId="7B8895E7" w:rsidR="00DA4F15" w:rsidRDefault="00DA4F15" w:rsidP="00DA4F15">
      <w:r>
        <w:t>&lt;ESMA_QUESTION_SLMT_23&gt;</w:t>
      </w:r>
    </w:p>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7D0AB7F1" w14:textId="77777777" w:rsidR="0040589B" w:rsidRDefault="0040589B" w:rsidP="0040589B">
      <w:pPr>
        <w:rPr>
          <w:rFonts w:ascii="BLK Fort" w:hAnsi="BLK Fort" w:cs="Arial"/>
          <w:sz w:val="20"/>
        </w:rPr>
      </w:pPr>
      <w:r>
        <w:rPr>
          <w:rFonts w:ascii="BLK Fort" w:hAnsi="BLK Fort" w:cs="Arial"/>
          <w:bCs/>
          <w:sz w:val="20"/>
        </w:rPr>
        <w:t>No.</w:t>
      </w:r>
    </w:p>
    <w:p w14:paraId="1011AA70" w14:textId="41EBC0FE" w:rsidR="00DA4F15" w:rsidRDefault="00DA4F15" w:rsidP="00DA4F15">
      <w:r>
        <w:t>&lt;ESMA_QUESTION_SLMT_24&gt;</w:t>
      </w:r>
    </w:p>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36F12B5F" w14:textId="77777777" w:rsidR="0040589B" w:rsidRDefault="0040589B" w:rsidP="0040589B">
      <w:pPr>
        <w:rPr>
          <w:rFonts w:ascii="BLK Fort" w:hAnsi="BLK Fort" w:cs="Arial"/>
          <w:bCs/>
          <w:sz w:val="20"/>
        </w:rPr>
      </w:pPr>
      <w:r>
        <w:rPr>
          <w:rFonts w:ascii="BLK Fort" w:hAnsi="BLK Fort" w:cs="Arial"/>
          <w:bCs/>
          <w:sz w:val="20"/>
        </w:rPr>
        <w:t>We agree with the description but would emphasise that s</w:t>
      </w:r>
      <w:r w:rsidRPr="002C0B9A">
        <w:rPr>
          <w:rFonts w:ascii="BLK Fort" w:hAnsi="BLK Fort" w:cs="Arial"/>
          <w:bCs/>
          <w:sz w:val="20"/>
        </w:rPr>
        <w:t>wing pricing is</w:t>
      </w:r>
      <w:r>
        <w:rPr>
          <w:rFonts w:ascii="BLK Fort" w:hAnsi="BLK Fort" w:cs="Arial"/>
          <w:bCs/>
          <w:sz w:val="20"/>
        </w:rPr>
        <w:t xml:space="preserve"> not just a tool to be used in </w:t>
      </w:r>
      <w:r w:rsidRPr="15B3E31A">
        <w:rPr>
          <w:rFonts w:ascii="BLK Fort" w:hAnsi="BLK Fort" w:cs="Arial"/>
          <w:sz w:val="20"/>
        </w:rPr>
        <w:t>stressed conditions</w:t>
      </w:r>
      <w:r>
        <w:rPr>
          <w:rFonts w:ascii="BLK Fort" w:hAnsi="BLK Fort" w:cs="Arial"/>
          <w:sz w:val="20"/>
        </w:rPr>
        <w:t xml:space="preserve"> -</w:t>
      </w:r>
      <w:r>
        <w:rPr>
          <w:rFonts w:ascii="BLK Fort" w:hAnsi="BLK Fort" w:cs="Arial"/>
          <w:bCs/>
          <w:sz w:val="20"/>
        </w:rPr>
        <w:t xml:space="preserve"> it is</w:t>
      </w:r>
      <w:r w:rsidRPr="002C0B9A">
        <w:rPr>
          <w:rFonts w:ascii="BLK Fort" w:hAnsi="BLK Fort" w:cs="Arial"/>
          <w:bCs/>
          <w:sz w:val="20"/>
        </w:rPr>
        <w:t xml:space="preserve"> </w:t>
      </w:r>
      <w:r w:rsidRPr="65D46FE3">
        <w:rPr>
          <w:rFonts w:ascii="BLK Fort" w:hAnsi="BLK Fort" w:cs="Arial"/>
          <w:sz w:val="20"/>
        </w:rPr>
        <w:t xml:space="preserve">frequently </w:t>
      </w:r>
      <w:r w:rsidRPr="002C0B9A">
        <w:rPr>
          <w:rFonts w:ascii="BLK Fort" w:hAnsi="BLK Fort" w:cs="Arial"/>
          <w:bCs/>
          <w:sz w:val="20"/>
        </w:rPr>
        <w:t xml:space="preserve">used on a day-to-day basis through all market conditions. </w:t>
      </w:r>
      <w:r w:rsidRPr="65D46FE3">
        <w:rPr>
          <w:rFonts w:ascii="BLK Fort" w:hAnsi="BLK Fort" w:cs="Arial"/>
          <w:sz w:val="20"/>
        </w:rPr>
        <w:t xml:space="preserve">In fact, the ongoing use of swing pricing in normal market conditions where there are significant net capital flows means that it can be deployed without a stigma effect in extreme market conditions. </w:t>
      </w:r>
      <w:r w:rsidRPr="002C0B9A">
        <w:rPr>
          <w:rFonts w:ascii="BLK Fort" w:hAnsi="BLK Fort" w:cs="Arial"/>
          <w:bCs/>
          <w:sz w:val="20"/>
        </w:rPr>
        <w:t xml:space="preserve">Swing pricing can be deployed for as long as assets can be fairly and appropriately </w:t>
      </w:r>
      <w:r w:rsidRPr="002C0B9A">
        <w:rPr>
          <w:rFonts w:ascii="BLK Fort" w:hAnsi="BLK Fort" w:cs="Arial"/>
          <w:bCs/>
          <w:sz w:val="20"/>
        </w:rPr>
        <w:lastRenderedPageBreak/>
        <w:t xml:space="preserve">valued and transacted. </w:t>
      </w:r>
      <w:r>
        <w:rPr>
          <w:rFonts w:ascii="BLK Fort" w:hAnsi="BLK Fort" w:cs="Arial"/>
          <w:bCs/>
          <w:sz w:val="20"/>
        </w:rPr>
        <w:t>If</w:t>
      </w:r>
      <w:r w:rsidRPr="002925FD">
        <w:rPr>
          <w:rFonts w:ascii="BLK Fort" w:hAnsi="BLK Fort" w:cs="Arial"/>
          <w:bCs/>
          <w:sz w:val="20"/>
        </w:rPr>
        <w:t xml:space="preserve"> underlying market conditions are so adverse that they do not support the use of fair value pricing mechanisms, swing pricing ceases to be an appropriate tool, and managers will instead use mechanisms such as gating or suspension until market conditions stabilise.</w:t>
      </w:r>
    </w:p>
    <w:p w14:paraId="3EFB879C" w14:textId="77777777" w:rsidR="0040589B" w:rsidRDefault="0040589B" w:rsidP="0040589B">
      <w:pPr>
        <w:rPr>
          <w:rFonts w:ascii="BLK Fort" w:hAnsi="BLK Fort" w:cs="Arial"/>
          <w:bCs/>
          <w:sz w:val="20"/>
        </w:rPr>
      </w:pPr>
      <w:r>
        <w:rPr>
          <w:rFonts w:ascii="BLK Fort" w:hAnsi="BLK Fort" w:cs="Arial"/>
          <w:bCs/>
          <w:sz w:val="20"/>
        </w:rPr>
        <w:t>Secondly, we agree that t</w:t>
      </w:r>
      <w:r w:rsidRPr="00324C8F">
        <w:rPr>
          <w:rFonts w:ascii="BLK Fort" w:hAnsi="BLK Fort" w:cs="Arial"/>
          <w:bCs/>
          <w:sz w:val="20"/>
        </w:rPr>
        <w:t xml:space="preserve">he swing factor </w:t>
      </w:r>
      <w:r>
        <w:rPr>
          <w:rFonts w:ascii="BLK Fort" w:hAnsi="BLK Fort" w:cs="Arial"/>
          <w:bCs/>
          <w:sz w:val="20"/>
        </w:rPr>
        <w:t>should</w:t>
      </w:r>
      <w:r w:rsidRPr="00324C8F">
        <w:rPr>
          <w:rFonts w:ascii="BLK Fort" w:hAnsi="BLK Fort" w:cs="Arial"/>
          <w:bCs/>
          <w:sz w:val="20"/>
        </w:rPr>
        <w:t xml:space="preserve"> reflect the </w:t>
      </w:r>
      <w:r w:rsidRPr="00CA67B2">
        <w:rPr>
          <w:rFonts w:ascii="BLK Fort" w:hAnsi="BLK Fort" w:cs="Arial"/>
          <w:b/>
          <w:sz w:val="20"/>
          <w:u w:val="single"/>
        </w:rPr>
        <w:t>estimated</w:t>
      </w:r>
      <w:r w:rsidRPr="00324C8F">
        <w:rPr>
          <w:rFonts w:ascii="BLK Fort" w:hAnsi="BLK Fort" w:cs="Arial"/>
          <w:bCs/>
          <w:sz w:val="20"/>
        </w:rPr>
        <w:t xml:space="preserve"> cost of liquidity</w:t>
      </w:r>
      <w:r>
        <w:rPr>
          <w:rFonts w:ascii="BLK Fort" w:hAnsi="BLK Fort" w:cs="Arial"/>
          <w:bCs/>
          <w:sz w:val="20"/>
        </w:rPr>
        <w:t xml:space="preserve"> and would add that this should be done on a best-efforts basis. We note that there is some inconsistency in the wording throughout the RTS, in that it says ‘estimated cost of liquidity’ in some places, but just ‘cost of liquidity’ in others. It should say estimated throughout in recognition of the fact that t</w:t>
      </w:r>
      <w:r w:rsidRPr="002925FD">
        <w:rPr>
          <w:rFonts w:ascii="BLK Fort" w:hAnsi="BLK Fort" w:cs="Arial"/>
          <w:bCs/>
          <w:sz w:val="20"/>
        </w:rPr>
        <w:t>he ability to set an appropriate swing factor relies on the ability of the manager to assess the expected costs of transacting and accessing liquidity. However</w:t>
      </w:r>
      <w:r>
        <w:rPr>
          <w:rFonts w:ascii="BLK Fort" w:hAnsi="BLK Fort" w:cs="Arial"/>
          <w:bCs/>
          <w:sz w:val="20"/>
        </w:rPr>
        <w:t>,</w:t>
      </w:r>
      <w:r w:rsidRPr="002925FD">
        <w:rPr>
          <w:rFonts w:ascii="BLK Fort" w:hAnsi="BLK Fort" w:cs="Arial"/>
          <w:bCs/>
          <w:sz w:val="20"/>
        </w:rPr>
        <w:t xml:space="preserve"> this is dependent on accurate on-screen prices</w:t>
      </w:r>
      <w:r>
        <w:rPr>
          <w:rFonts w:ascii="BLK Fort" w:hAnsi="BLK Fort" w:cs="Arial"/>
          <w:bCs/>
          <w:sz w:val="20"/>
        </w:rPr>
        <w:t xml:space="preserve"> which are not always available. </w:t>
      </w:r>
    </w:p>
    <w:p w14:paraId="346CE286" w14:textId="77777777" w:rsidR="0040589B" w:rsidRDefault="0040589B" w:rsidP="0040589B">
      <w:pPr>
        <w:rPr>
          <w:rFonts w:ascii="BLK Fort" w:hAnsi="BLK Fort" w:cs="Arial"/>
          <w:bCs/>
          <w:sz w:val="20"/>
        </w:rPr>
      </w:pPr>
      <w:r>
        <w:rPr>
          <w:rFonts w:ascii="BLK Fort" w:hAnsi="BLK Fort" w:cs="Arial"/>
          <w:bCs/>
          <w:sz w:val="20"/>
        </w:rPr>
        <w:t>For example, d</w:t>
      </w:r>
      <w:r w:rsidRPr="002925FD">
        <w:rPr>
          <w:rFonts w:ascii="BLK Fort" w:hAnsi="BLK Fort" w:cs="Arial"/>
          <w:bCs/>
          <w:sz w:val="20"/>
        </w:rPr>
        <w:t>uring March 2020</w:t>
      </w:r>
      <w:r>
        <w:rPr>
          <w:rFonts w:ascii="BLK Fort" w:hAnsi="BLK Fort" w:cs="Arial"/>
          <w:bCs/>
          <w:sz w:val="20"/>
        </w:rPr>
        <w:t xml:space="preserve"> </w:t>
      </w:r>
      <w:r w:rsidRPr="002925FD">
        <w:rPr>
          <w:rFonts w:ascii="BLK Fort" w:hAnsi="BLK Fort" w:cs="Arial"/>
          <w:bCs/>
          <w:sz w:val="20"/>
        </w:rPr>
        <w:t xml:space="preserve">screen prices and bid-ask spreads did not always represent actionable prices. In these circumstances, the transaction cost models used to determine swing factors </w:t>
      </w:r>
      <w:r>
        <w:rPr>
          <w:rFonts w:ascii="BLK Fort" w:hAnsi="BLK Fort" w:cs="Arial"/>
          <w:bCs/>
          <w:sz w:val="20"/>
        </w:rPr>
        <w:t>should be</w:t>
      </w:r>
      <w:r w:rsidRPr="002925FD">
        <w:rPr>
          <w:rFonts w:ascii="BLK Fort" w:hAnsi="BLK Fort" w:cs="Arial"/>
          <w:bCs/>
          <w:sz w:val="20"/>
        </w:rPr>
        <w:t xml:space="preserve"> supplemented by input from </w:t>
      </w:r>
      <w:r w:rsidRPr="446859CB">
        <w:rPr>
          <w:rFonts w:ascii="BLK Fort" w:hAnsi="BLK Fort" w:cs="Arial"/>
          <w:sz w:val="20"/>
        </w:rPr>
        <w:t xml:space="preserve">other sources, including </w:t>
      </w:r>
      <w:r w:rsidRPr="002925FD">
        <w:rPr>
          <w:rFonts w:ascii="BLK Fort" w:hAnsi="BLK Fort" w:cs="Arial"/>
          <w:bCs/>
          <w:sz w:val="20"/>
        </w:rPr>
        <w:t xml:space="preserve">trading, portfolio management and risk teams to determine an adjustment that appropriately reflects the cost of reaching a transactable price prices. </w:t>
      </w:r>
    </w:p>
    <w:p w14:paraId="047A9FB7" w14:textId="77777777" w:rsidR="0040589B" w:rsidRDefault="0040589B" w:rsidP="0040589B">
      <w:pPr>
        <w:rPr>
          <w:rFonts w:ascii="BLK Fort" w:hAnsi="BLK Fort" w:cs="Arial"/>
          <w:bCs/>
          <w:sz w:val="20"/>
        </w:rPr>
      </w:pPr>
      <w:r>
        <w:rPr>
          <w:rFonts w:ascii="BLK Fort" w:hAnsi="BLK Fort" w:cs="Arial"/>
          <w:bCs/>
          <w:sz w:val="20"/>
        </w:rPr>
        <w:t>So, while s</w:t>
      </w:r>
      <w:r w:rsidRPr="00176461">
        <w:rPr>
          <w:rFonts w:ascii="BLK Fort" w:hAnsi="BLK Fort" w:cs="Arial"/>
          <w:bCs/>
          <w:sz w:val="20"/>
        </w:rPr>
        <w:t>wing pricing frequently utilises modelling and automated data feeds</w:t>
      </w:r>
      <w:r>
        <w:rPr>
          <w:rFonts w:ascii="BLK Fort" w:hAnsi="BLK Fort" w:cs="Arial"/>
          <w:bCs/>
          <w:sz w:val="20"/>
        </w:rPr>
        <w:t>, it</w:t>
      </w:r>
      <w:r w:rsidRPr="00176461">
        <w:rPr>
          <w:rFonts w:ascii="BLK Fort" w:hAnsi="BLK Fort" w:cs="Arial"/>
          <w:bCs/>
          <w:sz w:val="20"/>
        </w:rPr>
        <w:t xml:space="preserve"> is not </w:t>
      </w:r>
      <w:r>
        <w:rPr>
          <w:rFonts w:ascii="BLK Fort" w:hAnsi="BLK Fort" w:cs="Arial"/>
          <w:bCs/>
          <w:sz w:val="20"/>
        </w:rPr>
        <w:t>a</w:t>
      </w:r>
      <w:r w:rsidRPr="00176461">
        <w:rPr>
          <w:rFonts w:ascii="BLK Fort" w:hAnsi="BLK Fort" w:cs="Arial"/>
          <w:bCs/>
          <w:sz w:val="20"/>
        </w:rPr>
        <w:t>utomated from start to finish</w:t>
      </w:r>
      <w:r>
        <w:rPr>
          <w:rFonts w:ascii="BLK Fort" w:hAnsi="BLK Fort" w:cs="Arial"/>
          <w:bCs/>
          <w:sz w:val="20"/>
        </w:rPr>
        <w:t>. I</w:t>
      </w:r>
      <w:r w:rsidRPr="00176461">
        <w:rPr>
          <w:rFonts w:ascii="BLK Fort" w:hAnsi="BLK Fort" w:cs="Arial"/>
          <w:bCs/>
          <w:sz w:val="20"/>
        </w:rPr>
        <w:t>t requires human governance and oversight, including the combined judgement and expertise from a range of asset management functions when setting swing pricing thresholds and factors.</w:t>
      </w:r>
      <w:r>
        <w:rPr>
          <w:rFonts w:ascii="BLK Fort" w:hAnsi="BLK Fort" w:cs="Arial"/>
          <w:bCs/>
          <w:sz w:val="20"/>
        </w:rPr>
        <w:t xml:space="preserve"> As such, flexibility for managers in operationalising this ADL remains paramount.</w:t>
      </w:r>
    </w:p>
    <w:p w14:paraId="1AAF5B2D" w14:textId="77777777" w:rsidR="0040589B" w:rsidRDefault="0040589B" w:rsidP="0040589B">
      <w:pPr>
        <w:rPr>
          <w:rFonts w:ascii="BLK Fort" w:hAnsi="BLK Fort" w:cs="Arial"/>
          <w:sz w:val="20"/>
        </w:rPr>
      </w:pPr>
      <w:r w:rsidRPr="65D46FE3">
        <w:rPr>
          <w:rFonts w:ascii="BLK Fort" w:hAnsi="BLK Fort" w:cs="Arial"/>
          <w:sz w:val="20"/>
        </w:rPr>
        <w:t xml:space="preserve">For further details on the operation of swing pricing see our Policy Spotlight – </w:t>
      </w:r>
      <w:r w:rsidRPr="00D90228">
        <w:rPr>
          <w:rFonts w:ascii="BLK Fort" w:hAnsi="BLK Fort" w:cs="Arial"/>
          <w:i/>
          <w:iCs/>
          <w:sz w:val="20"/>
        </w:rPr>
        <w:t>Raising the Bar</w:t>
      </w:r>
      <w:r>
        <w:rPr>
          <w:rFonts w:ascii="BLK Fort" w:hAnsi="BLK Fort" w:cs="Arial"/>
          <w:sz w:val="20"/>
        </w:rPr>
        <w:t>.</w:t>
      </w:r>
      <w:r>
        <w:rPr>
          <w:rStyle w:val="FootnoteReference"/>
          <w:rFonts w:ascii="BLK Fort" w:hAnsi="BLK Fort"/>
          <w:sz w:val="20"/>
        </w:rPr>
        <w:footnoteReference w:id="2"/>
      </w:r>
    </w:p>
    <w:p w14:paraId="02FD11A8" w14:textId="5DAAC65C" w:rsidR="00DA4F15" w:rsidRDefault="00DA4F15" w:rsidP="00DA4F15">
      <w:r>
        <w:t>&lt;ESMA_QUESTION_SLMT_25&gt;</w:t>
      </w:r>
    </w:p>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39F72574" w14:textId="77777777" w:rsidR="0040589B" w:rsidRDefault="0040589B" w:rsidP="0040589B">
      <w:pPr>
        <w:rPr>
          <w:rFonts w:ascii="BLK Fort" w:hAnsi="BLK Fort" w:cs="Arial"/>
          <w:bCs/>
          <w:sz w:val="20"/>
        </w:rPr>
      </w:pPr>
      <w:r>
        <w:rPr>
          <w:rFonts w:ascii="BLK Fort" w:hAnsi="BLK Fort" w:cs="Arial"/>
          <w:bCs/>
          <w:sz w:val="20"/>
        </w:rPr>
        <w:t xml:space="preserve">While not a characteristic per se, we would like to take this opportunity to reemphasise the difference between first mover advantage (FMA) in funds and first mover advantage in markets. </w:t>
      </w:r>
    </w:p>
    <w:p w14:paraId="07B15AD3" w14:textId="748A5B97" w:rsidR="0040589B" w:rsidRDefault="0040589B" w:rsidP="0040589B">
      <w:pPr>
        <w:rPr>
          <w:rFonts w:ascii="BLK Fort" w:hAnsi="BLK Fort" w:cs="Arial"/>
          <w:bCs/>
          <w:sz w:val="20"/>
        </w:rPr>
      </w:pPr>
      <w:r>
        <w:rPr>
          <w:rFonts w:ascii="BLK Fort" w:hAnsi="BLK Fort" w:cs="Arial"/>
          <w:bCs/>
          <w:sz w:val="20"/>
        </w:rPr>
        <w:t xml:space="preserve">Swing pricing’s goal is to remove FMA in funds, but crucially, not in markets. </w:t>
      </w:r>
      <w:r w:rsidRPr="00C457F5">
        <w:rPr>
          <w:rFonts w:ascii="BLK Fort" w:hAnsi="BLK Fort" w:cs="Arial"/>
          <w:bCs/>
          <w:sz w:val="20"/>
        </w:rPr>
        <w:t xml:space="preserve">Even when swing pricing is applied, investors can still choose to redeem for other reasons – </w:t>
      </w:r>
      <w:r>
        <w:rPr>
          <w:rFonts w:ascii="BLK Fort" w:hAnsi="BLK Fort" w:cs="Arial"/>
          <w:bCs/>
          <w:sz w:val="20"/>
        </w:rPr>
        <w:t xml:space="preserve">e.g., </w:t>
      </w:r>
      <w:r w:rsidRPr="00C457F5">
        <w:rPr>
          <w:rFonts w:ascii="BLK Fort" w:hAnsi="BLK Fort" w:cs="Arial"/>
          <w:bCs/>
          <w:sz w:val="20"/>
        </w:rPr>
        <w:t>responding to broader market conditions, re-appraising an asset class’s prospects, a desire to re</w:t>
      </w:r>
      <w:r>
        <w:rPr>
          <w:rFonts w:ascii="BLK Fort" w:hAnsi="BLK Fort" w:cs="Arial"/>
          <w:bCs/>
          <w:sz w:val="20"/>
        </w:rPr>
        <w:t>-</w:t>
      </w:r>
      <w:r w:rsidRPr="00C457F5">
        <w:rPr>
          <w:rFonts w:ascii="BLK Fort" w:hAnsi="BLK Fort" w:cs="Arial"/>
          <w:bCs/>
          <w:sz w:val="20"/>
        </w:rPr>
        <w:t>balance or re-allocate their portfolio, or to raise or invest cash balances.</w:t>
      </w:r>
      <w:r>
        <w:rPr>
          <w:rFonts w:ascii="BLK Fort" w:hAnsi="BLK Fort" w:cs="Arial"/>
          <w:bCs/>
          <w:sz w:val="20"/>
        </w:rPr>
        <w:t xml:space="preserve"> Swing pricing via</w:t>
      </w:r>
      <w:r w:rsidRPr="00C457F5">
        <w:rPr>
          <w:rFonts w:ascii="BLK Fort" w:hAnsi="BLK Fort" w:cs="Arial"/>
          <w:bCs/>
          <w:sz w:val="20"/>
        </w:rPr>
        <w:t xml:space="preserve"> adjustment to the </w:t>
      </w:r>
      <w:r w:rsidRPr="00C457F5">
        <w:rPr>
          <w:rFonts w:ascii="BLK Fort" w:hAnsi="BLK Fort" w:cs="Arial"/>
          <w:bCs/>
          <w:sz w:val="20"/>
        </w:rPr>
        <w:lastRenderedPageBreak/>
        <w:t xml:space="preserve">fund NAV reflecting transaction size and market conditions provides a disincentive to transact, but it cannot and should not be used to prevent investors from redeeming altogether. </w:t>
      </w:r>
    </w:p>
    <w:p w14:paraId="5B741B10" w14:textId="4FD0EA3F" w:rsidR="0040589B" w:rsidRDefault="0040589B" w:rsidP="0040589B">
      <w:pPr>
        <w:rPr>
          <w:rFonts w:ascii="BLK Fort" w:hAnsi="BLK Fort" w:cs="Arial"/>
          <w:bCs/>
          <w:sz w:val="20"/>
        </w:rPr>
      </w:pPr>
      <w:r w:rsidRPr="00C457F5">
        <w:rPr>
          <w:rFonts w:ascii="BLK Fort" w:hAnsi="BLK Fort" w:cs="Arial"/>
          <w:bCs/>
          <w:sz w:val="20"/>
        </w:rPr>
        <w:t>All investors, irrespective of vehicle, face incentives to transact opportunistically to take advantage</w:t>
      </w:r>
      <w:r>
        <w:rPr>
          <w:rFonts w:ascii="BLK Fort" w:hAnsi="BLK Fort" w:cs="Arial"/>
          <w:bCs/>
          <w:sz w:val="20"/>
        </w:rPr>
        <w:t xml:space="preserve"> of</w:t>
      </w:r>
      <w:r w:rsidRPr="00C457F5">
        <w:rPr>
          <w:rFonts w:ascii="BLK Fort" w:hAnsi="BLK Fort" w:cs="Arial"/>
          <w:bCs/>
          <w:sz w:val="20"/>
        </w:rPr>
        <w:t xml:space="preserve"> perceived or actual changes in market fundamentals (such as reallocating from bonds to equity), or in market-wide conditions (such as liquidity). The fact that some investors will be able to pre-empt these changes and transact ahead of others is an example of FMA in markets and is inherent in market functioning. This aligns with the FSB’s observation that ‘an investor who redeems solely in anticipation of further market deterioration is not considered as benefitting from first-mover advantage’.</w:t>
      </w:r>
      <w:r>
        <w:rPr>
          <w:rStyle w:val="FootnoteReference"/>
          <w:rFonts w:ascii="BLK Fort" w:hAnsi="BLK Fort"/>
          <w:bCs/>
          <w:sz w:val="20"/>
        </w:rPr>
        <w:footnoteReference w:id="3"/>
      </w:r>
    </w:p>
    <w:p w14:paraId="1EB0361D" w14:textId="133B1BEB" w:rsidR="00DA4F15" w:rsidRDefault="00DA4F15" w:rsidP="00DA4F15">
      <w:r>
        <w:t>&lt;ESMA_QUESTION_SLMT_26&gt;</w:t>
      </w:r>
    </w:p>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6D3F9D3B" w14:textId="77777777" w:rsidR="0040589B" w:rsidRDefault="0040589B" w:rsidP="0040589B">
      <w:pPr>
        <w:rPr>
          <w:rFonts w:ascii="BLK Fort" w:hAnsi="BLK Fort" w:cs="Arial"/>
          <w:bCs/>
          <w:sz w:val="20"/>
        </w:rPr>
      </w:pPr>
      <w:r w:rsidRPr="00611B80">
        <w:rPr>
          <w:rFonts w:ascii="BLK Fort" w:hAnsi="BLK Fort" w:cs="Arial"/>
          <w:bCs/>
          <w:sz w:val="20"/>
        </w:rPr>
        <w:t>As previously noted, it may not be operationally feasible to deploy certain LMTs for a particular fund depending on the characteristics of the fund or asset class. For instance, less-liquid funds by nature of their underlying assets may be better served by an anti-dilution LMT applied at individual deal level (e.g., subscription/redemption fees).</w:t>
      </w:r>
    </w:p>
    <w:p w14:paraId="100AA847" w14:textId="77777777" w:rsidR="0040589B" w:rsidRDefault="0040589B" w:rsidP="0040589B">
      <w:pPr>
        <w:rPr>
          <w:rFonts w:ascii="BLK Fort" w:hAnsi="BLK Fort" w:cs="Arial"/>
          <w:bCs/>
          <w:sz w:val="20"/>
        </w:rPr>
      </w:pPr>
      <w:r w:rsidRPr="00D45D32">
        <w:rPr>
          <w:rFonts w:ascii="BLK Fort" w:hAnsi="BLK Fort" w:cs="Arial"/>
          <w:bCs/>
          <w:sz w:val="20"/>
        </w:rPr>
        <w:t xml:space="preserve">Swing pricing is typically applied to open-ended investment funds which, while holding some cash balances (mainly to take advantage of investment opportunities), invest primarily in assets such as fixed income or equities. Swing pricing is appropriate for these funds because a sizeable inflow or outflow creates the need to transact in underlying assets, and in turn, can generate transaction costs. </w:t>
      </w:r>
    </w:p>
    <w:p w14:paraId="3754D213" w14:textId="77777777" w:rsidR="0040589B" w:rsidRDefault="0040589B" w:rsidP="0040589B">
      <w:pPr>
        <w:spacing w:line="259" w:lineRule="auto"/>
        <w:rPr>
          <w:rFonts w:ascii="BLK Fort" w:hAnsi="BLK Fort" w:cs="Arial"/>
          <w:bCs/>
          <w:sz w:val="20"/>
        </w:rPr>
      </w:pPr>
      <w:r w:rsidRPr="00D45D32">
        <w:rPr>
          <w:rFonts w:ascii="BLK Fort" w:hAnsi="BLK Fort" w:cs="Arial"/>
          <w:bCs/>
          <w:sz w:val="20"/>
        </w:rPr>
        <w:t>By contrast, money market funds (MMFs) are designed specifically to meet redemptions through cash balances (and are required in most jurisdictions to hold a substantial portion of their portfolio in overnight liquidity to ensure that cash balances are sufficient to meet redemptions</w:t>
      </w:r>
      <w:r w:rsidRPr="48BCDF36">
        <w:rPr>
          <w:rFonts w:ascii="BLK Fort" w:hAnsi="BLK Fort" w:cs="Arial"/>
          <w:sz w:val="20"/>
        </w:rPr>
        <w:t>),</w:t>
      </w:r>
      <w:r>
        <w:rPr>
          <w:rFonts w:ascii="BLK Fort" w:hAnsi="BLK Fort" w:cs="Arial"/>
          <w:sz w:val="20"/>
        </w:rPr>
        <w:t xml:space="preserve"> </w:t>
      </w:r>
      <w:r w:rsidRPr="48BCDF36">
        <w:rPr>
          <w:rFonts w:ascii="BLK Fort" w:hAnsi="BLK Fort" w:cs="Arial"/>
          <w:sz w:val="20"/>
        </w:rPr>
        <w:t xml:space="preserve">which means redemptions do not generate transaction costs. </w:t>
      </w:r>
      <w:r w:rsidRPr="00D45D32">
        <w:rPr>
          <w:rFonts w:ascii="BLK Fort" w:hAnsi="BLK Fort" w:cs="Arial"/>
          <w:bCs/>
          <w:sz w:val="20"/>
        </w:rPr>
        <w:t xml:space="preserve">Only in circumstances where net redemptions exceed these cash balances would an MMF need to sell assets in secondary markets. In these instances, redemption fees are a more suitable anti-dilution measure for MMFs than swing pricing, as they can be applied in a way that allows MMFs to continue pricing and dealing on an intraday basis. </w:t>
      </w:r>
    </w:p>
    <w:p w14:paraId="045EA604" w14:textId="77777777" w:rsidR="0040589B" w:rsidRDefault="0040589B" w:rsidP="0040589B">
      <w:pPr>
        <w:rPr>
          <w:rFonts w:ascii="BLK Fort" w:hAnsi="BLK Fort" w:cs="Arial"/>
          <w:bCs/>
          <w:sz w:val="20"/>
        </w:rPr>
      </w:pPr>
      <w:r w:rsidRPr="00D45D32">
        <w:rPr>
          <w:rFonts w:ascii="BLK Fort" w:hAnsi="BLK Fort" w:cs="Arial"/>
          <w:bCs/>
          <w:sz w:val="20"/>
        </w:rPr>
        <w:t xml:space="preserve">In an exchange-traded fund </w:t>
      </w:r>
      <w:r>
        <w:rPr>
          <w:rFonts w:ascii="BLK Fort" w:hAnsi="BLK Fort" w:cs="Arial"/>
          <w:bCs/>
          <w:sz w:val="20"/>
        </w:rPr>
        <w:t xml:space="preserve">(ETF) </w:t>
      </w:r>
      <w:r w:rsidRPr="00D45D32">
        <w:rPr>
          <w:rFonts w:ascii="BLK Fort" w:hAnsi="BLK Fort" w:cs="Arial"/>
          <w:bCs/>
          <w:sz w:val="20"/>
        </w:rPr>
        <w:t>structure, investors hold shares whose value fluctuates as they are traded on secondary markets, which can generate premiums or discounts relative to the fund</w:t>
      </w:r>
      <w:r>
        <w:rPr>
          <w:rFonts w:ascii="BLK Fort" w:hAnsi="BLK Fort" w:cs="Arial"/>
          <w:bCs/>
          <w:sz w:val="20"/>
        </w:rPr>
        <w:t>’</w:t>
      </w:r>
      <w:r w:rsidRPr="00D45D32">
        <w:rPr>
          <w:rFonts w:ascii="BLK Fort" w:hAnsi="BLK Fort" w:cs="Arial"/>
          <w:bCs/>
          <w:sz w:val="20"/>
        </w:rPr>
        <w:t xml:space="preserve">s NAV. Adjustments to the fund’s price to reflect prevailing market conditions – including liquidity </w:t>
      </w:r>
      <w:r w:rsidRPr="00D45D32">
        <w:rPr>
          <w:rFonts w:ascii="BLK Fort" w:hAnsi="BLK Fort" w:cs="Arial"/>
          <w:bCs/>
          <w:sz w:val="20"/>
        </w:rPr>
        <w:lastRenderedPageBreak/>
        <w:t xml:space="preserve">premia – are inherent in this process, as demonstrated by the performance of fixed income ETFs during the COVID-19 shock. However, the discount of an ETF’s share prices relative to its NAV cannot be used as the appropriate swing factor for traditional mutual funds with a similar strategy and portfolio holdings as the ETF. </w:t>
      </w:r>
    </w:p>
    <w:p w14:paraId="11EC0579" w14:textId="77777777" w:rsidR="0040589B" w:rsidRDefault="0040589B" w:rsidP="0040589B">
      <w:pPr>
        <w:rPr>
          <w:rFonts w:ascii="BLK Fort" w:hAnsi="BLK Fort" w:cs="Arial"/>
          <w:bCs/>
          <w:sz w:val="20"/>
        </w:rPr>
      </w:pPr>
      <w:r w:rsidRPr="00D45D32">
        <w:rPr>
          <w:rFonts w:ascii="BLK Fort" w:hAnsi="BLK Fort" w:cs="Arial"/>
          <w:bCs/>
          <w:sz w:val="20"/>
        </w:rPr>
        <w:t>IOSCO’s</w:t>
      </w:r>
      <w:r>
        <w:rPr>
          <w:rFonts w:ascii="BLK Fort" w:hAnsi="BLK Fort" w:cs="Arial"/>
          <w:bCs/>
          <w:sz w:val="20"/>
        </w:rPr>
        <w:t xml:space="preserve"> </w:t>
      </w:r>
      <w:r w:rsidRPr="00D45D32">
        <w:rPr>
          <w:rFonts w:ascii="BLK Fort" w:hAnsi="BLK Fort" w:cs="Arial"/>
          <w:bCs/>
          <w:sz w:val="20"/>
        </w:rPr>
        <w:t xml:space="preserve">Thematic Note on the performance of ETFs during the COVID-19 shock is instructive here, noting that while </w:t>
      </w:r>
      <w:r>
        <w:rPr>
          <w:rFonts w:ascii="BLK Fort" w:hAnsi="BLK Fort" w:cs="Arial"/>
          <w:bCs/>
          <w:sz w:val="20"/>
        </w:rPr>
        <w:t>“i</w:t>
      </w:r>
      <w:r w:rsidRPr="00D45D32">
        <w:rPr>
          <w:rFonts w:ascii="BLK Fort" w:hAnsi="BLK Fort" w:cs="Arial"/>
          <w:bCs/>
          <w:sz w:val="20"/>
        </w:rPr>
        <w:t>n general, the secondary market price of an ETF’s shares should be at or close to its NAV as a result of an effective arbitrage mechanism</w:t>
      </w:r>
      <w:r>
        <w:rPr>
          <w:rFonts w:ascii="BLK Fort" w:hAnsi="BLK Fort" w:cs="Arial"/>
          <w:bCs/>
          <w:sz w:val="20"/>
        </w:rPr>
        <w:t xml:space="preserve"> [</w:t>
      </w:r>
      <w:r w:rsidRPr="00D45D32">
        <w:rPr>
          <w:rFonts w:ascii="BLK Fort" w:hAnsi="BLK Fort" w:cs="Arial"/>
          <w:bCs/>
          <w:sz w:val="20"/>
        </w:rPr>
        <w:t>…</w:t>
      </w:r>
      <w:r>
        <w:rPr>
          <w:rFonts w:ascii="BLK Fort" w:hAnsi="BLK Fort" w:cs="Arial"/>
          <w:bCs/>
          <w:sz w:val="20"/>
        </w:rPr>
        <w:t xml:space="preserve">] </w:t>
      </w:r>
      <w:r w:rsidRPr="00D45D32">
        <w:rPr>
          <w:rFonts w:ascii="BLK Fort" w:hAnsi="BLK Fort" w:cs="Arial"/>
          <w:bCs/>
          <w:sz w:val="20"/>
        </w:rPr>
        <w:t>it may also reflect other inputs, such as increased transaction costs (e.g., bid</w:t>
      </w:r>
      <w:r>
        <w:rPr>
          <w:rFonts w:ascii="BLK Fort" w:hAnsi="BLK Fort" w:cs="Arial"/>
          <w:bCs/>
          <w:sz w:val="20"/>
        </w:rPr>
        <w:t>-</w:t>
      </w:r>
      <w:r w:rsidRPr="00D45D32">
        <w:rPr>
          <w:rFonts w:ascii="BLK Fort" w:hAnsi="BLK Fort" w:cs="Arial"/>
          <w:bCs/>
          <w:sz w:val="20"/>
        </w:rPr>
        <w:t xml:space="preserve">ask spread, commissions, taxes, fees charged in the creation or redemption process), increased uncertainty related to valuation of underlying assets </w:t>
      </w:r>
      <w:r>
        <w:rPr>
          <w:rFonts w:ascii="BLK Fort" w:hAnsi="BLK Fort" w:cs="Arial"/>
          <w:bCs/>
          <w:sz w:val="20"/>
        </w:rPr>
        <w:t>[</w:t>
      </w:r>
      <w:r w:rsidRPr="00D45D32">
        <w:rPr>
          <w:rFonts w:ascii="BLK Fort" w:hAnsi="BLK Fort" w:cs="Arial"/>
          <w:bCs/>
          <w:sz w:val="20"/>
        </w:rPr>
        <w:t>…</w:t>
      </w:r>
      <w:r>
        <w:rPr>
          <w:rFonts w:ascii="BLK Fort" w:hAnsi="BLK Fort" w:cs="Arial"/>
          <w:bCs/>
          <w:sz w:val="20"/>
        </w:rPr>
        <w:t>]</w:t>
      </w:r>
      <w:r w:rsidRPr="00D45D32">
        <w:rPr>
          <w:rFonts w:ascii="BLK Fort" w:hAnsi="BLK Fort" w:cs="Arial"/>
          <w:bCs/>
          <w:sz w:val="20"/>
        </w:rPr>
        <w:t xml:space="preserve"> and higher hedging costs [for authorised participants] due to heightened uncertainty during periods of market stress’.</w:t>
      </w:r>
      <w:r>
        <w:rPr>
          <w:rStyle w:val="FootnoteReference"/>
          <w:rFonts w:ascii="BLK Fort" w:hAnsi="BLK Fort"/>
          <w:bCs/>
          <w:sz w:val="20"/>
        </w:rPr>
        <w:footnoteReference w:id="4"/>
      </w:r>
    </w:p>
    <w:p w14:paraId="69A4659A" w14:textId="183A64D6" w:rsidR="00DA4F15" w:rsidRDefault="00DA4F15" w:rsidP="00DA4F15">
      <w:r>
        <w:t>&lt;ESMA_QUESTION_SLMT_27&gt;</w:t>
      </w:r>
    </w:p>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4167C220" w14:textId="77777777" w:rsidR="0040589B" w:rsidRDefault="0040589B" w:rsidP="0040589B">
      <w:pPr>
        <w:rPr>
          <w:rFonts w:ascii="BLK Fort" w:hAnsi="BLK Fort" w:cs="Arial"/>
          <w:bCs/>
          <w:sz w:val="20"/>
        </w:rPr>
      </w:pPr>
      <w:r w:rsidRPr="003B60A3">
        <w:rPr>
          <w:rFonts w:ascii="BLK Fort" w:hAnsi="BLK Fort" w:cs="Arial"/>
          <w:bCs/>
          <w:sz w:val="20"/>
        </w:rPr>
        <w:t xml:space="preserve">Yes, </w:t>
      </w:r>
      <w:r>
        <w:rPr>
          <w:rFonts w:ascii="BLK Fort" w:hAnsi="BLK Fort" w:cs="Arial"/>
          <w:bCs/>
          <w:sz w:val="20"/>
        </w:rPr>
        <w:t>the same swing factor should apply unless operating a hybrid model with different anti-dilution tools on different classes. However, if all share classes swing, then they should have the same swing factor because anti-dilution tools and trading are managed at a sub-fund level.</w:t>
      </w:r>
    </w:p>
    <w:p w14:paraId="54666322" w14:textId="0B92C273" w:rsidR="00DA4F15" w:rsidRDefault="00DA4F15" w:rsidP="00DA4F15">
      <w:r>
        <w:t>&lt;ESMA_QUESTION_SLMT_28&gt;</w:t>
      </w:r>
    </w:p>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6DD03A79" w14:textId="4E81A288" w:rsidR="0040589B" w:rsidRDefault="0040589B" w:rsidP="0040589B">
      <w:pPr>
        <w:rPr>
          <w:rFonts w:ascii="BLK Fort" w:hAnsi="BLK Fort" w:cs="Arial"/>
          <w:bCs/>
          <w:sz w:val="20"/>
        </w:rPr>
      </w:pPr>
      <w:r w:rsidRPr="000C31E8">
        <w:rPr>
          <w:rFonts w:ascii="BLK Fort" w:hAnsi="BLK Fort" w:cs="Arial"/>
          <w:bCs/>
          <w:sz w:val="20"/>
        </w:rPr>
        <w:t>Ye</w:t>
      </w:r>
      <w:r>
        <w:rPr>
          <w:rFonts w:ascii="BLK Fort" w:hAnsi="BLK Fort" w:cs="Arial"/>
          <w:bCs/>
          <w:sz w:val="20"/>
        </w:rPr>
        <w:t xml:space="preserve">s, however under both proposed calculation methods you could have a spread that relates to costs other than the cost of liquidity e.g. foreign exchange. </w:t>
      </w:r>
      <w:r w:rsidRPr="446859CB">
        <w:rPr>
          <w:rFonts w:ascii="BLK Fort" w:hAnsi="BLK Fort" w:cs="Arial"/>
          <w:sz w:val="20"/>
        </w:rPr>
        <w:t>Spreads may also</w:t>
      </w:r>
      <w:r>
        <w:rPr>
          <w:rFonts w:ascii="BLK Fort" w:hAnsi="BLK Fort" w:cs="Arial"/>
          <w:sz w:val="20"/>
        </w:rPr>
        <w:t xml:space="preserve"> </w:t>
      </w:r>
      <w:r w:rsidRPr="446859CB">
        <w:rPr>
          <w:rFonts w:ascii="BLK Fort" w:hAnsi="BLK Fort" w:cs="Arial"/>
          <w:sz w:val="20"/>
        </w:rPr>
        <w:t>incorporate market impact, in a similar fashion to swing pricing</w:t>
      </w:r>
      <w:r>
        <w:rPr>
          <w:rFonts w:ascii="BLK Fort" w:hAnsi="BLK Fort" w:cs="Arial"/>
          <w:sz w:val="20"/>
        </w:rPr>
        <w:t>.</w:t>
      </w:r>
      <w:r w:rsidRPr="446859CB">
        <w:rPr>
          <w:rFonts w:ascii="BLK Fort" w:hAnsi="BLK Fort" w:cs="Arial"/>
          <w:sz w:val="20"/>
        </w:rPr>
        <w:t xml:space="preserve"> Therefore,</w:t>
      </w:r>
      <w:r>
        <w:rPr>
          <w:rFonts w:ascii="BLK Fort" w:hAnsi="BLK Fort" w:cs="Arial"/>
          <w:sz w:val="20"/>
        </w:rPr>
        <w:t xml:space="preserve"> </w:t>
      </w:r>
      <w:r w:rsidRPr="446859CB">
        <w:rPr>
          <w:rFonts w:ascii="BLK Fort" w:hAnsi="BLK Fort" w:cs="Arial"/>
          <w:sz w:val="20"/>
        </w:rPr>
        <w:t>we would recommend that “Method A” (</w:t>
      </w:r>
      <w:r>
        <w:rPr>
          <w:rFonts w:ascii="BLK Fort" w:hAnsi="BLK Fort" w:cs="Arial"/>
          <w:sz w:val="20"/>
        </w:rPr>
        <w:t>i.e.,</w:t>
      </w:r>
      <w:r w:rsidRPr="446859CB">
        <w:rPr>
          <w:rFonts w:ascii="BLK Fort" w:hAnsi="BLK Fort" w:cs="Arial"/>
          <w:sz w:val="20"/>
        </w:rPr>
        <w:t xml:space="preserve"> where 2 NAVs are calculated) also include the ability to adjust the NAV “by a factor that reflects the [additional] cost of liquidity</w:t>
      </w:r>
      <w:r>
        <w:rPr>
          <w:rFonts w:ascii="BLK Fort" w:hAnsi="BLK Fort" w:cs="Arial"/>
          <w:sz w:val="20"/>
        </w:rPr>
        <w:t>.”</w:t>
      </w:r>
    </w:p>
    <w:p w14:paraId="68601FED" w14:textId="77777777" w:rsidR="0040589B" w:rsidRDefault="0040589B" w:rsidP="0040589B">
      <w:pPr>
        <w:rPr>
          <w:rFonts w:ascii="BLK Fort" w:hAnsi="BLK Fort" w:cs="Arial"/>
          <w:sz w:val="20"/>
        </w:rPr>
      </w:pPr>
      <w:r w:rsidRPr="446859CB">
        <w:rPr>
          <w:rFonts w:ascii="BLK Fort" w:hAnsi="BLK Fort" w:cs="Arial"/>
          <w:sz w:val="20"/>
        </w:rPr>
        <w:t xml:space="preserve">We agree on the difference between swing pricing and dual pricing, i.e. that in swing pricing there is only one ‘swung’ NAV for all transacting investors, but that in dual pricing there are different NAVs for subscribing investors and redeeming investors. However, it is worth noting that typically </w:t>
      </w:r>
      <w:r w:rsidRPr="446859CB">
        <w:rPr>
          <w:rFonts w:ascii="BLK Fort" w:hAnsi="BLK Fort" w:cs="Arial"/>
          <w:sz w:val="20"/>
        </w:rPr>
        <w:lastRenderedPageBreak/>
        <w:t>the spread on the dual price is applied by the transfer agent, not necessarily in the published NAV</w:t>
      </w:r>
      <w:r>
        <w:rPr>
          <w:rFonts w:ascii="BLK Fort" w:hAnsi="BLK Fort" w:cs="Arial"/>
          <w:sz w:val="20"/>
        </w:rPr>
        <w:t>.</w:t>
      </w:r>
      <w:r w:rsidDel="00261E05">
        <w:rPr>
          <w:rStyle w:val="CommentReference"/>
        </w:rPr>
        <w:t xml:space="preserve"> </w:t>
      </w:r>
      <w:r>
        <w:rPr>
          <w:rFonts w:ascii="BLK Fort" w:hAnsi="BLK Fort" w:cs="Arial"/>
          <w:sz w:val="20"/>
        </w:rPr>
        <w:t>W</w:t>
      </w:r>
      <w:r w:rsidRPr="446859CB">
        <w:rPr>
          <w:rFonts w:ascii="BLK Fort" w:hAnsi="BLK Fort" w:cs="Arial"/>
          <w:sz w:val="20"/>
        </w:rPr>
        <w:t>e would note that not all funds using “Method B” are priced on a mid-market basis</w:t>
      </w:r>
      <w:r>
        <w:rPr>
          <w:rFonts w:ascii="BLK Fort" w:hAnsi="BLK Fort" w:cs="Arial"/>
          <w:sz w:val="20"/>
        </w:rPr>
        <w:t>, some are priced at the bid price. We</w:t>
      </w:r>
      <w:r w:rsidRPr="446859CB">
        <w:rPr>
          <w:rFonts w:ascii="BLK Fort" w:hAnsi="BLK Fort" w:cs="Arial"/>
          <w:sz w:val="20"/>
        </w:rPr>
        <w:t xml:space="preserve"> would recommend the </w:t>
      </w:r>
      <w:r>
        <w:rPr>
          <w:rFonts w:ascii="BLK Fort" w:hAnsi="BLK Fort" w:cs="Arial"/>
          <w:sz w:val="20"/>
        </w:rPr>
        <w:t xml:space="preserve">RTS </w:t>
      </w:r>
      <w:r w:rsidRPr="446859CB">
        <w:rPr>
          <w:rFonts w:ascii="BLK Fort" w:hAnsi="BLK Fort" w:cs="Arial"/>
          <w:sz w:val="20"/>
        </w:rPr>
        <w:t>wording is amended to reflect th</w:t>
      </w:r>
      <w:r>
        <w:rPr>
          <w:rFonts w:ascii="BLK Fort" w:hAnsi="BLK Fort" w:cs="Arial"/>
          <w:sz w:val="20"/>
        </w:rPr>
        <w:t>is reality.</w:t>
      </w:r>
    </w:p>
    <w:p w14:paraId="5AD72AAD" w14:textId="59617A04" w:rsidR="00DA4F15" w:rsidRDefault="00DA4F15" w:rsidP="00DA4F15">
      <w:r>
        <w:t>&lt;ESMA_QUESTION_SLMT_29&gt;</w:t>
      </w:r>
    </w:p>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1D694B3F" w14:textId="77777777" w:rsidR="0040589B" w:rsidRPr="002D7612" w:rsidRDefault="0040589B" w:rsidP="0040589B">
      <w:pPr>
        <w:rPr>
          <w:rFonts w:ascii="BLK Fort" w:hAnsi="BLK Fort" w:cs="Arial"/>
          <w:bCs/>
          <w:sz w:val="20"/>
        </w:rPr>
      </w:pPr>
      <w:r w:rsidRPr="002D7612">
        <w:rPr>
          <w:rFonts w:ascii="BLK Fort" w:hAnsi="BLK Fort" w:cs="Arial"/>
          <w:bCs/>
          <w:sz w:val="20"/>
        </w:rPr>
        <w:t>No.</w:t>
      </w:r>
    </w:p>
    <w:p w14:paraId="65ADDD64" w14:textId="5472F658" w:rsidR="00DA4F15" w:rsidRDefault="00DA4F15" w:rsidP="00DA4F15">
      <w:r>
        <w:t>&lt;ESMA_QUESTION_SLMT_30&gt;</w:t>
      </w:r>
    </w:p>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6BB753A" w14:textId="77777777" w:rsidR="0040589B" w:rsidRPr="002D7612" w:rsidRDefault="0040589B" w:rsidP="0040589B">
      <w:pPr>
        <w:rPr>
          <w:rFonts w:ascii="BLK Fort" w:hAnsi="BLK Fort" w:cs="Arial"/>
          <w:bCs/>
          <w:sz w:val="20"/>
        </w:rPr>
      </w:pPr>
      <w:r w:rsidRPr="002D7612">
        <w:rPr>
          <w:rFonts w:ascii="BLK Fort" w:hAnsi="BLK Fort" w:cs="Arial"/>
          <w:bCs/>
          <w:sz w:val="20"/>
        </w:rPr>
        <w:t>No.</w:t>
      </w:r>
    </w:p>
    <w:p w14:paraId="1D650652" w14:textId="4F60ED0D" w:rsidR="00DA4F15" w:rsidRDefault="00DA4F15" w:rsidP="00DA4F15">
      <w:r>
        <w:t>&lt;ESMA_QUESTION_SLMT_31&gt;</w:t>
      </w:r>
    </w:p>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4A762505" w14:textId="77777777" w:rsidR="0040589B" w:rsidRDefault="0040589B" w:rsidP="0040589B">
      <w:pPr>
        <w:rPr>
          <w:rFonts w:ascii="BLK Fort" w:hAnsi="BLK Fort" w:cs="Arial"/>
          <w:bCs/>
          <w:sz w:val="20"/>
        </w:rPr>
      </w:pPr>
      <w:r>
        <w:rPr>
          <w:rFonts w:ascii="BLK Fort" w:hAnsi="BLK Fort" w:cs="Arial"/>
          <w:bCs/>
          <w:sz w:val="20"/>
        </w:rPr>
        <w:t xml:space="preserve">Yes, but instead of saying anti-dilution levies should be charged to transacting investors </w:t>
      </w:r>
      <w:r w:rsidRPr="007A22EC">
        <w:rPr>
          <w:rFonts w:ascii="BLK Fort" w:hAnsi="BLK Fort" w:cs="Arial"/>
          <w:b/>
          <w:sz w:val="20"/>
        </w:rPr>
        <w:t>“</w:t>
      </w:r>
      <w:r w:rsidRPr="00BF70FD">
        <w:rPr>
          <w:rFonts w:ascii="BLK Fort" w:hAnsi="BLK Fort" w:cs="Arial"/>
          <w:b/>
          <w:sz w:val="20"/>
          <w:u w:val="single"/>
        </w:rPr>
        <w:t>in the case of a change</w:t>
      </w:r>
      <w:r w:rsidRPr="007A22EC">
        <w:rPr>
          <w:rFonts w:ascii="BLK Fort" w:hAnsi="BLK Fort" w:cs="Arial"/>
          <w:b/>
          <w:sz w:val="20"/>
        </w:rPr>
        <w:t xml:space="preserve"> </w:t>
      </w:r>
      <w:r w:rsidRPr="007A22EC">
        <w:rPr>
          <w:rFonts w:ascii="BLK Fort" w:hAnsi="BLK Fort" w:cs="Arial"/>
          <w:bCs/>
          <w:sz w:val="20"/>
        </w:rPr>
        <w:t>in the net capital activity</w:t>
      </w:r>
      <w:r w:rsidRPr="007A22EC">
        <w:rPr>
          <w:rFonts w:ascii="BLK Fort" w:hAnsi="BLK Fort" w:cs="Arial"/>
          <w:b/>
          <w:sz w:val="20"/>
        </w:rPr>
        <w:t xml:space="preserve"> </w:t>
      </w:r>
      <w:r>
        <w:rPr>
          <w:rFonts w:ascii="BLK Fort" w:hAnsi="BLK Fort" w:cs="Arial"/>
          <w:bCs/>
          <w:sz w:val="20"/>
        </w:rPr>
        <w:t xml:space="preserve">of the fund (i.e. if the number of redemptions exceed the number of subscriptions or vice-versa), </w:t>
      </w:r>
      <w:r w:rsidRPr="65D46FE3">
        <w:rPr>
          <w:rFonts w:ascii="BLK Fort" w:hAnsi="BLK Fort" w:cs="Arial"/>
          <w:sz w:val="20"/>
        </w:rPr>
        <w:t>we recommend that the text</w:t>
      </w:r>
      <w:r>
        <w:rPr>
          <w:rFonts w:ascii="BLK Fort" w:hAnsi="BLK Fort" w:cs="Arial"/>
          <w:bCs/>
          <w:sz w:val="20"/>
        </w:rPr>
        <w:t xml:space="preserve"> simply </w:t>
      </w:r>
      <w:r w:rsidRPr="65D46FE3">
        <w:rPr>
          <w:rFonts w:ascii="BLK Fort" w:hAnsi="BLK Fort" w:cs="Arial"/>
          <w:sz w:val="20"/>
        </w:rPr>
        <w:t>states that</w:t>
      </w:r>
      <w:r>
        <w:rPr>
          <w:rFonts w:ascii="BLK Fort" w:hAnsi="BLK Fort" w:cs="Arial"/>
          <w:bCs/>
          <w:sz w:val="20"/>
        </w:rPr>
        <w:t xml:space="preserve"> the levy should be charged </w:t>
      </w:r>
      <w:r w:rsidRPr="00D37986">
        <w:rPr>
          <w:rFonts w:ascii="BLK Fort" w:hAnsi="BLK Fort" w:cs="Arial"/>
          <w:b/>
          <w:sz w:val="20"/>
          <w:u w:val="single"/>
        </w:rPr>
        <w:t>in keeping with</w:t>
      </w:r>
      <w:r>
        <w:rPr>
          <w:rFonts w:ascii="BLK Fort" w:hAnsi="BLK Fort" w:cs="Arial"/>
          <w:bCs/>
          <w:sz w:val="20"/>
        </w:rPr>
        <w:t xml:space="preserve"> the net capital activity of the fund.</w:t>
      </w:r>
    </w:p>
    <w:p w14:paraId="274D00C7" w14:textId="41B3EAEE" w:rsidR="0040589B" w:rsidRPr="0040589B" w:rsidRDefault="0040589B" w:rsidP="0040589B">
      <w:pPr>
        <w:rPr>
          <w:rFonts w:ascii="BLK Fort" w:hAnsi="BLK Fort" w:cs="Arial"/>
          <w:bCs/>
          <w:sz w:val="20"/>
        </w:rPr>
      </w:pPr>
      <w:r>
        <w:rPr>
          <w:rFonts w:ascii="BLK Fort" w:hAnsi="BLK Fort" w:cs="Arial"/>
          <w:bCs/>
          <w:sz w:val="20"/>
        </w:rPr>
        <w:t>Section 77 outlines the differences between anti-dilution levies and redemption fees by saying redemption fees are pre-determined, fixed fees while levies are variable and calibrated according to the fund’s net flows. Again, as per response to Q.22, this is problematic because the fee cannot be fixed or have low variation if the cost of liquidity which must be accounted for is variable.</w:t>
      </w:r>
    </w:p>
    <w:p w14:paraId="46DE12A4" w14:textId="4B10678A" w:rsidR="00DA4F15" w:rsidRDefault="00DA4F15" w:rsidP="00DA4F15">
      <w:r>
        <w:t>&lt;ESMA_QUESTION_SLMT_32&gt;</w:t>
      </w:r>
    </w:p>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lastRenderedPageBreak/>
        <w:t>&lt;ESMA_QUESTION_SLMT_33&gt;</w:t>
      </w:r>
    </w:p>
    <w:p w14:paraId="2C610BA9" w14:textId="77777777" w:rsidR="0040589B" w:rsidRPr="003136B1" w:rsidRDefault="0040589B" w:rsidP="0040589B">
      <w:pPr>
        <w:rPr>
          <w:rFonts w:ascii="BLK Fort" w:hAnsi="BLK Fort" w:cs="Arial"/>
          <w:bCs/>
          <w:sz w:val="20"/>
        </w:rPr>
      </w:pPr>
      <w:r>
        <w:rPr>
          <w:rFonts w:ascii="BLK Fort" w:hAnsi="BLK Fort" w:cs="Arial"/>
          <w:bCs/>
          <w:sz w:val="20"/>
        </w:rPr>
        <w:t>The anti-dilution levy could be calculated in the same way as swing factors</w:t>
      </w:r>
      <w:r w:rsidRPr="003136B1">
        <w:rPr>
          <w:rFonts w:ascii="BLK Fort" w:hAnsi="BLK Fort" w:cs="Arial"/>
          <w:bCs/>
          <w:sz w:val="20"/>
        </w:rPr>
        <w:t>.</w:t>
      </w:r>
    </w:p>
    <w:p w14:paraId="5FBADF6B" w14:textId="36F75F51" w:rsidR="00DA4F15" w:rsidRDefault="00DA4F15" w:rsidP="00DA4F15">
      <w:r>
        <w:t>&lt;ESMA_QUESTION_SLMT_33&gt;</w:t>
      </w:r>
    </w:p>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1F64D004" w14:textId="77777777" w:rsidR="0040589B" w:rsidRPr="000F0377" w:rsidRDefault="0040589B" w:rsidP="0040589B">
      <w:pPr>
        <w:rPr>
          <w:rFonts w:ascii="BLK Fort" w:hAnsi="BLK Fort" w:cs="Arial"/>
          <w:bCs/>
          <w:sz w:val="20"/>
        </w:rPr>
      </w:pPr>
      <w:r w:rsidRPr="007D65C6">
        <w:rPr>
          <w:rFonts w:ascii="BLK Fort" w:hAnsi="BLK Fort" w:cs="Arial"/>
          <w:sz w:val="20"/>
        </w:rPr>
        <w:t>No.</w:t>
      </w:r>
    </w:p>
    <w:p w14:paraId="3DAE1B7F" w14:textId="2FB11174" w:rsidR="00DA4F15" w:rsidRDefault="00DA4F15" w:rsidP="00DA4F15">
      <w:r>
        <w:t>&lt;ESMA_QUESTION_SLMT_34&gt;</w:t>
      </w:r>
    </w:p>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5F821CC2" w14:textId="77777777" w:rsidR="0040589B" w:rsidRPr="000F0377" w:rsidRDefault="0040589B" w:rsidP="0040589B">
      <w:pPr>
        <w:rPr>
          <w:rFonts w:ascii="BLK Fort" w:hAnsi="BLK Fort" w:cs="Arial"/>
          <w:bCs/>
          <w:sz w:val="20"/>
        </w:rPr>
      </w:pPr>
      <w:r w:rsidRPr="007D65C6">
        <w:rPr>
          <w:rFonts w:ascii="BLK Fort" w:hAnsi="BLK Fort" w:cs="Arial"/>
          <w:sz w:val="20"/>
        </w:rPr>
        <w:t>No.</w:t>
      </w:r>
    </w:p>
    <w:p w14:paraId="384DCE3C" w14:textId="0DE1EF96" w:rsidR="00DA4F15" w:rsidRDefault="00DA4F15" w:rsidP="00DA4F15">
      <w:r>
        <w:t>&lt;ESMA_QUESTION_SLMT_35&gt;</w:t>
      </w:r>
    </w:p>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67202EAA" w14:textId="77777777" w:rsidR="0040589B" w:rsidRDefault="0040589B" w:rsidP="005864FB">
      <w:pPr>
        <w:rPr>
          <w:rFonts w:ascii="BLK Fort" w:hAnsi="BLK Fort" w:cs="Arial"/>
          <w:bCs/>
          <w:sz w:val="20"/>
        </w:rPr>
      </w:pPr>
      <w:r>
        <w:rPr>
          <w:rFonts w:ascii="BLK Fort" w:hAnsi="BLK Fort" w:cs="Arial"/>
          <w:bCs/>
          <w:sz w:val="20"/>
        </w:rPr>
        <w:t>No, t</w:t>
      </w:r>
      <w:r w:rsidRPr="00CF592C">
        <w:rPr>
          <w:rFonts w:ascii="BLK Fort" w:hAnsi="BLK Fort" w:cs="Arial"/>
          <w:bCs/>
          <w:sz w:val="20"/>
        </w:rPr>
        <w:t>he characteristics as written</w:t>
      </w:r>
      <w:r>
        <w:rPr>
          <w:rFonts w:ascii="BLK Fort" w:hAnsi="BLK Fort" w:cs="Arial"/>
          <w:bCs/>
          <w:sz w:val="20"/>
        </w:rPr>
        <w:t xml:space="preserve"> </w:t>
      </w:r>
      <w:r w:rsidRPr="65D46FE3">
        <w:rPr>
          <w:rFonts w:ascii="BLK Fort" w:hAnsi="BLK Fort" w:cs="Arial"/>
          <w:sz w:val="20"/>
        </w:rPr>
        <w:t xml:space="preserve">do not </w:t>
      </w:r>
      <w:r>
        <w:rPr>
          <w:rFonts w:ascii="BLK Fort" w:hAnsi="BLK Fort" w:cs="Arial"/>
          <w:bCs/>
          <w:sz w:val="20"/>
        </w:rPr>
        <w:t xml:space="preserve">fully distinguish between the use of redemptions in kind (RIK) for liquidity management purposes in open-ended funds (OEFs) such as a traditional mutual fund, from its use as a BAU redemption mechanism in an exchange-traded fund (ETF). </w:t>
      </w:r>
    </w:p>
    <w:p w14:paraId="34FDBFDC" w14:textId="77777777" w:rsidR="0040589B" w:rsidRDefault="0040589B" w:rsidP="005864FB">
      <w:pPr>
        <w:rPr>
          <w:rFonts w:ascii="BLK Fort" w:hAnsi="BLK Fort" w:cs="Arial"/>
          <w:bCs/>
          <w:sz w:val="20"/>
        </w:rPr>
      </w:pPr>
      <w:r>
        <w:rPr>
          <w:rFonts w:ascii="BLK Fort" w:hAnsi="BLK Fort" w:cs="Arial"/>
          <w:bCs/>
          <w:sz w:val="20"/>
        </w:rPr>
        <w:t>As an LMT, we agree with limiting the use of RIK to funds marketed only to professional investors. RIK enable the fund to transfer</w:t>
      </w:r>
      <w:r w:rsidRPr="007F6956">
        <w:rPr>
          <w:rFonts w:ascii="BLK Fort" w:hAnsi="BLK Fort" w:cs="Arial"/>
          <w:bCs/>
          <w:sz w:val="20"/>
        </w:rPr>
        <w:t xml:space="preserve"> the underlying assets</w:t>
      </w:r>
      <w:r>
        <w:rPr>
          <w:rFonts w:ascii="BLK Fort" w:hAnsi="BLK Fort" w:cs="Arial"/>
          <w:bCs/>
          <w:sz w:val="20"/>
        </w:rPr>
        <w:t xml:space="preserve"> to the redeeming investor, </w:t>
      </w:r>
      <w:r w:rsidRPr="007F6956">
        <w:rPr>
          <w:rFonts w:ascii="BLK Fort" w:hAnsi="BLK Fort" w:cs="Arial"/>
          <w:bCs/>
          <w:sz w:val="20"/>
        </w:rPr>
        <w:t>instead of their cash value</w:t>
      </w:r>
      <w:r>
        <w:rPr>
          <w:rFonts w:ascii="BLK Fort" w:hAnsi="BLK Fort" w:cs="Arial"/>
          <w:bCs/>
          <w:sz w:val="20"/>
        </w:rPr>
        <w:t>. Only large, institutional or professional investors who possess</w:t>
      </w:r>
      <w:r w:rsidRPr="0035265C">
        <w:rPr>
          <w:rFonts w:ascii="BLK Fort" w:hAnsi="BLK Fort" w:cs="Arial"/>
          <w:bCs/>
          <w:sz w:val="20"/>
        </w:rPr>
        <w:t xml:space="preserve"> their own dedicated custody accounts would </w:t>
      </w:r>
      <w:r>
        <w:rPr>
          <w:rFonts w:ascii="BLK Fort" w:hAnsi="BLK Fort" w:cs="Arial"/>
          <w:bCs/>
          <w:sz w:val="20"/>
        </w:rPr>
        <w:t xml:space="preserve">be able to </w:t>
      </w:r>
      <w:r w:rsidRPr="0035265C">
        <w:rPr>
          <w:rFonts w:ascii="BLK Fort" w:hAnsi="BLK Fort" w:cs="Arial"/>
          <w:bCs/>
          <w:sz w:val="20"/>
        </w:rPr>
        <w:t xml:space="preserve">use </w:t>
      </w:r>
      <w:r>
        <w:rPr>
          <w:rFonts w:ascii="BLK Fort" w:hAnsi="BLK Fort" w:cs="Arial"/>
          <w:bCs/>
          <w:sz w:val="20"/>
        </w:rPr>
        <w:t xml:space="preserve">RIK, and such investors would likely only find this tool useful </w:t>
      </w:r>
      <w:r w:rsidRPr="009B559B">
        <w:rPr>
          <w:rFonts w:ascii="BLK Fort" w:hAnsi="BLK Fort" w:cs="Arial"/>
          <w:bCs/>
          <w:sz w:val="20"/>
        </w:rPr>
        <w:t>if the</w:t>
      </w:r>
      <w:r>
        <w:rPr>
          <w:rFonts w:ascii="BLK Fort" w:hAnsi="BLK Fort" w:cs="Arial"/>
          <w:bCs/>
          <w:sz w:val="20"/>
        </w:rPr>
        <w:t>y</w:t>
      </w:r>
      <w:r w:rsidRPr="009B559B">
        <w:rPr>
          <w:rFonts w:ascii="BLK Fort" w:hAnsi="BLK Fort" w:cs="Arial"/>
          <w:bCs/>
          <w:sz w:val="20"/>
        </w:rPr>
        <w:t xml:space="preserve"> ha</w:t>
      </w:r>
      <w:r>
        <w:rPr>
          <w:rFonts w:ascii="BLK Fort" w:hAnsi="BLK Fort" w:cs="Arial"/>
          <w:bCs/>
          <w:sz w:val="20"/>
        </w:rPr>
        <w:t xml:space="preserve">ve </w:t>
      </w:r>
      <w:r w:rsidRPr="009B559B">
        <w:rPr>
          <w:rFonts w:ascii="BLK Fort" w:hAnsi="BLK Fort" w:cs="Arial"/>
          <w:bCs/>
          <w:sz w:val="20"/>
        </w:rPr>
        <w:t>a similar portfolio on their own account to the one held in the fund.</w:t>
      </w:r>
      <w:r>
        <w:rPr>
          <w:rFonts w:ascii="BLK Fort" w:hAnsi="BLK Fort" w:cs="Arial"/>
          <w:bCs/>
          <w:sz w:val="20"/>
        </w:rPr>
        <w:t xml:space="preserve"> </w:t>
      </w:r>
    </w:p>
    <w:p w14:paraId="36419A7C" w14:textId="77777777" w:rsidR="0040589B" w:rsidRDefault="0040589B" w:rsidP="005864FB">
      <w:pPr>
        <w:rPr>
          <w:rFonts w:ascii="BLK Fort" w:hAnsi="BLK Fort" w:cs="Arial"/>
          <w:bCs/>
          <w:sz w:val="20"/>
        </w:rPr>
      </w:pPr>
      <w:r>
        <w:rPr>
          <w:rFonts w:ascii="BLK Fort" w:hAnsi="BLK Fort" w:cs="Arial"/>
          <w:bCs/>
          <w:sz w:val="20"/>
        </w:rPr>
        <w:t xml:space="preserve">We would not consider this a tool that can or should be a widely </w:t>
      </w:r>
      <w:r w:rsidRPr="00D56F24">
        <w:rPr>
          <w:rFonts w:ascii="BLK Fort" w:hAnsi="BLK Fort" w:cs="Arial"/>
          <w:bCs/>
          <w:sz w:val="20"/>
        </w:rPr>
        <w:t>usable substitute for the normal</w:t>
      </w:r>
      <w:r>
        <w:rPr>
          <w:rFonts w:ascii="BLK Fort" w:hAnsi="BLK Fort" w:cs="Arial"/>
          <w:bCs/>
          <w:sz w:val="20"/>
        </w:rPr>
        <w:t xml:space="preserve"> OEF</w:t>
      </w:r>
      <w:r w:rsidRPr="00D56F24">
        <w:rPr>
          <w:rFonts w:ascii="BLK Fort" w:hAnsi="BLK Fort" w:cs="Arial"/>
          <w:bCs/>
          <w:sz w:val="20"/>
        </w:rPr>
        <w:t xml:space="preserve"> redemption process or as a means of easing pressure on market liquidity</w:t>
      </w:r>
      <w:r>
        <w:rPr>
          <w:rFonts w:ascii="BLK Fort" w:hAnsi="BLK Fort" w:cs="Arial"/>
          <w:bCs/>
          <w:sz w:val="20"/>
        </w:rPr>
        <w:t xml:space="preserve"> – few investors </w:t>
      </w:r>
      <w:r>
        <w:rPr>
          <w:rFonts w:ascii="BLK Fort" w:hAnsi="BLK Fort" w:cs="Arial"/>
          <w:bCs/>
          <w:sz w:val="20"/>
        </w:rPr>
        <w:lastRenderedPageBreak/>
        <w:t>possess the capability to receive RIK, narrowing</w:t>
      </w:r>
      <w:r w:rsidRPr="00034230">
        <w:rPr>
          <w:rFonts w:ascii="BLK Fort" w:hAnsi="BLK Fort" w:cs="Arial"/>
          <w:bCs/>
          <w:sz w:val="20"/>
        </w:rPr>
        <w:t xml:space="preserve"> their practicality as an LMT to </w:t>
      </w:r>
      <w:r>
        <w:rPr>
          <w:rFonts w:ascii="BLK Fort" w:hAnsi="BLK Fort" w:cs="Arial"/>
          <w:bCs/>
          <w:sz w:val="20"/>
        </w:rPr>
        <w:t xml:space="preserve">a limited </w:t>
      </w:r>
      <w:r w:rsidRPr="00034230">
        <w:rPr>
          <w:rFonts w:ascii="BLK Fort" w:hAnsi="BLK Fort" w:cs="Arial"/>
          <w:bCs/>
          <w:sz w:val="20"/>
        </w:rPr>
        <w:t>number of scenarios.</w:t>
      </w:r>
    </w:p>
    <w:p w14:paraId="0B531679" w14:textId="77777777" w:rsidR="0040589B" w:rsidRDefault="0040589B" w:rsidP="005864FB">
      <w:pPr>
        <w:rPr>
          <w:rFonts w:ascii="BLK Fort" w:hAnsi="BLK Fort" w:cs="Arial"/>
          <w:bCs/>
          <w:sz w:val="20"/>
        </w:rPr>
      </w:pPr>
      <w:r>
        <w:rPr>
          <w:rFonts w:ascii="BLK Fort" w:hAnsi="BLK Fort" w:cs="Arial"/>
          <w:bCs/>
          <w:sz w:val="20"/>
        </w:rPr>
        <w:t xml:space="preserve">However, as a redemption mechanism in ETFs, RIK are considered an integral feature of the structure of the fund.  </w:t>
      </w:r>
      <w:r w:rsidRPr="00CE22EB">
        <w:rPr>
          <w:rFonts w:ascii="BLK Fort" w:hAnsi="BLK Fort" w:cs="Arial"/>
          <w:bCs/>
          <w:sz w:val="20"/>
        </w:rPr>
        <w:t xml:space="preserve">ETFs trade in </w:t>
      </w:r>
      <w:r>
        <w:rPr>
          <w:rFonts w:ascii="BLK Fort" w:hAnsi="BLK Fort" w:cs="Arial"/>
          <w:bCs/>
          <w:sz w:val="20"/>
        </w:rPr>
        <w:t>both</w:t>
      </w:r>
      <w:r w:rsidRPr="00CE22EB">
        <w:rPr>
          <w:rFonts w:ascii="BLK Fort" w:hAnsi="BLK Fort" w:cs="Arial"/>
          <w:bCs/>
          <w:sz w:val="20"/>
        </w:rPr>
        <w:t xml:space="preserve"> primary and secondary</w:t>
      </w:r>
      <w:r>
        <w:rPr>
          <w:rFonts w:ascii="BLK Fort" w:hAnsi="BLK Fort" w:cs="Arial"/>
          <w:bCs/>
          <w:sz w:val="20"/>
        </w:rPr>
        <w:t xml:space="preserve"> markets. </w:t>
      </w:r>
      <w:r w:rsidRPr="00D30DC1">
        <w:rPr>
          <w:rFonts w:ascii="BLK Fort" w:hAnsi="BLK Fort" w:cs="Arial"/>
          <w:bCs/>
          <w:sz w:val="20"/>
        </w:rPr>
        <w:t>Authorised Participants (APs)</w:t>
      </w:r>
      <w:r>
        <w:rPr>
          <w:rFonts w:ascii="BLK Fort" w:hAnsi="BLK Fort" w:cs="Arial"/>
          <w:bCs/>
          <w:sz w:val="20"/>
        </w:rPr>
        <w:t xml:space="preserve">, </w:t>
      </w:r>
      <w:r w:rsidRPr="003A65D1">
        <w:rPr>
          <w:rFonts w:ascii="BLK Fort" w:hAnsi="BLK Fort" w:cs="Arial"/>
          <w:bCs/>
          <w:sz w:val="20"/>
        </w:rPr>
        <w:t xml:space="preserve">typically financial institutions such as banks, are authorised to transact with the ETF to create or redeem shares, in exchange for a proportionate share of the underlying assets that make up the benchmark tracked by the ETF. </w:t>
      </w:r>
      <w:r>
        <w:rPr>
          <w:rFonts w:ascii="BLK Fort" w:hAnsi="BLK Fort" w:cs="Arial"/>
          <w:bCs/>
          <w:sz w:val="20"/>
        </w:rPr>
        <w:t xml:space="preserve">Other ETF investors, which aren’t APs, do </w:t>
      </w:r>
      <w:r w:rsidRPr="00E04036">
        <w:rPr>
          <w:rFonts w:ascii="BLK Fort" w:hAnsi="BLK Fort" w:cs="Arial"/>
          <w:bCs/>
          <w:sz w:val="20"/>
        </w:rPr>
        <w:t>not interact directly with the ETF when buying or selling shares</w:t>
      </w:r>
      <w:r>
        <w:rPr>
          <w:rFonts w:ascii="BLK Fort" w:hAnsi="BLK Fort" w:cs="Arial"/>
          <w:bCs/>
          <w:sz w:val="20"/>
        </w:rPr>
        <w:t>, but</w:t>
      </w:r>
      <w:r w:rsidRPr="00E04036">
        <w:rPr>
          <w:rFonts w:ascii="BLK Fort" w:hAnsi="BLK Fort" w:cs="Arial"/>
          <w:bCs/>
          <w:sz w:val="20"/>
        </w:rPr>
        <w:t xml:space="preserve"> </w:t>
      </w:r>
      <w:r>
        <w:rPr>
          <w:rFonts w:ascii="BLK Fort" w:hAnsi="BLK Fort" w:cs="Arial"/>
          <w:bCs/>
          <w:sz w:val="20"/>
        </w:rPr>
        <w:t>i</w:t>
      </w:r>
      <w:r w:rsidRPr="00E04036">
        <w:rPr>
          <w:rFonts w:ascii="BLK Fort" w:hAnsi="BLK Fort" w:cs="Arial"/>
          <w:bCs/>
          <w:sz w:val="20"/>
        </w:rPr>
        <w:t>nstead trade through brokers with other investors on an exchange</w:t>
      </w:r>
      <w:r>
        <w:rPr>
          <w:rFonts w:ascii="BLK Fort" w:hAnsi="BLK Fort" w:cs="Arial"/>
          <w:bCs/>
          <w:sz w:val="20"/>
        </w:rPr>
        <w:t>,</w:t>
      </w:r>
      <w:r w:rsidRPr="00E04036">
        <w:rPr>
          <w:rFonts w:ascii="BLK Fort" w:hAnsi="BLK Fort" w:cs="Arial"/>
          <w:bCs/>
          <w:sz w:val="20"/>
        </w:rPr>
        <w:t xml:space="preserve"> or other venues.</w:t>
      </w:r>
      <w:r>
        <w:rPr>
          <w:rFonts w:ascii="BLK Fort" w:hAnsi="BLK Fort" w:cs="Arial"/>
          <w:bCs/>
          <w:sz w:val="20"/>
        </w:rPr>
        <w:t xml:space="preserve"> </w:t>
      </w:r>
    </w:p>
    <w:p w14:paraId="2D832558" w14:textId="77777777" w:rsidR="0040589B" w:rsidRDefault="0040589B" w:rsidP="005864FB">
      <w:pPr>
        <w:rPr>
          <w:rFonts w:ascii="BLK Fort" w:hAnsi="BLK Fort" w:cs="Arial"/>
          <w:bCs/>
          <w:sz w:val="20"/>
        </w:rPr>
      </w:pPr>
      <w:r>
        <w:rPr>
          <w:rFonts w:ascii="BLK Fort" w:hAnsi="BLK Fort" w:cs="Arial"/>
          <w:bCs/>
          <w:sz w:val="20"/>
        </w:rPr>
        <w:t xml:space="preserve">As </w:t>
      </w:r>
      <w:r w:rsidRPr="00303E93">
        <w:rPr>
          <w:rFonts w:ascii="BLK Fort" w:hAnsi="BLK Fort" w:cs="Arial"/>
          <w:bCs/>
          <w:sz w:val="20"/>
        </w:rPr>
        <w:t>specialised financial</w:t>
      </w:r>
      <w:r>
        <w:rPr>
          <w:rFonts w:ascii="BLK Fort" w:hAnsi="BLK Fort" w:cs="Arial"/>
          <w:bCs/>
          <w:sz w:val="20"/>
        </w:rPr>
        <w:t xml:space="preserve"> </w:t>
      </w:r>
      <w:r w:rsidRPr="00303E93">
        <w:rPr>
          <w:rFonts w:ascii="BLK Fort" w:hAnsi="BLK Fort" w:cs="Arial"/>
          <w:bCs/>
          <w:sz w:val="20"/>
        </w:rPr>
        <w:t>institutions,</w:t>
      </w:r>
      <w:r>
        <w:rPr>
          <w:rFonts w:ascii="BLK Fort" w:hAnsi="BLK Fort" w:cs="Arial"/>
          <w:bCs/>
          <w:sz w:val="20"/>
        </w:rPr>
        <w:t xml:space="preserve"> which are typically </w:t>
      </w:r>
      <w:r w:rsidRPr="006520B8">
        <w:rPr>
          <w:rFonts w:ascii="BLK Fort" w:hAnsi="BLK Fort" w:cs="Arial"/>
          <w:bCs/>
          <w:sz w:val="20"/>
        </w:rPr>
        <w:t xml:space="preserve">affiliated </w:t>
      </w:r>
      <w:r>
        <w:rPr>
          <w:rFonts w:ascii="BLK Fort" w:hAnsi="BLK Fort" w:cs="Arial"/>
          <w:bCs/>
          <w:sz w:val="20"/>
        </w:rPr>
        <w:t xml:space="preserve">on an individual basis </w:t>
      </w:r>
      <w:r w:rsidRPr="006520B8">
        <w:rPr>
          <w:rFonts w:ascii="BLK Fort" w:hAnsi="BLK Fort" w:cs="Arial"/>
          <w:bCs/>
          <w:sz w:val="20"/>
        </w:rPr>
        <w:t>with specific ETFs and portfolio of assets they track</w:t>
      </w:r>
      <w:r>
        <w:rPr>
          <w:rFonts w:ascii="BLK Fort" w:hAnsi="BLK Fort" w:cs="Arial"/>
          <w:bCs/>
          <w:sz w:val="20"/>
        </w:rPr>
        <w:t xml:space="preserve">, APs are </w:t>
      </w:r>
      <w:r w:rsidRPr="005D6306">
        <w:rPr>
          <w:rFonts w:ascii="BLK Fort" w:hAnsi="BLK Fort" w:cs="Arial"/>
          <w:bCs/>
          <w:sz w:val="20"/>
        </w:rPr>
        <w:t>operationally prepared to receive</w:t>
      </w:r>
      <w:r>
        <w:rPr>
          <w:rFonts w:ascii="BLK Fort" w:hAnsi="BLK Fort" w:cs="Arial"/>
          <w:bCs/>
          <w:sz w:val="20"/>
        </w:rPr>
        <w:t xml:space="preserve"> RIK</w:t>
      </w:r>
      <w:r w:rsidRPr="005D6306">
        <w:rPr>
          <w:rFonts w:ascii="BLK Fort" w:hAnsi="BLK Fort" w:cs="Arial"/>
          <w:bCs/>
          <w:sz w:val="20"/>
        </w:rPr>
        <w:t xml:space="preserve"> in exchange for ETF shares</w:t>
      </w:r>
      <w:r>
        <w:rPr>
          <w:rFonts w:ascii="BLK Fort" w:hAnsi="BLK Fort" w:cs="Arial"/>
          <w:bCs/>
          <w:sz w:val="20"/>
        </w:rPr>
        <w:t>. This should not be subject to a pro-rata slice as it would impact the ETF’s ability to keep its</w:t>
      </w:r>
      <w:r w:rsidRPr="00520998">
        <w:rPr>
          <w:rFonts w:ascii="BLK Fort" w:hAnsi="BLK Fort" w:cs="Arial"/>
          <w:bCs/>
          <w:sz w:val="20"/>
        </w:rPr>
        <w:t xml:space="preserve"> price aligned with the value of its underlying securities</w:t>
      </w:r>
      <w:r>
        <w:rPr>
          <w:rFonts w:ascii="BLK Fort" w:hAnsi="BLK Fort" w:cs="Arial"/>
          <w:bCs/>
          <w:sz w:val="20"/>
        </w:rPr>
        <w:t xml:space="preserve">, by removing the economic incentives of APs and market makers to trade with them. </w:t>
      </w:r>
    </w:p>
    <w:p w14:paraId="77D9048B" w14:textId="77777777" w:rsidR="0040589B" w:rsidRDefault="0040589B" w:rsidP="005864FB">
      <w:pPr>
        <w:rPr>
          <w:rFonts w:ascii="BLK Fort" w:hAnsi="BLK Fort" w:cs="Arial"/>
          <w:bCs/>
          <w:sz w:val="20"/>
          <w:lang w:val="en-IE"/>
        </w:rPr>
      </w:pPr>
      <w:r w:rsidRPr="00160567">
        <w:rPr>
          <w:rFonts w:ascii="BLK Fort" w:hAnsi="BLK Fort" w:cs="Arial"/>
          <w:bCs/>
          <w:sz w:val="20"/>
          <w:lang w:val="en-IE"/>
        </w:rPr>
        <w:t xml:space="preserve">When, in the normal course of regular dealing activities relating to the direct redemption of shares in a UCITS ETF by an authorised participant/market-maker, delivery in whole or in part of underlying securities held by, or on behalf of, the UCITS ETF to authorised participants/market makers in satisfaction of such dealing request should not be considered an activation of the </w:t>
      </w:r>
      <w:r>
        <w:rPr>
          <w:rFonts w:ascii="BLK Fort" w:hAnsi="BLK Fort" w:cs="Arial"/>
          <w:bCs/>
          <w:sz w:val="20"/>
          <w:lang w:val="en-IE"/>
        </w:rPr>
        <w:t xml:space="preserve">RIK </w:t>
      </w:r>
      <w:r w:rsidRPr="00160567">
        <w:rPr>
          <w:rFonts w:ascii="BLK Fort" w:hAnsi="BLK Fort" w:cs="Arial"/>
          <w:bCs/>
          <w:sz w:val="20"/>
          <w:lang w:val="en-IE"/>
        </w:rPr>
        <w:t>mechanism in the context of Annex IIA liquidity management tools.</w:t>
      </w:r>
    </w:p>
    <w:p w14:paraId="491F4E53" w14:textId="77777777" w:rsidR="0040589B" w:rsidRDefault="0040589B" w:rsidP="005864FB">
      <w:pPr>
        <w:rPr>
          <w:rFonts w:ascii="BLK Fort" w:hAnsi="BLK Fort" w:cs="Arial"/>
          <w:sz w:val="20"/>
        </w:rPr>
      </w:pPr>
      <w:r w:rsidRPr="65D46FE3">
        <w:rPr>
          <w:rFonts w:ascii="BLK Fort" w:hAnsi="BLK Fort" w:cs="Arial"/>
          <w:sz w:val="20"/>
        </w:rPr>
        <w:t xml:space="preserve">Separately, Sections 83 and 84 outline conditions where the RIK do not need to correspond to a pro-rata share of the redeeming investors’ holdings. </w:t>
      </w:r>
      <w:r>
        <w:rPr>
          <w:rFonts w:ascii="BLK Fort" w:hAnsi="BLK Fort" w:cs="Arial"/>
          <w:sz w:val="20"/>
        </w:rPr>
        <w:t>Where RIK are used for liquidity management purposes, w</w:t>
      </w:r>
      <w:r w:rsidRPr="65D46FE3">
        <w:rPr>
          <w:rFonts w:ascii="BLK Fort" w:hAnsi="BLK Fort" w:cs="Arial"/>
          <w:sz w:val="20"/>
        </w:rPr>
        <w:t>e think this is problematic</w:t>
      </w:r>
      <w:r>
        <w:rPr>
          <w:rFonts w:ascii="BLK Fort" w:hAnsi="BLK Fort" w:cs="Arial"/>
          <w:sz w:val="20"/>
        </w:rPr>
        <w:t>.</w:t>
      </w:r>
      <w:r w:rsidRPr="65D46FE3">
        <w:rPr>
          <w:rFonts w:ascii="BLK Fort" w:hAnsi="BLK Fort" w:cs="Arial"/>
          <w:sz w:val="20"/>
        </w:rPr>
        <w:t xml:space="preserve"> </w:t>
      </w:r>
      <w:r>
        <w:rPr>
          <w:rFonts w:ascii="BLK Fort" w:hAnsi="BLK Fort" w:cs="Arial"/>
          <w:sz w:val="20"/>
        </w:rPr>
        <w:t>I</w:t>
      </w:r>
      <w:r w:rsidRPr="65D46FE3">
        <w:rPr>
          <w:rFonts w:ascii="BLK Fort" w:hAnsi="BLK Fort" w:cs="Arial"/>
          <w:sz w:val="20"/>
        </w:rPr>
        <w:t xml:space="preserve">f the fund is tracking an index, then the RIK </w:t>
      </w:r>
      <w:r w:rsidRPr="00BF70FD">
        <w:rPr>
          <w:rFonts w:ascii="BLK Fort" w:hAnsi="BLK Fort" w:cs="Arial"/>
          <w:sz w:val="20"/>
        </w:rPr>
        <w:t>must</w:t>
      </w:r>
      <w:r w:rsidRPr="65D46FE3">
        <w:rPr>
          <w:rFonts w:ascii="BLK Fort" w:hAnsi="BLK Fort" w:cs="Arial"/>
          <w:sz w:val="20"/>
        </w:rPr>
        <w:t xml:space="preserve"> be pro-rata to avoid excessive divergence from the index. </w:t>
      </w:r>
      <w:r w:rsidRPr="446859CB">
        <w:rPr>
          <w:rFonts w:ascii="BLK Fort" w:hAnsi="BLK Fort" w:cs="Arial"/>
          <w:sz w:val="20"/>
        </w:rPr>
        <w:t>Similarly, so far as is possible</w:t>
      </w:r>
      <w:r w:rsidRPr="65D46FE3">
        <w:rPr>
          <w:rFonts w:ascii="BLK Fort" w:hAnsi="BLK Fort" w:cs="Arial"/>
          <w:sz w:val="20"/>
        </w:rPr>
        <w:t xml:space="preserve">, if the fund is holding securities that do not replicate the index, it would be unfair for those securities to be offloaded onto redeeming investors without an assessment by the fund’s depositary or auditors (depending on the provisions in relevant national law) as to the fairness of the allocation of assets to both remaining investors and redeeming investors (see </w:t>
      </w:r>
      <w:r>
        <w:rPr>
          <w:rFonts w:ascii="BLK Fort" w:hAnsi="BLK Fort" w:cs="Arial"/>
          <w:sz w:val="20"/>
        </w:rPr>
        <w:t>response to Q. 37</w:t>
      </w:r>
      <w:r w:rsidRPr="65D46FE3">
        <w:rPr>
          <w:rFonts w:ascii="BLK Fort" w:hAnsi="BLK Fort" w:cs="Arial"/>
          <w:sz w:val="20"/>
        </w:rPr>
        <w:t xml:space="preserve">). </w:t>
      </w:r>
      <w:r w:rsidRPr="446859CB">
        <w:rPr>
          <w:rFonts w:ascii="BLK Fort" w:hAnsi="BLK Fort" w:cs="Arial"/>
          <w:sz w:val="20"/>
        </w:rPr>
        <w:t xml:space="preserve">  </w:t>
      </w:r>
    </w:p>
    <w:p w14:paraId="6F06268D" w14:textId="77777777" w:rsidR="0040589B" w:rsidRPr="00CF5C4C" w:rsidRDefault="0040589B" w:rsidP="005864FB">
      <w:pPr>
        <w:rPr>
          <w:rFonts w:ascii="BLK Fort" w:hAnsi="BLK Fort" w:cs="Arial"/>
          <w:sz w:val="20"/>
        </w:rPr>
      </w:pPr>
      <w:r>
        <w:rPr>
          <w:rFonts w:ascii="BLK Fort" w:hAnsi="BLK Fort" w:cs="Arial"/>
          <w:sz w:val="20"/>
        </w:rPr>
        <w:t xml:space="preserve">However, as stated previously, we do not consider the use of RIK in ETFs (by APs or market makers) as an ‘activation’ of the tool for liquidity risk management purposes. </w:t>
      </w:r>
      <w:r w:rsidRPr="446859CB">
        <w:rPr>
          <w:rFonts w:ascii="BLK Fort" w:hAnsi="BLK Fort" w:cs="Arial"/>
          <w:sz w:val="20"/>
        </w:rPr>
        <w:t>S</w:t>
      </w:r>
      <w:r>
        <w:rPr>
          <w:rFonts w:ascii="BLK Fort" w:hAnsi="BLK Fort" w:cs="Arial"/>
          <w:sz w:val="20"/>
        </w:rPr>
        <w:t xml:space="preserve">ection </w:t>
      </w:r>
      <w:r w:rsidRPr="446859CB">
        <w:rPr>
          <w:rFonts w:ascii="BLK Fort" w:hAnsi="BLK Fort" w:cs="Arial"/>
          <w:sz w:val="20"/>
        </w:rPr>
        <w:t xml:space="preserve">83 </w:t>
      </w:r>
      <w:r>
        <w:rPr>
          <w:rFonts w:ascii="BLK Fort" w:hAnsi="BLK Fort" w:cs="Arial"/>
          <w:sz w:val="20"/>
        </w:rPr>
        <w:t>notes the RIK does not need to correspond to a pro-rata share of assets held by the UCITS</w:t>
      </w:r>
      <w:r w:rsidRPr="446859CB">
        <w:rPr>
          <w:rFonts w:ascii="BLK Fort" w:hAnsi="BLK Fort" w:cs="Arial"/>
          <w:sz w:val="20"/>
        </w:rPr>
        <w:t xml:space="preserve"> “if the aim of that UCITS’ investment policy is to replicate the composition of a certain stock or debt securities index</w:t>
      </w:r>
      <w:r w:rsidRPr="00E62770">
        <w:rPr>
          <w:rFonts w:ascii="BLK Fort" w:hAnsi="BLK Fort" w:cs="Arial"/>
          <w:b/>
          <w:sz w:val="20"/>
        </w:rPr>
        <w:t xml:space="preserve"> </w:t>
      </w:r>
      <w:r w:rsidRPr="00BF70FD">
        <w:rPr>
          <w:rFonts w:ascii="BLK Fort" w:hAnsi="BLK Fort" w:cs="Arial"/>
          <w:b/>
          <w:sz w:val="20"/>
          <w:u w:val="single"/>
        </w:rPr>
        <w:t>and that UCITS is an ETF</w:t>
      </w:r>
      <w:r w:rsidRPr="00A46915">
        <w:rPr>
          <w:rFonts w:ascii="BLK Fort" w:hAnsi="BLK Fort" w:cs="Arial"/>
          <w:sz w:val="20"/>
        </w:rPr>
        <w:t>”.</w:t>
      </w:r>
      <w:r w:rsidRPr="446859CB">
        <w:rPr>
          <w:rFonts w:ascii="BLK Fort" w:hAnsi="BLK Fort" w:cs="Arial"/>
          <w:sz w:val="20"/>
        </w:rPr>
        <w:t xml:space="preserve"> We would</w:t>
      </w:r>
      <w:r>
        <w:rPr>
          <w:rFonts w:ascii="BLK Fort" w:hAnsi="BLK Fort" w:cs="Arial"/>
          <w:sz w:val="20"/>
        </w:rPr>
        <w:t xml:space="preserve"> like to clarify </w:t>
      </w:r>
      <w:r w:rsidRPr="446859CB">
        <w:rPr>
          <w:rFonts w:ascii="BLK Fort" w:hAnsi="BLK Fort" w:cs="Arial"/>
          <w:sz w:val="20"/>
        </w:rPr>
        <w:t>that not all UCITS funds replicating an index are ETFs</w:t>
      </w:r>
      <w:r>
        <w:rPr>
          <w:rFonts w:ascii="BLK Fort" w:hAnsi="BLK Fort" w:cs="Arial"/>
          <w:sz w:val="20"/>
        </w:rPr>
        <w:t>, and that pro-rata redemption requirements should not be applicable to any ETFs for the reasons outlined above.</w:t>
      </w:r>
    </w:p>
    <w:p w14:paraId="3852AC84" w14:textId="409777F6" w:rsidR="00DA4F15" w:rsidRDefault="00DA4F15" w:rsidP="00DA4F15">
      <w:r>
        <w:t>&lt;ESMA_QUESTION_SLMT_36&gt;</w:t>
      </w:r>
    </w:p>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lastRenderedPageBreak/>
        <w:t>&lt;ESMA_QUESTION_SLMT_37&gt;</w:t>
      </w:r>
    </w:p>
    <w:p w14:paraId="40B56576" w14:textId="77777777" w:rsidR="005864FB" w:rsidRDefault="005864FB" w:rsidP="005864FB">
      <w:pPr>
        <w:rPr>
          <w:rFonts w:ascii="BLK Fort" w:hAnsi="BLK Fort" w:cs="Arial"/>
          <w:bCs/>
          <w:sz w:val="20"/>
        </w:rPr>
      </w:pPr>
      <w:r>
        <w:rPr>
          <w:rFonts w:ascii="BLK Fort" w:hAnsi="BLK Fort" w:cs="Arial"/>
          <w:bCs/>
          <w:sz w:val="20"/>
        </w:rPr>
        <w:t>In some markets like Luxembourg, redemptions in kind require valuation by an external auditor</w:t>
      </w:r>
      <w:r w:rsidRPr="009A74E3">
        <w:rPr>
          <w:rFonts w:ascii="BLK Fort" w:hAnsi="BLK Fort" w:cs="Arial"/>
          <w:bCs/>
          <w:sz w:val="20"/>
        </w:rPr>
        <w:t>.</w:t>
      </w:r>
      <w:r>
        <w:rPr>
          <w:rFonts w:ascii="BLK Fort" w:hAnsi="BLK Fort" w:cs="Arial"/>
          <w:bCs/>
          <w:sz w:val="20"/>
        </w:rPr>
        <w:t xml:space="preserve"> The costs of that report are borne by the shareholder requesting the redemption in kind, but if the manager decides to implement an RIK to avoid the sale of sizable blocks of securities in response to a redemption request, then it is unclear who would pay.</w:t>
      </w:r>
    </w:p>
    <w:p w14:paraId="0F78A871" w14:textId="77777777" w:rsidR="005864FB" w:rsidRPr="009A74E3" w:rsidRDefault="005864FB" w:rsidP="005864FB">
      <w:pPr>
        <w:rPr>
          <w:rFonts w:ascii="BLK Fort" w:hAnsi="BLK Fort" w:cs="Arial"/>
          <w:bCs/>
          <w:sz w:val="20"/>
        </w:rPr>
      </w:pPr>
      <w:r>
        <w:rPr>
          <w:rFonts w:ascii="BLK Fort" w:hAnsi="BLK Fort" w:cs="Arial"/>
          <w:bCs/>
          <w:sz w:val="20"/>
        </w:rPr>
        <w:t xml:space="preserve">By contrast, in Ireland the depositary is responsible </w:t>
      </w:r>
      <w:r w:rsidRPr="65D46FE3">
        <w:rPr>
          <w:rFonts w:ascii="BLK Fort" w:hAnsi="BLK Fort" w:cs="Arial"/>
          <w:sz w:val="20"/>
        </w:rPr>
        <w:t xml:space="preserve">for signing off that </w:t>
      </w:r>
      <w:r>
        <w:rPr>
          <w:rFonts w:ascii="BLK Fort" w:hAnsi="BLK Fort" w:cs="Arial"/>
          <w:bCs/>
          <w:sz w:val="20"/>
        </w:rPr>
        <w:t xml:space="preserve"> an assessment of the assets chosen</w:t>
      </w:r>
      <w:r w:rsidRPr="65D46FE3">
        <w:rPr>
          <w:rFonts w:ascii="BLK Fort" w:hAnsi="BLK Fort" w:cs="Arial"/>
          <w:sz w:val="20"/>
        </w:rPr>
        <w:t xml:space="preserve"> has been made</w:t>
      </w:r>
      <w:r>
        <w:rPr>
          <w:rFonts w:ascii="BLK Fort" w:hAnsi="BLK Fort" w:cs="Arial"/>
          <w:bCs/>
          <w:sz w:val="20"/>
        </w:rPr>
        <w:t xml:space="preserve">, confirming they are a representative pro-rata share and secondly that the valuation of the assets is fair and does not disadvantage remaining investors. </w:t>
      </w:r>
    </w:p>
    <w:p w14:paraId="7970F171" w14:textId="4888BBBF" w:rsidR="00DA4F15" w:rsidRDefault="00DA4F15" w:rsidP="00DA4F15">
      <w:r>
        <w:t>&lt;ESMA_QUESTION_SLMT_37&gt;</w:t>
      </w:r>
    </w:p>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3E6A4686" w14:textId="77777777" w:rsidR="005864FB" w:rsidRDefault="005864FB" w:rsidP="005864FB">
      <w:pPr>
        <w:rPr>
          <w:rFonts w:ascii="BLK Fort" w:eastAsia="Arial" w:hAnsi="BLK Fort" w:cs="Arial"/>
          <w:sz w:val="20"/>
        </w:rPr>
      </w:pPr>
      <w:r>
        <w:rPr>
          <w:rFonts w:ascii="BLK Fort" w:hAnsi="BLK Fort" w:cs="Arial"/>
          <w:bCs/>
          <w:sz w:val="20"/>
        </w:rPr>
        <w:t xml:space="preserve">Yes. </w:t>
      </w:r>
      <w:r w:rsidRPr="005902A8">
        <w:rPr>
          <w:rFonts w:ascii="BLK Fort" w:eastAsia="Arial" w:hAnsi="BLK Fort" w:cs="Arial"/>
          <w:sz w:val="20"/>
        </w:rPr>
        <w:t xml:space="preserve">AIFs often deal with more complex and illiquid assets such as private equity and real estate, requiring specialized processes and independent valuations to ensure fairness. These funds are typically marketed to professional investors who have a higher risk tolerance and better understanding of complex assets. </w:t>
      </w:r>
    </w:p>
    <w:p w14:paraId="084B45DB" w14:textId="77777777" w:rsidR="005864FB" w:rsidRDefault="005864FB" w:rsidP="005864FB">
      <w:pPr>
        <w:rPr>
          <w:rFonts w:ascii="BLK Fort" w:eastAsia="Arial" w:hAnsi="BLK Fort" w:cs="Arial"/>
          <w:sz w:val="20"/>
        </w:rPr>
      </w:pPr>
      <w:r w:rsidRPr="005902A8">
        <w:rPr>
          <w:rFonts w:ascii="BLK Fort" w:eastAsia="Arial" w:hAnsi="BLK Fort" w:cs="Arial"/>
          <w:sz w:val="20"/>
        </w:rPr>
        <w:t xml:space="preserve">In contrast, UCITS invest in more liquid and transferable securities and are subject to stricter regulations designed to protect retail investors. Given their mixed investor base, UCITS require simpler and more transparent processes, ensuring that retail investors are not disadvantaged. </w:t>
      </w:r>
    </w:p>
    <w:p w14:paraId="4F1749A5" w14:textId="77777777" w:rsidR="005864FB" w:rsidRPr="00D3566F" w:rsidRDefault="005864FB" w:rsidP="005864FB">
      <w:pPr>
        <w:rPr>
          <w:rFonts w:ascii="BLK Fort" w:hAnsi="BLK Fort" w:cs="Arial"/>
          <w:bCs/>
          <w:sz w:val="20"/>
        </w:rPr>
      </w:pPr>
      <w:r>
        <w:rPr>
          <w:rFonts w:ascii="BLK Fort" w:hAnsi="BLK Fort" w:cs="Arial"/>
          <w:bCs/>
          <w:sz w:val="20"/>
        </w:rPr>
        <w:t xml:space="preserve">While some funds may offer RIK for institutional investor share classes in retail funds, RIK are not appropriate tools for retail investors themselves. </w:t>
      </w:r>
      <w:r>
        <w:rPr>
          <w:rFonts w:ascii="BLK Fort" w:eastAsia="Arial" w:hAnsi="BLK Fort" w:cs="Arial"/>
          <w:sz w:val="20"/>
        </w:rPr>
        <w:t>T</w:t>
      </w:r>
      <w:r w:rsidRPr="005902A8">
        <w:rPr>
          <w:rFonts w:ascii="BLK Fort" w:eastAsia="Arial" w:hAnsi="BLK Fort" w:cs="Arial"/>
          <w:sz w:val="20"/>
        </w:rPr>
        <w:t>ailoring RIK characteristics to reflect these differences ensures that the unique needs and regulatory requirements of each fund type are appropriately addressed, benefiting both the funds and their investors.</w:t>
      </w:r>
    </w:p>
    <w:p w14:paraId="044C2490" w14:textId="33F66CFB" w:rsidR="00DA4F15" w:rsidRDefault="00DA4F15" w:rsidP="00DA4F15">
      <w:r>
        <w:t>&lt;ESMA_QUESTION_SLMT_38&gt;</w:t>
      </w:r>
    </w:p>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0F52F3B1" w14:textId="77777777" w:rsidR="005864FB" w:rsidRDefault="005864FB" w:rsidP="005864FB">
      <w:pPr>
        <w:rPr>
          <w:rFonts w:ascii="BLK Fort" w:hAnsi="BLK Fort" w:cs="Arial"/>
          <w:bCs/>
          <w:sz w:val="20"/>
        </w:rPr>
      </w:pPr>
      <w:r>
        <w:rPr>
          <w:rFonts w:ascii="BLK Fort" w:hAnsi="BLK Fort" w:cs="Arial"/>
          <w:bCs/>
          <w:sz w:val="20"/>
        </w:rPr>
        <w:t xml:space="preserve">Yes, though </w:t>
      </w:r>
      <w:r w:rsidRPr="006E4F13">
        <w:rPr>
          <w:rFonts w:ascii="BLK Fort" w:hAnsi="BLK Fort" w:cs="Arial"/>
          <w:bCs/>
          <w:sz w:val="20"/>
        </w:rPr>
        <w:t xml:space="preserve">BlackRock encourages </w:t>
      </w:r>
      <w:r>
        <w:rPr>
          <w:rFonts w:ascii="BLK Fort" w:hAnsi="BLK Fort" w:cs="Arial"/>
          <w:bCs/>
          <w:sz w:val="20"/>
        </w:rPr>
        <w:t>ESMA</w:t>
      </w:r>
      <w:r w:rsidRPr="006E4F13">
        <w:rPr>
          <w:rFonts w:ascii="BLK Fort" w:hAnsi="BLK Fort" w:cs="Arial"/>
          <w:bCs/>
          <w:sz w:val="20"/>
        </w:rPr>
        <w:t xml:space="preserve"> to take a flexible approach to allow </w:t>
      </w:r>
      <w:r>
        <w:rPr>
          <w:rFonts w:ascii="BLK Fort" w:hAnsi="BLK Fort" w:cs="Arial"/>
          <w:bCs/>
          <w:sz w:val="20"/>
        </w:rPr>
        <w:t xml:space="preserve">fund managers </w:t>
      </w:r>
      <w:r w:rsidRPr="006E4F13">
        <w:rPr>
          <w:rFonts w:ascii="BLK Fort" w:hAnsi="BLK Fort" w:cs="Arial"/>
          <w:bCs/>
          <w:sz w:val="20"/>
        </w:rPr>
        <w:t>a range of options to be used</w:t>
      </w:r>
      <w:r>
        <w:rPr>
          <w:rFonts w:ascii="BLK Fort" w:hAnsi="BLK Fort" w:cs="Arial"/>
          <w:bCs/>
          <w:sz w:val="20"/>
        </w:rPr>
        <w:t xml:space="preserve">. </w:t>
      </w:r>
      <w:r w:rsidRPr="006E4F13">
        <w:rPr>
          <w:rFonts w:ascii="BLK Fort" w:hAnsi="BLK Fort" w:cs="Arial"/>
          <w:bCs/>
          <w:sz w:val="20"/>
        </w:rPr>
        <w:t xml:space="preserve">Under certain circumstances, BlackRock believes that the side pocket </w:t>
      </w:r>
      <w:r>
        <w:rPr>
          <w:rFonts w:ascii="BLK Fort" w:hAnsi="BLK Fort" w:cs="Arial"/>
          <w:bCs/>
          <w:sz w:val="20"/>
        </w:rPr>
        <w:t xml:space="preserve">through a new share class </w:t>
      </w:r>
      <w:r w:rsidRPr="006E4F13">
        <w:rPr>
          <w:rFonts w:ascii="BLK Fort" w:hAnsi="BLK Fort" w:cs="Arial"/>
          <w:bCs/>
          <w:sz w:val="20"/>
        </w:rPr>
        <w:t xml:space="preserve">model may provide the best investor outcome in terms of minimal tax, transaction and other costs at the portfolio level as well as a quicker implementation time than alternative models such as the establishment of new authorised fund (or sub-fund of an umbrella) </w:t>
      </w:r>
      <w:r w:rsidRPr="006E4F13">
        <w:rPr>
          <w:rFonts w:ascii="BLK Fort" w:hAnsi="BLK Fort" w:cs="Arial"/>
          <w:bCs/>
          <w:sz w:val="20"/>
        </w:rPr>
        <w:lastRenderedPageBreak/>
        <w:t xml:space="preserve">which would receive the non-affected investments. </w:t>
      </w:r>
      <w:r>
        <w:rPr>
          <w:rFonts w:ascii="BLK Fort" w:hAnsi="BLK Fort" w:cs="Arial"/>
          <w:bCs/>
          <w:sz w:val="20"/>
        </w:rPr>
        <w:t>However, i</w:t>
      </w:r>
      <w:r w:rsidRPr="006E4F13">
        <w:rPr>
          <w:rFonts w:ascii="BLK Fort" w:hAnsi="BLK Fort" w:cs="Arial"/>
          <w:bCs/>
          <w:sz w:val="20"/>
        </w:rPr>
        <w:t>n other circumstances</w:t>
      </w:r>
      <w:r>
        <w:rPr>
          <w:rFonts w:ascii="BLK Fort" w:hAnsi="BLK Fort" w:cs="Arial"/>
          <w:bCs/>
          <w:sz w:val="20"/>
        </w:rPr>
        <w:t xml:space="preserve">, </w:t>
      </w:r>
      <w:r w:rsidRPr="006E4F13">
        <w:rPr>
          <w:rFonts w:ascii="BLK Fort" w:hAnsi="BLK Fort" w:cs="Arial"/>
          <w:bCs/>
          <w:sz w:val="20"/>
        </w:rPr>
        <w:t>a new authorised fund (or a sub-fund of an umbrella) may provide the best investor outcome</w:t>
      </w:r>
      <w:r>
        <w:rPr>
          <w:rFonts w:ascii="BLK Fort" w:hAnsi="BLK Fort" w:cs="Arial"/>
          <w:bCs/>
          <w:sz w:val="20"/>
        </w:rPr>
        <w:t>.</w:t>
      </w:r>
    </w:p>
    <w:p w14:paraId="2B51EEFB" w14:textId="0FBFB4D3" w:rsidR="00DA4F15" w:rsidRDefault="00DA4F15" w:rsidP="00DA4F15">
      <w:r>
        <w:t>&lt;ESMA_QUESTION_SLMT_39&gt;</w:t>
      </w:r>
    </w:p>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01B94ACF" w14:textId="77777777" w:rsidR="005864FB" w:rsidRDefault="005864FB" w:rsidP="005864FB">
      <w:pPr>
        <w:rPr>
          <w:rFonts w:ascii="BLK Fort" w:hAnsi="BLK Fort" w:cs="Arial"/>
          <w:bCs/>
          <w:sz w:val="20"/>
        </w:rPr>
      </w:pPr>
      <w:r>
        <w:rPr>
          <w:rFonts w:ascii="BLK Fort" w:hAnsi="BLK Fort" w:cs="Arial"/>
          <w:bCs/>
          <w:sz w:val="20"/>
        </w:rPr>
        <w:t xml:space="preserve">Yes. The alternative (i.e. moving the problem assets to a new UCITS) would not be possible given the assets in question would have become illiquid. </w:t>
      </w:r>
    </w:p>
    <w:p w14:paraId="2E565A0B" w14:textId="3EFE119C" w:rsidR="00DA4F15" w:rsidRDefault="00DA4F15" w:rsidP="00DA4F15">
      <w:r>
        <w:t>&lt;ESMA_QUESTION_SLMT_40&gt;</w:t>
      </w:r>
    </w:p>
    <w:p w14:paraId="41C93715"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3F7AD838" w14:textId="77777777" w:rsidR="005864FB" w:rsidRPr="002D6B03" w:rsidRDefault="005864FB" w:rsidP="005864FB">
      <w:pPr>
        <w:rPr>
          <w:rFonts w:ascii="BLK Fort" w:hAnsi="BLK Fort" w:cs="Arial"/>
          <w:bCs/>
          <w:sz w:val="20"/>
        </w:rPr>
      </w:pPr>
      <w:r>
        <w:rPr>
          <w:rFonts w:ascii="BLK Fort" w:hAnsi="BLK Fort" w:cs="Arial"/>
          <w:bCs/>
          <w:sz w:val="20"/>
        </w:rPr>
        <w:t xml:space="preserve">No. </w:t>
      </w:r>
    </w:p>
    <w:p w14:paraId="4E5DFC3D" w14:textId="05F5BA70" w:rsidR="00DA4F15" w:rsidRDefault="00DA4F15" w:rsidP="00DA4F15">
      <w:r>
        <w:t>&lt;ESMA_QUESTION_SLMT_41&gt;</w:t>
      </w:r>
    </w:p>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3B8654D1" w14:textId="77777777" w:rsidR="005864FB" w:rsidRDefault="005864FB" w:rsidP="005864FB">
      <w:pPr>
        <w:rPr>
          <w:rFonts w:ascii="BLK Fort" w:hAnsi="BLK Fort" w:cs="Arial"/>
          <w:bCs/>
          <w:sz w:val="20"/>
        </w:rPr>
      </w:pPr>
      <w:r>
        <w:rPr>
          <w:rFonts w:ascii="BLK Fort" w:hAnsi="BLK Fort" w:cs="Arial"/>
          <w:bCs/>
          <w:sz w:val="20"/>
        </w:rPr>
        <w:t xml:space="preserve">No, we do not see a need for further specification. During the Ukraine crisis, </w:t>
      </w:r>
      <w:r w:rsidRPr="65D46FE3">
        <w:rPr>
          <w:rFonts w:ascii="BLK Fort" w:hAnsi="BLK Fort" w:cs="Arial"/>
          <w:sz w:val="20"/>
        </w:rPr>
        <w:t xml:space="preserve">FAQ from the CSSF for </w:t>
      </w:r>
      <w:r>
        <w:rPr>
          <w:rFonts w:ascii="BLK Fort" w:hAnsi="BLK Fort" w:cs="Arial"/>
          <w:bCs/>
          <w:sz w:val="20"/>
        </w:rPr>
        <w:t xml:space="preserve">funds domiciled in Luxembourg </w:t>
      </w:r>
      <w:r w:rsidRPr="65D46FE3">
        <w:rPr>
          <w:rFonts w:ascii="BLK Fort" w:hAnsi="BLK Fort" w:cs="Arial"/>
          <w:sz w:val="20"/>
        </w:rPr>
        <w:t xml:space="preserve">allowed funds </w:t>
      </w:r>
      <w:r>
        <w:rPr>
          <w:rFonts w:ascii="BLK Fort" w:hAnsi="BLK Fort" w:cs="Arial"/>
          <w:bCs/>
          <w:sz w:val="20"/>
        </w:rPr>
        <w:t xml:space="preserve">to create side pockets through either physical segregation i.e. creation of a new fund, or accounting segregation i.e. a new share class. </w:t>
      </w:r>
      <w:r w:rsidRPr="65D46FE3">
        <w:rPr>
          <w:rFonts w:ascii="BLK Fort" w:hAnsi="BLK Fort" w:cs="Arial"/>
          <w:sz w:val="20"/>
        </w:rPr>
        <w:t xml:space="preserve">This approach was also taken up outside the EU, by the UK’s FCA for UK domiciled funds. </w:t>
      </w:r>
      <w:r>
        <w:rPr>
          <w:rFonts w:ascii="BLK Fort" w:hAnsi="BLK Fort" w:cs="Arial"/>
          <w:bCs/>
          <w:sz w:val="20"/>
        </w:rPr>
        <w:t xml:space="preserve">However, the CBI did not allow for as much flexibility and so Irish domiciled funds were not permitted to </w:t>
      </w:r>
      <w:r w:rsidRPr="65D46FE3">
        <w:rPr>
          <w:rFonts w:ascii="BLK Fort" w:hAnsi="BLK Fort" w:cs="Arial"/>
          <w:sz w:val="20"/>
        </w:rPr>
        <w:t xml:space="preserve">put in place </w:t>
      </w:r>
      <w:r>
        <w:rPr>
          <w:rFonts w:ascii="BLK Fort" w:hAnsi="BLK Fort" w:cs="Arial"/>
          <w:bCs/>
          <w:sz w:val="20"/>
        </w:rPr>
        <w:t xml:space="preserve">accounting segregation, only physical segregation. </w:t>
      </w:r>
    </w:p>
    <w:p w14:paraId="1EDCCF51" w14:textId="77777777" w:rsidR="005864FB" w:rsidRDefault="005864FB" w:rsidP="005864FB">
      <w:pPr>
        <w:rPr>
          <w:rFonts w:ascii="BLK Fort" w:hAnsi="BLK Fort" w:cs="Arial"/>
          <w:bCs/>
          <w:sz w:val="20"/>
        </w:rPr>
      </w:pPr>
      <w:r>
        <w:rPr>
          <w:rFonts w:ascii="BLK Fort" w:hAnsi="BLK Fort" w:cs="Arial"/>
          <w:bCs/>
          <w:sz w:val="20"/>
        </w:rPr>
        <w:lastRenderedPageBreak/>
        <w:t>Physical segregation is a costly process given the requirements to develop a new prospectus and all the administrative and legal costs that go with setting up a new fund,</w:t>
      </w:r>
      <w:r w:rsidRPr="65D46FE3">
        <w:rPr>
          <w:rFonts w:ascii="BLK Fort" w:hAnsi="BLK Fort" w:cs="Arial"/>
          <w:sz w:val="20"/>
        </w:rPr>
        <w:t xml:space="preserve"> including the set-up of new custody accounts for the fund</w:t>
      </w:r>
      <w:r>
        <w:rPr>
          <w:rFonts w:ascii="BLK Fort" w:hAnsi="BLK Fort" w:cs="Arial"/>
          <w:sz w:val="20"/>
        </w:rPr>
        <w:t>.</w:t>
      </w:r>
      <w:r w:rsidRPr="65D46FE3">
        <w:rPr>
          <w:rFonts w:ascii="BLK Fort" w:hAnsi="BLK Fort" w:cs="Arial"/>
          <w:sz w:val="20"/>
        </w:rPr>
        <w:t xml:space="preserve"> </w:t>
      </w:r>
      <w:r>
        <w:rPr>
          <w:rFonts w:ascii="BLK Fort" w:hAnsi="BLK Fort" w:cs="Arial"/>
          <w:sz w:val="20"/>
        </w:rPr>
        <w:t>I</w:t>
      </w:r>
      <w:r w:rsidRPr="65D46FE3">
        <w:rPr>
          <w:rFonts w:ascii="BLK Fort" w:hAnsi="BLK Fort" w:cs="Arial"/>
          <w:sz w:val="20"/>
        </w:rPr>
        <w:t xml:space="preserve">n several non-EU countries </w:t>
      </w:r>
      <w:r>
        <w:rPr>
          <w:rFonts w:ascii="BLK Fort" w:hAnsi="BLK Fort" w:cs="Arial"/>
          <w:sz w:val="20"/>
        </w:rPr>
        <w:t xml:space="preserve">this </w:t>
      </w:r>
      <w:r w:rsidRPr="65D46FE3">
        <w:rPr>
          <w:rFonts w:ascii="BLK Fort" w:hAnsi="BLK Fort" w:cs="Arial"/>
          <w:sz w:val="20"/>
        </w:rPr>
        <w:t>may be a time–consuming process and</w:t>
      </w:r>
      <w:r>
        <w:rPr>
          <w:rFonts w:ascii="BLK Fort" w:hAnsi="BLK Fort" w:cs="Arial"/>
          <w:sz w:val="20"/>
        </w:rPr>
        <w:t xml:space="preserve"> could</w:t>
      </w:r>
      <w:r w:rsidRPr="65D46FE3">
        <w:rPr>
          <w:rFonts w:ascii="BLK Fort" w:hAnsi="BLK Fort" w:cs="Arial"/>
          <w:sz w:val="20"/>
        </w:rPr>
        <w:t xml:space="preserve"> defeat the objective of taking decisive action to protect investors’ interests.</w:t>
      </w:r>
      <w:r>
        <w:rPr>
          <w:rFonts w:ascii="BLK Fort" w:hAnsi="BLK Fort" w:cs="Arial"/>
          <w:bCs/>
          <w:sz w:val="20"/>
        </w:rPr>
        <w:t xml:space="preserve"> In practice, the hurdles associated with physical segregation, combined with the fact that accounting segregation was not permitted, mean that no Irish domiciled fund has successfully created a side pocket. In Luxembourg, both options are allowed. </w:t>
      </w:r>
    </w:p>
    <w:p w14:paraId="3BBEA373" w14:textId="52BF0A29" w:rsidR="00DA4F15" w:rsidRDefault="00DA4F15" w:rsidP="00DA4F15">
      <w:r>
        <w:t>&lt;ESMA_QUESTION_SLMT_42&gt;</w:t>
      </w:r>
    </w:p>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5499040B" w14:textId="77777777" w:rsidR="005864FB" w:rsidRDefault="005864FB" w:rsidP="005864FB">
      <w:pPr>
        <w:rPr>
          <w:rFonts w:ascii="BLK Fort" w:hAnsi="BLK Fort" w:cs="Arial"/>
          <w:bCs/>
          <w:sz w:val="20"/>
        </w:rPr>
      </w:pPr>
      <w:r>
        <w:rPr>
          <w:rFonts w:ascii="BLK Fort" w:hAnsi="BLK Fort" w:cs="Arial"/>
          <w:bCs/>
          <w:sz w:val="20"/>
        </w:rPr>
        <w:t xml:space="preserve">Yes, in our experience side pockets tend to be managed with a view to liquidating them down the line. However, the crucial point is that it must remain at the discretion of the manager </w:t>
      </w:r>
      <w:r w:rsidRPr="00BD2774">
        <w:rPr>
          <w:rFonts w:ascii="BLK Fort" w:hAnsi="BLK Fort" w:cs="Arial"/>
          <w:b/>
          <w:sz w:val="20"/>
          <w:u w:val="single"/>
        </w:rPr>
        <w:t>when</w:t>
      </w:r>
      <w:r>
        <w:rPr>
          <w:rFonts w:ascii="BLK Fort" w:hAnsi="BLK Fort" w:cs="Arial"/>
          <w:bCs/>
          <w:sz w:val="20"/>
        </w:rPr>
        <w:t xml:space="preserve"> the liquidation should take place. That decision will be based on an assessment of what is best for the original investors.</w:t>
      </w:r>
    </w:p>
    <w:p w14:paraId="757D4BC3" w14:textId="77777777" w:rsidR="005864FB" w:rsidRDefault="005864FB" w:rsidP="005864FB">
      <w:pPr>
        <w:rPr>
          <w:rFonts w:ascii="BLK Fort" w:hAnsi="BLK Fort" w:cs="Arial"/>
          <w:bCs/>
          <w:sz w:val="20"/>
        </w:rPr>
      </w:pPr>
      <w:r>
        <w:rPr>
          <w:rFonts w:ascii="BLK Fort" w:hAnsi="BLK Fort" w:cs="Arial"/>
          <w:bCs/>
          <w:sz w:val="20"/>
        </w:rPr>
        <w:t xml:space="preserve">If the assets are valued at zero when the side pocket is created, there may come a time when the value of those assets begins to rise again (see some possible scenarios below). The assets will ultimately be sold at a point determined by the manager (e.g. when they regain X% of their value or even when they generate X% return). The proceeds should then be distributed on a pro-rata basis to the shareholders of the side pocket. </w:t>
      </w:r>
    </w:p>
    <w:p w14:paraId="6ED71AFD" w14:textId="77777777" w:rsidR="005864FB" w:rsidRDefault="005864FB" w:rsidP="005864FB">
      <w:pPr>
        <w:rPr>
          <w:rFonts w:ascii="BLK Fort" w:hAnsi="BLK Fort" w:cs="Arial"/>
          <w:bCs/>
          <w:sz w:val="20"/>
        </w:rPr>
      </w:pPr>
      <w:r>
        <w:rPr>
          <w:rFonts w:ascii="BLK Fort" w:hAnsi="BLK Fort" w:cs="Arial"/>
          <w:bCs/>
          <w:sz w:val="20"/>
        </w:rPr>
        <w:t>Those assets should not be reintegrated into the original fund because the ownership of that initial fund will likely have changed significantly since the side pocket was created, so the wrong investors would profit from the reintegration of the assets. In theory, the original fund could repurchase the side pocket assets, but given their questionable history they are unlikely to be seen as attractive,</w:t>
      </w:r>
      <w:r w:rsidRPr="65D46FE3">
        <w:rPr>
          <w:rFonts w:ascii="BLK Fort" w:hAnsi="BLK Fort" w:cs="Arial"/>
          <w:sz w:val="20"/>
        </w:rPr>
        <w:t xml:space="preserve"> or indeed UCITS eligible assets. </w:t>
      </w:r>
    </w:p>
    <w:p w14:paraId="463C380A" w14:textId="77777777" w:rsidR="005864FB" w:rsidRDefault="005864FB" w:rsidP="005864FB">
      <w:pPr>
        <w:rPr>
          <w:rFonts w:ascii="BLK Fort" w:hAnsi="BLK Fort" w:cs="Arial"/>
          <w:bCs/>
          <w:sz w:val="20"/>
        </w:rPr>
      </w:pPr>
      <w:r>
        <w:rPr>
          <w:rFonts w:ascii="BLK Fort" w:hAnsi="BLK Fort" w:cs="Arial"/>
          <w:bCs/>
          <w:sz w:val="20"/>
        </w:rPr>
        <w:t>Instances where side pocket assets may regain some value:</w:t>
      </w:r>
    </w:p>
    <w:p w14:paraId="0F3EA7CF" w14:textId="77777777" w:rsidR="005864FB" w:rsidRDefault="005864FB" w:rsidP="005864FB">
      <w:pPr>
        <w:pStyle w:val="ListParagraph"/>
        <w:numPr>
          <w:ilvl w:val="0"/>
          <w:numId w:val="16"/>
        </w:numPr>
        <w:spacing w:after="0" w:line="240" w:lineRule="auto"/>
        <w:contextualSpacing/>
        <w:rPr>
          <w:rFonts w:ascii="BLK Fort" w:hAnsi="BLK Fort" w:cs="Arial"/>
          <w:bCs/>
          <w:sz w:val="20"/>
          <w:szCs w:val="20"/>
        </w:rPr>
      </w:pPr>
      <w:r w:rsidRPr="00EC4745">
        <w:rPr>
          <w:rFonts w:ascii="BLK Fort" w:hAnsi="BLK Fort" w:cs="Arial"/>
          <w:b/>
          <w:sz w:val="20"/>
          <w:szCs w:val="20"/>
        </w:rPr>
        <w:t>Sanctions:</w:t>
      </w:r>
      <w:r>
        <w:rPr>
          <w:rFonts w:ascii="BLK Fort" w:hAnsi="BLK Fort" w:cs="Arial"/>
          <w:bCs/>
          <w:sz w:val="20"/>
          <w:szCs w:val="20"/>
        </w:rPr>
        <w:t xml:space="preserve"> W</w:t>
      </w:r>
      <w:r w:rsidRPr="00EC4745">
        <w:rPr>
          <w:rFonts w:ascii="BLK Fort" w:hAnsi="BLK Fort" w:cs="Arial"/>
          <w:bCs/>
          <w:sz w:val="20"/>
          <w:szCs w:val="20"/>
        </w:rPr>
        <w:t>hile some fund managers may ultimately decide to close funds with exposures (where sanctioned securities account for a majority of fund assets, and it becomes unviable to continue managing the remaining exposure) we believe that side pockets should allow end-investors continued liquidity in non-sanctioned assets, while protecting them from speculative trading into the fund. Managers should also preserve the possibility of future returns if and when trading resumes in impacted assets.</w:t>
      </w:r>
    </w:p>
    <w:p w14:paraId="3DB929C0" w14:textId="4B6AD536" w:rsidR="005864FB" w:rsidRDefault="005864FB" w:rsidP="00DA4F15">
      <w:pPr>
        <w:pStyle w:val="ListParagraph"/>
        <w:numPr>
          <w:ilvl w:val="0"/>
          <w:numId w:val="16"/>
        </w:numPr>
        <w:spacing w:after="0" w:line="240" w:lineRule="auto"/>
        <w:contextualSpacing/>
        <w:rPr>
          <w:rFonts w:ascii="BLK Fort" w:hAnsi="BLK Fort" w:cs="Arial"/>
          <w:bCs/>
          <w:sz w:val="20"/>
          <w:szCs w:val="20"/>
        </w:rPr>
      </w:pPr>
      <w:r>
        <w:rPr>
          <w:rFonts w:ascii="BLK Fort" w:hAnsi="BLK Fort" w:cs="Arial"/>
          <w:b/>
          <w:sz w:val="20"/>
          <w:szCs w:val="20"/>
        </w:rPr>
        <w:t>Change of company status:</w:t>
      </w:r>
      <w:r>
        <w:rPr>
          <w:rFonts w:ascii="BLK Fort" w:hAnsi="BLK Fort" w:cs="Arial"/>
          <w:bCs/>
          <w:sz w:val="20"/>
          <w:szCs w:val="20"/>
        </w:rPr>
        <w:t xml:space="preserve"> T</w:t>
      </w:r>
      <w:r w:rsidRPr="005949B6">
        <w:rPr>
          <w:rFonts w:ascii="BLK Fort" w:hAnsi="BLK Fort" w:cs="Arial"/>
          <w:bCs/>
          <w:sz w:val="20"/>
          <w:szCs w:val="20"/>
        </w:rPr>
        <w:t xml:space="preserve">he legal or economic status of companies’ debt instruments could also change. For example, Chapter 11 of the US Bankruptcy Code allows businesses to restructure their finances and operations while remaining in business. It is not </w:t>
      </w:r>
      <w:r w:rsidRPr="005949B6">
        <w:rPr>
          <w:rFonts w:ascii="BLK Fort" w:hAnsi="BLK Fort" w:cs="Arial"/>
          <w:bCs/>
          <w:sz w:val="20"/>
          <w:szCs w:val="20"/>
        </w:rPr>
        <w:lastRenderedPageBreak/>
        <w:t>uncommon for these companies’ debt instruments, having been valued at zero and possibly side-pocketed, to restructure and re-emerge with a decent value.</w:t>
      </w:r>
    </w:p>
    <w:p w14:paraId="11F4FDE6" w14:textId="77777777" w:rsidR="005864FB" w:rsidRPr="005864FB" w:rsidRDefault="005864FB" w:rsidP="005864FB">
      <w:pPr>
        <w:pStyle w:val="ListParagraph"/>
        <w:numPr>
          <w:ilvl w:val="0"/>
          <w:numId w:val="0"/>
        </w:numPr>
        <w:spacing w:after="0" w:line="240" w:lineRule="auto"/>
        <w:ind w:left="720"/>
        <w:contextualSpacing/>
        <w:rPr>
          <w:rFonts w:ascii="BLK Fort" w:hAnsi="BLK Fort" w:cs="Arial"/>
          <w:bCs/>
          <w:sz w:val="20"/>
          <w:szCs w:val="20"/>
        </w:rPr>
      </w:pPr>
    </w:p>
    <w:p w14:paraId="4C737CA9" w14:textId="455E6E6C" w:rsidR="00DA4F15" w:rsidRDefault="00DA4F15" w:rsidP="00DA4F15">
      <w:r>
        <w:t>&lt;ESMA_QUESTION_SLMT_43&gt;</w:t>
      </w:r>
    </w:p>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37CFFBE8" w14:textId="77777777" w:rsidR="005864FB" w:rsidRPr="005864FB" w:rsidRDefault="005864FB" w:rsidP="005864FB">
      <w:pPr>
        <w:rPr>
          <w:rFonts w:ascii="BLK Fort" w:hAnsi="BLK Fort" w:cs="Arial"/>
          <w:bCs/>
          <w:color w:val="auto"/>
          <w:sz w:val="20"/>
        </w:rPr>
      </w:pPr>
      <w:r w:rsidRPr="005864FB">
        <w:rPr>
          <w:rFonts w:ascii="BLK Fort" w:hAnsi="BLK Fort" w:cs="Arial"/>
          <w:bCs/>
          <w:color w:val="auto"/>
          <w:sz w:val="20"/>
        </w:rPr>
        <w:t xml:space="preserve">BlackRock supports the creation of these RTS and agrees they should help move towards a more harmonised and uniform application of the legislation by </w:t>
      </w:r>
      <w:proofErr w:type="spellStart"/>
      <w:r w:rsidRPr="005864FB">
        <w:rPr>
          <w:rFonts w:ascii="BLK Fort" w:hAnsi="BLK Fort" w:cs="Arial"/>
          <w:bCs/>
          <w:color w:val="auto"/>
          <w:sz w:val="20"/>
        </w:rPr>
        <w:t>ManCos</w:t>
      </w:r>
      <w:proofErr w:type="spellEnd"/>
      <w:r w:rsidRPr="005864FB">
        <w:rPr>
          <w:rFonts w:ascii="BLK Fort" w:hAnsi="BLK Fort" w:cs="Arial"/>
          <w:bCs/>
          <w:color w:val="auto"/>
          <w:sz w:val="20"/>
        </w:rPr>
        <w:t xml:space="preserve"> and supervisory convergence between NCAs. However, we would still urge ESMA to allow for a degree of flexibility in the application of tools to enable managers to respond to market dynamics, and to avoid the risk of unintended consequences from an overly prescriptive approach. </w:t>
      </w:r>
    </w:p>
    <w:p w14:paraId="673A91E3" w14:textId="7D3DC293" w:rsidR="00DA4F15" w:rsidRDefault="00DA4F15" w:rsidP="00DA4F15">
      <w:r>
        <w:t>&lt;ESMA_QUESTION_SLMT_44&gt;</w:t>
      </w:r>
    </w:p>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66B37A0B" w14:textId="77777777" w:rsidR="005864FB" w:rsidRPr="005864FB" w:rsidRDefault="005864FB" w:rsidP="005864FB">
      <w:pPr>
        <w:rPr>
          <w:rFonts w:ascii="BLK Fort" w:hAnsi="BLK Fort" w:cs="Arial"/>
          <w:bCs/>
          <w:color w:val="auto"/>
          <w:sz w:val="20"/>
        </w:rPr>
      </w:pPr>
      <w:r w:rsidRPr="005864FB">
        <w:rPr>
          <w:rFonts w:ascii="BLK Fort" w:hAnsi="BLK Fort" w:cs="Arial"/>
          <w:bCs/>
          <w:color w:val="auto"/>
          <w:sz w:val="20"/>
        </w:rPr>
        <w:t xml:space="preserve">No. </w:t>
      </w:r>
    </w:p>
    <w:p w14:paraId="663FFB77" w14:textId="55C18CA7" w:rsidR="00DA4F15" w:rsidRDefault="00DA4F15" w:rsidP="00DA4F15">
      <w:r>
        <w:t>&lt;ESMA_QUESTION_SLMT_45&gt;</w:t>
      </w:r>
    </w:p>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4DCEB43C" w14:textId="19CCC20F" w:rsidR="005864FB" w:rsidRPr="005864FB" w:rsidRDefault="005864FB" w:rsidP="005864FB">
      <w:pPr>
        <w:rPr>
          <w:rFonts w:ascii="BLK Fort" w:hAnsi="BLK Fort" w:cs="Arial"/>
          <w:bCs/>
          <w:color w:val="auto"/>
          <w:sz w:val="20"/>
        </w:rPr>
      </w:pPr>
      <w:r w:rsidRPr="005864FB">
        <w:rPr>
          <w:rFonts w:ascii="BLK Fort" w:hAnsi="BLK Fort" w:cs="Arial"/>
          <w:bCs/>
          <w:color w:val="auto"/>
          <w:sz w:val="20"/>
        </w:rPr>
        <w:t xml:space="preserve">BlackRock supports the creation of these RTS and agrees they should help move towards a more harmonised and uniform application of the legislation by </w:t>
      </w:r>
      <w:proofErr w:type="spellStart"/>
      <w:r w:rsidRPr="005864FB">
        <w:rPr>
          <w:rFonts w:ascii="BLK Fort" w:hAnsi="BLK Fort" w:cs="Arial"/>
          <w:bCs/>
          <w:color w:val="auto"/>
          <w:sz w:val="20"/>
        </w:rPr>
        <w:t>ManCos</w:t>
      </w:r>
      <w:proofErr w:type="spellEnd"/>
      <w:r w:rsidRPr="005864FB">
        <w:rPr>
          <w:rFonts w:ascii="BLK Fort" w:hAnsi="BLK Fort" w:cs="Arial"/>
          <w:bCs/>
          <w:color w:val="auto"/>
          <w:sz w:val="20"/>
        </w:rPr>
        <w:t xml:space="preserve"> and supervisory convergence between NCAs. However, we would still urge ESMA to allow for a degree of flexibility in the application of tools to enable managers to respond to market dynamics, and to avoid the risk of unintended consequences from an overly prescriptive approach. </w:t>
      </w:r>
    </w:p>
    <w:p w14:paraId="29D9EE93" w14:textId="5F3D826E" w:rsidR="00DA4F15" w:rsidRDefault="00DA4F15" w:rsidP="00DA4F15">
      <w:r>
        <w:t>&lt;ESMA_QUESTION_SLMT_46&gt;</w:t>
      </w:r>
    </w:p>
    <w:p w14:paraId="28A24316" w14:textId="77777777" w:rsidR="00DA4F15" w:rsidRDefault="00DA4F15" w:rsidP="00DA4F15">
      <w:pPr>
        <w:pStyle w:val="Questionstyle"/>
        <w:numPr>
          <w:ilvl w:val="0"/>
          <w:numId w:val="14"/>
        </w:numPr>
        <w:tabs>
          <w:tab w:val="clear" w:pos="567"/>
        </w:tabs>
        <w:spacing w:after="240" w:line="256" w:lineRule="auto"/>
        <w:ind w:left="851" w:hanging="851"/>
      </w:pPr>
      <w:r>
        <w:lastRenderedPageBreak/>
        <w:t>Is there any ESG and innovation-related aspects that ESMA should consider when drafting the RTS under the AIFMD?</w:t>
      </w:r>
    </w:p>
    <w:p w14:paraId="73F479FB" w14:textId="77777777" w:rsidR="00DA4F15" w:rsidRDefault="00DA4F15" w:rsidP="00DA4F15">
      <w:r>
        <w:t>&lt;ESMA_QUESTION_SLMT_47&gt;</w:t>
      </w:r>
    </w:p>
    <w:p w14:paraId="73169F0B" w14:textId="77777777" w:rsidR="005864FB" w:rsidRPr="005864FB" w:rsidRDefault="005864FB" w:rsidP="005864FB">
      <w:pPr>
        <w:rPr>
          <w:rFonts w:ascii="BLK Fort" w:hAnsi="BLK Fort" w:cs="Arial"/>
          <w:bCs/>
          <w:color w:val="auto"/>
          <w:sz w:val="20"/>
        </w:rPr>
      </w:pPr>
      <w:r w:rsidRPr="005864FB">
        <w:rPr>
          <w:rFonts w:ascii="BLK Fort" w:hAnsi="BLK Fort" w:cs="Arial"/>
          <w:bCs/>
          <w:color w:val="auto"/>
          <w:sz w:val="20"/>
        </w:rPr>
        <w:t xml:space="preserve">No. </w:t>
      </w:r>
    </w:p>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4D76" w14:textId="77777777" w:rsidR="00327DA2" w:rsidRDefault="00327DA2" w:rsidP="007E7997">
      <w:pPr>
        <w:spacing w:line="240" w:lineRule="auto"/>
      </w:pPr>
      <w:r>
        <w:separator/>
      </w:r>
    </w:p>
  </w:endnote>
  <w:endnote w:type="continuationSeparator" w:id="0">
    <w:p w14:paraId="455DE970" w14:textId="77777777" w:rsidR="00327DA2" w:rsidRDefault="00327DA2" w:rsidP="007E7997">
      <w:pPr>
        <w:spacing w:line="240" w:lineRule="auto"/>
      </w:pPr>
      <w:r>
        <w:continuationSeparator/>
      </w:r>
    </w:p>
  </w:endnote>
  <w:endnote w:type="continuationNotice" w:id="1">
    <w:p w14:paraId="7F38C61F" w14:textId="77777777" w:rsidR="00327DA2" w:rsidRDefault="00327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LK Fort">
    <w:altName w:val="Cambria"/>
    <w:panose1 w:val="020B0503030202060203"/>
    <w:charset w:val="00"/>
    <w:family w:val="swiss"/>
    <w:pitch w:val="variable"/>
    <w:sig w:usb0="00000007" w:usb1="10000001"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0A23" w14:textId="77777777" w:rsidR="00A36C1A" w:rsidRDefault="00A36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44B8" w14:textId="77777777" w:rsidR="00A36C1A" w:rsidRDefault="00A36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2CCD" w14:textId="77777777" w:rsidR="00A36C1A" w:rsidRDefault="00A36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CC58A" w14:textId="77777777" w:rsidR="00327DA2" w:rsidRDefault="00327DA2" w:rsidP="007E7997">
      <w:pPr>
        <w:spacing w:line="240" w:lineRule="auto"/>
      </w:pPr>
      <w:r>
        <w:separator/>
      </w:r>
    </w:p>
  </w:footnote>
  <w:footnote w:type="continuationSeparator" w:id="0">
    <w:p w14:paraId="315A0384" w14:textId="77777777" w:rsidR="00327DA2" w:rsidRDefault="00327DA2" w:rsidP="007E7997">
      <w:pPr>
        <w:spacing w:line="240" w:lineRule="auto"/>
      </w:pPr>
      <w:r>
        <w:continuationSeparator/>
      </w:r>
    </w:p>
  </w:footnote>
  <w:footnote w:type="continuationNotice" w:id="1">
    <w:p w14:paraId="3B25FF94" w14:textId="77777777" w:rsidR="00327DA2" w:rsidRDefault="00327DA2">
      <w:pPr>
        <w:spacing w:after="0" w:line="240" w:lineRule="auto"/>
      </w:pPr>
    </w:p>
  </w:footnote>
  <w:footnote w:id="2">
    <w:p w14:paraId="54499DE5" w14:textId="77777777" w:rsidR="0040589B" w:rsidRDefault="0040589B" w:rsidP="0040589B">
      <w:pPr>
        <w:pStyle w:val="FootnoteText"/>
      </w:pPr>
      <w:r>
        <w:rPr>
          <w:rStyle w:val="FootnoteReference"/>
        </w:rPr>
        <w:footnoteRef/>
      </w:r>
      <w:r>
        <w:t xml:space="preserve"> </w:t>
      </w:r>
      <w:hyperlink r:id="rId1" w:history="1">
        <w:r w:rsidRPr="001E632C">
          <w:rPr>
            <w:rStyle w:val="Hyperlink"/>
            <w:rFonts w:ascii="BLK Fort" w:hAnsi="BLK Fort" w:cs="Arial"/>
          </w:rPr>
          <w:t>https://www.blackrock.com/corporate/literature/whitepaper/spotlight-swing-pricing-raising-the-bar-september-2021.pdf</w:t>
        </w:r>
      </w:hyperlink>
      <w:r>
        <w:rPr>
          <w:rFonts w:ascii="BLK Fort" w:hAnsi="BLK Fort" w:cs="Arial"/>
        </w:rPr>
        <w:t xml:space="preserve"> </w:t>
      </w:r>
    </w:p>
  </w:footnote>
  <w:footnote w:id="3">
    <w:p w14:paraId="616C2872" w14:textId="77777777" w:rsidR="0040589B" w:rsidRPr="001E632C" w:rsidRDefault="0040589B" w:rsidP="0040589B">
      <w:pPr>
        <w:pStyle w:val="FootnoteText"/>
        <w:rPr>
          <w:rFonts w:ascii="BLK Fort" w:hAnsi="BLK Fort"/>
        </w:rPr>
      </w:pPr>
      <w:r w:rsidRPr="001E632C">
        <w:rPr>
          <w:rStyle w:val="FootnoteReference"/>
          <w:rFonts w:ascii="BLK Fort" w:hAnsi="BLK Fort"/>
        </w:rPr>
        <w:footnoteRef/>
      </w:r>
      <w:r w:rsidRPr="001E632C">
        <w:rPr>
          <w:rFonts w:ascii="BLK Fort" w:hAnsi="BLK Fort"/>
        </w:rPr>
        <w:t xml:space="preserve"> </w:t>
      </w:r>
      <w:hyperlink r:id="rId2" w:history="1">
        <w:r w:rsidRPr="001E632C">
          <w:rPr>
            <w:rStyle w:val="Hyperlink"/>
            <w:rFonts w:ascii="BLK Fort" w:hAnsi="BLK Fort"/>
          </w:rPr>
          <w:t>https://www.fsb.org/wp-content/uploads/P201223-1.pdf</w:t>
        </w:r>
      </w:hyperlink>
      <w:r w:rsidRPr="001E632C">
        <w:rPr>
          <w:rFonts w:ascii="BLK Fort" w:hAnsi="BLK Fort"/>
        </w:rPr>
        <w:t xml:space="preserve"> </w:t>
      </w:r>
    </w:p>
  </w:footnote>
  <w:footnote w:id="4">
    <w:p w14:paraId="269A9E6B" w14:textId="77777777" w:rsidR="0040589B" w:rsidRPr="006F53C6" w:rsidRDefault="0040589B" w:rsidP="0040589B">
      <w:pPr>
        <w:pStyle w:val="FootnoteText"/>
        <w:rPr>
          <w:rFonts w:ascii="BLK Fort" w:hAnsi="BLK Fort"/>
        </w:rPr>
      </w:pPr>
      <w:r w:rsidRPr="001E632C">
        <w:rPr>
          <w:rStyle w:val="FootnoteReference"/>
          <w:rFonts w:ascii="BLK Fort" w:hAnsi="BLK Fort"/>
        </w:rPr>
        <w:footnoteRef/>
      </w:r>
      <w:r w:rsidRPr="001E632C">
        <w:rPr>
          <w:rFonts w:ascii="BLK Fort" w:hAnsi="BLK Fort"/>
        </w:rPr>
        <w:t xml:space="preserve"> </w:t>
      </w:r>
      <w:hyperlink r:id="rId3" w:history="1">
        <w:r w:rsidRPr="001E632C">
          <w:rPr>
            <w:rStyle w:val="Hyperlink"/>
            <w:rFonts w:ascii="BLK Fort" w:hAnsi="BLK Fort"/>
          </w:rPr>
          <w:t>https://www.iosco.org/library/pubdocs/pdf/IOSCOPD682.pdf</w:t>
        </w:r>
      </w:hyperlink>
      <w:r>
        <w:rPr>
          <w:rFonts w:ascii="BLK Fort" w:hAnsi="BLK For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7322" w14:textId="77777777" w:rsidR="00A36C1A" w:rsidRDefault="00A36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4AE4" w14:textId="77777777" w:rsidR="00A36C1A" w:rsidRDefault="00A36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2B7BAB5B"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Header"/>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6BD4F6A"/>
    <w:multiLevelType w:val="hybridMultilevel"/>
    <w:tmpl w:val="92DC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2"/>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3"/>
  </w:num>
  <w:num w:numId="8" w16cid:durableId="2063743978">
    <w:abstractNumId w:val="2"/>
  </w:num>
  <w:num w:numId="9" w16cid:durableId="1378703109">
    <w:abstractNumId w:val="11"/>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22927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0F9"/>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27DA2"/>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589B"/>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4FB"/>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23C"/>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1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2AD7"/>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2E0"/>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8"/>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nhideWhenUsed/>
    <w:qFormat/>
    <w:rsid w:val="007A1A9D"/>
    <w:pPr>
      <w:spacing w:after="0" w:line="240" w:lineRule="auto"/>
    </w:pPr>
    <w:rPr>
      <w:sz w:val="16"/>
    </w:rPr>
  </w:style>
  <w:style w:type="character" w:customStyle="1" w:styleId="FootnoteTextChar">
    <w:name w:val="Footnote Text Char"/>
    <w:basedOn w:val="DefaultParagraphFont"/>
    <w:link w:val="FootnoteText"/>
    <w:rsid w:val="007A1A9D"/>
    <w:rPr>
      <w:color w:val="181818" w:themeColor="background1" w:themeShade="1A"/>
      <w:sz w:val="16"/>
      <w:lang w:val="en-GB"/>
    </w:rPr>
  </w:style>
  <w:style w:type="character" w:styleId="FootnoteReference">
    <w:name w:val="footnote reference"/>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sma.europa.eu/press-news/consultations/consultation-liquidity-management-tools-funds"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about-esma/data-protection"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sma.europa.eu"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osco.org/library/pubdocs/pdf/IOSCOPD682.pdf" TargetMode="External"/><Relationship Id="rId2" Type="http://schemas.openxmlformats.org/officeDocument/2006/relationships/hyperlink" Target="https://www.fsb.org/wp-content/uploads/P201223-1.pdf" TargetMode="External"/><Relationship Id="rId1" Type="http://schemas.openxmlformats.org/officeDocument/2006/relationships/hyperlink" Target="https://www.blackrock.com/corporate/literature/whitepaper/spotlight-swing-pricing-raising-the-bar-september-2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LK Fort">
    <w:altName w:val="Cambria"/>
    <w:panose1 w:val="020B0503030202060203"/>
    <w:charset w:val="00"/>
    <w:family w:val="swiss"/>
    <w:pitch w:val="variable"/>
    <w:sig w:usb0="00000007" w:usb1="10000001" w:usb2="00000000" w:usb3="00000000" w:csb0="00000093"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F71C9"/>
    <w:rsid w:val="003130F9"/>
    <w:rsid w:val="003C3A27"/>
    <w:rsid w:val="003E2607"/>
    <w:rsid w:val="004E4CF9"/>
    <w:rsid w:val="00586BE6"/>
    <w:rsid w:val="00747575"/>
    <w:rsid w:val="00775480"/>
    <w:rsid w:val="00782F18"/>
    <w:rsid w:val="00813189"/>
    <w:rsid w:val="008222A0"/>
    <w:rsid w:val="00836D47"/>
    <w:rsid w:val="0087748B"/>
    <w:rsid w:val="00967557"/>
    <w:rsid w:val="00993561"/>
    <w:rsid w:val="00996016"/>
    <w:rsid w:val="009B6B9C"/>
    <w:rsid w:val="009C794D"/>
    <w:rsid w:val="00A408D7"/>
    <w:rsid w:val="00AC6273"/>
    <w:rsid w:val="00B22006"/>
    <w:rsid w:val="00C336E8"/>
    <w:rsid w:val="00C62AD7"/>
    <w:rsid w:val="00CB7EFD"/>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7186</Words>
  <Characters>40962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Uwaifo, Georgina</cp:lastModifiedBy>
  <cp:revision>2</cp:revision>
  <cp:lastPrinted>2023-09-09T09:53:00Z</cp:lastPrinted>
  <dcterms:created xsi:type="dcterms:W3CDTF">2024-10-08T18:26:00Z</dcterms:created>
  <dcterms:modified xsi:type="dcterms:W3CDTF">2024-10-08T18:26:00Z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