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cstheme="minorBidi"/>
          <w:b w:val="0"/>
          <w:color w:val="181818" w:themeColor="background1" w:themeShade="1A"/>
          <w:spacing w:val="0"/>
          <w:sz w:val="28"/>
          <w:szCs w:val="28"/>
        </w:rPr>
        <w:id w:val="-973058580"/>
        <w:docPartObj>
          <w:docPartGallery w:val="Cover Pages"/>
          <w:docPartUnique/>
        </w:docPartObj>
      </w:sdtPr>
      <w:sdtEndPr/>
      <w:sdtContent>
        <w:p w14:paraId="01438AE1" w14:textId="19FC5ED4" w:rsidR="00563C1F" w:rsidRDefault="00EC6066" w:rsidP="00F72D28">
          <w:pPr>
            <w:pStyle w:val="Title"/>
          </w:pPr>
          <w:r>
            <w:t>Reply form</w:t>
          </w:r>
        </w:p>
        <w:p w14:paraId="031F2108" w14:textId="110ECC8C" w:rsidR="007E7997" w:rsidRDefault="00D77369" w:rsidP="00D77369">
          <w:pPr>
            <w:pStyle w:val="Subtitle"/>
            <w:rPr>
              <w:rFonts w:cs="Arial"/>
            </w:rPr>
          </w:pPr>
          <w:r>
            <w:rPr>
              <w:noProof/>
            </w:rPr>
            <mc:AlternateContent>
              <mc:Choice Requires="wps">
                <w:drawing>
                  <wp:anchor distT="0" distB="0" distL="114300" distR="114300" simplePos="0" relativeHeight="251658240" behindDoc="1" locked="1" layoutInCell="1" allowOverlap="0" wp14:anchorId="72CBE987" wp14:editId="6871B0D2">
                    <wp:simplePos x="0" y="0"/>
                    <wp:positionH relativeFrom="margin">
                      <wp:posOffset>-981075</wp:posOffset>
                    </wp:positionH>
                    <wp:positionV relativeFrom="paragraph">
                      <wp:posOffset>253365</wp:posOffset>
                    </wp:positionV>
                    <wp:extent cx="7570470" cy="9777095"/>
                    <wp:effectExtent l="0" t="0" r="0" b="0"/>
                    <wp:wrapNone/>
                    <wp:docPr id="1" name="Freeform: Shape 1"/>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1"/>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2A260" id="Freeform: Shape 1" o:spid="_x0000_s1026" style="position:absolute;margin-left:-77.25pt;margin-top:19.95pt;width:596.1pt;height:769.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CkHcxeMAAAANAQAADwAAAGRycy9kb3ducmV2Lnht&#10;bEyP0UrDMBSG7wXfIRzBG9nSOrsuXdMxBEEQhM0+QJbEJrNJSpNt9e09u5p353A+/v879WZyPTnr&#10;MdrgOeTzDIj2MijrOw7t19tsBSQm4ZXog9ccfnWETXN/V4tKhYvf6fM+dQRDfKwEB5PSUFEapdFO&#10;xHkYtMfbdxidSLiOHVWjuGC46+lzli2pE9ZjgxGDfjVa/uxPDntXuw8j4/v2Mzf2idlWsmMrOX98&#10;mLZrIElP6QbDVR/VoUGnQzh5FUnPYZYXLwWyHBaMAbkS2aIsgRxwKkq2BNrU9P8XzR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PtjbjusCQAAaEgAAA4AAAAAAAAA&#10;AAAAAAAAPQIAAGRycy9lMm9Eb2MueG1sUEsBAi0ACgAAAAAAAAAhAGXXrBjbcwEA23MBABQAAAAA&#10;AAAAAAAAAAAAFQwAAGRycy9tZWRpYS9pbWFnZTEuanBnUEsBAi0AFAAGAAgAAAAhAApB3MXjAAAA&#10;DQEAAA8AAAAAAAAAAAAAAAAAIoABAGRycy9kb3ducmV2LnhtbFBLAQItABQABgAIAAAAIQA3ncEY&#10;ugAAACEBAAAZAAAAAAAAAAAAAAAAADKBAQBkcnMvX3JlbHMvZTJvRG9jLnhtbC5yZWxzUEsFBgAA&#10;AAAGAAYAfAEAACOCAQAAAA==&#10;" o:allowoverlap="f" path="m2939613,926867c5038819,-714379,6826523,267027,7569200,545025r,2628099l7569200,9779055r,l,9779055r,l,3173124,2939613,926867xe" stroked="f" strokeweight="1pt">
                    <v:fill r:id="rId12" o:title="" recolor="t" rotate="t" type="frame"/>
                    <v:stroke joinstyle="miter"/>
                    <v:path arrowok="t" o:connecttype="custom" o:connectlocs="2940106,926681;7570470,544916;7570470,3172488;7570470,9777095;7570470,9777095;0,9777095;0,9777095;0,3172488;2940106,926681" o:connectangles="0,0,0,0,0,0,0,0,0"/>
                    <w10:wrap anchorx="margin"/>
                    <w10:anchorlock/>
                  </v:shape>
                </w:pict>
              </mc:Fallback>
            </mc:AlternateContent>
          </w:r>
          <w:r w:rsidR="008334D4">
            <w:rPr>
              <w:rFonts w:cs="Arial"/>
              <w:b/>
              <w:bCs/>
            </w:rPr>
            <w:t>On the</w:t>
          </w:r>
          <w:r w:rsidR="003E0240">
            <w:rPr>
              <w:rFonts w:cs="Arial"/>
              <w:b/>
              <w:bCs/>
            </w:rPr>
            <w:t xml:space="preserve"> </w:t>
          </w:r>
          <w:r w:rsidR="003E0240" w:rsidRPr="003E0240">
            <w:rPr>
              <w:rFonts w:cs="Arial"/>
              <w:b/>
              <w:bCs/>
            </w:rPr>
            <w:t>Regulatory Technical Standards on Liquidity Management Tools under the AIFMD and UCITS Directive</w:t>
          </w:r>
        </w:p>
        <w:p w14:paraId="5C42D2D2" w14:textId="77777777" w:rsidR="00D77369" w:rsidRDefault="00D77369" w:rsidP="00D77369"/>
        <w:p w14:paraId="0A9EB4DC" w14:textId="22E30420" w:rsidR="00D77369" w:rsidRPr="00D77369" w:rsidRDefault="00D77369" w:rsidP="00D77369">
          <w:pPr>
            <w:sectPr w:rsidR="00D77369" w:rsidRPr="00D77369" w:rsidSect="0043139E">
              <w:headerReference w:type="first" r:id="rId13"/>
              <w:pgSz w:w="11906" w:h="16838"/>
              <w:pgMar w:top="1417" w:right="1417" w:bottom="1417" w:left="1417" w:header="862" w:footer="708" w:gutter="0"/>
              <w:pgNumType w:start="0"/>
              <w:cols w:space="708"/>
              <w:titlePg/>
              <w:docGrid w:linePitch="360"/>
            </w:sectPr>
          </w:pPr>
        </w:p>
        <w:p w14:paraId="11777801" w14:textId="77777777" w:rsidR="002533FC" w:rsidRPr="005B6B12" w:rsidRDefault="002533FC" w:rsidP="002533FC">
          <w:pPr>
            <w:pStyle w:val="Subtitle"/>
          </w:pPr>
          <w:r w:rsidRPr="005B6B12">
            <w:lastRenderedPageBreak/>
            <w:t xml:space="preserve">Responding to this paper </w:t>
          </w:r>
        </w:p>
        <w:p w14:paraId="2F436F98" w14:textId="77777777" w:rsidR="002533FC" w:rsidRPr="005B6B12" w:rsidRDefault="002533FC" w:rsidP="002533FC">
          <w:r w:rsidRPr="005B6B12">
            <w:t xml:space="preserve">ESMA invites comments on all matters in this paper and </w:t>
          </w:r>
          <w:proofErr w:type="gramStart"/>
          <w:r w:rsidRPr="005B6B12">
            <w:t xml:space="preserve">in particular </w:t>
          </w:r>
          <w:r>
            <w:t>on</w:t>
          </w:r>
          <w:proofErr w:type="gramEnd"/>
          <w:r>
            <w:t xml:space="preserve"> the specific questions summa</w:t>
          </w:r>
          <w:r w:rsidRPr="005B6B12">
            <w:t>rised in Annex 1. Comments are most helpful if they:</w:t>
          </w:r>
        </w:p>
        <w:p w14:paraId="491CDAA8" w14:textId="77777777" w:rsidR="002533FC" w:rsidRPr="00E13D25" w:rsidRDefault="002533FC" w:rsidP="00EC6066">
          <w:pPr>
            <w:pStyle w:val="ListParagraph"/>
          </w:pPr>
          <w:r w:rsidRPr="00E13D25">
            <w:t>respond to the question stated;</w:t>
          </w:r>
        </w:p>
        <w:p w14:paraId="72FD40F6" w14:textId="77777777" w:rsidR="002533FC" w:rsidRPr="00E13D25" w:rsidRDefault="002533FC" w:rsidP="00EC6066">
          <w:pPr>
            <w:pStyle w:val="ListParagraph"/>
          </w:pPr>
          <w:r w:rsidRPr="00E13D25">
            <w:t>indicate the specific question to which the comment relates;</w:t>
          </w:r>
        </w:p>
        <w:p w14:paraId="78B206B7" w14:textId="77777777" w:rsidR="002533FC" w:rsidRPr="00E13D25" w:rsidRDefault="002533FC" w:rsidP="00EC6066">
          <w:pPr>
            <w:pStyle w:val="ListParagraph"/>
          </w:pPr>
          <w:r w:rsidRPr="00E13D25">
            <w:t>contain a clear rationale; and</w:t>
          </w:r>
        </w:p>
        <w:p w14:paraId="60B8834E" w14:textId="77777777" w:rsidR="002533FC" w:rsidRPr="00E13D25" w:rsidRDefault="002533FC" w:rsidP="00EC6066">
          <w:pPr>
            <w:pStyle w:val="ListParagraph"/>
          </w:pPr>
          <w:r w:rsidRPr="00E13D25">
            <w:t>describe any alternatives ESMA should consider.</w:t>
          </w:r>
        </w:p>
        <w:p w14:paraId="219225AC" w14:textId="2AD4EC12" w:rsidR="002533FC" w:rsidRPr="005B6B12" w:rsidRDefault="002533FC" w:rsidP="002533FC">
          <w:r w:rsidRPr="005B6B12">
            <w:t>ESMA will consider all comments received by</w:t>
          </w:r>
          <w:r w:rsidR="008334D4">
            <w:t xml:space="preserve"> </w:t>
          </w:r>
          <w:r w:rsidR="00BD39E2" w:rsidRPr="00BD39E2">
            <w:rPr>
              <w:b/>
              <w:bCs/>
            </w:rPr>
            <w:t xml:space="preserve">8 October </w:t>
          </w:r>
          <w:r w:rsidR="00667FF6" w:rsidRPr="00BD39E2">
            <w:rPr>
              <w:b/>
              <w:bCs/>
            </w:rPr>
            <w:t>2024</w:t>
          </w:r>
          <w:r w:rsidRPr="005B6B12">
            <w:rPr>
              <w:b/>
            </w:rPr>
            <w:t xml:space="preserve">. </w:t>
          </w:r>
        </w:p>
        <w:p w14:paraId="7EBC0542" w14:textId="0CD5B31D" w:rsidR="002533FC" w:rsidRDefault="002533FC" w:rsidP="002533FC">
          <w:r w:rsidRPr="005B6B12">
            <w:t xml:space="preserve">All contributions should be submitted online at </w:t>
          </w:r>
          <w:hyperlink r:id="rId14" w:history="1">
            <w:r w:rsidRPr="005B6B12">
              <w:rPr>
                <w:rStyle w:val="Hyperlink"/>
              </w:rPr>
              <w:t>www.esma.europa.eu</w:t>
            </w:r>
          </w:hyperlink>
          <w:r w:rsidRPr="005B6B12">
            <w:t xml:space="preserve"> under the heading ‘Your input - Consultations’. </w:t>
          </w:r>
        </w:p>
        <w:p w14:paraId="5E44C845" w14:textId="77777777" w:rsidR="00EC6066" w:rsidRPr="0026459D" w:rsidRDefault="00EC6066" w:rsidP="00EC6066">
          <w:pPr>
            <w:pStyle w:val="Subtitle"/>
            <w:rPr>
              <w:b/>
              <w:sz w:val="24"/>
              <w:szCs w:val="22"/>
            </w:rPr>
          </w:pPr>
          <w:r w:rsidRPr="00013CA1">
            <w:t>Instructions</w:t>
          </w:r>
        </w:p>
        <w:p w14:paraId="0FC3DC5B" w14:textId="7FC95975" w:rsidR="00EC6066" w:rsidRPr="0026459D" w:rsidRDefault="00EC6066" w:rsidP="00EC6066">
          <w:pPr>
            <w:rPr>
              <w:bCs/>
            </w:rPr>
          </w:pPr>
          <w:proofErr w:type="gramStart"/>
          <w:r w:rsidRPr="0026459D">
            <w:rPr>
              <w:bCs/>
            </w:rPr>
            <w:t>In order to</w:t>
          </w:r>
          <w:proofErr w:type="gramEnd"/>
          <w:r w:rsidRPr="0026459D">
            <w:rPr>
              <w:bCs/>
            </w:rPr>
            <w:t xml:space="preserve"> facilitate analysis of responses to the</w:t>
          </w:r>
          <w:r w:rsidR="003467A2">
            <w:rPr>
              <w:bCs/>
            </w:rPr>
            <w:t xml:space="preserve"> Call for Evidence</w:t>
          </w:r>
          <w:r w:rsidRPr="0026459D">
            <w:rPr>
              <w:bCs/>
            </w:rPr>
            <w:t>, respondents are requested to follow the below steps when preparing and submitting their response:</w:t>
          </w:r>
        </w:p>
        <w:p w14:paraId="67E94801" w14:textId="6A79CAE6" w:rsidR="00EC6066" w:rsidRPr="0026459D" w:rsidRDefault="00EC6066" w:rsidP="001E72A7">
          <w:pPr>
            <w:ind w:left="142"/>
            <w:rPr>
              <w:bCs/>
            </w:rPr>
          </w:pPr>
          <w:r w:rsidRPr="0026459D">
            <w:rPr>
              <w:bCs/>
            </w:rPr>
            <w:t>•</w:t>
          </w:r>
          <w:r w:rsidRPr="0026459D">
            <w:rPr>
              <w:bCs/>
            </w:rPr>
            <w:tab/>
            <w:t xml:space="preserve">Insert your responses to the questions in the </w:t>
          </w:r>
          <w:r w:rsidR="003467A2">
            <w:rPr>
              <w:bCs/>
            </w:rPr>
            <w:t xml:space="preserve">Call for Evidence </w:t>
          </w:r>
          <w:r w:rsidRPr="0026459D">
            <w:rPr>
              <w:bCs/>
            </w:rPr>
            <w:t xml:space="preserve">in this reply form. </w:t>
          </w:r>
        </w:p>
        <w:p w14:paraId="7B7C29FF" w14:textId="679F17D8" w:rsidR="00EC6066" w:rsidRPr="00C5469A" w:rsidRDefault="00EC6066" w:rsidP="00EC6066">
          <w:pPr>
            <w:ind w:left="142"/>
            <w:rPr>
              <w:bCs/>
            </w:rPr>
          </w:pPr>
          <w:r w:rsidRPr="0026459D">
            <w:rPr>
              <w:bCs/>
            </w:rPr>
            <w:t>•</w:t>
          </w:r>
          <w:r w:rsidRPr="0026459D">
            <w:rPr>
              <w:bCs/>
            </w:rPr>
            <w:tab/>
            <w:t>Please do not remove tags of the type &lt;</w:t>
          </w:r>
          <w:r w:rsidRPr="00557BD2">
            <w:t xml:space="preserve"> </w:t>
          </w:r>
          <w:r w:rsidRPr="00557BD2">
            <w:rPr>
              <w:bCs/>
            </w:rPr>
            <w:t>ESMA_</w:t>
          </w:r>
          <w:r w:rsidRPr="00C5469A">
            <w:rPr>
              <w:bCs/>
            </w:rPr>
            <w:t>QUESTION_</w:t>
          </w:r>
          <w:r w:rsidR="00BD39E2">
            <w:rPr>
              <w:bCs/>
            </w:rPr>
            <w:t>GLMT</w:t>
          </w:r>
          <w:r w:rsidRPr="00C5469A">
            <w:rPr>
              <w:bCs/>
            </w:rPr>
            <w:t xml:space="preserve">_0&gt;. Your response </w:t>
          </w:r>
          <w:r w:rsidRPr="00C5469A">
            <w:rPr>
              <w:bCs/>
            </w:rPr>
            <w:tab/>
            <w:t xml:space="preserve">to each question </w:t>
          </w:r>
          <w:proofErr w:type="gramStart"/>
          <w:r w:rsidRPr="00C5469A">
            <w:rPr>
              <w:bCs/>
            </w:rPr>
            <w:t>has to</w:t>
          </w:r>
          <w:proofErr w:type="gramEnd"/>
          <w:r w:rsidRPr="00C5469A">
            <w:rPr>
              <w:bCs/>
            </w:rPr>
            <w:t xml:space="preserve"> be framed by the two tags corresponding to the question.</w:t>
          </w:r>
        </w:p>
        <w:p w14:paraId="65642175" w14:textId="77777777" w:rsidR="00EC6066" w:rsidRPr="00C5469A" w:rsidRDefault="00EC6066" w:rsidP="00EC6066">
          <w:pPr>
            <w:ind w:left="142"/>
            <w:rPr>
              <w:bCs/>
            </w:rPr>
          </w:pPr>
          <w:r w:rsidRPr="00C5469A">
            <w:rPr>
              <w:bCs/>
            </w:rPr>
            <w:t>•</w:t>
          </w:r>
          <w:r w:rsidRPr="00C5469A">
            <w:rPr>
              <w:bCs/>
            </w:rPr>
            <w:tab/>
            <w:t xml:space="preserve">If you do not wish to respond to a given question, please do not delete it but simply </w:t>
          </w:r>
          <w:r w:rsidRPr="00C5469A">
            <w:rPr>
              <w:bCs/>
            </w:rPr>
            <w:tab/>
            <w:t>leave the text “TYPE YOUR TEXT HERE” between the tags.</w:t>
          </w:r>
        </w:p>
        <w:p w14:paraId="4D646F3A" w14:textId="6D75888F" w:rsidR="00EC6066" w:rsidRPr="00C5469A" w:rsidRDefault="00EC6066" w:rsidP="00EC6066">
          <w:pPr>
            <w:ind w:left="142"/>
            <w:rPr>
              <w:bCs/>
            </w:rPr>
          </w:pPr>
          <w:r w:rsidRPr="00C5469A">
            <w:rPr>
              <w:bCs/>
            </w:rPr>
            <w:t>•</w:t>
          </w:r>
          <w:r w:rsidRPr="00C5469A">
            <w:rPr>
              <w:bCs/>
            </w:rPr>
            <w:tab/>
            <w:t xml:space="preserve">When you have drafted your responses, save the reply form according to the following </w:t>
          </w:r>
          <w:r w:rsidRPr="00C5469A">
            <w:rPr>
              <w:bCs/>
            </w:rPr>
            <w:tab/>
            <w:t>convention: ESMA_C</w:t>
          </w:r>
          <w:r w:rsidR="009D2592">
            <w:rPr>
              <w:bCs/>
            </w:rPr>
            <w:t>P</w:t>
          </w:r>
          <w:r w:rsidRPr="00C5469A">
            <w:rPr>
              <w:bCs/>
            </w:rPr>
            <w:t>1_</w:t>
          </w:r>
          <w:r w:rsidR="00BD39E2">
            <w:rPr>
              <w:bCs/>
            </w:rPr>
            <w:t>GLMT</w:t>
          </w:r>
          <w:r w:rsidRPr="00C5469A">
            <w:rPr>
              <w:bCs/>
            </w:rPr>
            <w:t xml:space="preserve">_nameofrespondent. </w:t>
          </w:r>
        </w:p>
        <w:p w14:paraId="210BE93A" w14:textId="0648B610" w:rsidR="00EC6066" w:rsidRPr="0026459D" w:rsidRDefault="00EC6066" w:rsidP="00EC6066">
          <w:pPr>
            <w:ind w:left="142"/>
            <w:rPr>
              <w:bCs/>
            </w:rPr>
          </w:pPr>
          <w:r w:rsidRPr="00C5469A">
            <w:rPr>
              <w:bCs/>
            </w:rPr>
            <w:tab/>
            <w:t xml:space="preserve">For example, for a respondent named ABCD, the reply form would be saved with the </w:t>
          </w:r>
          <w:r w:rsidRPr="00C5469A">
            <w:rPr>
              <w:bCs/>
            </w:rPr>
            <w:tab/>
            <w:t>following name: ESMA_C</w:t>
          </w:r>
          <w:r w:rsidR="009D2592">
            <w:rPr>
              <w:bCs/>
            </w:rPr>
            <w:t>P</w:t>
          </w:r>
          <w:r w:rsidRPr="00C5469A">
            <w:rPr>
              <w:bCs/>
            </w:rPr>
            <w:t>1_</w:t>
          </w:r>
          <w:r w:rsidR="00BD39E2">
            <w:rPr>
              <w:bCs/>
            </w:rPr>
            <w:t>GLMT</w:t>
          </w:r>
          <w:r w:rsidRPr="00C5469A">
            <w:rPr>
              <w:bCs/>
            </w:rPr>
            <w:t xml:space="preserve"> _ABCD.</w:t>
          </w:r>
        </w:p>
        <w:p w14:paraId="60FF11C9" w14:textId="04EC08D9" w:rsidR="00EC6066" w:rsidRPr="0026459D" w:rsidRDefault="51A403BF" w:rsidP="001B0E17">
          <w:pPr>
            <w:ind w:left="708" w:hanging="566"/>
            <w:rPr>
              <w:i/>
              <w:iCs/>
            </w:rPr>
          </w:pPr>
          <w:r>
            <w:t>•</w:t>
          </w:r>
          <w:r w:rsidR="00EC6066">
            <w:tab/>
          </w:r>
          <w:r>
            <w:t>Upload the Word reply form containing your responses to ESMA’s website (</w:t>
          </w:r>
          <w:r w:rsidRPr="5788A89C">
            <w:rPr>
              <w:b/>
              <w:bCs/>
            </w:rPr>
            <w:t xml:space="preserve">pdf </w:t>
          </w:r>
          <w:r w:rsidR="00EC6066">
            <w:tab/>
          </w:r>
          <w:r w:rsidRPr="5788A89C">
            <w:rPr>
              <w:b/>
              <w:bCs/>
            </w:rPr>
            <w:t>documents will not be considered except for annexes</w:t>
          </w:r>
          <w:r>
            <w:t xml:space="preserve">). All contributions should be </w:t>
          </w:r>
          <w:r w:rsidR="00EC6066">
            <w:tab/>
          </w:r>
          <w:r>
            <w:t>submitted online at</w:t>
          </w:r>
          <w:r w:rsidR="001B0E17">
            <w:t xml:space="preserve"> </w:t>
          </w:r>
          <w:hyperlink r:id="rId15" w:history="1">
            <w:r w:rsidR="00281B6A" w:rsidRPr="00510C4A">
              <w:rPr>
                <w:rStyle w:val="Hyperlink"/>
              </w:rPr>
              <w:t>https://www.esma.europa.eu/press-news/consultations/consultation-liquidity-management-tools-funds</w:t>
            </w:r>
          </w:hyperlink>
          <w:r w:rsidR="00281B6A">
            <w:t xml:space="preserve"> </w:t>
          </w:r>
          <w:r>
            <w:t xml:space="preserve">under the heading </w:t>
          </w:r>
          <w:r w:rsidRPr="5788A89C">
            <w:rPr>
              <w:i/>
              <w:iCs/>
            </w:rPr>
            <w:t xml:space="preserve">‘Your input - </w:t>
          </w:r>
          <w:r w:rsidR="00EC6066">
            <w:tab/>
          </w:r>
          <w:r w:rsidRPr="5788A89C">
            <w:rPr>
              <w:i/>
              <w:iCs/>
            </w:rPr>
            <w:t>Consultations’.</w:t>
          </w:r>
        </w:p>
        <w:p w14:paraId="6B61FE84" w14:textId="77777777" w:rsidR="00EC6066" w:rsidRPr="005B6B12" w:rsidRDefault="00EC6066" w:rsidP="00EC6066">
          <w:pPr>
            <w:rPr>
              <w:b/>
            </w:rPr>
          </w:pPr>
          <w:r w:rsidRPr="005B6B12">
            <w:rPr>
              <w:b/>
            </w:rPr>
            <w:t>Publication of responses</w:t>
          </w:r>
        </w:p>
        <w:p w14:paraId="296E0671" w14:textId="77777777" w:rsidR="00EC6066" w:rsidRPr="005B6B12" w:rsidRDefault="00EC6066" w:rsidP="00EC6066">
          <w:r w:rsidRPr="005B6B12">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7CF9D385" w14:textId="77777777" w:rsidR="00EC6066" w:rsidRPr="005B6B12" w:rsidRDefault="00EC6066" w:rsidP="00EC6066">
          <w:pPr>
            <w:rPr>
              <w:b/>
            </w:rPr>
          </w:pPr>
          <w:r w:rsidRPr="005B6B12">
            <w:rPr>
              <w:b/>
            </w:rPr>
            <w:t>Data protection</w:t>
          </w:r>
        </w:p>
        <w:p w14:paraId="1734978B" w14:textId="77777777" w:rsidR="00EC6066" w:rsidRPr="005B6B12" w:rsidRDefault="00EC6066" w:rsidP="00EC6066">
          <w:r w:rsidRPr="005B6B12">
            <w:t xml:space="preserve">Information on data protection can be found at </w:t>
          </w:r>
          <w:hyperlink r:id="rId16" w:history="1">
            <w:r w:rsidRPr="005B6B12">
              <w:rPr>
                <w:rStyle w:val="Hyperlink"/>
              </w:rPr>
              <w:t>www.esma.europa.eu</w:t>
            </w:r>
          </w:hyperlink>
          <w:r w:rsidRPr="005B6B12">
            <w:t xml:space="preserve"> under the heading </w:t>
          </w:r>
          <w:r w:rsidRPr="00025A7F">
            <w:rPr>
              <w:rStyle w:val="Hyperlink"/>
            </w:rPr>
            <w:t>‘</w:t>
          </w:r>
          <w:hyperlink r:id="rId17" w:history="1">
            <w:r>
              <w:rPr>
                <w:rStyle w:val="Hyperlink"/>
              </w:rPr>
              <w:t>Data protection</w:t>
            </w:r>
          </w:hyperlink>
          <w:r>
            <w:rPr>
              <w:rStyle w:val="Hyperlink"/>
            </w:rPr>
            <w:t>’</w:t>
          </w:r>
          <w:r w:rsidRPr="005B6B12">
            <w:t>.</w:t>
          </w:r>
        </w:p>
        <w:p w14:paraId="57A67DA5" w14:textId="44DBF9D2" w:rsidR="00EC6066" w:rsidRPr="005B6B12" w:rsidRDefault="00EC6066" w:rsidP="00EC6066">
          <w:pPr>
            <w:rPr>
              <w:b/>
            </w:rPr>
          </w:pPr>
          <w:r w:rsidRPr="005B6B12">
            <w:rPr>
              <w:b/>
            </w:rPr>
            <w:t>Who should read this paper?</w:t>
          </w:r>
        </w:p>
      </w:sdtContent>
    </w:sdt>
    <w:p w14:paraId="458A35CD" w14:textId="77777777" w:rsidR="003E0240" w:rsidRPr="003E0240" w:rsidRDefault="003E0240" w:rsidP="003E0240">
      <w:r w:rsidRPr="003E0240">
        <w:t xml:space="preserve">This document will be of interest to alternative investment fund managers, AIFs, management companies, UCITS, and their trade associations, depositories and their trade associations, as well as professional and retail investors investing into UCITS and AIFs and their associations. </w:t>
      </w:r>
    </w:p>
    <w:p w14:paraId="50C0B880" w14:textId="17A2407D" w:rsidR="00EC6066" w:rsidRPr="00EC6066" w:rsidRDefault="00EC6066" w:rsidP="00EC6066">
      <w:pPr>
        <w:rPr>
          <w:rFonts w:asciiTheme="majorHAnsi" w:eastAsiaTheme="majorEastAsia" w:hAnsiTheme="majorHAnsi" w:cstheme="majorBidi"/>
          <w:sz w:val="28"/>
          <w:szCs w:val="24"/>
          <w:highlight w:val="yellow"/>
        </w:rPr>
        <w:sectPr w:rsidR="00EC6066" w:rsidRPr="00EC6066" w:rsidSect="0043139E">
          <w:headerReference w:type="default" r:id="rId18"/>
          <w:footerReference w:type="default" r:id="rId19"/>
          <w:headerReference w:type="first" r:id="rId20"/>
          <w:pgSz w:w="11906" w:h="16838"/>
          <w:pgMar w:top="1417" w:right="1417" w:bottom="1417" w:left="1417" w:header="862" w:footer="708" w:gutter="0"/>
          <w:pgNumType w:start="2"/>
          <w:cols w:space="708"/>
          <w:docGrid w:linePitch="360"/>
        </w:sectPr>
      </w:pPr>
    </w:p>
    <w:p w14:paraId="60EF00E1" w14:textId="77777777" w:rsidR="00635BCA" w:rsidRPr="00557BD2" w:rsidRDefault="00635BCA" w:rsidP="00635BCA">
      <w:pPr>
        <w:pStyle w:val="Heading1"/>
        <w:rPr>
          <w:lang w:val="fr-BE"/>
        </w:rPr>
      </w:pPr>
      <w:r>
        <w:rPr>
          <w:lang w:val="fr-BE"/>
        </w:rPr>
        <w:t xml:space="preserve">General information about </w:t>
      </w:r>
      <w:r w:rsidRPr="00501EF4">
        <w:t>respondent</w:t>
      </w:r>
    </w:p>
    <w:tbl>
      <w:tblPr>
        <w:tblStyle w:val="TableGrid"/>
        <w:tblW w:w="0" w:type="auto"/>
        <w:tblLook w:val="04A0" w:firstRow="1" w:lastRow="0" w:firstColumn="1" w:lastColumn="0" w:noHBand="0" w:noVBand="1"/>
      </w:tblPr>
      <w:tblGrid>
        <w:gridCol w:w="4531"/>
        <w:gridCol w:w="4531"/>
      </w:tblGrid>
      <w:tr w:rsidR="00635BCA" w:rsidRPr="00557BD2" w14:paraId="183FA56F" w14:textId="77777777" w:rsidTr="00D21C35">
        <w:tc>
          <w:tcPr>
            <w:tcW w:w="4531" w:type="dxa"/>
          </w:tcPr>
          <w:p w14:paraId="4C01A6C9" w14:textId="77777777" w:rsidR="00635BCA" w:rsidRPr="00557BD2" w:rsidRDefault="00635BCA" w:rsidP="00D21C35">
            <w:pPr>
              <w:rPr>
                <w:color w:val="00379F" w:themeColor="text1"/>
                <w:sz w:val="24"/>
                <w:szCs w:val="22"/>
              </w:rPr>
            </w:pPr>
            <w:r w:rsidRPr="00557BD2">
              <w:rPr>
                <w:color w:val="00379F" w:themeColor="text1"/>
                <w:sz w:val="24"/>
                <w:szCs w:val="22"/>
              </w:rPr>
              <w:t>Name of the company / organisation</w:t>
            </w:r>
          </w:p>
        </w:tc>
        <w:sdt>
          <w:sdtPr>
            <w:id w:val="-803776227"/>
            <w:placeholder>
              <w:docPart w:val="2B0FF21738C1433DBAFB661809AC1F87"/>
            </w:placeholder>
          </w:sdtPr>
          <w:sdtEndPr/>
          <w:sdtContent>
            <w:tc>
              <w:tcPr>
                <w:tcW w:w="4531" w:type="dxa"/>
              </w:tcPr>
              <w:p w14:paraId="76683ED7" w14:textId="3E596E64" w:rsidR="00635BCA" w:rsidRPr="00557BD2" w:rsidRDefault="0094359F" w:rsidP="00D21C35">
                <w:r>
                  <w:t>Irish Funds</w:t>
                </w:r>
                <w:r w:rsidR="00C76347">
                  <w:t xml:space="preserve"> Industry Association (“Irish Funds”)</w:t>
                </w:r>
              </w:p>
            </w:tc>
          </w:sdtContent>
        </w:sdt>
      </w:tr>
      <w:tr w:rsidR="00635BCA" w:rsidRPr="00557BD2" w14:paraId="528511B7" w14:textId="77777777" w:rsidTr="00D21C35">
        <w:tc>
          <w:tcPr>
            <w:tcW w:w="4531" w:type="dxa"/>
          </w:tcPr>
          <w:p w14:paraId="5CBA5961" w14:textId="77777777" w:rsidR="00635BCA" w:rsidRPr="00557BD2" w:rsidRDefault="00635BCA" w:rsidP="00D21C35">
            <w:pPr>
              <w:rPr>
                <w:color w:val="00379F" w:themeColor="text1"/>
                <w:sz w:val="24"/>
                <w:szCs w:val="22"/>
              </w:rPr>
            </w:pPr>
            <w:r w:rsidRPr="00557BD2">
              <w:rPr>
                <w:color w:val="00379F" w:themeColor="text1"/>
                <w:sz w:val="24"/>
                <w:szCs w:val="22"/>
              </w:rPr>
              <w:t>Activity</w:t>
            </w:r>
          </w:p>
        </w:tc>
        <w:sdt>
          <w:sdtPr>
            <w:id w:val="-609434665"/>
            <w:placeholder>
              <w:docPart w:val="A63132AB50BF4DFF968146A9E1FDD0A7"/>
            </w:placeholder>
          </w:sdtPr>
          <w:sdtEndPr/>
          <w:sdtContent>
            <w:tc>
              <w:tcPr>
                <w:tcW w:w="4531" w:type="dxa"/>
              </w:tcPr>
              <w:p w14:paraId="7403D812" w14:textId="3A70FF03" w:rsidR="00635BCA" w:rsidRPr="00557BD2" w:rsidRDefault="0094359F" w:rsidP="00D21C35">
                <w:r>
                  <w:t>Irish Funds Association</w:t>
                </w:r>
              </w:p>
            </w:tc>
          </w:sdtContent>
        </w:sdt>
      </w:tr>
      <w:tr w:rsidR="00635BCA" w:rsidRPr="00557BD2" w14:paraId="3D982432" w14:textId="77777777" w:rsidTr="00D21C35">
        <w:tc>
          <w:tcPr>
            <w:tcW w:w="4531" w:type="dxa"/>
          </w:tcPr>
          <w:p w14:paraId="7771F8C5" w14:textId="77777777" w:rsidR="00635BCA" w:rsidRPr="00557BD2" w:rsidRDefault="00635BCA" w:rsidP="00D21C35">
            <w:pPr>
              <w:rPr>
                <w:color w:val="00379F" w:themeColor="text1"/>
                <w:sz w:val="24"/>
                <w:szCs w:val="22"/>
              </w:rPr>
            </w:pPr>
            <w:r w:rsidRPr="00557BD2">
              <w:rPr>
                <w:color w:val="00379F" w:themeColor="text1"/>
                <w:sz w:val="24"/>
                <w:szCs w:val="22"/>
              </w:rPr>
              <w:t>Country / Region</w:t>
            </w:r>
          </w:p>
        </w:tc>
        <w:sdt>
          <w:sdtPr>
            <w:alias w:val="Select a country/region"/>
            <w:tag w:val="Select a country/region"/>
            <w:id w:val="32541635"/>
            <w:placeholder>
              <w:docPart w:val="9CC931E39FC74FAF9E2DD0BCDDF3C57E"/>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4531" w:type="dxa"/>
              </w:tcPr>
              <w:p w14:paraId="6A619B85" w14:textId="416A2276" w:rsidR="00635BCA" w:rsidRPr="00557BD2" w:rsidRDefault="003B21CF" w:rsidP="00D21C35">
                <w:r>
                  <w:t>Ireland</w:t>
                </w:r>
              </w:p>
            </w:tc>
          </w:sdtContent>
        </w:sdt>
      </w:tr>
    </w:tbl>
    <w:p w14:paraId="687A8108" w14:textId="77777777" w:rsidR="00635BCA" w:rsidRPr="00053B66" w:rsidRDefault="00635BCA" w:rsidP="00635BCA"/>
    <w:p w14:paraId="449AB301" w14:textId="59EF16AD" w:rsidR="00667FF6" w:rsidRDefault="00635BCA" w:rsidP="00667FF6">
      <w:pPr>
        <w:pStyle w:val="Heading1"/>
        <w:rPr>
          <w:lang w:val="fr-BE"/>
        </w:rPr>
      </w:pPr>
      <w:r w:rsidRPr="00557BD2">
        <w:rPr>
          <w:lang w:val="fr-BE"/>
        </w:rPr>
        <w:t xml:space="preserve">Questions </w:t>
      </w:r>
    </w:p>
    <w:p w14:paraId="4E0C67BF" w14:textId="3B785CA7" w:rsidR="00DA4F15" w:rsidRDefault="00DA4F15" w:rsidP="00A759D9">
      <w:pPr>
        <w:pStyle w:val="Questionstyle"/>
        <w:numPr>
          <w:ilvl w:val="0"/>
          <w:numId w:val="14"/>
        </w:numPr>
        <w:tabs>
          <w:tab w:val="clear" w:pos="567"/>
        </w:tabs>
        <w:spacing w:line="256" w:lineRule="auto"/>
        <w:ind w:left="851" w:hanging="851"/>
        <w:rPr>
          <w:color w:val="auto"/>
        </w:rPr>
      </w:pPr>
      <w:r>
        <w:t>Do you agree with the proposed characteristics of suspension of subscriptions, repurchases and redemptions?</w:t>
      </w:r>
      <w:r w:rsidR="00A07C02">
        <w:t xml:space="preserve"> </w:t>
      </w:r>
      <w:r>
        <w:t>If not, please justify your position.</w:t>
      </w:r>
    </w:p>
    <w:p w14:paraId="4CF4F190" w14:textId="77777777" w:rsidR="00DA4F15" w:rsidRDefault="00DA4F15" w:rsidP="00A759D9">
      <w:r>
        <w:t>&lt;ESMA_QUESTION_SLMT_1&gt;</w:t>
      </w:r>
    </w:p>
    <w:p w14:paraId="691DF605" w14:textId="112770C1" w:rsidR="00923501" w:rsidRDefault="00923501" w:rsidP="00A759D9">
      <w:pPr>
        <w:spacing w:line="240" w:lineRule="auto"/>
        <w:rPr>
          <w:rFonts w:ascii="Arial" w:eastAsia="Arial" w:hAnsi="Arial" w:cs="Arial"/>
          <w:color w:val="000000"/>
          <w:szCs w:val="22"/>
        </w:rPr>
      </w:pPr>
      <w:permStart w:id="842152120" w:edGrp="everyone"/>
      <w:r>
        <w:rPr>
          <w:rFonts w:ascii="Arial" w:eastAsia="Arial" w:hAnsi="Arial" w:cs="Arial"/>
          <w:color w:val="000000"/>
          <w:szCs w:val="22"/>
        </w:rPr>
        <w:t>Irish Funds</w:t>
      </w:r>
      <w:r w:rsidRPr="316BC453">
        <w:rPr>
          <w:rFonts w:ascii="Arial" w:eastAsia="Arial" w:hAnsi="Arial" w:cs="Arial"/>
          <w:color w:val="000000"/>
          <w:szCs w:val="22"/>
        </w:rPr>
        <w:t xml:space="preserve"> </w:t>
      </w:r>
      <w:r>
        <w:rPr>
          <w:rFonts w:ascii="Arial" w:eastAsia="Arial" w:hAnsi="Arial" w:cs="Arial"/>
          <w:color w:val="000000"/>
          <w:szCs w:val="22"/>
        </w:rPr>
        <w:t xml:space="preserve">would note that there may be circumstances whereby a </w:t>
      </w:r>
      <w:r w:rsidR="008008BA">
        <w:rPr>
          <w:rFonts w:ascii="Arial" w:eastAsia="Arial" w:hAnsi="Arial" w:cs="Arial"/>
          <w:color w:val="000000"/>
          <w:szCs w:val="22"/>
        </w:rPr>
        <w:t xml:space="preserve">fund </w:t>
      </w:r>
      <w:r>
        <w:rPr>
          <w:rFonts w:ascii="Arial" w:eastAsia="Arial" w:hAnsi="Arial" w:cs="Arial"/>
          <w:color w:val="000000"/>
          <w:szCs w:val="22"/>
        </w:rPr>
        <w:t>manager</w:t>
      </w:r>
      <w:r w:rsidR="008008BA">
        <w:rPr>
          <w:rFonts w:ascii="Arial" w:eastAsia="Arial" w:hAnsi="Arial" w:cs="Arial"/>
          <w:color w:val="000000"/>
          <w:szCs w:val="22"/>
        </w:rPr>
        <w:t xml:space="preserve"> (“manager”)</w:t>
      </w:r>
      <w:r>
        <w:rPr>
          <w:rFonts w:ascii="Arial" w:eastAsia="Arial" w:hAnsi="Arial" w:cs="Arial"/>
          <w:color w:val="000000"/>
          <w:szCs w:val="22"/>
        </w:rPr>
        <w:t xml:space="preserve"> requires the flexibility to suspend redemptions without also having to suspend subscriptions. Therefore Article 1(1) appears to be overly restrictive. For example, in the case of a fund operating a capital commitment and call mechanism there may be existing contractual commitments for investments within the fund (e.g. for a property) and as such the manager may choose to suspend redemptions but call on the committed capital to meet the funds contractual commitments for the benefit of the funds’ investors.</w:t>
      </w:r>
    </w:p>
    <w:p w14:paraId="2A03FF40" w14:textId="508D3416" w:rsidR="00923501" w:rsidRDefault="00923501" w:rsidP="00A759D9">
      <w:pPr>
        <w:spacing w:line="240" w:lineRule="auto"/>
        <w:rPr>
          <w:rFonts w:ascii="Arial" w:eastAsia="Arial" w:hAnsi="Arial" w:cs="Arial"/>
          <w:color w:val="000000"/>
          <w:szCs w:val="22"/>
        </w:rPr>
      </w:pPr>
      <w:r w:rsidRPr="006C7DFC">
        <w:rPr>
          <w:rFonts w:ascii="Arial" w:eastAsia="Arial" w:hAnsi="Arial" w:cs="Arial"/>
          <w:color w:val="000000"/>
          <w:szCs w:val="22"/>
        </w:rPr>
        <w:t xml:space="preserve">While we would generally envision the </w:t>
      </w:r>
      <w:r>
        <w:rPr>
          <w:rFonts w:ascii="Arial" w:eastAsia="Arial" w:hAnsi="Arial" w:cs="Arial"/>
          <w:color w:val="000000"/>
          <w:szCs w:val="22"/>
        </w:rPr>
        <w:t xml:space="preserve">activation of </w:t>
      </w:r>
      <w:r w:rsidRPr="006C7DFC">
        <w:rPr>
          <w:rFonts w:ascii="Arial" w:eastAsia="Arial" w:hAnsi="Arial" w:cs="Arial"/>
          <w:color w:val="000000"/>
          <w:szCs w:val="22"/>
        </w:rPr>
        <w:t>suspension of subscriptions, repurchases, and redemptions in tandem as standard practice</w:t>
      </w:r>
      <w:r>
        <w:rPr>
          <w:rFonts w:ascii="Arial" w:eastAsia="Arial" w:hAnsi="Arial" w:cs="Arial"/>
          <w:color w:val="000000"/>
          <w:szCs w:val="22"/>
        </w:rPr>
        <w:t>,</w:t>
      </w:r>
      <w:r w:rsidRPr="006C7DFC">
        <w:rPr>
          <w:rFonts w:ascii="Arial" w:eastAsia="Arial" w:hAnsi="Arial" w:cs="Arial"/>
          <w:color w:val="000000"/>
          <w:szCs w:val="22"/>
        </w:rPr>
        <w:t xml:space="preserve"> in cases of a fund suspension</w:t>
      </w:r>
      <w:r>
        <w:rPr>
          <w:rFonts w:ascii="Arial" w:eastAsia="Arial" w:hAnsi="Arial" w:cs="Arial"/>
          <w:color w:val="000000"/>
          <w:szCs w:val="22"/>
        </w:rPr>
        <w:t xml:space="preserve"> </w:t>
      </w:r>
      <w:r w:rsidRPr="006C7DFC">
        <w:rPr>
          <w:rFonts w:ascii="Arial" w:eastAsia="Arial" w:hAnsi="Arial" w:cs="Arial"/>
          <w:color w:val="000000"/>
          <w:szCs w:val="22"/>
        </w:rPr>
        <w:t>—</w:t>
      </w:r>
      <w:r>
        <w:rPr>
          <w:rFonts w:ascii="Arial" w:eastAsia="Arial" w:hAnsi="Arial" w:cs="Arial"/>
          <w:color w:val="000000"/>
          <w:szCs w:val="22"/>
        </w:rPr>
        <w:t xml:space="preserve"> </w:t>
      </w:r>
      <w:r w:rsidRPr="006C7DFC">
        <w:rPr>
          <w:rFonts w:ascii="Arial" w:eastAsia="Arial" w:hAnsi="Arial" w:cs="Arial"/>
          <w:color w:val="000000"/>
          <w:szCs w:val="22"/>
        </w:rPr>
        <w:t>such as when a valuation is unavailable to produce the fund's Net Asset Value (NAV)</w:t>
      </w:r>
      <w:r>
        <w:rPr>
          <w:rFonts w:ascii="Arial" w:eastAsia="Arial" w:hAnsi="Arial" w:cs="Arial"/>
          <w:color w:val="000000"/>
          <w:szCs w:val="22"/>
        </w:rPr>
        <w:t xml:space="preserve"> </w:t>
      </w:r>
      <w:r w:rsidRPr="006C7DFC">
        <w:rPr>
          <w:rFonts w:ascii="Arial" w:eastAsia="Arial" w:hAnsi="Arial" w:cs="Arial"/>
          <w:color w:val="000000"/>
          <w:szCs w:val="22"/>
        </w:rPr>
        <w:t>—</w:t>
      </w:r>
      <w:r>
        <w:rPr>
          <w:rFonts w:ascii="Arial" w:eastAsia="Arial" w:hAnsi="Arial" w:cs="Arial"/>
          <w:color w:val="000000"/>
          <w:szCs w:val="22"/>
        </w:rPr>
        <w:t xml:space="preserve"> </w:t>
      </w:r>
      <w:r w:rsidRPr="006C7DFC">
        <w:rPr>
          <w:rFonts w:ascii="Arial" w:eastAsia="Arial" w:hAnsi="Arial" w:cs="Arial"/>
          <w:color w:val="000000"/>
          <w:szCs w:val="22"/>
        </w:rPr>
        <w:t>there are situations, as our example highlights, where this may not be appropriate. Therefore, we request that ESMA remove the blanket requirement to suspend subscriptions, repurchases, and redemptions as a single action.</w:t>
      </w:r>
    </w:p>
    <w:p w14:paraId="7663FE5B" w14:textId="77777777" w:rsidR="00923501" w:rsidRDefault="00923501" w:rsidP="00A759D9">
      <w:pPr>
        <w:spacing w:line="240" w:lineRule="auto"/>
        <w:rPr>
          <w:rFonts w:ascii="Arial" w:eastAsia="Arial" w:hAnsi="Arial" w:cs="Arial"/>
          <w:color w:val="000000"/>
          <w:szCs w:val="22"/>
        </w:rPr>
      </w:pPr>
      <w:r>
        <w:rPr>
          <w:rFonts w:ascii="Arial" w:eastAsia="Arial" w:hAnsi="Arial" w:cs="Arial"/>
          <w:color w:val="000000"/>
          <w:szCs w:val="22"/>
        </w:rPr>
        <w:t xml:space="preserve">Regardless of the approach, it is critical for managers to ensure that those LMTs selected are clearly documented in the funds offering documentation, in a way that is easily understood by investors. </w:t>
      </w:r>
    </w:p>
    <w:p w14:paraId="3C55BD53" w14:textId="46C4928A" w:rsidR="00923501" w:rsidRDefault="00923501" w:rsidP="00A759D9">
      <w:pPr>
        <w:spacing w:line="240" w:lineRule="auto"/>
        <w:rPr>
          <w:rFonts w:ascii="Arial" w:eastAsia="Arial" w:hAnsi="Arial" w:cs="Arial"/>
          <w:color w:val="000000"/>
          <w:szCs w:val="22"/>
        </w:rPr>
      </w:pPr>
      <w:r>
        <w:rPr>
          <w:rFonts w:ascii="Arial" w:eastAsia="Arial" w:hAnsi="Arial" w:cs="Arial"/>
          <w:color w:val="000000"/>
          <w:szCs w:val="22"/>
        </w:rPr>
        <w:t>Additionally</w:t>
      </w:r>
      <w:r w:rsidRPr="316BC453">
        <w:rPr>
          <w:rFonts w:ascii="Arial" w:eastAsia="Arial" w:hAnsi="Arial" w:cs="Arial"/>
          <w:color w:val="000000"/>
          <w:szCs w:val="22"/>
        </w:rPr>
        <w:t xml:space="preserve">, </w:t>
      </w:r>
      <w:r w:rsidR="009D43D3">
        <w:rPr>
          <w:rFonts w:ascii="Arial" w:eastAsia="Arial" w:hAnsi="Arial" w:cs="Arial"/>
          <w:color w:val="000000"/>
          <w:szCs w:val="22"/>
        </w:rPr>
        <w:t>should</w:t>
      </w:r>
      <w:r w:rsidRPr="316BC453">
        <w:rPr>
          <w:rFonts w:ascii="Arial" w:eastAsia="Arial" w:hAnsi="Arial" w:cs="Arial"/>
          <w:color w:val="000000"/>
          <w:szCs w:val="22"/>
        </w:rPr>
        <w:t xml:space="preserve"> the non-exhaustive list of ‘exceptional circumstances’ in the ESMA Guidelines consultation</w:t>
      </w:r>
      <w:r w:rsidRPr="316BC453">
        <w:rPr>
          <w:rStyle w:val="FootnoteReference"/>
          <w:rFonts w:ascii="Arial" w:eastAsia="Arial" w:hAnsi="Arial" w:cs="Arial"/>
          <w:color w:val="000000"/>
          <w:szCs w:val="22"/>
        </w:rPr>
        <w:footnoteReference w:id="2"/>
      </w:r>
      <w:r w:rsidR="00377AD7">
        <w:rPr>
          <w:rFonts w:ascii="Arial" w:eastAsia="Arial" w:hAnsi="Arial" w:cs="Arial"/>
          <w:color w:val="000000"/>
          <w:szCs w:val="22"/>
        </w:rPr>
        <w:t xml:space="preserve"> be retained</w:t>
      </w:r>
      <w:r w:rsidRPr="316BC453">
        <w:rPr>
          <w:rFonts w:ascii="Arial" w:eastAsia="Arial" w:hAnsi="Arial" w:cs="Arial"/>
          <w:color w:val="000000"/>
          <w:szCs w:val="22"/>
        </w:rPr>
        <w:t xml:space="preserve"> for the activation of suspensions we would caution against any consideration of limiting or narrowing this definition in the final draft as </w:t>
      </w:r>
      <w:r>
        <w:rPr>
          <w:rFonts w:ascii="Arial" w:eastAsia="Arial" w:hAnsi="Arial" w:cs="Arial"/>
          <w:color w:val="000000"/>
          <w:szCs w:val="22"/>
        </w:rPr>
        <w:t xml:space="preserve">a.) the circumstances around a suspension can be wide-ranging and not known in advance, and b.) </w:t>
      </w:r>
      <w:r w:rsidRPr="316BC453">
        <w:rPr>
          <w:rFonts w:ascii="Arial" w:eastAsia="Arial" w:hAnsi="Arial" w:cs="Arial"/>
          <w:color w:val="000000"/>
          <w:szCs w:val="22"/>
        </w:rPr>
        <w:t>this could have the unintended consequence of reducing the manager’s discretion to apply a suspension at the most appropriate time for the investors in the fund.</w:t>
      </w:r>
      <w:r w:rsidR="00A034BE">
        <w:rPr>
          <w:rFonts w:ascii="Arial" w:eastAsia="Arial" w:hAnsi="Arial" w:cs="Arial"/>
          <w:color w:val="000000"/>
          <w:szCs w:val="22"/>
        </w:rPr>
        <w:t xml:space="preserve"> </w:t>
      </w:r>
      <w:r w:rsidR="00A034BE">
        <w:rPr>
          <w:rFonts w:ascii="Arial" w:eastAsia="Arial" w:hAnsi="Arial" w:cs="Arial"/>
          <w:szCs w:val="22"/>
        </w:rPr>
        <w:t>It is critical that should any definition be retained it should be sufficiently high-level to allow the manager to retain the discretion to define what they deem ‘exceptional circumstances’ on a case-by-case basis.</w:t>
      </w:r>
      <w:r w:rsidRPr="316BC453">
        <w:rPr>
          <w:rFonts w:ascii="Arial" w:eastAsia="Arial" w:hAnsi="Arial" w:cs="Arial"/>
          <w:color w:val="000000"/>
          <w:szCs w:val="22"/>
        </w:rPr>
        <w:t xml:space="preserve"> It should also be noted that this is the most exceptional LMT in a manager’s liquidity management toolkit (as recognised in the consultation) given its reputational impact and </w:t>
      </w:r>
      <w:r>
        <w:rPr>
          <w:rFonts w:ascii="Arial" w:eastAsia="Arial" w:hAnsi="Arial" w:cs="Arial"/>
          <w:color w:val="000000"/>
          <w:szCs w:val="22"/>
        </w:rPr>
        <w:t xml:space="preserve">therefore </w:t>
      </w:r>
      <w:r w:rsidRPr="316BC453">
        <w:rPr>
          <w:rFonts w:ascii="Arial" w:eastAsia="Arial" w:hAnsi="Arial" w:cs="Arial"/>
          <w:color w:val="000000"/>
          <w:szCs w:val="22"/>
        </w:rPr>
        <w:t xml:space="preserve">the decision to activate a suspension by any manager is not one that is taken lightly and would be subject to the most stringent of governance processes. </w:t>
      </w:r>
    </w:p>
    <w:p w14:paraId="697D3AE0" w14:textId="54B97778" w:rsidR="00923501" w:rsidRPr="00A759D9" w:rsidRDefault="00923501" w:rsidP="00A759D9">
      <w:pPr>
        <w:spacing w:line="240" w:lineRule="auto"/>
        <w:rPr>
          <w:rFonts w:ascii="Arial" w:eastAsia="Arial" w:hAnsi="Arial" w:cs="Arial"/>
          <w:color w:val="000000"/>
          <w:szCs w:val="22"/>
        </w:rPr>
      </w:pPr>
      <w:r w:rsidRPr="316BC453">
        <w:rPr>
          <w:rFonts w:ascii="Arial" w:eastAsia="Arial" w:hAnsi="Arial" w:cs="Arial"/>
          <w:color w:val="000000"/>
          <w:szCs w:val="22"/>
        </w:rPr>
        <w:t>Finally, it is also worth acknowledging that in the rare instances of a fund activating a suspension there is already good cooperation and communication between the</w:t>
      </w:r>
      <w:r>
        <w:rPr>
          <w:rFonts w:ascii="Arial" w:eastAsia="Arial" w:hAnsi="Arial" w:cs="Arial"/>
          <w:color w:val="000000"/>
          <w:szCs w:val="22"/>
        </w:rPr>
        <w:t xml:space="preserve"> National Competent Authorities</w:t>
      </w:r>
      <w:r w:rsidRPr="316BC453">
        <w:rPr>
          <w:rFonts w:ascii="Arial" w:eastAsia="Arial" w:hAnsi="Arial" w:cs="Arial"/>
          <w:color w:val="000000"/>
          <w:szCs w:val="22"/>
        </w:rPr>
        <w:t xml:space="preserve"> </w:t>
      </w:r>
      <w:r>
        <w:rPr>
          <w:rFonts w:ascii="Arial" w:eastAsia="Arial" w:hAnsi="Arial" w:cs="Arial"/>
          <w:color w:val="000000"/>
          <w:szCs w:val="22"/>
        </w:rPr>
        <w:t>(“</w:t>
      </w:r>
      <w:r w:rsidRPr="316BC453">
        <w:rPr>
          <w:rFonts w:ascii="Arial" w:eastAsia="Arial" w:hAnsi="Arial" w:cs="Arial"/>
          <w:color w:val="000000"/>
          <w:szCs w:val="22"/>
        </w:rPr>
        <w:t>NCAs</w:t>
      </w:r>
      <w:r>
        <w:rPr>
          <w:rFonts w:ascii="Arial" w:eastAsia="Arial" w:hAnsi="Arial" w:cs="Arial"/>
          <w:color w:val="000000"/>
          <w:szCs w:val="22"/>
        </w:rPr>
        <w:t>”)</w:t>
      </w:r>
      <w:r w:rsidRPr="316BC453">
        <w:rPr>
          <w:rFonts w:ascii="Arial" w:eastAsia="Arial" w:hAnsi="Arial" w:cs="Arial"/>
          <w:color w:val="000000"/>
          <w:szCs w:val="22"/>
        </w:rPr>
        <w:t xml:space="preserve"> and managers, with managers obliged to report any fund suspensions directly to their regulator. </w:t>
      </w:r>
      <w:permEnd w:id="842152120"/>
    </w:p>
    <w:p w14:paraId="44EBCD86" w14:textId="46F9C94B" w:rsidR="004F27FB" w:rsidRDefault="00DA4F15" w:rsidP="00A759D9">
      <w:pPr>
        <w:spacing w:line="240" w:lineRule="auto"/>
      </w:pPr>
      <w:r>
        <w:t>&lt;ESMA_QUESTION_SLMT_1&gt;</w:t>
      </w:r>
    </w:p>
    <w:p w14:paraId="1DBEF776" w14:textId="77777777" w:rsidR="00314AC9" w:rsidRDefault="00314AC9" w:rsidP="00A759D9">
      <w:pPr>
        <w:spacing w:line="240" w:lineRule="auto"/>
      </w:pPr>
    </w:p>
    <w:p w14:paraId="2C2E979A" w14:textId="77777777" w:rsidR="00DA4F15" w:rsidRDefault="00DA4F15" w:rsidP="00A759D9">
      <w:pPr>
        <w:pStyle w:val="Questionstyle"/>
        <w:numPr>
          <w:ilvl w:val="0"/>
          <w:numId w:val="14"/>
        </w:numPr>
        <w:tabs>
          <w:tab w:val="clear" w:pos="567"/>
        </w:tabs>
        <w:spacing w:line="256" w:lineRule="auto"/>
        <w:ind w:left="851" w:hanging="851"/>
      </w:pPr>
      <w:r>
        <w:t>Do you agree that orders that have been placed but not executed before the fund manager suspends shall not be executed until the suspension is lifted? If not, please explain why these orders shall be executed.</w:t>
      </w:r>
    </w:p>
    <w:p w14:paraId="127AC5F1" w14:textId="77777777" w:rsidR="00DA4F15" w:rsidRDefault="00DA4F15" w:rsidP="00A759D9">
      <w:r>
        <w:t>&lt;ESMA_QUESTION_SLMT_2&gt;</w:t>
      </w:r>
    </w:p>
    <w:p w14:paraId="68749FD5" w14:textId="49BDBBA3" w:rsidR="001400C6" w:rsidRPr="00A759D9" w:rsidRDefault="009E5096" w:rsidP="00A759D9">
      <w:pPr>
        <w:spacing w:line="240" w:lineRule="auto"/>
        <w:rPr>
          <w:rFonts w:ascii="Arial" w:eastAsia="Arial" w:hAnsi="Arial" w:cs="Arial"/>
          <w:color w:val="000000"/>
          <w:szCs w:val="22"/>
        </w:rPr>
      </w:pPr>
      <w:permStart w:id="227106512" w:edGrp="everyone"/>
      <w:r w:rsidRPr="316BC453">
        <w:rPr>
          <w:rFonts w:ascii="Arial" w:eastAsia="Arial" w:hAnsi="Arial" w:cs="Arial"/>
          <w:color w:val="000000"/>
          <w:szCs w:val="22"/>
        </w:rPr>
        <w:t>In principle we would agree with this as it would prevent first mover advantage</w:t>
      </w:r>
      <w:r>
        <w:rPr>
          <w:rFonts w:ascii="Arial" w:eastAsia="Arial" w:hAnsi="Arial" w:cs="Arial"/>
          <w:color w:val="000000"/>
          <w:szCs w:val="22"/>
        </w:rPr>
        <w:t xml:space="preserve"> (noting this is taken to mean in the context of the element(s) that are suspended)</w:t>
      </w:r>
      <w:r w:rsidRPr="316BC453">
        <w:rPr>
          <w:rFonts w:ascii="Arial" w:eastAsia="Arial" w:hAnsi="Arial" w:cs="Arial"/>
          <w:color w:val="000000"/>
          <w:szCs w:val="22"/>
        </w:rPr>
        <w:t xml:space="preserve">. As covered within the non-exhaustive list referenced in question 1 the reason for suspending a fund can be wide ranging but as an example, where a fund receives large redemption requests and there is valuation uncertainty within the fund, the suspension mechanism affords the manager the ability to navigate this situation in an effective way that is fair </w:t>
      </w:r>
      <w:r>
        <w:rPr>
          <w:rFonts w:ascii="Arial" w:eastAsia="Arial" w:hAnsi="Arial" w:cs="Arial"/>
          <w:color w:val="000000"/>
          <w:szCs w:val="22"/>
        </w:rPr>
        <w:t>to</w:t>
      </w:r>
      <w:r w:rsidRPr="316BC453">
        <w:rPr>
          <w:rFonts w:ascii="Arial" w:eastAsia="Arial" w:hAnsi="Arial" w:cs="Arial"/>
          <w:color w:val="000000"/>
          <w:szCs w:val="22"/>
        </w:rPr>
        <w:t xml:space="preserve"> all investors within the fund. </w:t>
      </w:r>
      <w:permEnd w:id="227106512"/>
    </w:p>
    <w:p w14:paraId="5D1E8172" w14:textId="159F7A4A" w:rsidR="004F27FB" w:rsidRDefault="001400C6" w:rsidP="00A759D9">
      <w:pPr>
        <w:spacing w:line="240" w:lineRule="auto"/>
      </w:pPr>
      <w:r>
        <w:t>&lt;</w:t>
      </w:r>
      <w:r w:rsidR="00DA4F15">
        <w:t>ESMA_QUESTION_SLMT_2&gt;</w:t>
      </w:r>
    </w:p>
    <w:p w14:paraId="42B48F55" w14:textId="77777777" w:rsidR="00314AC9" w:rsidRPr="004F27FB" w:rsidRDefault="00314AC9" w:rsidP="00A759D9">
      <w:pPr>
        <w:spacing w:line="240" w:lineRule="auto"/>
        <w:rPr>
          <w:rFonts w:ascii="Arial" w:eastAsia="Times New Roman" w:hAnsi="Arial" w:cs="Arial"/>
          <w:color w:val="000000"/>
          <w:szCs w:val="22"/>
        </w:rPr>
      </w:pPr>
    </w:p>
    <w:p w14:paraId="771B21C5" w14:textId="77777777" w:rsidR="00DA4F15" w:rsidRDefault="00DA4F15" w:rsidP="00A759D9">
      <w:pPr>
        <w:pStyle w:val="Questionstyle"/>
        <w:numPr>
          <w:ilvl w:val="0"/>
          <w:numId w:val="14"/>
        </w:numPr>
        <w:tabs>
          <w:tab w:val="clear" w:pos="567"/>
        </w:tabs>
        <w:spacing w:line="256" w:lineRule="auto"/>
        <w:ind w:left="851" w:hanging="851"/>
      </w:pPr>
      <w:r>
        <w:t>Once the fund is reopened for subscriptions, repurchases and redemptions, what would be your approach to redemption orders that have not been executed before the fund was suspended?</w:t>
      </w:r>
    </w:p>
    <w:p w14:paraId="66EB84A4" w14:textId="77777777" w:rsidR="00DA4F15" w:rsidRDefault="00DA4F15" w:rsidP="00A759D9">
      <w:r>
        <w:t>&lt;ESMA_QUESTION_SLMT_3&gt;</w:t>
      </w:r>
    </w:p>
    <w:p w14:paraId="49661D1A" w14:textId="7F607379" w:rsidR="007C3DC9" w:rsidRDefault="007C3DC9" w:rsidP="00A759D9">
      <w:pPr>
        <w:spacing w:line="240" w:lineRule="auto"/>
        <w:rPr>
          <w:rFonts w:ascii="Arial" w:eastAsia="Arial" w:hAnsi="Arial" w:cs="Arial"/>
          <w:szCs w:val="22"/>
        </w:rPr>
      </w:pPr>
      <w:permStart w:id="1010463442" w:edGrp="everyone"/>
      <w:r w:rsidRPr="316BC453">
        <w:rPr>
          <w:rFonts w:ascii="Arial" w:eastAsia="Arial" w:hAnsi="Arial" w:cs="Arial"/>
          <w:szCs w:val="22"/>
        </w:rPr>
        <w:t xml:space="preserve">Acknowledging again that the manager is best placed to manage their fund, we would caution against mandating an overly prescriptive approach. However, the standard approach would be to </w:t>
      </w:r>
      <w:r>
        <w:rPr>
          <w:rFonts w:ascii="Arial" w:eastAsia="Arial" w:hAnsi="Arial" w:cs="Arial"/>
          <w:szCs w:val="22"/>
        </w:rPr>
        <w:t>manage the</w:t>
      </w:r>
      <w:r w:rsidRPr="316BC453">
        <w:rPr>
          <w:rFonts w:ascii="Arial" w:eastAsia="Arial" w:hAnsi="Arial" w:cs="Arial"/>
          <w:szCs w:val="22"/>
        </w:rPr>
        <w:t xml:space="preserve"> execut</w:t>
      </w:r>
      <w:r>
        <w:rPr>
          <w:rFonts w:ascii="Arial" w:eastAsia="Arial" w:hAnsi="Arial" w:cs="Arial"/>
          <w:szCs w:val="22"/>
        </w:rPr>
        <w:t>ion of</w:t>
      </w:r>
      <w:r w:rsidRPr="316BC453">
        <w:rPr>
          <w:rFonts w:ascii="Arial" w:eastAsia="Arial" w:hAnsi="Arial" w:cs="Arial"/>
          <w:szCs w:val="22"/>
        </w:rPr>
        <w:t xml:space="preserve"> all outstanding redemption orders placed before the fund was suspended to ensure that all investors are treated fairly. However, depending on the size of the redemption orders the manager may need to activate a gate at this point to ensure the orderly execution of those redemption orders.</w:t>
      </w:r>
    </w:p>
    <w:permEnd w:id="1010463442"/>
    <w:p w14:paraId="2DC386AB" w14:textId="5B06297E" w:rsidR="00DA4F15" w:rsidRDefault="00DA4F15" w:rsidP="00A759D9">
      <w:r>
        <w:t>&lt;ESMA_QUESTION_SLMT_3&gt;</w:t>
      </w:r>
    </w:p>
    <w:p w14:paraId="2042902C" w14:textId="77777777" w:rsidR="00314AC9" w:rsidRDefault="00314AC9" w:rsidP="00A759D9"/>
    <w:p w14:paraId="41121C7F" w14:textId="77777777" w:rsidR="00DA4F15" w:rsidRDefault="00DA4F15" w:rsidP="00A759D9">
      <w:pPr>
        <w:pStyle w:val="Questionstyle"/>
        <w:numPr>
          <w:ilvl w:val="0"/>
          <w:numId w:val="14"/>
        </w:numPr>
        <w:tabs>
          <w:tab w:val="clear" w:pos="567"/>
        </w:tabs>
        <w:spacing w:line="256" w:lineRule="auto"/>
        <w:ind w:left="851" w:hanging="851"/>
      </w:pPr>
      <w:r>
        <w:t>Do you think there are circumstances where subscriptions, repurchases and redemptions may not be reopened simultaneously? If yes, what are these circumstances?</w:t>
      </w:r>
    </w:p>
    <w:p w14:paraId="6EDC0DD3" w14:textId="77777777" w:rsidR="00DA4F15" w:rsidRDefault="00DA4F15" w:rsidP="00A759D9">
      <w:r>
        <w:t>&lt;ESMA_QUESTION_SLMT_4&gt;</w:t>
      </w:r>
    </w:p>
    <w:p w14:paraId="148C8A5A" w14:textId="55B97CC7" w:rsidR="00DA1676" w:rsidRPr="00DA1676" w:rsidRDefault="00DA1676" w:rsidP="00F8036F">
      <w:pPr>
        <w:spacing w:line="240" w:lineRule="auto"/>
        <w:rPr>
          <w:rFonts w:ascii="Arial" w:eastAsia="Arial" w:hAnsi="Arial" w:cs="Arial"/>
          <w:color w:val="auto"/>
          <w:szCs w:val="22"/>
        </w:rPr>
      </w:pPr>
      <w:permStart w:id="2089954106" w:edGrp="everyone"/>
      <w:r w:rsidRPr="00DA1676">
        <w:rPr>
          <w:rFonts w:ascii="Arial" w:eastAsia="Arial" w:hAnsi="Arial" w:cs="Arial"/>
          <w:color w:val="auto"/>
          <w:szCs w:val="22"/>
        </w:rPr>
        <w:t>Yes, Irish Funds believe</w:t>
      </w:r>
      <w:r w:rsidR="002566F0">
        <w:rPr>
          <w:rFonts w:ascii="Arial" w:eastAsia="Arial" w:hAnsi="Arial" w:cs="Arial"/>
          <w:color w:val="auto"/>
          <w:szCs w:val="22"/>
        </w:rPr>
        <w:t>s</w:t>
      </w:r>
      <w:r w:rsidRPr="00DA1676">
        <w:rPr>
          <w:rFonts w:ascii="Arial" w:eastAsia="Arial" w:hAnsi="Arial" w:cs="Arial"/>
          <w:color w:val="auto"/>
          <w:szCs w:val="22"/>
        </w:rPr>
        <w:t xml:space="preserve"> there may be circumstances where subscriptions, repurchases and redemptions are not re-opened simultaneously as highlighted in question 1. </w:t>
      </w:r>
    </w:p>
    <w:p w14:paraId="31D16992" w14:textId="6E72284E" w:rsidR="00DA1676" w:rsidRPr="00DA1676" w:rsidRDefault="00DA1676" w:rsidP="00F8036F">
      <w:pPr>
        <w:spacing w:line="240" w:lineRule="auto"/>
        <w:rPr>
          <w:rFonts w:ascii="Arial" w:eastAsia="Arial" w:hAnsi="Arial" w:cs="Arial"/>
          <w:color w:val="auto"/>
          <w:szCs w:val="22"/>
        </w:rPr>
      </w:pPr>
      <w:r w:rsidRPr="00DA1676">
        <w:rPr>
          <w:rFonts w:ascii="Arial" w:eastAsia="Arial" w:hAnsi="Arial" w:cs="Arial"/>
          <w:color w:val="auto"/>
          <w:szCs w:val="22"/>
        </w:rPr>
        <w:t>Another example might be where a decision is taken to wind down or liquidate a fund, and for only redemption orders to be filled without opening the fund for subscriptions/repurchases.</w:t>
      </w:r>
    </w:p>
    <w:p w14:paraId="0B0B41C1" w14:textId="436D4B70" w:rsidR="00DA4F15" w:rsidRPr="00DA1676" w:rsidRDefault="00DA1676" w:rsidP="00F8036F">
      <w:pPr>
        <w:spacing w:line="240" w:lineRule="auto"/>
        <w:rPr>
          <w:color w:val="auto"/>
        </w:rPr>
      </w:pPr>
      <w:r w:rsidRPr="00DA1676">
        <w:rPr>
          <w:rFonts w:ascii="Arial" w:eastAsia="Arial" w:hAnsi="Arial" w:cs="Arial"/>
          <w:color w:val="auto"/>
          <w:szCs w:val="22"/>
        </w:rPr>
        <w:t>It is worth highlighting that often the circumstances that would lead to a fund suspension can be ‘black swan’ events and therefore difficult to predict. As such the manager needs to retain the discretion and flexibility to adapt to the liquidity situation as it arises</w:t>
      </w:r>
      <w:r>
        <w:rPr>
          <w:rFonts w:ascii="Arial" w:eastAsia="Arial" w:hAnsi="Arial" w:cs="Arial"/>
          <w:color w:val="auto"/>
          <w:szCs w:val="22"/>
        </w:rPr>
        <w:t>.</w:t>
      </w:r>
    </w:p>
    <w:permEnd w:id="2089954106"/>
    <w:p w14:paraId="21DA3114" w14:textId="6273AB3A" w:rsidR="00DA4F15" w:rsidRDefault="00DA4F15" w:rsidP="00A759D9">
      <w:r>
        <w:t>&lt;ESMA_QUESTION_SLMT_4&gt;</w:t>
      </w:r>
    </w:p>
    <w:p w14:paraId="74F5715B" w14:textId="77777777" w:rsidR="00314AC9" w:rsidRDefault="00314AC9" w:rsidP="00A759D9"/>
    <w:p w14:paraId="4A999F10" w14:textId="77777777" w:rsidR="00DA4F15" w:rsidRDefault="00DA4F15" w:rsidP="00A759D9">
      <w:pPr>
        <w:pStyle w:val="Questionstyle"/>
        <w:numPr>
          <w:ilvl w:val="0"/>
          <w:numId w:val="14"/>
        </w:numPr>
        <w:tabs>
          <w:tab w:val="clear" w:pos="567"/>
        </w:tabs>
        <w:spacing w:line="256" w:lineRule="auto"/>
        <w:ind w:left="851" w:hanging="851"/>
      </w:pPr>
      <w:r>
        <w:t>Can you think of any further characteristics of suspension of subscriptions, repurchases and redemptions?</w:t>
      </w:r>
    </w:p>
    <w:p w14:paraId="0277F7A4" w14:textId="77777777" w:rsidR="00DA4F15" w:rsidRDefault="00DA4F15" w:rsidP="00A759D9">
      <w:r>
        <w:t>&lt;ESMA_QUESTION_SLMT_5&gt;</w:t>
      </w:r>
    </w:p>
    <w:p w14:paraId="0F0A0980" w14:textId="7F7B97E7" w:rsidR="004F27FB" w:rsidRPr="004F27FB" w:rsidRDefault="00F45410" w:rsidP="00A759D9">
      <w:pPr>
        <w:spacing w:line="240" w:lineRule="auto"/>
        <w:rPr>
          <w:rFonts w:ascii="Arial" w:eastAsia="Arial" w:hAnsi="Arial" w:cs="Arial"/>
          <w:szCs w:val="22"/>
        </w:rPr>
      </w:pPr>
      <w:permStart w:id="2144415196" w:edGrp="everyone"/>
      <w:r>
        <w:rPr>
          <w:rFonts w:ascii="Arial" w:eastAsia="Arial" w:hAnsi="Arial" w:cs="Arial"/>
          <w:szCs w:val="22"/>
        </w:rPr>
        <w:t>Apart from the elements referenced in our response to the previous question regarding simultaneous suspensions of subscriptions, repurchases and redemptions, t</w:t>
      </w:r>
      <w:r w:rsidRPr="316BC453">
        <w:rPr>
          <w:rFonts w:ascii="Arial" w:eastAsia="Arial" w:hAnsi="Arial" w:cs="Arial"/>
          <w:szCs w:val="22"/>
        </w:rPr>
        <w:t xml:space="preserve">he characteristics provided </w:t>
      </w:r>
      <w:r w:rsidR="00476233">
        <w:rPr>
          <w:rFonts w:ascii="Arial" w:eastAsia="Arial" w:hAnsi="Arial" w:cs="Arial"/>
          <w:szCs w:val="22"/>
        </w:rPr>
        <w:t>should be</w:t>
      </w:r>
      <w:r w:rsidRPr="316BC453">
        <w:rPr>
          <w:rFonts w:ascii="Arial" w:eastAsia="Arial" w:hAnsi="Arial" w:cs="Arial"/>
          <w:szCs w:val="22"/>
        </w:rPr>
        <w:t xml:space="preserve"> sufficiently broad and comprehensive, without being overly prescriptive, allowing managers the appropriate flexibility to activate</w:t>
      </w:r>
      <w:r w:rsidR="00267EBD">
        <w:rPr>
          <w:rFonts w:ascii="Arial" w:eastAsia="Arial" w:hAnsi="Arial" w:cs="Arial"/>
          <w:szCs w:val="22"/>
        </w:rPr>
        <w:t xml:space="preserve"> a </w:t>
      </w:r>
      <w:r w:rsidR="00E13448">
        <w:rPr>
          <w:rFonts w:ascii="Arial" w:eastAsia="Arial" w:hAnsi="Arial" w:cs="Arial"/>
          <w:szCs w:val="22"/>
        </w:rPr>
        <w:t>suspension</w:t>
      </w:r>
      <w:r w:rsidRPr="316BC453">
        <w:rPr>
          <w:rFonts w:ascii="Arial" w:eastAsia="Arial" w:hAnsi="Arial" w:cs="Arial"/>
          <w:szCs w:val="22"/>
        </w:rPr>
        <w:t xml:space="preserve"> in the best interests of investors.</w:t>
      </w:r>
      <w:permEnd w:id="2144415196"/>
    </w:p>
    <w:p w14:paraId="436ACA0F" w14:textId="2AFFBE4E" w:rsidR="00DA4F15" w:rsidRDefault="00DA4F15" w:rsidP="00A759D9">
      <w:r>
        <w:t>&lt;ESMA_QUESTION_SLMT_5&gt;</w:t>
      </w:r>
    </w:p>
    <w:p w14:paraId="72263806" w14:textId="77777777" w:rsidR="00314AC9" w:rsidRDefault="00314AC9" w:rsidP="00A759D9"/>
    <w:p w14:paraId="72D67717" w14:textId="77777777" w:rsidR="00DA4F15" w:rsidRDefault="00DA4F15" w:rsidP="00A759D9">
      <w:pPr>
        <w:pStyle w:val="Questionstyle"/>
        <w:numPr>
          <w:ilvl w:val="0"/>
          <w:numId w:val="14"/>
        </w:numPr>
        <w:tabs>
          <w:tab w:val="clear" w:pos="567"/>
        </w:tabs>
        <w:spacing w:line="256" w:lineRule="auto"/>
        <w:ind w:left="851" w:hanging="851"/>
      </w:pPr>
      <w:r>
        <w:t>Do you think there is merit for the characteristics of suspension of subscriptions, repurchases and redemptions gates to differ between different investment strategies and between AIFs and UCITS? If yes, how?</w:t>
      </w:r>
    </w:p>
    <w:p w14:paraId="28A39ECC" w14:textId="77777777" w:rsidR="00DA4F15" w:rsidRDefault="00DA4F15" w:rsidP="00A759D9">
      <w:r>
        <w:t>&lt;ESMA_QUESTION_SLMT_6&gt;</w:t>
      </w:r>
    </w:p>
    <w:p w14:paraId="739123FD" w14:textId="5603C767" w:rsidR="00AC6738" w:rsidRDefault="00AC6738" w:rsidP="0015505F">
      <w:pPr>
        <w:spacing w:line="240" w:lineRule="auto"/>
        <w:rPr>
          <w:rFonts w:ascii="Arial" w:eastAsia="Arial" w:hAnsi="Arial" w:cs="Arial"/>
          <w:szCs w:val="22"/>
        </w:rPr>
      </w:pPr>
      <w:permStart w:id="441538008" w:edGrp="everyone"/>
      <w:r>
        <w:rPr>
          <w:rFonts w:ascii="Arial" w:eastAsia="Arial" w:hAnsi="Arial" w:cs="Arial"/>
          <w:szCs w:val="22"/>
        </w:rPr>
        <w:t>Irish Funds</w:t>
      </w:r>
      <w:r w:rsidRPr="41760CA5">
        <w:rPr>
          <w:rFonts w:ascii="Arial" w:eastAsia="Arial" w:hAnsi="Arial" w:cs="Arial"/>
          <w:szCs w:val="22"/>
        </w:rPr>
        <w:t xml:space="preserve"> do</w:t>
      </w:r>
      <w:r w:rsidR="0005683E">
        <w:rPr>
          <w:rFonts w:ascii="Arial" w:eastAsia="Arial" w:hAnsi="Arial" w:cs="Arial"/>
          <w:szCs w:val="22"/>
        </w:rPr>
        <w:t>es</w:t>
      </w:r>
      <w:r w:rsidRPr="41760CA5">
        <w:rPr>
          <w:rFonts w:ascii="Arial" w:eastAsia="Arial" w:hAnsi="Arial" w:cs="Arial"/>
          <w:szCs w:val="22"/>
        </w:rPr>
        <w:t xml:space="preserve"> not </w:t>
      </w:r>
      <w:r w:rsidR="0005683E">
        <w:rPr>
          <w:rFonts w:ascii="Arial" w:eastAsia="Arial" w:hAnsi="Arial" w:cs="Arial"/>
          <w:szCs w:val="22"/>
        </w:rPr>
        <w:t>believe</w:t>
      </w:r>
      <w:r w:rsidRPr="41760CA5">
        <w:rPr>
          <w:rFonts w:ascii="Arial" w:eastAsia="Arial" w:hAnsi="Arial" w:cs="Arial"/>
          <w:szCs w:val="22"/>
        </w:rPr>
        <w:t xml:space="preserve"> there is merit in differentiating characteristics between either investment strategies or funds vehicles (UCITS and AIFs). The fund terms and available tools selected for each fund are done to ensure that they are fit for purpose in terms of the fund strategy, investor base, dealing frequency etc… In the case of suspension, all funds are required to have this within their liquidity management tool kit. To the extent that the activation of a suspension is deemed necessary due to “exceptional circumstances”, what those circumstances constitute could be very different based on strategy, investor base and dealing frequency. However, </w:t>
      </w:r>
      <w:r>
        <w:rPr>
          <w:rFonts w:ascii="Arial" w:eastAsia="Arial" w:hAnsi="Arial" w:cs="Arial"/>
          <w:szCs w:val="22"/>
        </w:rPr>
        <w:t>its function</w:t>
      </w:r>
      <w:r w:rsidRPr="41760CA5">
        <w:rPr>
          <w:rFonts w:ascii="Arial" w:eastAsia="Arial" w:hAnsi="Arial" w:cs="Arial"/>
          <w:szCs w:val="22"/>
        </w:rPr>
        <w:t xml:space="preserve"> as a mechanism is the same regardless of strategy or vehicle.</w:t>
      </w:r>
    </w:p>
    <w:p w14:paraId="0AF5546C" w14:textId="5F651934" w:rsidR="00AC6738" w:rsidRDefault="00AC6738" w:rsidP="0015505F">
      <w:pPr>
        <w:spacing w:line="240" w:lineRule="auto"/>
        <w:rPr>
          <w:rFonts w:ascii="Arial" w:eastAsia="Arial" w:hAnsi="Arial" w:cs="Arial"/>
          <w:szCs w:val="22"/>
        </w:rPr>
      </w:pPr>
      <w:r w:rsidRPr="41760CA5">
        <w:rPr>
          <w:rFonts w:ascii="Arial" w:eastAsia="Arial" w:hAnsi="Arial" w:cs="Arial"/>
          <w:szCs w:val="22"/>
        </w:rPr>
        <w:t xml:space="preserve">As referenced in question 1, </w:t>
      </w:r>
      <w:r w:rsidR="00862B15">
        <w:rPr>
          <w:rFonts w:ascii="Arial" w:eastAsia="Arial" w:hAnsi="Arial" w:cs="Arial"/>
          <w:szCs w:val="22"/>
        </w:rPr>
        <w:t>u</w:t>
      </w:r>
      <w:r w:rsidRPr="41760CA5">
        <w:rPr>
          <w:rFonts w:ascii="Arial" w:eastAsia="Arial" w:hAnsi="Arial" w:cs="Arial"/>
          <w:szCs w:val="22"/>
        </w:rPr>
        <w:t xml:space="preserve">ltimately it is for the manager / fund Board to exercise their judgement as to what types of trigger events constitute exceptional circumstances for their fund range. The manager will give due credence to the associated fund terms, investment strategies followed, and asset classes held, in addition to retaining discretion over what is determined to be in the best interests of their investors. Therefore, we do not see a need to create separate characteristics for the suspension of UCITS and AIFs (or across different strategies), and instead advocate for these characteristics to remain broad-based and not overly prescriptive. </w:t>
      </w:r>
    </w:p>
    <w:p w14:paraId="197C8286" w14:textId="77777777" w:rsidR="0015505F" w:rsidRDefault="00AC6738" w:rsidP="0015505F">
      <w:pPr>
        <w:spacing w:line="240" w:lineRule="auto"/>
        <w:rPr>
          <w:rFonts w:ascii="Arial" w:eastAsia="Arial" w:hAnsi="Arial" w:cs="Arial"/>
          <w:szCs w:val="22"/>
        </w:rPr>
      </w:pPr>
      <w:r w:rsidRPr="316BC453">
        <w:rPr>
          <w:rFonts w:ascii="Arial" w:eastAsia="Arial" w:hAnsi="Arial" w:cs="Arial"/>
          <w:szCs w:val="22"/>
        </w:rPr>
        <w:t>Finally, it is worth reiterating that the decision to activate a suspension by any manager is not one that is taken lightly and would be subject to the most stringent of governance processes.</w:t>
      </w:r>
      <w:r w:rsidR="00B779AE">
        <w:rPr>
          <w:rFonts w:ascii="Arial" w:eastAsia="Arial" w:hAnsi="Arial" w:cs="Arial"/>
          <w:szCs w:val="22"/>
        </w:rPr>
        <w:t xml:space="preserve"> </w:t>
      </w:r>
    </w:p>
    <w:permEnd w:id="441538008"/>
    <w:p w14:paraId="14A7733B" w14:textId="3E99486E" w:rsidR="00DA4F15" w:rsidRPr="0015505F" w:rsidRDefault="00DA4F15" w:rsidP="0015505F">
      <w:pPr>
        <w:spacing w:line="240" w:lineRule="auto"/>
        <w:rPr>
          <w:rFonts w:ascii="Arial" w:eastAsia="Arial" w:hAnsi="Arial" w:cs="Arial"/>
          <w:szCs w:val="22"/>
        </w:rPr>
      </w:pPr>
      <w:r>
        <w:t>&lt;ESMA_QUESTION_SLMT_6&gt;</w:t>
      </w:r>
    </w:p>
    <w:p w14:paraId="08924F37" w14:textId="77777777" w:rsidR="00314AC9" w:rsidRDefault="00314AC9" w:rsidP="00A759D9"/>
    <w:p w14:paraId="76FC6E28" w14:textId="77777777" w:rsidR="00DA4F15" w:rsidRDefault="00DA4F15" w:rsidP="00A759D9">
      <w:pPr>
        <w:pStyle w:val="Questionstyle"/>
        <w:numPr>
          <w:ilvl w:val="0"/>
          <w:numId w:val="14"/>
        </w:numPr>
        <w:tabs>
          <w:tab w:val="clear" w:pos="567"/>
        </w:tabs>
        <w:spacing w:line="256" w:lineRule="auto"/>
        <w:ind w:left="851" w:hanging="851"/>
      </w:pPr>
      <w:r>
        <w:t>Do you agree with the description of redemption gates and their characteristics? If not, please justify your position.</w:t>
      </w:r>
    </w:p>
    <w:p w14:paraId="4D1AEF90" w14:textId="77777777" w:rsidR="00DA4F15" w:rsidRDefault="00DA4F15" w:rsidP="00A759D9">
      <w:r>
        <w:t>&lt;ESMA_QUESTION_SLMT_7&gt;</w:t>
      </w:r>
    </w:p>
    <w:p w14:paraId="664A7F42" w14:textId="661BD944" w:rsidR="00461A19" w:rsidRDefault="00461A19" w:rsidP="0015505F">
      <w:pPr>
        <w:spacing w:line="240" w:lineRule="auto"/>
        <w:rPr>
          <w:rFonts w:ascii="Arial" w:eastAsia="Arial" w:hAnsi="Arial" w:cs="Arial"/>
          <w:szCs w:val="22"/>
        </w:rPr>
      </w:pPr>
      <w:permStart w:id="637092435" w:edGrp="everyone"/>
      <w:r>
        <w:rPr>
          <w:rFonts w:ascii="Arial" w:eastAsia="Arial" w:hAnsi="Arial" w:cs="Arial"/>
          <w:szCs w:val="22"/>
        </w:rPr>
        <w:t>Caution</w:t>
      </w:r>
      <w:r w:rsidRPr="316BC453">
        <w:rPr>
          <w:rFonts w:ascii="Arial" w:eastAsia="Arial" w:hAnsi="Arial" w:cs="Arial"/>
          <w:szCs w:val="22"/>
        </w:rPr>
        <w:t xml:space="preserve"> should be exercised in terms of being over</w:t>
      </w:r>
      <w:r>
        <w:rPr>
          <w:rFonts w:ascii="Arial" w:eastAsia="Arial" w:hAnsi="Arial" w:cs="Arial"/>
          <w:szCs w:val="22"/>
        </w:rPr>
        <w:t>ly</w:t>
      </w:r>
      <w:r w:rsidRPr="316BC453">
        <w:rPr>
          <w:rFonts w:ascii="Arial" w:eastAsia="Arial" w:hAnsi="Arial" w:cs="Arial"/>
          <w:szCs w:val="22"/>
        </w:rPr>
        <w:t xml:space="preserve"> prescriptive when it comes to the practical application of the </w:t>
      </w:r>
      <w:r>
        <w:rPr>
          <w:rFonts w:ascii="Arial" w:eastAsia="Arial" w:hAnsi="Arial" w:cs="Arial"/>
          <w:szCs w:val="22"/>
        </w:rPr>
        <w:t>gating</w:t>
      </w:r>
      <w:r w:rsidRPr="316BC453">
        <w:rPr>
          <w:rFonts w:ascii="Arial" w:eastAsia="Arial" w:hAnsi="Arial" w:cs="Arial"/>
          <w:szCs w:val="22"/>
        </w:rPr>
        <w:t xml:space="preserve"> mechanism by managers and their </w:t>
      </w:r>
      <w:r>
        <w:rPr>
          <w:rFonts w:ascii="Arial" w:eastAsia="Arial" w:hAnsi="Arial" w:cs="Arial"/>
          <w:szCs w:val="22"/>
        </w:rPr>
        <w:t>B</w:t>
      </w:r>
      <w:r w:rsidRPr="316BC453">
        <w:rPr>
          <w:rFonts w:ascii="Arial" w:eastAsia="Arial" w:hAnsi="Arial" w:cs="Arial"/>
          <w:szCs w:val="22"/>
        </w:rPr>
        <w:t>oards.</w:t>
      </w:r>
      <w:r>
        <w:rPr>
          <w:rFonts w:ascii="Arial" w:eastAsia="Arial" w:hAnsi="Arial" w:cs="Arial"/>
          <w:szCs w:val="22"/>
        </w:rPr>
        <w:t xml:space="preserve"> </w:t>
      </w:r>
    </w:p>
    <w:p w14:paraId="6538F286" w14:textId="619C14F2" w:rsidR="00461A19" w:rsidRDefault="00841CCB" w:rsidP="0015505F">
      <w:pPr>
        <w:spacing w:line="240" w:lineRule="auto"/>
        <w:rPr>
          <w:rFonts w:ascii="Arial" w:eastAsia="Arial" w:hAnsi="Arial" w:cs="Arial"/>
          <w:szCs w:val="22"/>
        </w:rPr>
      </w:pPr>
      <w:r>
        <w:rPr>
          <w:rFonts w:ascii="Arial" w:eastAsia="Arial" w:hAnsi="Arial" w:cs="Arial"/>
          <w:szCs w:val="22"/>
        </w:rPr>
        <w:t xml:space="preserve">Consideration </w:t>
      </w:r>
      <w:r w:rsidR="003F2D98">
        <w:rPr>
          <w:rFonts w:ascii="Arial" w:eastAsia="Arial" w:hAnsi="Arial" w:cs="Arial"/>
          <w:szCs w:val="22"/>
        </w:rPr>
        <w:t>should</w:t>
      </w:r>
      <w:r w:rsidR="00461A19">
        <w:rPr>
          <w:rFonts w:ascii="Arial" w:eastAsia="Arial" w:hAnsi="Arial" w:cs="Arial"/>
          <w:szCs w:val="22"/>
        </w:rPr>
        <w:t xml:space="preserve"> also be </w:t>
      </w:r>
      <w:r w:rsidR="003F2D98">
        <w:rPr>
          <w:rFonts w:ascii="Arial" w:eastAsia="Arial" w:hAnsi="Arial" w:cs="Arial"/>
          <w:szCs w:val="22"/>
        </w:rPr>
        <w:t>given to re-drafting</w:t>
      </w:r>
      <w:r w:rsidR="00461A19">
        <w:rPr>
          <w:rFonts w:ascii="Arial" w:eastAsia="Arial" w:hAnsi="Arial" w:cs="Arial"/>
          <w:szCs w:val="22"/>
        </w:rPr>
        <w:t xml:space="preserve"> the text in Article 2(6) as this might be read as giving priority to the non-executed orders. This could be expanded on to capture the additional context provided in paragraph 36 and 39 which provides discretion to the manager/</w:t>
      </w:r>
      <w:r w:rsidR="00B15766">
        <w:rPr>
          <w:rFonts w:ascii="Arial" w:eastAsia="Arial" w:hAnsi="Arial" w:cs="Arial"/>
          <w:szCs w:val="22"/>
        </w:rPr>
        <w:t>B</w:t>
      </w:r>
      <w:r w:rsidR="00461A19">
        <w:rPr>
          <w:rFonts w:ascii="Arial" w:eastAsia="Arial" w:hAnsi="Arial" w:cs="Arial"/>
          <w:szCs w:val="22"/>
        </w:rPr>
        <w:t>oard as to the processing order of redemptions; “</w:t>
      </w:r>
      <w:r w:rsidR="00461A19" w:rsidRPr="00202336">
        <w:rPr>
          <w:rFonts w:ascii="Arial" w:eastAsia="Arial" w:hAnsi="Arial" w:cs="Arial"/>
          <w:i/>
          <w:iCs/>
          <w:szCs w:val="22"/>
        </w:rPr>
        <w:t>The fund manager/fund Board shall specify in advance, whether the part of redemption orders that have not been executed, as a result of the activation of the redemption gate, and that have been carried forward to the next dealing date, shall have any priority or not over redemption orders submitted for execution at the next dealing date</w:t>
      </w:r>
      <w:r w:rsidR="00461A19">
        <w:rPr>
          <w:rFonts w:ascii="Arial" w:eastAsia="Arial" w:hAnsi="Arial" w:cs="Arial"/>
          <w:szCs w:val="22"/>
        </w:rPr>
        <w:t>”</w:t>
      </w:r>
      <w:r w:rsidR="00461A19" w:rsidRPr="00524000">
        <w:rPr>
          <w:rFonts w:ascii="Arial" w:eastAsia="Arial" w:hAnsi="Arial" w:cs="Arial"/>
          <w:szCs w:val="22"/>
        </w:rPr>
        <w:t xml:space="preserve">. </w:t>
      </w:r>
      <w:r w:rsidR="00461A19">
        <w:rPr>
          <w:rFonts w:ascii="Arial" w:eastAsia="Arial" w:hAnsi="Arial" w:cs="Arial"/>
          <w:szCs w:val="22"/>
        </w:rPr>
        <w:t xml:space="preserve"> </w:t>
      </w:r>
    </w:p>
    <w:p w14:paraId="1D654B0B" w14:textId="755BA332" w:rsidR="00DA4F15" w:rsidRDefault="00461A19" w:rsidP="0015505F">
      <w:pPr>
        <w:spacing w:line="240" w:lineRule="auto"/>
      </w:pPr>
      <w:r>
        <w:rPr>
          <w:rFonts w:ascii="Arial" w:eastAsia="Arial" w:hAnsi="Arial" w:cs="Arial"/>
          <w:szCs w:val="22"/>
        </w:rPr>
        <w:t xml:space="preserve">Additionally, there are a number of aspects to the </w:t>
      </w:r>
      <w:r w:rsidR="00A06E38">
        <w:rPr>
          <w:rFonts w:ascii="Arial" w:eastAsia="Arial" w:hAnsi="Arial" w:cs="Arial"/>
          <w:szCs w:val="22"/>
        </w:rPr>
        <w:t>characteristics</w:t>
      </w:r>
      <w:r>
        <w:rPr>
          <w:rFonts w:ascii="Arial" w:eastAsia="Arial" w:hAnsi="Arial" w:cs="Arial"/>
          <w:szCs w:val="22"/>
        </w:rPr>
        <w:t xml:space="preserve"> of gates that should be re-considered and are highlighted in our answers (to the gating questions) below.</w:t>
      </w:r>
    </w:p>
    <w:permEnd w:id="637092435"/>
    <w:p w14:paraId="66D6190F" w14:textId="68EFEE50" w:rsidR="00DA4F15" w:rsidRDefault="00DA4F15" w:rsidP="00A759D9">
      <w:r>
        <w:t>&lt;ESMA_QUESTION_SLMT_7&gt;</w:t>
      </w:r>
    </w:p>
    <w:p w14:paraId="453AEE88" w14:textId="77777777" w:rsidR="00314AC9" w:rsidRDefault="00314AC9" w:rsidP="00A759D9"/>
    <w:p w14:paraId="3E8C5421" w14:textId="77777777" w:rsidR="00DA4F15" w:rsidRDefault="00DA4F15" w:rsidP="00A759D9">
      <w:pPr>
        <w:pStyle w:val="Questionstyle"/>
        <w:numPr>
          <w:ilvl w:val="0"/>
          <w:numId w:val="14"/>
        </w:numPr>
        <w:tabs>
          <w:tab w:val="clear" w:pos="567"/>
        </w:tabs>
        <w:spacing w:line="256" w:lineRule="auto"/>
        <w:ind w:left="851" w:hanging="851"/>
      </w:pPr>
      <w:r>
        <w:t xml:space="preserve">The draft RTS provides that the redemption gate threshold shall be expressed as a percentage of the NAV of the fund considering the net redemption orders for a given dealing day. Are you aware of any other method that ESMA should consider in the RTS? If yes, please explain. </w:t>
      </w:r>
    </w:p>
    <w:p w14:paraId="28843D3F" w14:textId="77777777" w:rsidR="00DA4F15" w:rsidRDefault="00DA4F15" w:rsidP="00A759D9">
      <w:r>
        <w:t>&lt;ESMA_QUESTION_SLMT_8&gt;</w:t>
      </w:r>
    </w:p>
    <w:p w14:paraId="7DE1BA19" w14:textId="367959D7" w:rsidR="00DA4178" w:rsidRDefault="00DA4178" w:rsidP="00A759D9">
      <w:pPr>
        <w:spacing w:line="240" w:lineRule="auto"/>
        <w:rPr>
          <w:rFonts w:ascii="Arial" w:eastAsia="Arial" w:hAnsi="Arial" w:cs="Arial"/>
          <w:szCs w:val="22"/>
        </w:rPr>
      </w:pPr>
      <w:permStart w:id="1095595777" w:edGrp="everyone"/>
      <w:r>
        <w:rPr>
          <w:rFonts w:ascii="Arial" w:eastAsia="Arial" w:hAnsi="Arial" w:cs="Arial"/>
          <w:szCs w:val="22"/>
        </w:rPr>
        <w:t xml:space="preserve">Article 2(1) considers the threshold only as a percentage of </w:t>
      </w:r>
      <w:r w:rsidR="00685190">
        <w:rPr>
          <w:rFonts w:ascii="Arial" w:eastAsia="Arial" w:hAnsi="Arial" w:cs="Arial"/>
          <w:szCs w:val="22"/>
        </w:rPr>
        <w:t xml:space="preserve">the </w:t>
      </w:r>
      <w:r>
        <w:rPr>
          <w:rFonts w:ascii="Arial" w:eastAsia="Arial" w:hAnsi="Arial" w:cs="Arial"/>
          <w:szCs w:val="22"/>
        </w:rPr>
        <w:t xml:space="preserve">NAV, and while this is a commonly used method, particularly in UCITS, another approach that may be used is determining a threshold based on an ‘absolute monetary’ amount. This is the case when it may be more appropriate to link a threshold to the size of a market rather than a fund for certain asset classes. For example, where a fund is invested in specific real estate markets, the manager may be able to determine the absolute size of a transaction that a market would be unable to absorb without a significant negative impact and set the threshold below that.  </w:t>
      </w:r>
    </w:p>
    <w:p w14:paraId="6D559734" w14:textId="2FDA1803" w:rsidR="00DA4178" w:rsidRPr="00314AC9" w:rsidRDefault="00DA4178" w:rsidP="00A759D9">
      <w:pPr>
        <w:spacing w:line="240" w:lineRule="auto"/>
        <w:rPr>
          <w:rFonts w:ascii="Arial" w:eastAsia="Arial" w:hAnsi="Arial" w:cs="Arial"/>
          <w:szCs w:val="22"/>
        </w:rPr>
      </w:pPr>
      <w:r>
        <w:rPr>
          <w:rFonts w:ascii="Arial" w:eastAsia="Arial" w:hAnsi="Arial" w:cs="Arial"/>
          <w:szCs w:val="22"/>
        </w:rPr>
        <w:t xml:space="preserve">Finally, Article 2(2) references net redemption orders for a “given dealing date”. ESMA should also give due consideration to managers using a ‘rolling period’ which would be based on redemptions over a set cumulative period (possibly calibrated to the dealing frequency and notice period) breaching the threshold. </w:t>
      </w:r>
      <w:permEnd w:id="1095595777"/>
    </w:p>
    <w:p w14:paraId="08EEB889" w14:textId="7F7A9203" w:rsidR="00DA4F15" w:rsidRDefault="00DA4F15" w:rsidP="00A759D9">
      <w:pPr>
        <w:spacing w:line="240" w:lineRule="auto"/>
      </w:pPr>
      <w:r>
        <w:t>&lt;ESMA_QUESTION_SLMT_8&gt;</w:t>
      </w:r>
    </w:p>
    <w:p w14:paraId="73359F6B" w14:textId="77777777" w:rsidR="004F27FB" w:rsidRDefault="004F27FB" w:rsidP="00A759D9">
      <w:pPr>
        <w:spacing w:line="240" w:lineRule="auto"/>
      </w:pPr>
    </w:p>
    <w:p w14:paraId="492A0323" w14:textId="77777777" w:rsidR="00DA4F15" w:rsidRDefault="00DA4F15" w:rsidP="00A759D9">
      <w:pPr>
        <w:pStyle w:val="Questionstyle"/>
        <w:numPr>
          <w:ilvl w:val="0"/>
          <w:numId w:val="14"/>
        </w:numPr>
        <w:tabs>
          <w:tab w:val="clear" w:pos="567"/>
        </w:tabs>
        <w:spacing w:line="256" w:lineRule="auto"/>
        <w:ind w:left="851" w:hanging="851"/>
      </w:pPr>
      <w:r>
        <w:t xml:space="preserve">Do you agree that redemption gates may be either activated automatically when the activation threshold is exceeded or that the fund manager/ fund Boards may decide </w:t>
      </w:r>
      <w:proofErr w:type="gramStart"/>
      <w:r>
        <w:t>whether or not</w:t>
      </w:r>
      <w:proofErr w:type="gramEnd"/>
      <w:r>
        <w:t xml:space="preserve"> to activate the redemption gate? Do you believe that automatic activation of redemption gates could create a first mover advantage?</w:t>
      </w:r>
    </w:p>
    <w:p w14:paraId="6BC7255C" w14:textId="77777777" w:rsidR="00DA4F15" w:rsidRDefault="00DA4F15" w:rsidP="00A759D9">
      <w:r>
        <w:t>&lt;ESMA_QUESTION_SLMT_9&gt;</w:t>
      </w:r>
    </w:p>
    <w:p w14:paraId="3DFC47E6" w14:textId="6F00B8D9" w:rsidR="00FF155D" w:rsidRDefault="00FF155D" w:rsidP="00A759D9">
      <w:pPr>
        <w:spacing w:line="240" w:lineRule="auto"/>
        <w:rPr>
          <w:rFonts w:ascii="Arial" w:eastAsia="Arial" w:hAnsi="Arial" w:cs="Arial"/>
          <w:szCs w:val="22"/>
        </w:rPr>
      </w:pPr>
      <w:permStart w:id="1593604636" w:edGrp="everyone"/>
      <w:r>
        <w:rPr>
          <w:rFonts w:ascii="Arial" w:eastAsia="Arial" w:hAnsi="Arial" w:cs="Arial"/>
          <w:szCs w:val="22"/>
        </w:rPr>
        <w:t xml:space="preserve">As an overarching position, Irish Funds believes that the selection and activation of LMTs should be at the discretion of the manager and considered on a case-by-case basis with the manager being best placed to exercise judgement to ensure the best outcome for their investors. Irish Funds would advocate that the activation threshold of any gate should be determined by the manager and that the activation of a gate should also be at the discretion of the manager/fund </w:t>
      </w:r>
      <w:r w:rsidR="00685190">
        <w:rPr>
          <w:rFonts w:ascii="Arial" w:eastAsia="Arial" w:hAnsi="Arial" w:cs="Arial"/>
          <w:szCs w:val="22"/>
        </w:rPr>
        <w:t>B</w:t>
      </w:r>
      <w:r>
        <w:rPr>
          <w:rFonts w:ascii="Arial" w:eastAsia="Arial" w:hAnsi="Arial" w:cs="Arial"/>
          <w:szCs w:val="22"/>
        </w:rPr>
        <w:t xml:space="preserve">oard. </w:t>
      </w:r>
    </w:p>
    <w:p w14:paraId="7F4373BD" w14:textId="678A7C67" w:rsidR="00314AC9" w:rsidRDefault="00FF155D" w:rsidP="00314AC9">
      <w:pPr>
        <w:spacing w:line="240" w:lineRule="auto"/>
        <w:rPr>
          <w:rFonts w:ascii="Arial" w:eastAsia="Arial" w:hAnsi="Arial" w:cs="Arial"/>
          <w:szCs w:val="22"/>
        </w:rPr>
      </w:pPr>
      <w:r w:rsidRPr="316BC453">
        <w:rPr>
          <w:rFonts w:ascii="Arial" w:eastAsia="Arial" w:hAnsi="Arial" w:cs="Arial"/>
          <w:szCs w:val="22"/>
        </w:rPr>
        <w:t xml:space="preserve">Irish Funds would note that </w:t>
      </w:r>
      <w:r>
        <w:rPr>
          <w:rFonts w:ascii="Arial" w:eastAsia="Arial" w:hAnsi="Arial" w:cs="Arial"/>
          <w:szCs w:val="22"/>
        </w:rPr>
        <w:t>g</w:t>
      </w:r>
      <w:r w:rsidRPr="316BC453">
        <w:rPr>
          <w:rFonts w:ascii="Arial" w:eastAsia="Arial" w:hAnsi="Arial" w:cs="Arial"/>
          <w:szCs w:val="22"/>
        </w:rPr>
        <w:t xml:space="preserve">ates would be a common LMT within an Irish UCITS toolkit. However, as it is deemed a more ‘exceptional’ LMT </w:t>
      </w:r>
      <w:r>
        <w:rPr>
          <w:rFonts w:ascii="Arial" w:eastAsia="Arial" w:hAnsi="Arial" w:cs="Arial"/>
          <w:szCs w:val="22"/>
        </w:rPr>
        <w:t>in the case of UCITS</w:t>
      </w:r>
      <w:r w:rsidRPr="316BC453">
        <w:rPr>
          <w:rFonts w:ascii="Arial" w:eastAsia="Arial" w:hAnsi="Arial" w:cs="Arial"/>
          <w:szCs w:val="22"/>
        </w:rPr>
        <w:t xml:space="preserve"> it is not widely used and the decision to activate a </w:t>
      </w:r>
      <w:r>
        <w:rPr>
          <w:rFonts w:ascii="Arial" w:eastAsia="Arial" w:hAnsi="Arial" w:cs="Arial"/>
          <w:szCs w:val="22"/>
        </w:rPr>
        <w:t>g</w:t>
      </w:r>
      <w:r w:rsidRPr="316BC453">
        <w:rPr>
          <w:rFonts w:ascii="Arial" w:eastAsia="Arial" w:hAnsi="Arial" w:cs="Arial"/>
          <w:szCs w:val="22"/>
        </w:rPr>
        <w:t xml:space="preserve">ate is typically taken at the manager/fund </w:t>
      </w:r>
      <w:r w:rsidR="00407B49">
        <w:rPr>
          <w:rFonts w:ascii="Arial" w:eastAsia="Arial" w:hAnsi="Arial" w:cs="Arial"/>
          <w:szCs w:val="22"/>
        </w:rPr>
        <w:t>B</w:t>
      </w:r>
      <w:r w:rsidRPr="316BC453">
        <w:rPr>
          <w:rFonts w:ascii="Arial" w:eastAsia="Arial" w:hAnsi="Arial" w:cs="Arial"/>
          <w:szCs w:val="22"/>
        </w:rPr>
        <w:t>oard level.</w:t>
      </w:r>
    </w:p>
    <w:permEnd w:id="1593604636"/>
    <w:p w14:paraId="27BD3D8A" w14:textId="5E15A40D" w:rsidR="00DA4F15" w:rsidRDefault="00DA4F15" w:rsidP="00314AC9">
      <w:pPr>
        <w:spacing w:line="240" w:lineRule="auto"/>
      </w:pPr>
      <w:r>
        <w:t>&lt;ESMA_QUESTION_SLMT_9&gt;</w:t>
      </w:r>
    </w:p>
    <w:p w14:paraId="21DF9219" w14:textId="77777777" w:rsidR="00314AC9" w:rsidRPr="00314AC9" w:rsidRDefault="00314AC9" w:rsidP="00314AC9">
      <w:pPr>
        <w:spacing w:line="240" w:lineRule="auto"/>
        <w:rPr>
          <w:rFonts w:ascii="Arial" w:eastAsia="Arial" w:hAnsi="Arial" w:cs="Arial"/>
          <w:szCs w:val="22"/>
        </w:rPr>
      </w:pPr>
    </w:p>
    <w:p w14:paraId="21EEAD3A" w14:textId="77777777" w:rsidR="00DA4F15" w:rsidRDefault="00DA4F15" w:rsidP="00A759D9">
      <w:pPr>
        <w:pStyle w:val="Questionstyle"/>
        <w:numPr>
          <w:ilvl w:val="0"/>
          <w:numId w:val="14"/>
        </w:numPr>
        <w:tabs>
          <w:tab w:val="clear" w:pos="567"/>
        </w:tabs>
        <w:spacing w:line="256" w:lineRule="auto"/>
        <w:ind w:left="851" w:hanging="851"/>
      </w:pPr>
      <w:r>
        <w:t>Do you think that the automatic activation of redemption gates shall not be permitted for some types of funds. If yes, please explain your position.</w:t>
      </w:r>
    </w:p>
    <w:p w14:paraId="5C785898" w14:textId="77777777" w:rsidR="00DA4F15" w:rsidRDefault="00DA4F15" w:rsidP="00A759D9">
      <w:r>
        <w:t>&lt;ESMA_QUESTION_SLMT_10&gt;</w:t>
      </w:r>
    </w:p>
    <w:p w14:paraId="752F1E69" w14:textId="7EEF0045" w:rsidR="004F27FB" w:rsidRPr="004F27FB" w:rsidRDefault="004750B3" w:rsidP="00A759D9">
      <w:pPr>
        <w:spacing w:line="240" w:lineRule="auto"/>
        <w:rPr>
          <w:rFonts w:ascii="Arial" w:eastAsia="Arial" w:hAnsi="Arial" w:cs="Arial"/>
          <w:szCs w:val="22"/>
        </w:rPr>
      </w:pPr>
      <w:permStart w:id="1731209023" w:edGrp="everyone"/>
      <w:r w:rsidRPr="00E00094">
        <w:rPr>
          <w:rFonts w:ascii="Arial" w:eastAsia="Arial" w:hAnsi="Arial" w:cs="Arial"/>
          <w:szCs w:val="22"/>
        </w:rPr>
        <w:t>As mentioned in our response to question 9, Irish Funds holds the overarching position that the</w:t>
      </w:r>
      <w:r>
        <w:rPr>
          <w:rFonts w:ascii="Arial" w:eastAsia="Arial" w:hAnsi="Arial" w:cs="Arial"/>
          <w:szCs w:val="22"/>
        </w:rPr>
        <w:t xml:space="preserve"> selection and activation of LMTs should be at the discretion of the manager and considered on a case-by-case basis with the manager being best placed to exercise judgement to ensure the best outcome for their investors. </w:t>
      </w:r>
      <w:permEnd w:id="1731209023"/>
    </w:p>
    <w:p w14:paraId="059CE889" w14:textId="287B4543" w:rsidR="00DA4F15" w:rsidRDefault="00DA4F15" w:rsidP="00A759D9">
      <w:r>
        <w:t>&lt;ESMA_QUESTION_SLMT_10&gt;</w:t>
      </w:r>
    </w:p>
    <w:p w14:paraId="0761D589" w14:textId="77777777" w:rsidR="00314AC9" w:rsidRDefault="00314AC9" w:rsidP="00A759D9"/>
    <w:p w14:paraId="6F919633" w14:textId="77777777" w:rsidR="00DA4F15" w:rsidRDefault="00DA4F15" w:rsidP="00A759D9">
      <w:pPr>
        <w:pStyle w:val="Questionstyle"/>
        <w:numPr>
          <w:ilvl w:val="0"/>
          <w:numId w:val="14"/>
        </w:numPr>
        <w:tabs>
          <w:tab w:val="clear" w:pos="567"/>
        </w:tabs>
        <w:spacing w:line="256" w:lineRule="auto"/>
        <w:ind w:left="851" w:hanging="851"/>
      </w:pPr>
      <w:r>
        <w:t>Do you agree that the activation threshold shall not be expressed at the level of the single redemption order? If not, please justify your position.</w:t>
      </w:r>
    </w:p>
    <w:p w14:paraId="3F3C18D7" w14:textId="77777777" w:rsidR="00DA4F15" w:rsidRDefault="00DA4F15" w:rsidP="00A759D9">
      <w:r>
        <w:t>&lt;ESMA_QUESTION_SLMT_11&gt;</w:t>
      </w:r>
    </w:p>
    <w:p w14:paraId="3729AF45" w14:textId="748D1BFD" w:rsidR="00A9305F" w:rsidRDefault="00A9305F" w:rsidP="00A759D9">
      <w:pPr>
        <w:spacing w:line="240" w:lineRule="auto"/>
        <w:rPr>
          <w:rFonts w:ascii="Arial" w:eastAsia="Arial" w:hAnsi="Arial" w:cs="Arial"/>
          <w:szCs w:val="22"/>
        </w:rPr>
      </w:pPr>
      <w:permStart w:id="1637379018" w:edGrp="everyone"/>
      <w:r w:rsidRPr="41760CA5">
        <w:rPr>
          <w:rFonts w:ascii="Arial" w:eastAsia="Arial" w:hAnsi="Arial" w:cs="Arial"/>
          <w:szCs w:val="22"/>
        </w:rPr>
        <w:t xml:space="preserve">To treat all </w:t>
      </w:r>
      <w:r>
        <w:rPr>
          <w:rFonts w:ascii="Arial" w:eastAsia="Arial" w:hAnsi="Arial" w:cs="Arial"/>
          <w:szCs w:val="22"/>
        </w:rPr>
        <w:t>investors</w:t>
      </w:r>
      <w:r w:rsidRPr="41760CA5">
        <w:rPr>
          <w:rFonts w:ascii="Arial" w:eastAsia="Arial" w:hAnsi="Arial" w:cs="Arial"/>
          <w:szCs w:val="22"/>
        </w:rPr>
        <w:t xml:space="preserve"> fairly, the activation threshold should not be set at the level of the single redemption order.</w:t>
      </w:r>
    </w:p>
    <w:p w14:paraId="78580240" w14:textId="08889408" w:rsidR="004F27FB" w:rsidRPr="004F27FB" w:rsidRDefault="00A9305F" w:rsidP="00A759D9">
      <w:pPr>
        <w:spacing w:line="240" w:lineRule="auto"/>
        <w:rPr>
          <w:rFonts w:ascii="Arial" w:eastAsia="Arial" w:hAnsi="Arial" w:cs="Arial"/>
          <w:szCs w:val="22"/>
        </w:rPr>
      </w:pPr>
      <w:r>
        <w:rPr>
          <w:rFonts w:ascii="Arial" w:eastAsia="Arial" w:hAnsi="Arial" w:cs="Arial"/>
          <w:szCs w:val="22"/>
        </w:rPr>
        <w:t>We would strongly oppose the suggested approach within the ESMA Guidelines Consultation</w:t>
      </w:r>
      <w:r>
        <w:rPr>
          <w:rStyle w:val="FootnoteReference"/>
          <w:rFonts w:ascii="Arial" w:eastAsia="Arial" w:hAnsi="Arial" w:cs="Arial"/>
          <w:szCs w:val="22"/>
        </w:rPr>
        <w:footnoteReference w:id="3"/>
      </w:r>
      <w:r>
        <w:rPr>
          <w:rFonts w:ascii="Arial" w:eastAsia="Arial" w:hAnsi="Arial" w:cs="Arial"/>
          <w:szCs w:val="22"/>
        </w:rPr>
        <w:t xml:space="preserve"> that appears to propose the mandating of a pan-European minimum activation threshold for all funds. The setting of an appropriate minimum threshold for any fund should be retained by the manager</w:t>
      </w:r>
      <w:r w:rsidR="00BC7095" w:rsidRPr="001E407E">
        <w:rPr>
          <w:rFonts w:ascii="Arial" w:eastAsia="Arial" w:hAnsi="Arial" w:cs="Arial"/>
          <w:szCs w:val="22"/>
        </w:rPr>
        <w:t>.</w:t>
      </w:r>
      <w:permEnd w:id="1637379018"/>
    </w:p>
    <w:p w14:paraId="2C8A1088" w14:textId="6B13BACC" w:rsidR="00DA4F15" w:rsidRDefault="00DA4F15" w:rsidP="00A759D9">
      <w:r>
        <w:t>&lt;ESMA_QUESTION_SLMT_11&gt;</w:t>
      </w:r>
    </w:p>
    <w:p w14:paraId="728A51C1" w14:textId="77777777" w:rsidR="00314AC9" w:rsidRDefault="00314AC9" w:rsidP="00A759D9"/>
    <w:p w14:paraId="47A8E99A" w14:textId="77777777" w:rsidR="00DA4F15" w:rsidRDefault="00DA4F15" w:rsidP="00A759D9">
      <w:pPr>
        <w:pStyle w:val="Questionstyle"/>
        <w:numPr>
          <w:ilvl w:val="0"/>
          <w:numId w:val="14"/>
        </w:numPr>
        <w:tabs>
          <w:tab w:val="clear" w:pos="567"/>
        </w:tabs>
        <w:spacing w:line="256" w:lineRule="auto"/>
        <w:ind w:left="851" w:hanging="851"/>
      </w:pPr>
      <w:r>
        <w:t xml:space="preserve">In the case of activation of redemption gates, do you agree that investors should have the right to cancel the non-executed part of their redemption orders? </w:t>
      </w:r>
      <w:proofErr w:type="gramStart"/>
      <w:r>
        <w:t>In particular, should</w:t>
      </w:r>
      <w:proofErr w:type="gramEnd"/>
      <w:r>
        <w:t xml:space="preserve"> there be a different approach between UCITS and AIFs?</w:t>
      </w:r>
    </w:p>
    <w:p w14:paraId="36169BA0" w14:textId="77777777" w:rsidR="00DA4F15" w:rsidRDefault="00DA4F15" w:rsidP="00A759D9">
      <w:r>
        <w:t>&lt;ESMA_QUESTION_SLMT_12&gt;</w:t>
      </w:r>
    </w:p>
    <w:p w14:paraId="1358594D" w14:textId="65C15949" w:rsidR="00F02F11" w:rsidRDefault="00F02F11" w:rsidP="00A759D9">
      <w:pPr>
        <w:spacing w:line="240" w:lineRule="auto"/>
        <w:rPr>
          <w:rFonts w:ascii="Arial" w:eastAsia="Arial" w:hAnsi="Arial" w:cs="Arial"/>
          <w:szCs w:val="22"/>
        </w:rPr>
      </w:pPr>
      <w:permStart w:id="2066760871" w:edGrp="everyone"/>
      <w:r>
        <w:rPr>
          <w:rFonts w:ascii="Arial" w:eastAsia="Arial" w:hAnsi="Arial" w:cs="Arial"/>
          <w:szCs w:val="22"/>
        </w:rPr>
        <w:t>Irish Funds do</w:t>
      </w:r>
      <w:r w:rsidR="00705DAF">
        <w:rPr>
          <w:rFonts w:ascii="Arial" w:eastAsia="Arial" w:hAnsi="Arial" w:cs="Arial"/>
          <w:szCs w:val="22"/>
        </w:rPr>
        <w:t>es</w:t>
      </w:r>
      <w:r>
        <w:rPr>
          <w:rFonts w:ascii="Arial" w:eastAsia="Arial" w:hAnsi="Arial" w:cs="Arial"/>
          <w:szCs w:val="22"/>
        </w:rPr>
        <w:t xml:space="preserve"> not believe that i</w:t>
      </w:r>
      <w:r w:rsidRPr="41760CA5">
        <w:rPr>
          <w:rFonts w:ascii="Arial" w:eastAsia="Arial" w:hAnsi="Arial" w:cs="Arial"/>
          <w:szCs w:val="22"/>
        </w:rPr>
        <w:t xml:space="preserve">nvestors should </w:t>
      </w:r>
      <w:r>
        <w:rPr>
          <w:rFonts w:ascii="Arial" w:eastAsia="Arial" w:hAnsi="Arial" w:cs="Arial"/>
          <w:szCs w:val="22"/>
        </w:rPr>
        <w:t>automatically have the right</w:t>
      </w:r>
      <w:r w:rsidRPr="41760CA5">
        <w:rPr>
          <w:rFonts w:ascii="Arial" w:eastAsia="Arial" w:hAnsi="Arial" w:cs="Arial"/>
          <w:szCs w:val="22"/>
        </w:rPr>
        <w:t xml:space="preserve"> to cancel the non-executed part of their redemption orders</w:t>
      </w:r>
      <w:r>
        <w:rPr>
          <w:rFonts w:ascii="Arial" w:eastAsia="Arial" w:hAnsi="Arial" w:cs="Arial"/>
          <w:szCs w:val="22"/>
        </w:rPr>
        <w:t xml:space="preserve"> given that fund strategies, investments, liquidity profile</w:t>
      </w:r>
      <w:r w:rsidR="000B1D4F">
        <w:rPr>
          <w:rFonts w:ascii="Arial" w:eastAsia="Arial" w:hAnsi="Arial" w:cs="Arial"/>
          <w:szCs w:val="22"/>
        </w:rPr>
        <w:t xml:space="preserve"> </w:t>
      </w:r>
      <w:r>
        <w:rPr>
          <w:rFonts w:ascii="Arial" w:eastAsia="Arial" w:hAnsi="Arial" w:cs="Arial"/>
          <w:szCs w:val="22"/>
        </w:rPr>
        <w:t xml:space="preserve">etc… will vary and therefore a ‘one-size-fits-all’ approach is not appropriate in this regard. </w:t>
      </w:r>
      <w:r>
        <w:rPr>
          <w:rFonts w:ascii="Arial" w:eastAsia="Arial" w:hAnsi="Arial" w:cs="Arial"/>
          <w:szCs w:val="22"/>
          <w:lang w:val="en-US"/>
        </w:rPr>
        <w:t>For example, i</w:t>
      </w:r>
      <w:r w:rsidRPr="00463D23">
        <w:rPr>
          <w:rFonts w:ascii="Arial" w:eastAsia="Arial" w:hAnsi="Arial" w:cs="Arial"/>
          <w:szCs w:val="22"/>
          <w:lang w:val="en-US"/>
        </w:rPr>
        <w:t xml:space="preserve">n some circumstances, investors that are expecting liquidity constraints </w:t>
      </w:r>
      <w:r>
        <w:rPr>
          <w:rFonts w:ascii="Arial" w:eastAsia="Arial" w:hAnsi="Arial" w:cs="Arial"/>
          <w:szCs w:val="22"/>
          <w:lang w:val="en-US"/>
        </w:rPr>
        <w:t>may</w:t>
      </w:r>
      <w:r w:rsidRPr="00463D23">
        <w:rPr>
          <w:rFonts w:ascii="Arial" w:eastAsia="Arial" w:hAnsi="Arial" w:cs="Arial"/>
          <w:szCs w:val="22"/>
          <w:lang w:val="en-US"/>
        </w:rPr>
        <w:t xml:space="preserve"> place a larger redemption in the knowledge that they can cancel the part of their order that is not executed. This results in an artificially high level of redemptions which are subsequently cancelled. </w:t>
      </w:r>
      <w:r>
        <w:rPr>
          <w:rFonts w:ascii="Arial" w:eastAsia="Arial" w:hAnsi="Arial" w:cs="Arial"/>
          <w:szCs w:val="22"/>
          <w:lang w:val="en-US"/>
        </w:rPr>
        <w:t>It is very difficult for</w:t>
      </w:r>
      <w:r w:rsidRPr="00463D23">
        <w:rPr>
          <w:rFonts w:ascii="Arial" w:eastAsia="Arial" w:hAnsi="Arial" w:cs="Arial"/>
          <w:szCs w:val="22"/>
          <w:lang w:val="en-US"/>
        </w:rPr>
        <w:t xml:space="preserve"> portfolio managers to manage a fund on this basis. </w:t>
      </w:r>
      <w:r>
        <w:rPr>
          <w:rFonts w:ascii="Arial" w:eastAsia="Arial" w:hAnsi="Arial" w:cs="Arial"/>
          <w:szCs w:val="22"/>
          <w:lang w:val="en-US"/>
        </w:rPr>
        <w:t>Therefore</w:t>
      </w:r>
      <w:r w:rsidRPr="00463D23">
        <w:rPr>
          <w:rFonts w:ascii="Arial" w:eastAsia="Arial" w:hAnsi="Arial" w:cs="Arial"/>
          <w:szCs w:val="22"/>
          <w:lang w:val="en-US"/>
        </w:rPr>
        <w:t>,</w:t>
      </w:r>
      <w:r>
        <w:rPr>
          <w:rFonts w:ascii="Arial" w:eastAsia="Arial" w:hAnsi="Arial" w:cs="Arial"/>
          <w:szCs w:val="22"/>
          <w:lang w:val="en-US"/>
        </w:rPr>
        <w:t xml:space="preserve"> Irish Funds would advocate that investors should have the ability to request the</w:t>
      </w:r>
      <w:r w:rsidRPr="00463D23">
        <w:rPr>
          <w:rFonts w:ascii="Arial" w:eastAsia="Arial" w:hAnsi="Arial" w:cs="Arial"/>
          <w:szCs w:val="22"/>
          <w:lang w:val="en-US"/>
        </w:rPr>
        <w:t xml:space="preserve"> cancellation</w:t>
      </w:r>
      <w:r>
        <w:rPr>
          <w:rFonts w:ascii="Arial" w:eastAsia="Arial" w:hAnsi="Arial" w:cs="Arial"/>
          <w:szCs w:val="22"/>
          <w:lang w:val="en-US"/>
        </w:rPr>
        <w:t xml:space="preserve"> of non-executed orders,</w:t>
      </w:r>
      <w:r w:rsidRPr="00463D23">
        <w:rPr>
          <w:rFonts w:ascii="Arial" w:eastAsia="Arial" w:hAnsi="Arial" w:cs="Arial"/>
          <w:szCs w:val="22"/>
          <w:lang w:val="en-US"/>
        </w:rPr>
        <w:t xml:space="preserve"> </w:t>
      </w:r>
      <w:r>
        <w:rPr>
          <w:rFonts w:ascii="Arial" w:eastAsia="Arial" w:hAnsi="Arial" w:cs="Arial"/>
          <w:szCs w:val="22"/>
          <w:lang w:val="en-US"/>
        </w:rPr>
        <w:t>but this request can only be executed</w:t>
      </w:r>
      <w:r w:rsidRPr="00463D23">
        <w:rPr>
          <w:rFonts w:ascii="Arial" w:eastAsia="Arial" w:hAnsi="Arial" w:cs="Arial"/>
          <w:szCs w:val="22"/>
          <w:lang w:val="en-US"/>
        </w:rPr>
        <w:t xml:space="preserve"> with the approval of the manager</w:t>
      </w:r>
      <w:r>
        <w:rPr>
          <w:rFonts w:ascii="Arial" w:eastAsia="Arial" w:hAnsi="Arial" w:cs="Arial"/>
          <w:szCs w:val="22"/>
          <w:lang w:val="en-US"/>
        </w:rPr>
        <w:t xml:space="preserve">. </w:t>
      </w:r>
    </w:p>
    <w:p w14:paraId="5CD57C9C" w14:textId="45C9E1D9" w:rsidR="004F27FB" w:rsidRPr="004F27FB" w:rsidRDefault="00F02F11" w:rsidP="00A759D9">
      <w:pPr>
        <w:spacing w:line="240" w:lineRule="auto"/>
        <w:rPr>
          <w:rFonts w:ascii="Arial" w:eastAsia="Arial" w:hAnsi="Arial" w:cs="Arial"/>
          <w:szCs w:val="22"/>
        </w:rPr>
      </w:pPr>
      <w:r w:rsidRPr="41760CA5">
        <w:rPr>
          <w:rFonts w:ascii="Arial" w:eastAsia="Arial" w:hAnsi="Arial" w:cs="Arial"/>
          <w:szCs w:val="22"/>
        </w:rPr>
        <w:t>There should be no difference in approach in this regard between UCITS and AIFs.</w:t>
      </w:r>
      <w:permEnd w:id="2066760871"/>
    </w:p>
    <w:p w14:paraId="74231973" w14:textId="7809D14A" w:rsidR="00DA4F15" w:rsidRDefault="00DA4F15" w:rsidP="00A759D9">
      <w:r>
        <w:t>&lt;ESMA_QUESTION_SLMT_12&gt;</w:t>
      </w:r>
    </w:p>
    <w:p w14:paraId="69DBA22F" w14:textId="77777777" w:rsidR="00314AC9" w:rsidRDefault="00314AC9" w:rsidP="00A759D9"/>
    <w:p w14:paraId="01944957" w14:textId="77777777" w:rsidR="00DA4F15" w:rsidRDefault="00DA4F15" w:rsidP="00A759D9">
      <w:pPr>
        <w:pStyle w:val="Questionstyle"/>
        <w:numPr>
          <w:ilvl w:val="0"/>
          <w:numId w:val="14"/>
        </w:numPr>
        <w:tabs>
          <w:tab w:val="clear" w:pos="567"/>
        </w:tabs>
        <w:spacing w:line="256" w:lineRule="auto"/>
        <w:ind w:left="851" w:hanging="851"/>
      </w:pPr>
      <w:r>
        <w:t>Do you think there is merit in having different characteristics of redemption gates for different investment strategies and between AIFs and UCITS? If yes, how?</w:t>
      </w:r>
    </w:p>
    <w:p w14:paraId="30CE4C1F" w14:textId="77777777" w:rsidR="00DA4F15" w:rsidRDefault="00DA4F15" w:rsidP="00A759D9">
      <w:r>
        <w:t>&lt;ESMA_QUESTION_SLMT_13&gt;</w:t>
      </w:r>
    </w:p>
    <w:p w14:paraId="754B1FF8" w14:textId="55DB0ED8" w:rsidR="00DA4F15" w:rsidRPr="000E16CC" w:rsidRDefault="00BE283D" w:rsidP="0015505F">
      <w:pPr>
        <w:spacing w:line="240" w:lineRule="auto"/>
        <w:rPr>
          <w:rFonts w:ascii="Arial" w:eastAsia="Arial" w:hAnsi="Arial" w:cs="Arial"/>
          <w:szCs w:val="22"/>
        </w:rPr>
      </w:pPr>
      <w:permStart w:id="533931948" w:edGrp="everyone"/>
      <w:r>
        <w:rPr>
          <w:rFonts w:ascii="Arial" w:eastAsia="Arial" w:hAnsi="Arial" w:cs="Arial"/>
          <w:szCs w:val="22"/>
        </w:rPr>
        <w:t>Irish Funds</w:t>
      </w:r>
      <w:r w:rsidRPr="316BC453">
        <w:rPr>
          <w:rFonts w:ascii="Arial" w:eastAsia="Arial" w:hAnsi="Arial" w:cs="Arial"/>
          <w:szCs w:val="22"/>
        </w:rPr>
        <w:t xml:space="preserve"> do</w:t>
      </w:r>
      <w:r w:rsidR="00FA02E6">
        <w:rPr>
          <w:rFonts w:ascii="Arial" w:eastAsia="Arial" w:hAnsi="Arial" w:cs="Arial"/>
          <w:szCs w:val="22"/>
        </w:rPr>
        <w:t>es</w:t>
      </w:r>
      <w:r w:rsidRPr="316BC453">
        <w:rPr>
          <w:rFonts w:ascii="Arial" w:eastAsia="Arial" w:hAnsi="Arial" w:cs="Arial"/>
          <w:szCs w:val="22"/>
        </w:rPr>
        <w:t xml:space="preserve"> not </w:t>
      </w:r>
      <w:r w:rsidR="00FA02E6">
        <w:rPr>
          <w:rFonts w:ascii="Arial" w:eastAsia="Arial" w:hAnsi="Arial" w:cs="Arial"/>
          <w:szCs w:val="22"/>
        </w:rPr>
        <w:t>believe</w:t>
      </w:r>
      <w:r w:rsidRPr="316BC453">
        <w:rPr>
          <w:rFonts w:ascii="Arial" w:eastAsia="Arial" w:hAnsi="Arial" w:cs="Arial"/>
          <w:szCs w:val="22"/>
        </w:rPr>
        <w:t xml:space="preserve"> there</w:t>
      </w:r>
      <w:r>
        <w:rPr>
          <w:rFonts w:ascii="Arial" w:eastAsia="Arial" w:hAnsi="Arial" w:cs="Arial"/>
          <w:szCs w:val="22"/>
        </w:rPr>
        <w:t xml:space="preserve"> to be</w:t>
      </w:r>
      <w:r w:rsidRPr="316BC453">
        <w:rPr>
          <w:rFonts w:ascii="Arial" w:eastAsia="Arial" w:hAnsi="Arial" w:cs="Arial"/>
          <w:szCs w:val="22"/>
        </w:rPr>
        <w:t xml:space="preserve"> merit in differentiating characteristics between either investment strategies or fund vehicles (UCITS and AIFs)</w:t>
      </w:r>
      <w:r>
        <w:rPr>
          <w:rFonts w:ascii="Arial" w:eastAsia="Arial" w:hAnsi="Arial" w:cs="Arial"/>
          <w:szCs w:val="22"/>
        </w:rPr>
        <w:t>, save for what the consultation highlights in relation to the European Long-Term Investment Fund</w:t>
      </w:r>
      <w:r w:rsidRPr="00E5196B">
        <w:rPr>
          <w:rFonts w:ascii="Arial" w:eastAsia="Arial" w:hAnsi="Arial" w:cs="Arial"/>
          <w:szCs w:val="22"/>
        </w:rPr>
        <w:t xml:space="preserve"> </w:t>
      </w:r>
      <w:r>
        <w:rPr>
          <w:rFonts w:ascii="Arial" w:eastAsia="Arial" w:hAnsi="Arial" w:cs="Arial"/>
          <w:szCs w:val="22"/>
        </w:rPr>
        <w:t>(ELTIF)</w:t>
      </w:r>
      <w:r w:rsidRPr="316BC453">
        <w:rPr>
          <w:rFonts w:ascii="Arial" w:eastAsia="Arial" w:hAnsi="Arial" w:cs="Arial"/>
          <w:szCs w:val="22"/>
        </w:rPr>
        <w:t xml:space="preserve">. The fund terms and available tools selected for each fund are </w:t>
      </w:r>
      <w:r>
        <w:rPr>
          <w:rFonts w:ascii="Arial" w:eastAsia="Arial" w:hAnsi="Arial" w:cs="Arial"/>
          <w:szCs w:val="22"/>
        </w:rPr>
        <w:t>chosen to</w:t>
      </w:r>
      <w:r w:rsidRPr="316BC453">
        <w:rPr>
          <w:rFonts w:ascii="Arial" w:eastAsia="Arial" w:hAnsi="Arial" w:cs="Arial"/>
          <w:szCs w:val="22"/>
        </w:rPr>
        <w:t xml:space="preserve"> ensure they are fit for purpose in terms of the fund</w:t>
      </w:r>
      <w:r>
        <w:rPr>
          <w:rFonts w:ascii="Arial" w:eastAsia="Arial" w:hAnsi="Arial" w:cs="Arial"/>
          <w:szCs w:val="22"/>
        </w:rPr>
        <w:t>’s</w:t>
      </w:r>
      <w:r w:rsidRPr="316BC453">
        <w:rPr>
          <w:rFonts w:ascii="Arial" w:eastAsia="Arial" w:hAnsi="Arial" w:cs="Arial"/>
          <w:szCs w:val="22"/>
        </w:rPr>
        <w:t xml:space="preserve"> strategy, investor base, dealing frequency etc… To the extent that the activation of a redemption gate is deemed necessary, the mechanism and the core of what it is intended to do (i.e. gate redemptions) is the same regardless of strategy or vehicle. The only point of difference, though not related to the mechanism of the LMT itself</w:t>
      </w:r>
      <w:r>
        <w:rPr>
          <w:rFonts w:ascii="Arial" w:eastAsia="Arial" w:hAnsi="Arial" w:cs="Arial"/>
          <w:szCs w:val="22"/>
        </w:rPr>
        <w:t xml:space="preserve">, is that </w:t>
      </w:r>
      <w:r w:rsidRPr="316BC453">
        <w:rPr>
          <w:rFonts w:ascii="Arial" w:eastAsia="Arial" w:hAnsi="Arial" w:cs="Arial"/>
          <w:szCs w:val="22"/>
        </w:rPr>
        <w:t xml:space="preserve">the threshold applied may vary depending on the strategy and asset types held within the vehicle, but the characteristics of the </w:t>
      </w:r>
      <w:r>
        <w:rPr>
          <w:rFonts w:ascii="Arial" w:eastAsia="Arial" w:hAnsi="Arial" w:cs="Arial"/>
          <w:szCs w:val="22"/>
        </w:rPr>
        <w:t>g</w:t>
      </w:r>
      <w:r w:rsidRPr="316BC453">
        <w:rPr>
          <w:rFonts w:ascii="Arial" w:eastAsia="Arial" w:hAnsi="Arial" w:cs="Arial"/>
          <w:szCs w:val="22"/>
        </w:rPr>
        <w:t xml:space="preserve">ate </w:t>
      </w:r>
      <w:r>
        <w:rPr>
          <w:rFonts w:ascii="Arial" w:eastAsia="Arial" w:hAnsi="Arial" w:cs="Arial"/>
          <w:szCs w:val="22"/>
        </w:rPr>
        <w:t>remain the</w:t>
      </w:r>
      <w:r w:rsidRPr="316BC453">
        <w:rPr>
          <w:rFonts w:ascii="Arial" w:eastAsia="Arial" w:hAnsi="Arial" w:cs="Arial"/>
          <w:szCs w:val="22"/>
        </w:rPr>
        <w:t xml:space="preserve"> same regardless of the threshold set</w:t>
      </w:r>
      <w:r>
        <w:rPr>
          <w:rFonts w:ascii="Arial" w:eastAsia="Arial" w:hAnsi="Arial" w:cs="Arial"/>
          <w:szCs w:val="22"/>
        </w:rPr>
        <w:t>.</w:t>
      </w:r>
    </w:p>
    <w:permEnd w:id="533931948"/>
    <w:p w14:paraId="1CCF2572" w14:textId="20964B06" w:rsidR="00DA4F15" w:rsidRDefault="00DA4F15" w:rsidP="00A759D9">
      <w:r>
        <w:t>&lt;ESMA_QUESTION_SLMT_13&gt;</w:t>
      </w:r>
    </w:p>
    <w:p w14:paraId="00377322" w14:textId="77777777" w:rsidR="00314AC9" w:rsidRDefault="00314AC9" w:rsidP="00A759D9"/>
    <w:p w14:paraId="51DC3E4F" w14:textId="77777777" w:rsidR="00DA4F15" w:rsidRDefault="00DA4F15" w:rsidP="00A759D9">
      <w:pPr>
        <w:pStyle w:val="Questionstyle"/>
        <w:numPr>
          <w:ilvl w:val="0"/>
          <w:numId w:val="14"/>
        </w:numPr>
        <w:tabs>
          <w:tab w:val="clear" w:pos="567"/>
        </w:tabs>
        <w:spacing w:line="256" w:lineRule="auto"/>
        <w:ind w:left="851" w:hanging="851"/>
      </w:pPr>
      <w:r>
        <w:t>In the case of funds with multiple share classes, do you agree that the same redemption gate shall apply to all share classes? If not, please justify your position.</w:t>
      </w:r>
    </w:p>
    <w:p w14:paraId="094F49E0" w14:textId="77777777" w:rsidR="00DA4F15" w:rsidRDefault="00DA4F15" w:rsidP="00A759D9">
      <w:r>
        <w:t>&lt;ESMA_QUESTION_SLMT_14&gt;</w:t>
      </w:r>
    </w:p>
    <w:p w14:paraId="41D1BC70" w14:textId="77161CA6" w:rsidR="00DA4F15" w:rsidRPr="00744C96" w:rsidRDefault="00744C96" w:rsidP="0015505F">
      <w:pPr>
        <w:spacing w:line="240" w:lineRule="auto"/>
        <w:rPr>
          <w:rFonts w:ascii="Arial" w:eastAsia="Arial" w:hAnsi="Arial" w:cs="Arial"/>
          <w:color w:val="auto"/>
          <w:szCs w:val="22"/>
        </w:rPr>
      </w:pPr>
      <w:permStart w:id="1676745201" w:edGrp="everyone"/>
      <w:r w:rsidRPr="00744C96">
        <w:rPr>
          <w:rFonts w:ascii="Arial" w:eastAsia="Arial" w:hAnsi="Arial" w:cs="Arial"/>
          <w:color w:val="auto"/>
          <w:szCs w:val="22"/>
        </w:rPr>
        <w:t>Managers should have the flexibility to select and activate the LMTs that are in the best interest of their investors. Affording the manager sufficient flexibility in how they apply LMTs allows them to meet their fiduciary duties to their investors. Irish Funds would not be in favour of overly restrictive and prescriptive rules governing the application of LMTs, and while we would expect the standard approach to be that LMTs are applied</w:t>
      </w:r>
      <w:r w:rsidR="00EB7609">
        <w:rPr>
          <w:rFonts w:ascii="Arial" w:eastAsia="Arial" w:hAnsi="Arial" w:cs="Arial"/>
          <w:color w:val="auto"/>
          <w:szCs w:val="22"/>
        </w:rPr>
        <w:t xml:space="preserve"> </w:t>
      </w:r>
      <w:r w:rsidRPr="00744C96">
        <w:rPr>
          <w:rFonts w:ascii="Arial" w:eastAsia="Arial" w:hAnsi="Arial" w:cs="Arial"/>
          <w:color w:val="auto"/>
          <w:szCs w:val="22"/>
        </w:rPr>
        <w:t>to all share classes, there may be limited circumstances where this is not the case. It would therefore seem appropriate to afford managers flexibility to apply LMTs on a share class basis where it is deemed in the best interests of all investors and clearly stated in the funds offering documents</w:t>
      </w:r>
      <w:r>
        <w:rPr>
          <w:rFonts w:ascii="Arial" w:eastAsia="Arial" w:hAnsi="Arial" w:cs="Arial"/>
          <w:color w:val="auto"/>
          <w:szCs w:val="22"/>
        </w:rPr>
        <w:t>.</w:t>
      </w:r>
    </w:p>
    <w:permEnd w:id="1676745201"/>
    <w:p w14:paraId="25FBF09C" w14:textId="0ADF69A6" w:rsidR="00DA4F15" w:rsidRDefault="00DA4F15" w:rsidP="00A759D9">
      <w:r>
        <w:t>&lt;ESMA_QUESTION_SLMT_14&gt;</w:t>
      </w:r>
    </w:p>
    <w:p w14:paraId="7EA87B80" w14:textId="77777777" w:rsidR="00314AC9" w:rsidRDefault="00314AC9" w:rsidP="00A759D9"/>
    <w:p w14:paraId="4D4A6890" w14:textId="77777777" w:rsidR="00DA4F15" w:rsidRDefault="00DA4F15" w:rsidP="00A759D9">
      <w:pPr>
        <w:pStyle w:val="Questionstyle"/>
        <w:numPr>
          <w:ilvl w:val="0"/>
          <w:numId w:val="14"/>
        </w:numPr>
        <w:tabs>
          <w:tab w:val="clear" w:pos="567"/>
        </w:tabs>
        <w:spacing w:line="256" w:lineRule="auto"/>
        <w:ind w:left="851" w:hanging="851"/>
      </w:pPr>
      <w:r>
        <w:t>Can you think of any further characteristics of redemption gates?</w:t>
      </w:r>
    </w:p>
    <w:p w14:paraId="3A9A38A0" w14:textId="77777777" w:rsidR="00DA4F15" w:rsidRDefault="00DA4F15" w:rsidP="00A759D9">
      <w:r>
        <w:t>&lt;ESMA_QUESTION_SLMT_15&gt;</w:t>
      </w:r>
    </w:p>
    <w:p w14:paraId="497B2392" w14:textId="1FAE7836" w:rsidR="00DA4F15" w:rsidRPr="00D41FA4" w:rsidRDefault="00E13448" w:rsidP="00A759D9">
      <w:permStart w:id="1749575065" w:edGrp="everyone"/>
      <w:r>
        <w:t>TYPE YOUR TEXT HERE</w:t>
      </w:r>
    </w:p>
    <w:permEnd w:id="1749575065"/>
    <w:p w14:paraId="587A190D" w14:textId="19E16C87" w:rsidR="00DA4F15" w:rsidRDefault="00DA4F15" w:rsidP="00A759D9">
      <w:r>
        <w:t>&lt;ESMA_QUESTION_SLMT_15&gt;</w:t>
      </w:r>
    </w:p>
    <w:p w14:paraId="56B2D4EA" w14:textId="77777777" w:rsidR="00314AC9" w:rsidRDefault="00314AC9" w:rsidP="00A759D9"/>
    <w:p w14:paraId="5F1FF8B7" w14:textId="77777777" w:rsidR="00DA4F15" w:rsidRDefault="00DA4F15" w:rsidP="00A759D9">
      <w:pPr>
        <w:pStyle w:val="Questionstyle"/>
        <w:numPr>
          <w:ilvl w:val="0"/>
          <w:numId w:val="14"/>
        </w:numPr>
        <w:tabs>
          <w:tab w:val="clear" w:pos="567"/>
        </w:tabs>
        <w:spacing w:line="256" w:lineRule="auto"/>
        <w:ind w:left="851" w:hanging="851"/>
      </w:pPr>
      <w:r>
        <w:t>Do you agree with the description of extensions of notice period and their characteristics? If not, please justify your position.</w:t>
      </w:r>
    </w:p>
    <w:p w14:paraId="68955B05" w14:textId="77777777" w:rsidR="00DA4F15" w:rsidRDefault="00DA4F15" w:rsidP="00A759D9">
      <w:r>
        <w:t>&lt;ESMA_QUESTION_SLMT_16&gt;</w:t>
      </w:r>
    </w:p>
    <w:p w14:paraId="73A6DC4B" w14:textId="54384705" w:rsidR="001C7ACE" w:rsidRDefault="001C7ACE" w:rsidP="00A759D9">
      <w:pPr>
        <w:spacing w:line="240" w:lineRule="auto"/>
        <w:rPr>
          <w:rFonts w:ascii="Arial" w:eastAsia="Arial" w:hAnsi="Arial" w:cs="Arial"/>
          <w:szCs w:val="22"/>
        </w:rPr>
      </w:pPr>
      <w:permStart w:id="346123938" w:edGrp="everyone"/>
      <w:r w:rsidRPr="41760CA5">
        <w:rPr>
          <w:rFonts w:ascii="Arial" w:eastAsia="Arial" w:hAnsi="Arial" w:cs="Arial"/>
          <w:szCs w:val="22"/>
        </w:rPr>
        <w:t xml:space="preserve">In general, </w:t>
      </w:r>
      <w:r w:rsidR="00646877">
        <w:rPr>
          <w:rFonts w:ascii="Arial" w:eastAsia="Arial" w:hAnsi="Arial" w:cs="Arial"/>
          <w:szCs w:val="22"/>
        </w:rPr>
        <w:t xml:space="preserve">although </w:t>
      </w:r>
      <w:r>
        <w:rPr>
          <w:rFonts w:ascii="Arial" w:eastAsia="Arial" w:hAnsi="Arial" w:cs="Arial"/>
          <w:szCs w:val="22"/>
        </w:rPr>
        <w:t xml:space="preserve">Irish Funds </w:t>
      </w:r>
      <w:r w:rsidR="00390B09">
        <w:rPr>
          <w:rFonts w:ascii="Arial" w:eastAsia="Arial" w:hAnsi="Arial" w:cs="Arial"/>
          <w:szCs w:val="22"/>
        </w:rPr>
        <w:t>broadly</w:t>
      </w:r>
      <w:r w:rsidR="00EA0777">
        <w:rPr>
          <w:rFonts w:ascii="Arial" w:eastAsia="Arial" w:hAnsi="Arial" w:cs="Arial"/>
          <w:szCs w:val="22"/>
        </w:rPr>
        <w:t xml:space="preserve"> </w:t>
      </w:r>
      <w:r w:rsidRPr="41760CA5">
        <w:rPr>
          <w:rFonts w:ascii="Arial" w:eastAsia="Arial" w:hAnsi="Arial" w:cs="Arial"/>
          <w:szCs w:val="22"/>
        </w:rPr>
        <w:t>agree</w:t>
      </w:r>
      <w:r>
        <w:rPr>
          <w:rFonts w:ascii="Arial" w:eastAsia="Arial" w:hAnsi="Arial" w:cs="Arial"/>
          <w:szCs w:val="22"/>
        </w:rPr>
        <w:t>s</w:t>
      </w:r>
      <w:r w:rsidRPr="41760CA5">
        <w:rPr>
          <w:rFonts w:ascii="Arial" w:eastAsia="Arial" w:hAnsi="Arial" w:cs="Arial"/>
          <w:szCs w:val="22"/>
        </w:rPr>
        <w:t xml:space="preserve"> with the description of extension of notice period</w:t>
      </w:r>
      <w:r w:rsidR="00EA0777">
        <w:rPr>
          <w:rFonts w:ascii="Arial" w:eastAsia="Arial" w:hAnsi="Arial" w:cs="Arial"/>
          <w:szCs w:val="22"/>
        </w:rPr>
        <w:t>s, there are</w:t>
      </w:r>
      <w:r w:rsidRPr="41760CA5">
        <w:rPr>
          <w:rFonts w:ascii="Arial" w:eastAsia="Arial" w:hAnsi="Arial" w:cs="Arial"/>
          <w:szCs w:val="22"/>
        </w:rPr>
        <w:t xml:space="preserve"> </w:t>
      </w:r>
      <w:r w:rsidR="00646877">
        <w:rPr>
          <w:rFonts w:ascii="Arial" w:eastAsia="Arial" w:hAnsi="Arial" w:cs="Arial"/>
          <w:szCs w:val="22"/>
        </w:rPr>
        <w:t>as</w:t>
      </w:r>
      <w:r w:rsidR="00652221">
        <w:rPr>
          <w:rFonts w:ascii="Arial" w:eastAsia="Arial" w:hAnsi="Arial" w:cs="Arial"/>
          <w:szCs w:val="22"/>
        </w:rPr>
        <w:t>pects</w:t>
      </w:r>
      <w:r w:rsidR="00EA0777">
        <w:rPr>
          <w:rFonts w:ascii="Arial" w:eastAsia="Arial" w:hAnsi="Arial" w:cs="Arial"/>
          <w:szCs w:val="22"/>
        </w:rPr>
        <w:t xml:space="preserve"> of the characteristics</w:t>
      </w:r>
      <w:r w:rsidR="00E51E54">
        <w:rPr>
          <w:rFonts w:ascii="Arial" w:eastAsia="Arial" w:hAnsi="Arial" w:cs="Arial"/>
          <w:szCs w:val="22"/>
        </w:rPr>
        <w:t xml:space="preserve"> that need to be considered</w:t>
      </w:r>
      <w:r w:rsidR="003A02C2">
        <w:rPr>
          <w:rFonts w:ascii="Arial" w:eastAsia="Arial" w:hAnsi="Arial" w:cs="Arial"/>
          <w:szCs w:val="22"/>
        </w:rPr>
        <w:t>,</w:t>
      </w:r>
      <w:r w:rsidR="00646877">
        <w:rPr>
          <w:rFonts w:ascii="Arial" w:eastAsia="Arial" w:hAnsi="Arial" w:cs="Arial"/>
          <w:szCs w:val="22"/>
        </w:rPr>
        <w:t xml:space="preserve"> as highlighted in </w:t>
      </w:r>
      <w:r w:rsidR="00C351CA">
        <w:rPr>
          <w:rFonts w:ascii="Arial" w:eastAsia="Arial" w:hAnsi="Arial" w:cs="Arial"/>
          <w:szCs w:val="22"/>
        </w:rPr>
        <w:t xml:space="preserve">our </w:t>
      </w:r>
      <w:r w:rsidR="00646877">
        <w:rPr>
          <w:rFonts w:ascii="Arial" w:eastAsia="Arial" w:hAnsi="Arial" w:cs="Arial"/>
          <w:szCs w:val="22"/>
        </w:rPr>
        <w:t>response</w:t>
      </w:r>
      <w:r w:rsidR="00AB7E5B">
        <w:rPr>
          <w:rFonts w:ascii="Arial" w:eastAsia="Arial" w:hAnsi="Arial" w:cs="Arial"/>
          <w:szCs w:val="22"/>
        </w:rPr>
        <w:t xml:space="preserve">s to the </w:t>
      </w:r>
      <w:r w:rsidR="009870F1">
        <w:rPr>
          <w:rFonts w:ascii="Arial" w:eastAsia="Arial" w:hAnsi="Arial" w:cs="Arial"/>
          <w:szCs w:val="22"/>
        </w:rPr>
        <w:t xml:space="preserve">extension of notice period </w:t>
      </w:r>
      <w:r w:rsidR="00AB7E5B">
        <w:rPr>
          <w:rFonts w:ascii="Arial" w:eastAsia="Arial" w:hAnsi="Arial" w:cs="Arial"/>
          <w:szCs w:val="22"/>
        </w:rPr>
        <w:t>questions</w:t>
      </w:r>
      <w:r w:rsidR="00646877">
        <w:rPr>
          <w:rFonts w:ascii="Arial" w:eastAsia="Arial" w:hAnsi="Arial" w:cs="Arial"/>
          <w:szCs w:val="22"/>
        </w:rPr>
        <w:t xml:space="preserve"> below</w:t>
      </w:r>
      <w:r w:rsidR="003A02C2">
        <w:rPr>
          <w:rFonts w:ascii="Arial" w:eastAsia="Arial" w:hAnsi="Arial" w:cs="Arial"/>
          <w:szCs w:val="22"/>
        </w:rPr>
        <w:t>,</w:t>
      </w:r>
      <w:r w:rsidR="00646877">
        <w:rPr>
          <w:rFonts w:ascii="Arial" w:eastAsia="Arial" w:hAnsi="Arial" w:cs="Arial"/>
          <w:szCs w:val="22"/>
        </w:rPr>
        <w:t xml:space="preserve"> </w:t>
      </w:r>
      <w:r w:rsidR="00E51E54">
        <w:rPr>
          <w:rFonts w:ascii="Arial" w:eastAsia="Arial" w:hAnsi="Arial" w:cs="Arial"/>
          <w:szCs w:val="22"/>
        </w:rPr>
        <w:t xml:space="preserve">to ensure the manager has sufficient </w:t>
      </w:r>
      <w:r w:rsidR="003A02C2">
        <w:rPr>
          <w:rFonts w:ascii="Arial" w:eastAsia="Arial" w:hAnsi="Arial" w:cs="Arial"/>
          <w:szCs w:val="22"/>
        </w:rPr>
        <w:t>flexibility</w:t>
      </w:r>
      <w:r w:rsidR="00E51E54">
        <w:rPr>
          <w:rFonts w:ascii="Arial" w:eastAsia="Arial" w:hAnsi="Arial" w:cs="Arial"/>
          <w:szCs w:val="22"/>
        </w:rPr>
        <w:t xml:space="preserve"> to</w:t>
      </w:r>
      <w:r w:rsidR="003A02C2">
        <w:rPr>
          <w:rFonts w:ascii="Arial" w:eastAsia="Arial" w:hAnsi="Arial" w:cs="Arial"/>
          <w:szCs w:val="22"/>
        </w:rPr>
        <w:t xml:space="preserve"> always be able</w:t>
      </w:r>
      <w:r w:rsidR="00E51E54">
        <w:rPr>
          <w:rFonts w:ascii="Arial" w:eastAsia="Arial" w:hAnsi="Arial" w:cs="Arial"/>
          <w:szCs w:val="22"/>
        </w:rPr>
        <w:t xml:space="preserve"> </w:t>
      </w:r>
      <w:r w:rsidR="005C7B2D">
        <w:rPr>
          <w:rFonts w:ascii="Arial" w:eastAsia="Arial" w:hAnsi="Arial" w:cs="Arial"/>
          <w:szCs w:val="22"/>
        </w:rPr>
        <w:t xml:space="preserve">to </w:t>
      </w:r>
      <w:r w:rsidR="00E51E54">
        <w:rPr>
          <w:rFonts w:ascii="Arial" w:eastAsia="Arial" w:hAnsi="Arial" w:cs="Arial"/>
          <w:szCs w:val="22"/>
        </w:rPr>
        <w:t>act in the best interest of their investors.</w:t>
      </w:r>
      <w:r w:rsidR="00646877">
        <w:rPr>
          <w:rFonts w:ascii="Arial" w:eastAsia="Arial" w:hAnsi="Arial" w:cs="Arial"/>
          <w:szCs w:val="22"/>
        </w:rPr>
        <w:t xml:space="preserve"> </w:t>
      </w:r>
      <w:r w:rsidRPr="41760CA5">
        <w:rPr>
          <w:rFonts w:ascii="Arial" w:eastAsia="Arial" w:hAnsi="Arial" w:cs="Arial"/>
          <w:szCs w:val="22"/>
        </w:rPr>
        <w:t xml:space="preserve"> </w:t>
      </w:r>
    </w:p>
    <w:p w14:paraId="2B1618CE" w14:textId="526DBC03" w:rsidR="001C7ACE" w:rsidRDefault="005C7B2D" w:rsidP="00A759D9">
      <w:pPr>
        <w:spacing w:line="240" w:lineRule="auto"/>
        <w:rPr>
          <w:rFonts w:ascii="Arial" w:eastAsia="Arial" w:hAnsi="Arial" w:cs="Arial"/>
          <w:szCs w:val="22"/>
        </w:rPr>
      </w:pPr>
      <w:r>
        <w:rPr>
          <w:rFonts w:ascii="Arial" w:eastAsia="Arial" w:hAnsi="Arial" w:cs="Arial"/>
          <w:szCs w:val="22"/>
        </w:rPr>
        <w:t>Additionally</w:t>
      </w:r>
      <w:r w:rsidR="001C7ACE" w:rsidRPr="41760CA5">
        <w:rPr>
          <w:rFonts w:ascii="Arial" w:eastAsia="Arial" w:hAnsi="Arial" w:cs="Arial"/>
          <w:szCs w:val="22"/>
        </w:rPr>
        <w:t xml:space="preserve">, it is worth noting that if the primary goal of implementing an LMT is to minimize the adverse impact on the market due to a redemption request, opting for an extended settlement period could offer a viable alternative to an extended notice period. For example, opting for an extended settlement period which could allow for the realisation of value within for example, a </w:t>
      </w:r>
      <w:r w:rsidR="001C7ACE">
        <w:rPr>
          <w:rFonts w:ascii="Arial" w:eastAsia="Arial" w:hAnsi="Arial" w:cs="Arial"/>
          <w:szCs w:val="22"/>
        </w:rPr>
        <w:t>T+5 settlement</w:t>
      </w:r>
      <w:r w:rsidR="001C7ACE" w:rsidRPr="41760CA5">
        <w:rPr>
          <w:rFonts w:ascii="Arial" w:eastAsia="Arial" w:hAnsi="Arial" w:cs="Arial"/>
          <w:szCs w:val="22"/>
        </w:rPr>
        <w:t>, as opposed to a shorter period, for example T+3</w:t>
      </w:r>
      <w:r w:rsidR="00044FA7">
        <w:rPr>
          <w:rFonts w:ascii="Arial" w:eastAsia="Arial" w:hAnsi="Arial" w:cs="Arial"/>
          <w:szCs w:val="22"/>
        </w:rPr>
        <w:t>,</w:t>
      </w:r>
      <w:r w:rsidR="001C7ACE" w:rsidRPr="41760CA5">
        <w:rPr>
          <w:rFonts w:ascii="Arial" w:eastAsia="Arial" w:hAnsi="Arial" w:cs="Arial"/>
          <w:szCs w:val="22"/>
        </w:rPr>
        <w:t xml:space="preserve"> is likely to allow the manager to manage market impact leading to lower implicit costs. While the value of positions being sold would experience daily gains and losses, executing trades over a more extended timeframe can likely curtail overall market impact costs for investors. Moreover, </w:t>
      </w:r>
      <w:r w:rsidR="001C7ACE">
        <w:rPr>
          <w:rFonts w:ascii="Arial" w:eastAsia="Arial" w:hAnsi="Arial" w:cs="Arial"/>
          <w:szCs w:val="22"/>
        </w:rPr>
        <w:t xml:space="preserve">in </w:t>
      </w:r>
      <w:r w:rsidR="001C7ACE" w:rsidRPr="41760CA5">
        <w:rPr>
          <w:rFonts w:ascii="Arial" w:eastAsia="Arial" w:hAnsi="Arial" w:cs="Arial"/>
          <w:szCs w:val="22"/>
        </w:rPr>
        <w:t xml:space="preserve">these scenarios, it </w:t>
      </w:r>
      <w:r w:rsidR="001C7ACE">
        <w:rPr>
          <w:rFonts w:ascii="Arial" w:eastAsia="Arial" w:hAnsi="Arial" w:cs="Arial"/>
          <w:szCs w:val="22"/>
        </w:rPr>
        <w:t>could</w:t>
      </w:r>
      <w:r w:rsidR="001C7ACE" w:rsidRPr="41760CA5">
        <w:rPr>
          <w:rFonts w:ascii="Arial" w:eastAsia="Arial" w:hAnsi="Arial" w:cs="Arial"/>
          <w:szCs w:val="22"/>
        </w:rPr>
        <w:t xml:space="preserve"> be argued that an extended settlement period would be operationally simpler. Shifting the settlement date for cash distribution to investors is </w:t>
      </w:r>
      <w:r w:rsidR="001C7ACE">
        <w:rPr>
          <w:rFonts w:ascii="Arial" w:eastAsia="Arial" w:hAnsi="Arial" w:cs="Arial"/>
          <w:szCs w:val="22"/>
        </w:rPr>
        <w:t>seemingly</w:t>
      </w:r>
      <w:r w:rsidR="001C7ACE" w:rsidRPr="41760CA5">
        <w:rPr>
          <w:rFonts w:ascii="Arial" w:eastAsia="Arial" w:hAnsi="Arial" w:cs="Arial"/>
          <w:szCs w:val="22"/>
        </w:rPr>
        <w:t xml:space="preserve"> less intricate than dynamically altering a notification period. It is worth noting that fund prospectuses commonly include a provision stating that “settlement cycles will be X, but under certain circumstances, they may extend beyond</w:t>
      </w:r>
      <w:r w:rsidR="001C7ACE">
        <w:rPr>
          <w:rFonts w:ascii="Arial" w:eastAsia="Arial" w:hAnsi="Arial" w:cs="Arial"/>
          <w:szCs w:val="22"/>
        </w:rPr>
        <w:t>”</w:t>
      </w:r>
      <w:r w:rsidR="001C7ACE" w:rsidRPr="41760CA5">
        <w:rPr>
          <w:rFonts w:ascii="Arial" w:eastAsia="Arial" w:hAnsi="Arial" w:cs="Arial"/>
          <w:szCs w:val="22"/>
        </w:rPr>
        <w:t>. In this context, an elongated settlement period leverages an existing clause in the fund prospectus to adapt to specific situations.</w:t>
      </w:r>
    </w:p>
    <w:p w14:paraId="033890B9" w14:textId="18484A0F" w:rsidR="001C7ACE" w:rsidRDefault="001C7ACE" w:rsidP="00A759D9">
      <w:pPr>
        <w:spacing w:line="240" w:lineRule="auto"/>
        <w:rPr>
          <w:rFonts w:ascii="Arial" w:eastAsia="Arial" w:hAnsi="Arial" w:cs="Arial"/>
          <w:szCs w:val="22"/>
        </w:rPr>
      </w:pPr>
      <w:r w:rsidRPr="316BC453">
        <w:rPr>
          <w:rFonts w:ascii="Arial" w:eastAsia="Arial" w:hAnsi="Arial" w:cs="Arial"/>
          <w:szCs w:val="22"/>
        </w:rPr>
        <w:t xml:space="preserve">However, the abovementioned scenario largely assumes </w:t>
      </w:r>
      <w:r>
        <w:rPr>
          <w:rFonts w:ascii="Arial" w:eastAsia="Arial" w:hAnsi="Arial" w:cs="Arial"/>
          <w:szCs w:val="22"/>
        </w:rPr>
        <w:t xml:space="preserve">the </w:t>
      </w:r>
      <w:r w:rsidRPr="316BC453">
        <w:rPr>
          <w:rFonts w:ascii="Arial" w:eastAsia="Arial" w:hAnsi="Arial" w:cs="Arial"/>
          <w:szCs w:val="22"/>
        </w:rPr>
        <w:t>overall market is stable during the settlement period. This means the manager can engage in trading over several days following the NAV date, allowing the manager to trade in potentially smaller lot sizes which reduces potential market impact and therefore transaction costs for investors.</w:t>
      </w:r>
    </w:p>
    <w:p w14:paraId="31864389" w14:textId="75B6D913" w:rsidR="001C7ACE" w:rsidRDefault="001C7ACE" w:rsidP="00A759D9">
      <w:pPr>
        <w:spacing w:line="240" w:lineRule="auto"/>
        <w:rPr>
          <w:rFonts w:ascii="Arial" w:eastAsia="Arial" w:hAnsi="Arial" w:cs="Arial"/>
          <w:szCs w:val="22"/>
        </w:rPr>
      </w:pPr>
      <w:r w:rsidRPr="41760CA5">
        <w:rPr>
          <w:rFonts w:ascii="Arial" w:eastAsia="Arial" w:hAnsi="Arial" w:cs="Arial"/>
          <w:szCs w:val="22"/>
        </w:rPr>
        <w:t>Conversely, during periods of heightened market stress when concerns about market impact and liquidity are significantly intensified, the situation changes. In such stressed market environments, the remaining investors might encounter more substantial losses than they would in ordinary circumstances due to increased market exposure.</w:t>
      </w:r>
      <w:r>
        <w:rPr>
          <w:rFonts w:ascii="Arial" w:eastAsia="Arial" w:hAnsi="Arial" w:cs="Arial"/>
          <w:szCs w:val="22"/>
        </w:rPr>
        <w:t xml:space="preserve"> </w:t>
      </w:r>
      <w:r w:rsidRPr="316BC453">
        <w:rPr>
          <w:rFonts w:ascii="Arial" w:eastAsia="Arial" w:hAnsi="Arial" w:cs="Arial"/>
          <w:szCs w:val="22"/>
        </w:rPr>
        <w:t>Accordingly, in such a scenario, it may be more optimal to consider lengthening the notice period to enable the m</w:t>
      </w:r>
      <w:r w:rsidR="00314AC9">
        <w:rPr>
          <w:rFonts w:ascii="Arial" w:eastAsia="Arial" w:hAnsi="Arial" w:cs="Arial"/>
          <w:szCs w:val="22"/>
        </w:rPr>
        <w:t>a</w:t>
      </w:r>
      <w:r w:rsidRPr="316BC453">
        <w:rPr>
          <w:rFonts w:ascii="Arial" w:eastAsia="Arial" w:hAnsi="Arial" w:cs="Arial"/>
          <w:szCs w:val="22"/>
        </w:rPr>
        <w:t>nager to plan appropriately for the proposed redemption.</w:t>
      </w:r>
    </w:p>
    <w:p w14:paraId="359CE0B1" w14:textId="36A70808" w:rsidR="004F27FB" w:rsidRPr="004F27FB" w:rsidRDefault="001C7ACE" w:rsidP="00A759D9">
      <w:pPr>
        <w:spacing w:line="240" w:lineRule="auto"/>
        <w:rPr>
          <w:rFonts w:ascii="Arial" w:eastAsia="Arial" w:hAnsi="Arial" w:cs="Arial"/>
          <w:szCs w:val="22"/>
        </w:rPr>
      </w:pPr>
      <w:r w:rsidRPr="41760CA5">
        <w:rPr>
          <w:rFonts w:ascii="Arial" w:eastAsia="Arial" w:hAnsi="Arial" w:cs="Arial"/>
          <w:szCs w:val="22"/>
        </w:rPr>
        <w:t xml:space="preserve">These examples are presented as potential abstract scenarios; however, we believe that highlighting these scenarios is constructive as they underscore the significance of relevant facts and specifics (in the current conditions) in determining the appropriateness of implementing a specific LMT. Therefore, akin to the preceding considerations, it remains crucial for the </w:t>
      </w:r>
      <w:r>
        <w:rPr>
          <w:rFonts w:ascii="Arial" w:eastAsia="Arial" w:hAnsi="Arial" w:cs="Arial"/>
          <w:szCs w:val="22"/>
        </w:rPr>
        <w:t>manager</w:t>
      </w:r>
      <w:r w:rsidRPr="41760CA5">
        <w:rPr>
          <w:rFonts w:ascii="Arial" w:eastAsia="Arial" w:hAnsi="Arial" w:cs="Arial"/>
          <w:szCs w:val="22"/>
        </w:rPr>
        <w:t xml:space="preserve"> to retain the discretion to employ an extended settlement or notice period.</w:t>
      </w:r>
      <w:permEnd w:id="346123938"/>
    </w:p>
    <w:p w14:paraId="17405A48" w14:textId="376E3DBF" w:rsidR="00DA4F15" w:rsidRDefault="00DA4F15" w:rsidP="00A759D9">
      <w:r>
        <w:t>&lt;ESMA_QUESTION_SLMT_16&gt;</w:t>
      </w:r>
    </w:p>
    <w:p w14:paraId="34C05017" w14:textId="77777777" w:rsidR="00314AC9" w:rsidRDefault="00314AC9" w:rsidP="00A759D9"/>
    <w:p w14:paraId="1AD44969" w14:textId="77777777" w:rsidR="00DA4F15" w:rsidRDefault="00DA4F15" w:rsidP="00A759D9">
      <w:pPr>
        <w:pStyle w:val="Questionstyle"/>
        <w:numPr>
          <w:ilvl w:val="0"/>
          <w:numId w:val="14"/>
        </w:numPr>
        <w:tabs>
          <w:tab w:val="clear" w:pos="567"/>
        </w:tabs>
        <w:spacing w:line="256" w:lineRule="auto"/>
        <w:ind w:left="851" w:hanging="851"/>
      </w:pPr>
      <w:r>
        <w:t>Do you agree that the same extension of notice period shall apply to all investors or different extensions of notice periods per share class/unit shall be allowed? Please justify your position.</w:t>
      </w:r>
    </w:p>
    <w:p w14:paraId="5D10FF09" w14:textId="77777777" w:rsidR="00DA4F15" w:rsidRDefault="00DA4F15" w:rsidP="00A759D9">
      <w:r>
        <w:t>&lt;ESMA_QUESTION_SLMT_17&gt;</w:t>
      </w:r>
    </w:p>
    <w:p w14:paraId="7014D774" w14:textId="2EFF5EFD" w:rsidR="00DA4F15" w:rsidRPr="0001066A" w:rsidRDefault="0001066A" w:rsidP="0015505F">
      <w:pPr>
        <w:spacing w:line="240" w:lineRule="auto"/>
        <w:rPr>
          <w:rFonts w:ascii="Arial" w:eastAsia="Arial" w:hAnsi="Arial" w:cs="Arial"/>
          <w:color w:val="auto"/>
          <w:szCs w:val="22"/>
        </w:rPr>
      </w:pPr>
      <w:permStart w:id="1104090374" w:edGrp="everyone"/>
      <w:r w:rsidRPr="0001066A">
        <w:rPr>
          <w:rFonts w:ascii="Arial" w:eastAsia="Arial" w:hAnsi="Arial" w:cs="Arial"/>
          <w:color w:val="auto"/>
          <w:szCs w:val="22"/>
        </w:rPr>
        <w:t>Managers should have the flexibility to select and activate the LMTs that are in the best interest of their investors. Affording the manager sufficient flexibility in how they apply LMTs allows them to meet their fiduciary duties to their investors. Irish Funds would not be in favour of overly restrictive and prescriptive rules governing the application of LMTs, and while we would expect the standard approach to be that LMTs are applied</w:t>
      </w:r>
      <w:r w:rsidR="00B97B64">
        <w:rPr>
          <w:rFonts w:ascii="Arial" w:eastAsia="Arial" w:hAnsi="Arial" w:cs="Arial"/>
          <w:color w:val="auto"/>
          <w:szCs w:val="22"/>
        </w:rPr>
        <w:t xml:space="preserve"> </w:t>
      </w:r>
      <w:r w:rsidRPr="0001066A">
        <w:rPr>
          <w:rFonts w:ascii="Arial" w:eastAsia="Arial" w:hAnsi="Arial" w:cs="Arial"/>
          <w:color w:val="auto"/>
          <w:szCs w:val="22"/>
        </w:rPr>
        <w:t>to all share classes, there may be limited circumstances where this is not the case. It would therefore seem appropriate to afford managers flexibility to apply LMTs on a share class basis where it is deemed in the best interests of all investors and clearly stated in the funds offering documents.</w:t>
      </w:r>
    </w:p>
    <w:permEnd w:id="1104090374"/>
    <w:p w14:paraId="441AC6E4" w14:textId="5631F774" w:rsidR="00DA4F15" w:rsidRDefault="00DA4F15" w:rsidP="00A759D9">
      <w:r>
        <w:t>&lt;ESMA_QUESTION_SLMT_17&gt;</w:t>
      </w:r>
    </w:p>
    <w:p w14:paraId="1908FE5C" w14:textId="77777777" w:rsidR="00314AC9" w:rsidRDefault="00314AC9" w:rsidP="00A759D9"/>
    <w:p w14:paraId="524CEDCC" w14:textId="77777777" w:rsidR="00DA4F15" w:rsidRDefault="00DA4F15" w:rsidP="00A759D9">
      <w:pPr>
        <w:pStyle w:val="Questionstyle"/>
        <w:numPr>
          <w:ilvl w:val="0"/>
          <w:numId w:val="14"/>
        </w:numPr>
        <w:tabs>
          <w:tab w:val="clear" w:pos="567"/>
        </w:tabs>
        <w:spacing w:line="256" w:lineRule="auto"/>
        <w:ind w:left="851" w:hanging="851"/>
      </w:pPr>
      <w:r>
        <w:t xml:space="preserve">Do you agree that extensions of notice period may be applied for a pre-defined </w:t>
      </w:r>
      <w:proofErr w:type="gramStart"/>
      <w:r>
        <w:t>period of time</w:t>
      </w:r>
      <w:proofErr w:type="gramEnd"/>
      <w:r>
        <w:t xml:space="preserve"> (for a pre-defined number of dealing dates)? If not, please justify your position.</w:t>
      </w:r>
    </w:p>
    <w:p w14:paraId="6C4B8432" w14:textId="77777777" w:rsidR="00DA4F15" w:rsidRDefault="00DA4F15" w:rsidP="00A759D9">
      <w:r>
        <w:t>&lt;ESMA_QUESTION_SLMT_18&gt;</w:t>
      </w:r>
    </w:p>
    <w:p w14:paraId="334FAB1F" w14:textId="74E4BD68" w:rsidR="00DE1BC8" w:rsidRDefault="00DE1BC8" w:rsidP="00A759D9">
      <w:pPr>
        <w:spacing w:line="240" w:lineRule="auto"/>
        <w:rPr>
          <w:rFonts w:ascii="Arial" w:eastAsia="Arial" w:hAnsi="Arial" w:cs="Arial"/>
          <w:szCs w:val="22"/>
        </w:rPr>
      </w:pPr>
      <w:permStart w:id="85027830" w:edGrp="everyone"/>
      <w:r w:rsidRPr="00525DD7">
        <w:rPr>
          <w:rFonts w:ascii="Arial" w:eastAsia="Arial" w:hAnsi="Arial" w:cs="Arial"/>
          <w:szCs w:val="22"/>
        </w:rPr>
        <w:t xml:space="preserve">Yes, however as referenced throughout our response to this consultation a ‘one-size-fits-all’ approach is not appropriate and therefore sufficient flexibility (governed by a robust framework) allows the manager to most effectively manage any liquidity stress that arises. We are supportive of </w:t>
      </w:r>
      <w:r w:rsidR="00BA7433">
        <w:rPr>
          <w:rFonts w:ascii="Arial" w:eastAsia="Arial" w:hAnsi="Arial" w:cs="Arial"/>
          <w:szCs w:val="22"/>
        </w:rPr>
        <w:t>the</w:t>
      </w:r>
      <w:r w:rsidRPr="00525DD7">
        <w:rPr>
          <w:rFonts w:ascii="Arial" w:eastAsia="Arial" w:hAnsi="Arial" w:cs="Arial"/>
          <w:szCs w:val="22"/>
        </w:rPr>
        <w:t xml:space="preserve"> approach, as outlined in the consultation in </w:t>
      </w:r>
      <w:r w:rsidRPr="00525DD7">
        <w:rPr>
          <w:rFonts w:ascii="Arial" w:eastAsia="Arial" w:hAnsi="Arial" w:cs="Arial"/>
          <w:i/>
          <w:iCs/>
          <w:szCs w:val="22"/>
        </w:rPr>
        <w:t>Article 3(5)</w:t>
      </w:r>
      <w:r w:rsidRPr="00BA7433">
        <w:rPr>
          <w:rFonts w:ascii="Arial" w:eastAsia="Arial" w:hAnsi="Arial" w:cs="Arial"/>
          <w:szCs w:val="22"/>
        </w:rPr>
        <w:t>,</w:t>
      </w:r>
      <w:r w:rsidR="00BA7433" w:rsidRPr="00BA7433">
        <w:rPr>
          <w:rFonts w:ascii="Arial" w:eastAsia="Arial" w:hAnsi="Arial" w:cs="Arial"/>
          <w:szCs w:val="22"/>
        </w:rPr>
        <w:t xml:space="preserve"> that a manager</w:t>
      </w:r>
      <w:r w:rsidRPr="00525DD7">
        <w:rPr>
          <w:rFonts w:ascii="Arial" w:eastAsia="Arial" w:hAnsi="Arial" w:cs="Arial"/>
          <w:i/>
          <w:iCs/>
          <w:szCs w:val="22"/>
        </w:rPr>
        <w:t xml:space="preserve"> </w:t>
      </w:r>
      <w:r w:rsidRPr="00525DD7">
        <w:rPr>
          <w:rFonts w:ascii="Arial" w:eastAsia="Arial" w:hAnsi="Arial" w:cs="Arial"/>
          <w:szCs w:val="22"/>
        </w:rPr>
        <w:t>‘</w:t>
      </w:r>
      <w:r w:rsidRPr="00525DD7">
        <w:rPr>
          <w:rFonts w:ascii="Arial" w:eastAsia="Arial" w:hAnsi="Arial" w:cs="Arial"/>
          <w:b/>
          <w:bCs/>
          <w:i/>
          <w:iCs/>
          <w:szCs w:val="22"/>
          <w:u w:val="single"/>
        </w:rPr>
        <w:t>may</w:t>
      </w:r>
      <w:r w:rsidRPr="00525DD7">
        <w:rPr>
          <w:rFonts w:ascii="Arial" w:eastAsia="Arial" w:hAnsi="Arial" w:cs="Arial"/>
          <w:i/>
          <w:iCs/>
          <w:szCs w:val="22"/>
        </w:rPr>
        <w:t xml:space="preserve"> apply to a pre-defined number of dealing days’</w:t>
      </w:r>
      <w:r w:rsidRPr="00525DD7">
        <w:rPr>
          <w:rFonts w:ascii="Arial" w:eastAsia="Arial" w:hAnsi="Arial" w:cs="Arial"/>
          <w:szCs w:val="22"/>
        </w:rPr>
        <w:t>’</w:t>
      </w:r>
      <w:r w:rsidR="00C63FD7">
        <w:rPr>
          <w:rFonts w:ascii="Arial" w:eastAsia="Arial" w:hAnsi="Arial" w:cs="Arial"/>
          <w:szCs w:val="22"/>
        </w:rPr>
        <w:t>.</w:t>
      </w:r>
      <w:r w:rsidRPr="00525DD7">
        <w:rPr>
          <w:rFonts w:ascii="Arial" w:eastAsia="Arial" w:hAnsi="Arial" w:cs="Arial"/>
          <w:szCs w:val="22"/>
        </w:rPr>
        <w:t xml:space="preserve"> </w:t>
      </w:r>
      <w:r w:rsidR="00C63FD7">
        <w:rPr>
          <w:rFonts w:ascii="Arial" w:eastAsia="Arial" w:hAnsi="Arial" w:cs="Arial"/>
          <w:szCs w:val="22"/>
        </w:rPr>
        <w:t>T</w:t>
      </w:r>
      <w:r w:rsidRPr="00525DD7">
        <w:rPr>
          <w:rFonts w:ascii="Arial" w:eastAsia="Arial" w:hAnsi="Arial" w:cs="Arial"/>
          <w:szCs w:val="22"/>
        </w:rPr>
        <w:t xml:space="preserve">hat allows the manager to </w:t>
      </w:r>
      <w:r w:rsidRPr="00525DD7">
        <w:rPr>
          <w:rFonts w:ascii="Arial" w:eastAsia="Arial" w:hAnsi="Arial" w:cs="Arial"/>
          <w:b/>
          <w:bCs/>
          <w:szCs w:val="22"/>
          <w:u w:val="single"/>
        </w:rPr>
        <w:t>either</w:t>
      </w:r>
      <w:r w:rsidRPr="00525DD7">
        <w:rPr>
          <w:rFonts w:ascii="Arial" w:eastAsia="Arial" w:hAnsi="Arial" w:cs="Arial"/>
          <w:szCs w:val="22"/>
        </w:rPr>
        <w:t xml:space="preserve"> set a fixed number of dealing days when</w:t>
      </w:r>
      <w:r w:rsidRPr="316BC453">
        <w:rPr>
          <w:rFonts w:ascii="Arial" w:eastAsia="Arial" w:hAnsi="Arial" w:cs="Arial"/>
          <w:szCs w:val="22"/>
        </w:rPr>
        <w:t xml:space="preserve"> extending a notice period or extend the notice period for an unspecified </w:t>
      </w:r>
      <w:proofErr w:type="gramStart"/>
      <w:r w:rsidRPr="316BC453">
        <w:rPr>
          <w:rFonts w:ascii="Arial" w:eastAsia="Arial" w:hAnsi="Arial" w:cs="Arial"/>
          <w:szCs w:val="22"/>
        </w:rPr>
        <w:t>period</w:t>
      </w:r>
      <w:r>
        <w:rPr>
          <w:rFonts w:ascii="Arial" w:eastAsia="Arial" w:hAnsi="Arial" w:cs="Arial"/>
          <w:szCs w:val="22"/>
        </w:rPr>
        <w:t xml:space="preserve"> of</w:t>
      </w:r>
      <w:r w:rsidRPr="316BC453">
        <w:rPr>
          <w:rFonts w:ascii="Arial" w:eastAsia="Arial" w:hAnsi="Arial" w:cs="Arial"/>
          <w:szCs w:val="22"/>
        </w:rPr>
        <w:t xml:space="preserve"> time</w:t>
      </w:r>
      <w:proofErr w:type="gramEnd"/>
      <w:r w:rsidRPr="316BC453">
        <w:rPr>
          <w:rFonts w:ascii="Arial" w:eastAsia="Arial" w:hAnsi="Arial" w:cs="Arial"/>
          <w:szCs w:val="22"/>
        </w:rPr>
        <w:t xml:space="preserve">, whatever approach, in the view of the manager, allows for the optimum outcome for their investors. </w:t>
      </w:r>
    </w:p>
    <w:p w14:paraId="674C4DB9" w14:textId="367DF3D6" w:rsidR="004F27FB" w:rsidRPr="004F27FB" w:rsidRDefault="00DE1BC8" w:rsidP="00A759D9">
      <w:pPr>
        <w:spacing w:line="240" w:lineRule="auto"/>
        <w:rPr>
          <w:rFonts w:ascii="Arial" w:eastAsia="Arial" w:hAnsi="Arial" w:cs="Arial"/>
          <w:szCs w:val="22"/>
        </w:rPr>
      </w:pPr>
      <w:r w:rsidRPr="41760CA5">
        <w:rPr>
          <w:rFonts w:ascii="Arial" w:eastAsia="Arial" w:hAnsi="Arial" w:cs="Arial"/>
          <w:szCs w:val="22"/>
        </w:rPr>
        <w:t xml:space="preserve">This would also be our view where a manager determines the selection of an extended settlement cycle </w:t>
      </w:r>
      <w:r>
        <w:rPr>
          <w:rFonts w:ascii="Arial" w:eastAsia="Arial" w:hAnsi="Arial" w:cs="Arial"/>
          <w:szCs w:val="22"/>
        </w:rPr>
        <w:t>as</w:t>
      </w:r>
      <w:r w:rsidRPr="41760CA5">
        <w:rPr>
          <w:rFonts w:ascii="Arial" w:eastAsia="Arial" w:hAnsi="Arial" w:cs="Arial"/>
          <w:szCs w:val="22"/>
        </w:rPr>
        <w:t xml:space="preserve"> more appropriate for their investors </w:t>
      </w:r>
      <w:r>
        <w:rPr>
          <w:rFonts w:ascii="Arial" w:eastAsia="Arial" w:hAnsi="Arial" w:cs="Arial"/>
          <w:szCs w:val="22"/>
        </w:rPr>
        <w:t>under</w:t>
      </w:r>
      <w:r w:rsidRPr="41760CA5">
        <w:rPr>
          <w:rFonts w:ascii="Arial" w:eastAsia="Arial" w:hAnsi="Arial" w:cs="Arial"/>
          <w:szCs w:val="22"/>
        </w:rPr>
        <w:t xml:space="preserve"> </w:t>
      </w:r>
      <w:proofErr w:type="gramStart"/>
      <w:r w:rsidRPr="41760CA5">
        <w:rPr>
          <w:rFonts w:ascii="Arial" w:eastAsia="Arial" w:hAnsi="Arial" w:cs="Arial"/>
          <w:szCs w:val="22"/>
        </w:rPr>
        <w:t>particular circumstance</w:t>
      </w:r>
      <w:r>
        <w:rPr>
          <w:rFonts w:ascii="Arial" w:eastAsia="Arial" w:hAnsi="Arial" w:cs="Arial"/>
          <w:szCs w:val="22"/>
        </w:rPr>
        <w:t>s</w:t>
      </w:r>
      <w:proofErr w:type="gramEnd"/>
      <w:r w:rsidRPr="41760CA5">
        <w:rPr>
          <w:rFonts w:ascii="Arial" w:eastAsia="Arial" w:hAnsi="Arial" w:cs="Arial"/>
          <w:szCs w:val="22"/>
        </w:rPr>
        <w:t xml:space="preserve">. </w:t>
      </w:r>
      <w:r w:rsidR="00441FD8" w:rsidRPr="00275388" w:rsidDel="000B1C4C">
        <w:rPr>
          <w:rFonts w:ascii="Arial" w:eastAsia="Arial" w:hAnsi="Arial" w:cs="Arial"/>
          <w:szCs w:val="22"/>
        </w:rPr>
        <w:t xml:space="preserve"> </w:t>
      </w:r>
      <w:permEnd w:id="85027830"/>
    </w:p>
    <w:p w14:paraId="4AD28A51" w14:textId="332F5727" w:rsidR="00DA4F15" w:rsidRDefault="00DA4F15" w:rsidP="00A759D9">
      <w:r>
        <w:t>&lt;ESMA_QUESTION_SLMT_18&gt;</w:t>
      </w:r>
    </w:p>
    <w:p w14:paraId="3611C1C7" w14:textId="77777777" w:rsidR="00314AC9" w:rsidRDefault="00314AC9" w:rsidP="00A759D9"/>
    <w:p w14:paraId="0A113466" w14:textId="77777777" w:rsidR="00DA4F15" w:rsidRDefault="00DA4F15" w:rsidP="00A759D9">
      <w:pPr>
        <w:pStyle w:val="Questionstyle"/>
        <w:numPr>
          <w:ilvl w:val="0"/>
          <w:numId w:val="14"/>
        </w:numPr>
        <w:tabs>
          <w:tab w:val="clear" w:pos="567"/>
        </w:tabs>
        <w:spacing w:line="256" w:lineRule="auto"/>
        <w:ind w:left="851" w:hanging="851"/>
      </w:pPr>
      <w:r>
        <w:t>Do you think there is merit for the characteristics of extensions of notice period to differ between different investment strategies and between AIFs and UCITS? If yes, how?</w:t>
      </w:r>
    </w:p>
    <w:p w14:paraId="5113E0E8" w14:textId="77777777" w:rsidR="00DA4F15" w:rsidRDefault="00DA4F15" w:rsidP="00A759D9">
      <w:r>
        <w:t>&lt;ESMA_QUESTION_SLMT_19&gt;</w:t>
      </w:r>
    </w:p>
    <w:p w14:paraId="0BB06B17" w14:textId="38A62BE7" w:rsidR="004F27FB" w:rsidRPr="004F27FB" w:rsidRDefault="00434A8B" w:rsidP="00A759D9">
      <w:pPr>
        <w:spacing w:line="240" w:lineRule="auto"/>
        <w:rPr>
          <w:rFonts w:ascii="Arial" w:eastAsia="Arial" w:hAnsi="Arial" w:cs="Arial"/>
          <w:szCs w:val="22"/>
        </w:rPr>
      </w:pPr>
      <w:permStart w:id="700061978" w:edGrp="everyone"/>
      <w:r w:rsidRPr="41760CA5">
        <w:rPr>
          <w:rFonts w:ascii="Arial" w:eastAsia="Arial" w:hAnsi="Arial" w:cs="Arial"/>
          <w:szCs w:val="22"/>
        </w:rPr>
        <w:t xml:space="preserve">While </w:t>
      </w:r>
      <w:r>
        <w:rPr>
          <w:rFonts w:ascii="Arial" w:eastAsia="Arial" w:hAnsi="Arial" w:cs="Arial"/>
          <w:szCs w:val="22"/>
        </w:rPr>
        <w:t>Irish Funds</w:t>
      </w:r>
      <w:r w:rsidRPr="41760CA5">
        <w:rPr>
          <w:rFonts w:ascii="Arial" w:eastAsia="Arial" w:hAnsi="Arial" w:cs="Arial"/>
          <w:szCs w:val="22"/>
        </w:rPr>
        <w:t xml:space="preserve"> do not believe there is a need to differentiate the characteristics of notice period extension between fund types and strategies, we would like to point out that AIFs typically focus on more complex asset types, often investing in less liquid or illiquid assets like private equity and real estate. These funds will often cater to professional investors with higher risk tolerances and may require specialised valuation processes. UCITS, on the other hand, target more liquid securities, with stricter regulations, including the degree of exposure to certain asset types, to protect retail investors. In addition, UCITS typically have daily dealing dates whereas AIFs are typically less frequent (monthly, quarterly, annually)</w:t>
      </w:r>
      <w:r>
        <w:rPr>
          <w:rFonts w:ascii="Arial" w:eastAsia="Arial" w:hAnsi="Arial" w:cs="Arial"/>
          <w:szCs w:val="22"/>
        </w:rPr>
        <w:t>. Since there is often a</w:t>
      </w:r>
      <w:r w:rsidRPr="41760CA5">
        <w:rPr>
          <w:rFonts w:ascii="Arial" w:eastAsia="Arial" w:hAnsi="Arial" w:cs="Arial"/>
          <w:szCs w:val="22"/>
        </w:rPr>
        <w:t xml:space="preserve"> correlation between the notice period and dealing frequency, the option to extend a notice period may require additional consideration for more illiquid strategies that have longer dealing frequency. Regardless, the characteristics and principl</w:t>
      </w:r>
      <w:r w:rsidR="00AA0780">
        <w:rPr>
          <w:rFonts w:ascii="Arial" w:eastAsia="Arial" w:hAnsi="Arial" w:cs="Arial"/>
          <w:szCs w:val="22"/>
        </w:rPr>
        <w:t>e</w:t>
      </w:r>
      <w:r w:rsidRPr="41760CA5">
        <w:rPr>
          <w:rFonts w:ascii="Arial" w:eastAsia="Arial" w:hAnsi="Arial" w:cs="Arial"/>
          <w:szCs w:val="22"/>
        </w:rPr>
        <w:t xml:space="preserve">s are the same i.e. the manager will determine if an extension of notice period is appropriate for the </w:t>
      </w:r>
      <w:r>
        <w:rPr>
          <w:rFonts w:ascii="Arial" w:eastAsia="Arial" w:hAnsi="Arial" w:cs="Arial"/>
          <w:szCs w:val="22"/>
        </w:rPr>
        <w:t>specific</w:t>
      </w:r>
      <w:r w:rsidRPr="41760CA5">
        <w:rPr>
          <w:rFonts w:ascii="Arial" w:eastAsia="Arial" w:hAnsi="Arial" w:cs="Arial"/>
          <w:szCs w:val="22"/>
        </w:rPr>
        <w:t xml:space="preserve"> liquidity situation impact</w:t>
      </w:r>
      <w:r>
        <w:rPr>
          <w:rFonts w:ascii="Arial" w:eastAsia="Arial" w:hAnsi="Arial" w:cs="Arial"/>
          <w:szCs w:val="22"/>
        </w:rPr>
        <w:t>ing</w:t>
      </w:r>
      <w:r w:rsidRPr="41760CA5">
        <w:rPr>
          <w:rFonts w:ascii="Arial" w:eastAsia="Arial" w:hAnsi="Arial" w:cs="Arial"/>
          <w:szCs w:val="22"/>
        </w:rPr>
        <w:t xml:space="preserve"> their funds and investors</w:t>
      </w:r>
      <w:r>
        <w:rPr>
          <w:rFonts w:ascii="Arial" w:eastAsia="Arial" w:hAnsi="Arial" w:cs="Arial"/>
          <w:szCs w:val="22"/>
        </w:rPr>
        <w:t xml:space="preserve"> at the design stage of the fund and review its appropriateness throughout the lifecycle of the fund</w:t>
      </w:r>
      <w:r w:rsidRPr="41760CA5">
        <w:rPr>
          <w:rFonts w:ascii="Arial" w:eastAsia="Arial" w:hAnsi="Arial" w:cs="Arial"/>
          <w:szCs w:val="22"/>
        </w:rPr>
        <w:t xml:space="preserve">. </w:t>
      </w:r>
      <w:permEnd w:id="700061978"/>
    </w:p>
    <w:p w14:paraId="73906F45" w14:textId="520FB63A" w:rsidR="00DA4F15" w:rsidRDefault="00DA4F15" w:rsidP="00A759D9">
      <w:r>
        <w:t>&lt;ESMA_QUESTION_SLMT_19&gt;</w:t>
      </w:r>
    </w:p>
    <w:p w14:paraId="121E3FAA" w14:textId="77777777" w:rsidR="00314AC9" w:rsidRDefault="00314AC9" w:rsidP="00A759D9"/>
    <w:p w14:paraId="0709A193" w14:textId="77777777" w:rsidR="00DA4F15" w:rsidRDefault="00DA4F15" w:rsidP="00A759D9">
      <w:pPr>
        <w:pStyle w:val="Questionstyle"/>
        <w:numPr>
          <w:ilvl w:val="0"/>
          <w:numId w:val="14"/>
        </w:numPr>
        <w:tabs>
          <w:tab w:val="clear" w:pos="567"/>
        </w:tabs>
        <w:spacing w:line="256" w:lineRule="auto"/>
        <w:ind w:left="851" w:hanging="851"/>
      </w:pPr>
      <w:r>
        <w:t xml:space="preserve">How would you execute redemption orders that have been placed but not executed before the notice period is extended? Would you execute them under the original notice period, or would you execute them at the following dealing day? </w:t>
      </w:r>
    </w:p>
    <w:p w14:paraId="17884285" w14:textId="77777777" w:rsidR="00DA4F15" w:rsidRDefault="00DA4F15" w:rsidP="00A759D9">
      <w:r>
        <w:t>&lt;ESMA_QUESTION_SLMT_20&gt;</w:t>
      </w:r>
    </w:p>
    <w:p w14:paraId="50A3D151" w14:textId="53C61853" w:rsidR="00A154E7" w:rsidRPr="00A154E7" w:rsidRDefault="00A154E7" w:rsidP="00A759D9">
      <w:pPr>
        <w:spacing w:line="240" w:lineRule="auto"/>
        <w:rPr>
          <w:rFonts w:ascii="Arial" w:eastAsia="Arial" w:hAnsi="Arial" w:cs="Arial"/>
          <w:szCs w:val="22"/>
        </w:rPr>
      </w:pPr>
      <w:permStart w:id="736693926" w:edGrp="everyone"/>
      <w:r w:rsidRPr="41760CA5">
        <w:rPr>
          <w:rFonts w:ascii="Arial" w:eastAsia="Arial" w:hAnsi="Arial" w:cs="Arial"/>
          <w:szCs w:val="22"/>
        </w:rPr>
        <w:t>From a fair treatment of shareholders perspective</w:t>
      </w:r>
      <w:r>
        <w:rPr>
          <w:rFonts w:ascii="Arial" w:eastAsia="Arial" w:hAnsi="Arial" w:cs="Arial"/>
          <w:szCs w:val="22"/>
        </w:rPr>
        <w:t>,</w:t>
      </w:r>
      <w:r w:rsidRPr="41760CA5">
        <w:rPr>
          <w:rFonts w:ascii="Arial" w:eastAsia="Arial" w:hAnsi="Arial" w:cs="Arial"/>
          <w:szCs w:val="22"/>
        </w:rPr>
        <w:t xml:space="preserve"> redemption orders that have been placed but not executed before the notice period is extended would be executed under the original notice period</w:t>
      </w:r>
      <w:r>
        <w:rPr>
          <w:rFonts w:ascii="Arial" w:eastAsia="Arial" w:hAnsi="Arial" w:cs="Arial"/>
          <w:szCs w:val="22"/>
        </w:rPr>
        <w:t>.</w:t>
      </w:r>
      <w:r w:rsidRPr="41760CA5">
        <w:rPr>
          <w:rFonts w:ascii="Arial" w:eastAsia="Arial" w:hAnsi="Arial" w:cs="Arial"/>
          <w:szCs w:val="22"/>
        </w:rPr>
        <w:t xml:space="preserve"> </w:t>
      </w:r>
      <w:r>
        <w:rPr>
          <w:rFonts w:ascii="Arial" w:eastAsia="Arial" w:hAnsi="Arial" w:cs="Arial"/>
          <w:szCs w:val="22"/>
        </w:rPr>
        <w:t>H</w:t>
      </w:r>
      <w:r w:rsidRPr="41760CA5">
        <w:rPr>
          <w:rFonts w:ascii="Arial" w:eastAsia="Arial" w:hAnsi="Arial" w:cs="Arial"/>
          <w:szCs w:val="22"/>
        </w:rPr>
        <w:t>owever</w:t>
      </w:r>
      <w:r>
        <w:rPr>
          <w:rFonts w:ascii="Arial" w:eastAsia="Arial" w:hAnsi="Arial" w:cs="Arial"/>
          <w:szCs w:val="22"/>
        </w:rPr>
        <w:t>,</w:t>
      </w:r>
      <w:r w:rsidRPr="41760CA5">
        <w:rPr>
          <w:rFonts w:ascii="Arial" w:eastAsia="Arial" w:hAnsi="Arial" w:cs="Arial"/>
          <w:szCs w:val="22"/>
        </w:rPr>
        <w:t xml:space="preserve"> if certain criteria </w:t>
      </w:r>
      <w:r>
        <w:rPr>
          <w:rFonts w:ascii="Arial" w:eastAsia="Arial" w:hAnsi="Arial" w:cs="Arial"/>
          <w:szCs w:val="22"/>
        </w:rPr>
        <w:t>were</w:t>
      </w:r>
      <w:r w:rsidRPr="41760CA5">
        <w:rPr>
          <w:rFonts w:ascii="Arial" w:eastAsia="Arial" w:hAnsi="Arial" w:cs="Arial"/>
          <w:szCs w:val="22"/>
        </w:rPr>
        <w:t xml:space="preserve"> met in extreme circumstances such as market liquidity events, then these may need to be deferred to the next dealing day.</w:t>
      </w:r>
      <w:r>
        <w:rPr>
          <w:rFonts w:ascii="Arial" w:eastAsia="Arial" w:hAnsi="Arial" w:cs="Arial"/>
          <w:szCs w:val="22"/>
        </w:rPr>
        <w:t xml:space="preserve"> Therefore, it is important that the manager has sufficient flexibility and discretion to </w:t>
      </w:r>
      <w:proofErr w:type="gramStart"/>
      <w:r>
        <w:rPr>
          <w:rFonts w:ascii="Arial" w:eastAsia="Arial" w:hAnsi="Arial" w:cs="Arial"/>
          <w:szCs w:val="22"/>
        </w:rPr>
        <w:t>make a determination</w:t>
      </w:r>
      <w:proofErr w:type="gramEnd"/>
      <w:r>
        <w:rPr>
          <w:rFonts w:ascii="Arial" w:eastAsia="Arial" w:hAnsi="Arial" w:cs="Arial"/>
          <w:szCs w:val="22"/>
        </w:rPr>
        <w:t xml:space="preserve"> on a case-by-case basis to ensure the best outcome for the fund’s investors.</w:t>
      </w:r>
      <w:permEnd w:id="736693926"/>
    </w:p>
    <w:p w14:paraId="264597CA" w14:textId="4CD3D9E5" w:rsidR="00DA4F15" w:rsidRDefault="00DA4F15" w:rsidP="00A759D9">
      <w:r>
        <w:t>&lt;ESMA_QUESTION_SLMT_20&gt;</w:t>
      </w:r>
    </w:p>
    <w:p w14:paraId="21796A75" w14:textId="77777777" w:rsidR="00314AC9" w:rsidRDefault="00314AC9" w:rsidP="00A759D9"/>
    <w:p w14:paraId="56DCEAC9" w14:textId="77777777" w:rsidR="00DA4F15" w:rsidRDefault="00DA4F15" w:rsidP="00A759D9">
      <w:pPr>
        <w:pStyle w:val="Questionstyle"/>
        <w:numPr>
          <w:ilvl w:val="0"/>
          <w:numId w:val="14"/>
        </w:numPr>
        <w:tabs>
          <w:tab w:val="clear" w:pos="567"/>
        </w:tabs>
        <w:spacing w:line="256" w:lineRule="auto"/>
        <w:ind w:left="851" w:hanging="851"/>
      </w:pPr>
      <w:r>
        <w:t>How would you ensure fair treatment of investors when deactivating the extension of notice period?</w:t>
      </w:r>
    </w:p>
    <w:p w14:paraId="74280904" w14:textId="77777777" w:rsidR="00DA4F15" w:rsidRDefault="00DA4F15" w:rsidP="00A759D9">
      <w:r>
        <w:t>&lt;ESMA_QUESTION_SLMT_21&gt;</w:t>
      </w:r>
    </w:p>
    <w:p w14:paraId="3EEEE327" w14:textId="0B985D9C" w:rsidR="00DA4F15" w:rsidRPr="00975C75" w:rsidRDefault="006D7F13" w:rsidP="0015505F">
      <w:pPr>
        <w:spacing w:line="240" w:lineRule="auto"/>
        <w:rPr>
          <w:rFonts w:ascii="Arial" w:eastAsia="Arial" w:hAnsi="Arial" w:cs="Arial"/>
          <w:szCs w:val="22"/>
        </w:rPr>
      </w:pPr>
      <w:permStart w:id="2145268849" w:edGrp="everyone"/>
      <w:r w:rsidRPr="00EB60A1">
        <w:rPr>
          <w:rFonts w:ascii="Arial" w:eastAsia="Arial" w:hAnsi="Arial" w:cs="Arial"/>
          <w:szCs w:val="22"/>
        </w:rPr>
        <w:t xml:space="preserve">The existence of an extension of notice period, which would only be put into effect if required to manage liquidity in a fund, should be stated in the fund prospectus as one of the funds LMTs. In addition, managers should use reasonable endeavours to inform investors of the extension as soon as possible. All investors should be treated fairly on deactivation and be aware of the procedures that will apply, </w:t>
      </w:r>
      <w:bookmarkStart w:id="0" w:name="_Int_Mj4YCxsB"/>
      <w:proofErr w:type="gramStart"/>
      <w:r w:rsidRPr="00EB60A1">
        <w:rPr>
          <w:rFonts w:ascii="Arial" w:eastAsia="Arial" w:hAnsi="Arial" w:cs="Arial"/>
          <w:szCs w:val="22"/>
        </w:rPr>
        <w:t>similar to</w:t>
      </w:r>
      <w:bookmarkEnd w:id="0"/>
      <w:proofErr w:type="gramEnd"/>
      <w:r w:rsidRPr="00EB60A1">
        <w:rPr>
          <w:rFonts w:ascii="Arial" w:eastAsia="Arial" w:hAnsi="Arial" w:cs="Arial"/>
          <w:szCs w:val="22"/>
        </w:rPr>
        <w:t xml:space="preserve"> those applied on activation. LMTs are activated to manage specific liquidity events, and once this liquidity event has been managed the LMT is deactivated, and the fund liquidity provisions return to normal. The key to ensuring fair treatment of investors is to have an appropriate liquidity management framework that helps guide the approach at both the activation and deactivation</w:t>
      </w:r>
      <w:r w:rsidRPr="41760CA5">
        <w:rPr>
          <w:rFonts w:ascii="Arial" w:eastAsia="Arial" w:hAnsi="Arial" w:cs="Arial"/>
          <w:szCs w:val="22"/>
        </w:rPr>
        <w:t xml:space="preserve"> points, </w:t>
      </w:r>
      <w:r>
        <w:rPr>
          <w:rFonts w:ascii="Arial" w:eastAsia="Arial" w:hAnsi="Arial" w:cs="Arial"/>
          <w:szCs w:val="22"/>
        </w:rPr>
        <w:t xml:space="preserve">as well as </w:t>
      </w:r>
      <w:r w:rsidRPr="41760CA5">
        <w:rPr>
          <w:rFonts w:ascii="Arial" w:eastAsia="Arial" w:hAnsi="Arial" w:cs="Arial"/>
          <w:szCs w:val="22"/>
        </w:rPr>
        <w:t>disclosure and communication to investors when both activating and deactivating the LMT</w:t>
      </w:r>
      <w:r>
        <w:rPr>
          <w:rFonts w:ascii="Arial" w:eastAsia="Arial" w:hAnsi="Arial" w:cs="Arial"/>
          <w:szCs w:val="22"/>
        </w:rPr>
        <w:t>.</w:t>
      </w:r>
    </w:p>
    <w:permEnd w:id="2145268849"/>
    <w:p w14:paraId="599F1817" w14:textId="6A56AA04" w:rsidR="00DA4F15" w:rsidRDefault="00DA4F15" w:rsidP="00A759D9">
      <w:r>
        <w:t>&lt;ESMA_QUESTION_SLMT_21&gt;</w:t>
      </w:r>
    </w:p>
    <w:p w14:paraId="7374839E" w14:textId="77777777" w:rsidR="00314AC9" w:rsidRDefault="00314AC9" w:rsidP="00A759D9"/>
    <w:p w14:paraId="476C0B16" w14:textId="77777777" w:rsidR="00DA4F15" w:rsidRDefault="00DA4F15" w:rsidP="00A759D9">
      <w:pPr>
        <w:pStyle w:val="Questionstyle"/>
        <w:numPr>
          <w:ilvl w:val="0"/>
          <w:numId w:val="14"/>
        </w:numPr>
        <w:tabs>
          <w:tab w:val="clear" w:pos="567"/>
        </w:tabs>
        <w:spacing w:line="256" w:lineRule="auto"/>
        <w:ind w:left="851" w:hanging="851"/>
      </w:pPr>
      <w:r>
        <w:t>Do you agree with the description of redemption fees and the corresponding characteristics? If not, please justify your position.</w:t>
      </w:r>
    </w:p>
    <w:p w14:paraId="16F237F1" w14:textId="77777777" w:rsidR="00DA4F15" w:rsidRDefault="00DA4F15" w:rsidP="00A759D9">
      <w:r>
        <w:t>&lt;ESMA_QUESTION_SLMT_22&gt;</w:t>
      </w:r>
    </w:p>
    <w:p w14:paraId="3DE6E347" w14:textId="2A709BA0" w:rsidR="00BF3BED" w:rsidRDefault="00BF3BED" w:rsidP="00A759D9">
      <w:pPr>
        <w:spacing w:line="240" w:lineRule="auto"/>
        <w:rPr>
          <w:rFonts w:ascii="Arial" w:eastAsia="Arial" w:hAnsi="Arial" w:cs="Arial"/>
          <w:szCs w:val="22"/>
          <w:lang w:val="en-US"/>
        </w:rPr>
      </w:pPr>
      <w:permStart w:id="243217811" w:edGrp="everyone"/>
      <w:r>
        <w:rPr>
          <w:rFonts w:ascii="Arial" w:eastAsia="Arial" w:hAnsi="Arial" w:cs="Arial"/>
          <w:szCs w:val="22"/>
          <w:lang w:val="en-US"/>
        </w:rPr>
        <w:t>Irish Funds</w:t>
      </w:r>
      <w:r w:rsidRPr="41760CA5">
        <w:rPr>
          <w:rFonts w:ascii="Arial" w:eastAsia="Arial" w:hAnsi="Arial" w:cs="Arial"/>
          <w:szCs w:val="22"/>
          <w:lang w:val="en-US"/>
        </w:rPr>
        <w:t xml:space="preserve"> would like to highlight that redemption fees are not </w:t>
      </w:r>
      <w:r>
        <w:rPr>
          <w:rFonts w:ascii="Arial" w:eastAsia="Arial" w:hAnsi="Arial" w:cs="Arial"/>
          <w:szCs w:val="22"/>
          <w:lang w:val="en-US"/>
        </w:rPr>
        <w:t xml:space="preserve">always </w:t>
      </w:r>
      <w:r w:rsidRPr="41760CA5">
        <w:rPr>
          <w:rFonts w:ascii="Arial" w:eastAsia="Arial" w:hAnsi="Arial" w:cs="Arial"/>
          <w:szCs w:val="22"/>
          <w:lang w:val="en-US"/>
        </w:rPr>
        <w:t>utilised as an anti-dilution tool</w:t>
      </w:r>
      <w:r>
        <w:rPr>
          <w:rFonts w:ascii="Arial" w:eastAsia="Arial" w:hAnsi="Arial" w:cs="Arial"/>
          <w:szCs w:val="22"/>
          <w:lang w:val="en-US"/>
        </w:rPr>
        <w:t>;</w:t>
      </w:r>
      <w:r w:rsidRPr="41760CA5">
        <w:rPr>
          <w:rFonts w:ascii="Arial" w:eastAsia="Arial" w:hAnsi="Arial" w:cs="Arial"/>
          <w:szCs w:val="22"/>
          <w:lang w:val="en-US"/>
        </w:rPr>
        <w:t xml:space="preserve"> instead,</w:t>
      </w:r>
      <w:r>
        <w:rPr>
          <w:rFonts w:ascii="Arial" w:eastAsia="Arial" w:hAnsi="Arial" w:cs="Arial"/>
          <w:szCs w:val="22"/>
          <w:lang w:val="en-US"/>
        </w:rPr>
        <w:t xml:space="preserve"> they can be</w:t>
      </w:r>
      <w:r w:rsidRPr="41760CA5">
        <w:rPr>
          <w:rFonts w:ascii="Arial" w:eastAsia="Arial" w:hAnsi="Arial" w:cs="Arial"/>
          <w:szCs w:val="22"/>
          <w:lang w:val="en-US"/>
        </w:rPr>
        <w:t xml:space="preserve"> </w:t>
      </w:r>
      <w:r>
        <w:rPr>
          <w:rFonts w:ascii="Arial" w:eastAsia="Arial" w:hAnsi="Arial" w:cs="Arial"/>
          <w:szCs w:val="22"/>
          <w:lang w:val="en-US"/>
        </w:rPr>
        <w:t>used</w:t>
      </w:r>
      <w:r>
        <w:rPr>
          <w:rFonts w:ascii="Arial" w:eastAsia="Arial" w:hAnsi="Arial" w:cs="Arial"/>
          <w:szCs w:val="22"/>
          <w:lang w:eastAsia="en-GB"/>
        </w:rPr>
        <w:t xml:space="preserve"> </w:t>
      </w:r>
      <w:r w:rsidRPr="41760CA5">
        <w:rPr>
          <w:rFonts w:ascii="Arial" w:eastAsia="Arial" w:hAnsi="Arial" w:cs="Arial"/>
          <w:szCs w:val="22"/>
          <w:lang w:eastAsia="en-GB"/>
        </w:rPr>
        <w:t xml:space="preserve">to encourage investors to hold the investment in line with the recommended holding period. For example, they </w:t>
      </w:r>
      <w:r w:rsidRPr="41760CA5">
        <w:rPr>
          <w:rFonts w:ascii="Arial" w:eastAsia="Arial" w:hAnsi="Arial" w:cs="Arial"/>
          <w:szCs w:val="22"/>
          <w:lang w:val="en-US"/>
        </w:rPr>
        <w:t>may take the form of contingent deferred costs or part of a fund lock-up mechanism whereby an investor is charged for redeeming before a certain timeframe.</w:t>
      </w:r>
    </w:p>
    <w:p w14:paraId="5B4BC5D5" w14:textId="31C19F56" w:rsidR="00BF3BED" w:rsidRDefault="00BF3BED" w:rsidP="00A759D9">
      <w:pPr>
        <w:spacing w:line="240" w:lineRule="auto"/>
        <w:rPr>
          <w:rFonts w:ascii="Arial" w:eastAsia="Arial" w:hAnsi="Arial" w:cs="Arial"/>
          <w:szCs w:val="22"/>
          <w:lang w:val="en-US"/>
        </w:rPr>
      </w:pPr>
      <w:r>
        <w:rPr>
          <w:rFonts w:ascii="Arial" w:eastAsia="Arial" w:hAnsi="Arial" w:cs="Arial"/>
          <w:szCs w:val="22"/>
          <w:lang w:val="en-US"/>
        </w:rPr>
        <w:t>W</w:t>
      </w:r>
      <w:r w:rsidRPr="41760CA5">
        <w:rPr>
          <w:rFonts w:ascii="Arial" w:eastAsia="Arial" w:hAnsi="Arial" w:cs="Arial"/>
          <w:szCs w:val="22"/>
          <w:lang w:val="en-US"/>
        </w:rPr>
        <w:t xml:space="preserve">e would </w:t>
      </w:r>
      <w:r>
        <w:rPr>
          <w:rFonts w:ascii="Arial" w:eastAsia="Arial" w:hAnsi="Arial" w:cs="Arial"/>
          <w:szCs w:val="22"/>
          <w:lang w:val="en-US"/>
        </w:rPr>
        <w:t xml:space="preserve">also </w:t>
      </w:r>
      <w:r w:rsidRPr="41760CA5">
        <w:rPr>
          <w:rFonts w:ascii="Arial" w:eastAsia="Arial" w:hAnsi="Arial" w:cs="Arial"/>
          <w:szCs w:val="22"/>
          <w:lang w:val="en-US"/>
        </w:rPr>
        <w:t xml:space="preserve">like to highlight that estimating implicit </w:t>
      </w:r>
      <w:r>
        <w:rPr>
          <w:rFonts w:ascii="Arial" w:eastAsia="Arial" w:hAnsi="Arial" w:cs="Arial"/>
          <w:szCs w:val="22"/>
          <w:lang w:val="en-US"/>
        </w:rPr>
        <w:t>costs is not a straightforward process</w:t>
      </w:r>
      <w:r w:rsidRPr="41760CA5">
        <w:rPr>
          <w:rFonts w:ascii="Arial" w:eastAsia="Arial" w:hAnsi="Arial" w:cs="Arial"/>
          <w:szCs w:val="22"/>
          <w:lang w:val="en-US"/>
        </w:rPr>
        <w:t xml:space="preserve"> and market impact presents significant complexity </w:t>
      </w:r>
      <w:r>
        <w:rPr>
          <w:rFonts w:ascii="Arial" w:eastAsia="Arial" w:hAnsi="Arial" w:cs="Arial"/>
          <w:szCs w:val="22"/>
          <w:lang w:val="en-US"/>
        </w:rPr>
        <w:t>and difficulties in some cases</w:t>
      </w:r>
      <w:r w:rsidRPr="41760CA5">
        <w:rPr>
          <w:rFonts w:ascii="Arial" w:eastAsia="Arial" w:hAnsi="Arial" w:cs="Arial"/>
          <w:szCs w:val="22"/>
          <w:lang w:val="en-US"/>
        </w:rPr>
        <w:t>, for example, in stress</w:t>
      </w:r>
      <w:r>
        <w:rPr>
          <w:rFonts w:ascii="Arial" w:eastAsia="Arial" w:hAnsi="Arial" w:cs="Arial"/>
          <w:szCs w:val="22"/>
          <w:lang w:val="en-US"/>
        </w:rPr>
        <w:t>ed</w:t>
      </w:r>
      <w:r w:rsidRPr="41760CA5">
        <w:rPr>
          <w:rFonts w:ascii="Arial" w:eastAsia="Arial" w:hAnsi="Arial" w:cs="Arial"/>
          <w:szCs w:val="22"/>
          <w:lang w:val="en-US"/>
        </w:rPr>
        <w:t xml:space="preserve"> market conditions for certain asset classes (</w:t>
      </w:r>
      <w:r>
        <w:rPr>
          <w:rFonts w:ascii="Arial" w:eastAsia="Arial" w:hAnsi="Arial" w:cs="Arial"/>
          <w:szCs w:val="22"/>
          <w:lang w:val="en-US"/>
        </w:rPr>
        <w:t>e.g.</w:t>
      </w:r>
      <w:r w:rsidRPr="41760CA5">
        <w:rPr>
          <w:rFonts w:ascii="Arial" w:eastAsia="Arial" w:hAnsi="Arial" w:cs="Arial"/>
          <w:szCs w:val="22"/>
          <w:lang w:val="en-US"/>
        </w:rPr>
        <w:t>, fixed income). During market stress, liquidity can deteriorate rapidly, and transaction costs may become highly unpredictable, making accurate estimation challenging. Th</w:t>
      </w:r>
      <w:r>
        <w:rPr>
          <w:rFonts w:ascii="Arial" w:eastAsia="Arial" w:hAnsi="Arial" w:cs="Arial"/>
          <w:szCs w:val="22"/>
          <w:lang w:val="en-US"/>
        </w:rPr>
        <w:t>e</w:t>
      </w:r>
      <w:r w:rsidRPr="41760CA5">
        <w:rPr>
          <w:rFonts w:ascii="Arial" w:eastAsia="Arial" w:hAnsi="Arial" w:cs="Arial"/>
          <w:szCs w:val="22"/>
          <w:lang w:val="en-US"/>
        </w:rPr>
        <w:t xml:space="preserve"> calculation </w:t>
      </w:r>
      <w:r>
        <w:rPr>
          <w:rFonts w:ascii="Arial" w:eastAsia="Arial" w:hAnsi="Arial" w:cs="Arial"/>
          <w:szCs w:val="22"/>
          <w:lang w:val="en-US"/>
        </w:rPr>
        <w:t xml:space="preserve">of implicit costs </w:t>
      </w:r>
      <w:r w:rsidRPr="41760CA5">
        <w:rPr>
          <w:rFonts w:ascii="Arial" w:eastAsia="Arial" w:hAnsi="Arial" w:cs="Arial"/>
          <w:szCs w:val="22"/>
          <w:lang w:val="en-US"/>
        </w:rPr>
        <w:t xml:space="preserve">should be considered estimate on a ‘best efforts’ basis. The risk of overestimation of costs should be </w:t>
      </w:r>
      <w:r>
        <w:rPr>
          <w:rFonts w:ascii="Arial" w:eastAsia="Arial" w:hAnsi="Arial" w:cs="Arial"/>
          <w:szCs w:val="22"/>
          <w:lang w:val="en-US"/>
        </w:rPr>
        <w:t xml:space="preserve">considered and the </w:t>
      </w:r>
      <w:r>
        <w:rPr>
          <w:rFonts w:ascii="Arial" w:eastAsia="Arial" w:hAnsi="Arial" w:cs="Arial"/>
          <w:szCs w:val="22"/>
        </w:rPr>
        <w:t>materiality of the implicit costs including market impact should also be a consideration. Where the manager deems these costs not material</w:t>
      </w:r>
      <w:r w:rsidRPr="5A1DD096">
        <w:rPr>
          <w:rFonts w:ascii="Arial" w:eastAsia="Arial" w:hAnsi="Arial" w:cs="Arial"/>
          <w:szCs w:val="22"/>
        </w:rPr>
        <w:t xml:space="preserve"> (e.g. a large cap fund)</w:t>
      </w:r>
      <w:r>
        <w:rPr>
          <w:rFonts w:ascii="Arial" w:eastAsia="Arial" w:hAnsi="Arial" w:cs="Arial"/>
          <w:szCs w:val="22"/>
        </w:rPr>
        <w:t xml:space="preserve"> there should be no requirement to include them in the redemption fee when considered on a cost/benefit basis.</w:t>
      </w:r>
    </w:p>
    <w:p w14:paraId="3DAD042A" w14:textId="54359B08" w:rsidR="00BF3BED" w:rsidRDefault="00BF3BED" w:rsidP="00A759D9">
      <w:pPr>
        <w:spacing w:line="240" w:lineRule="auto"/>
        <w:rPr>
          <w:rFonts w:ascii="Arial" w:eastAsia="Arial" w:hAnsi="Arial" w:cs="Arial"/>
          <w:szCs w:val="22"/>
          <w:lang w:val="en-US"/>
        </w:rPr>
      </w:pPr>
      <w:r w:rsidRPr="41760CA5">
        <w:rPr>
          <w:rFonts w:ascii="Arial" w:eastAsia="Arial" w:hAnsi="Arial" w:cs="Arial"/>
          <w:szCs w:val="22"/>
          <w:lang w:val="en-US"/>
        </w:rPr>
        <w:t xml:space="preserve">We note that there seems to be an inconsistency in the following characteristics </w:t>
      </w:r>
      <w:r>
        <w:rPr>
          <w:rFonts w:ascii="Arial" w:eastAsia="Arial" w:hAnsi="Arial" w:cs="Arial"/>
          <w:szCs w:val="22"/>
          <w:lang w:val="en-US"/>
        </w:rPr>
        <w:t>outlined in the consultation</w:t>
      </w:r>
      <w:r w:rsidRPr="41760CA5">
        <w:rPr>
          <w:rFonts w:ascii="Arial" w:eastAsia="Arial" w:hAnsi="Arial" w:cs="Arial"/>
          <w:szCs w:val="22"/>
          <w:lang w:val="en-US"/>
        </w:rPr>
        <w:t xml:space="preserve"> of the redemption fees: as per </w:t>
      </w:r>
      <w:r>
        <w:rPr>
          <w:rFonts w:ascii="Arial" w:eastAsia="Arial" w:hAnsi="Arial" w:cs="Arial"/>
          <w:szCs w:val="22"/>
          <w:lang w:val="en-US"/>
        </w:rPr>
        <w:t xml:space="preserve">section 2.2.5 </w:t>
      </w:r>
      <w:r w:rsidRPr="41760CA5">
        <w:rPr>
          <w:rFonts w:ascii="Arial" w:eastAsia="Arial" w:hAnsi="Arial" w:cs="Arial"/>
          <w:szCs w:val="22"/>
          <w:lang w:val="en-US"/>
        </w:rPr>
        <w:t>paragraph 49</w:t>
      </w:r>
      <w:r>
        <w:rPr>
          <w:rFonts w:ascii="Arial" w:eastAsia="Arial" w:hAnsi="Arial" w:cs="Arial"/>
          <w:szCs w:val="22"/>
          <w:lang w:val="en-US"/>
        </w:rPr>
        <w:t>,</w:t>
      </w:r>
      <w:r w:rsidRPr="41760CA5">
        <w:rPr>
          <w:rFonts w:ascii="Arial" w:eastAsia="Arial" w:hAnsi="Arial" w:cs="Arial"/>
          <w:szCs w:val="22"/>
          <w:lang w:val="en-US"/>
        </w:rPr>
        <w:t xml:space="preserve"> redemption fees are predetermined fixed fees while paragraph 51</w:t>
      </w:r>
      <w:r>
        <w:rPr>
          <w:rFonts w:ascii="Arial" w:eastAsia="Arial" w:hAnsi="Arial" w:cs="Arial"/>
          <w:szCs w:val="22"/>
          <w:lang w:val="en-US"/>
        </w:rPr>
        <w:t xml:space="preserve"> states</w:t>
      </w:r>
      <w:r w:rsidRPr="41760CA5">
        <w:rPr>
          <w:rFonts w:ascii="Arial" w:eastAsia="Arial" w:hAnsi="Arial" w:cs="Arial"/>
          <w:szCs w:val="22"/>
          <w:lang w:val="en-US"/>
        </w:rPr>
        <w:t xml:space="preserve"> they can be expressed as a range to consider that transaction costs might increase in stressed market conditions. We would note that </w:t>
      </w:r>
      <w:r w:rsidRPr="41760CA5">
        <w:rPr>
          <w:rFonts w:ascii="Arial" w:eastAsia="Arial" w:hAnsi="Arial" w:cs="Arial"/>
          <w:szCs w:val="22"/>
          <w:lang w:eastAsia="en-GB"/>
        </w:rPr>
        <w:t>fees may decrease gradually in line with the length of the period that the investor remains in the fund.</w:t>
      </w:r>
      <w:r w:rsidRPr="41760CA5">
        <w:rPr>
          <w:rFonts w:ascii="Arial" w:eastAsia="Arial" w:hAnsi="Arial" w:cs="Arial"/>
          <w:szCs w:val="22"/>
          <w:lang w:val="en-US"/>
        </w:rPr>
        <w:t xml:space="preserve"> To that point, redemption charges can be 0% in our view in certain situations (for example, post completion of the lock-up period charges may be shown as 0% in fund documents). </w:t>
      </w:r>
    </w:p>
    <w:p w14:paraId="6EB395B7" w14:textId="2AB402AD" w:rsidR="00BF3BED" w:rsidRDefault="00BF3BED" w:rsidP="00A759D9">
      <w:pPr>
        <w:spacing w:line="240" w:lineRule="auto"/>
        <w:rPr>
          <w:rFonts w:ascii="Arial" w:eastAsia="Arial" w:hAnsi="Arial" w:cs="Arial"/>
          <w:szCs w:val="22"/>
          <w:lang w:val="en-US"/>
        </w:rPr>
      </w:pPr>
      <w:r w:rsidRPr="316BC453">
        <w:rPr>
          <w:rFonts w:ascii="Arial" w:eastAsia="Arial" w:hAnsi="Arial" w:cs="Arial"/>
          <w:szCs w:val="22"/>
          <w:lang w:val="en-US"/>
        </w:rPr>
        <w:t>Similarly, as per paragraph 55 it is stated that “</w:t>
      </w:r>
      <w:r w:rsidRPr="316BC453">
        <w:rPr>
          <w:rFonts w:ascii="Arial" w:eastAsia="Arial" w:hAnsi="Arial" w:cs="Arial"/>
          <w:i/>
          <w:iCs/>
          <w:szCs w:val="22"/>
          <w:lang w:val="en-US"/>
        </w:rPr>
        <w:t>redemption fees correspond to transaction-based costs which are fixed or have low variation”</w:t>
      </w:r>
      <w:r w:rsidRPr="316BC453">
        <w:rPr>
          <w:rFonts w:ascii="Arial" w:eastAsia="Arial" w:hAnsi="Arial" w:cs="Arial"/>
          <w:szCs w:val="22"/>
          <w:lang w:val="en-US"/>
        </w:rPr>
        <w:t>. At the same time the paragraph states that “</w:t>
      </w:r>
      <w:r w:rsidRPr="316BC453">
        <w:rPr>
          <w:rFonts w:ascii="Arial" w:eastAsia="Arial" w:hAnsi="Arial" w:cs="Arial"/>
          <w:i/>
          <w:iCs/>
          <w:szCs w:val="22"/>
          <w:lang w:val="en-US"/>
        </w:rPr>
        <w:t>redemption fees shall impose [..] the explicit and implicit estimated costs of portfolio transactions caused by redemptions, including any estimated significant market impact [..]”</w:t>
      </w:r>
      <w:r w:rsidRPr="316BC453">
        <w:rPr>
          <w:rFonts w:ascii="Arial" w:eastAsia="Arial" w:hAnsi="Arial" w:cs="Arial"/>
          <w:szCs w:val="22"/>
          <w:lang w:val="en-US"/>
        </w:rPr>
        <w:t>. As such, the recognition that during stress periods implicit costs can increase significantly does</w:t>
      </w:r>
      <w:r>
        <w:rPr>
          <w:rFonts w:ascii="Arial" w:eastAsia="Arial" w:hAnsi="Arial" w:cs="Arial"/>
          <w:szCs w:val="22"/>
          <w:lang w:val="en-US"/>
        </w:rPr>
        <w:t xml:space="preserve"> not</w:t>
      </w:r>
      <w:r w:rsidRPr="316BC453">
        <w:rPr>
          <w:rFonts w:ascii="Arial" w:eastAsia="Arial" w:hAnsi="Arial" w:cs="Arial"/>
          <w:szCs w:val="22"/>
          <w:lang w:val="en-US"/>
        </w:rPr>
        <w:t xml:space="preserve"> seem to </w:t>
      </w:r>
      <w:r>
        <w:rPr>
          <w:rFonts w:ascii="Arial" w:eastAsia="Arial" w:hAnsi="Arial" w:cs="Arial"/>
          <w:szCs w:val="22"/>
          <w:lang w:val="en-US"/>
        </w:rPr>
        <w:t>align</w:t>
      </w:r>
      <w:r w:rsidRPr="316BC453">
        <w:rPr>
          <w:rFonts w:ascii="Arial" w:eastAsia="Arial" w:hAnsi="Arial" w:cs="Arial"/>
          <w:szCs w:val="22"/>
          <w:lang w:val="en-US"/>
        </w:rPr>
        <w:t xml:space="preserve"> with the stated characteristic of </w:t>
      </w:r>
      <w:r>
        <w:rPr>
          <w:rFonts w:ascii="Arial" w:eastAsia="Arial" w:hAnsi="Arial" w:cs="Arial"/>
          <w:szCs w:val="22"/>
          <w:lang w:val="en-US"/>
        </w:rPr>
        <w:t xml:space="preserve">predetermined, </w:t>
      </w:r>
      <w:r w:rsidRPr="316BC453">
        <w:rPr>
          <w:rFonts w:ascii="Arial" w:eastAsia="Arial" w:hAnsi="Arial" w:cs="Arial"/>
          <w:szCs w:val="22"/>
          <w:lang w:val="en-US"/>
        </w:rPr>
        <w:t>fixed or low variation costs.</w:t>
      </w:r>
      <w:r>
        <w:rPr>
          <w:rFonts w:ascii="Arial" w:eastAsia="Arial" w:hAnsi="Arial" w:cs="Arial"/>
          <w:szCs w:val="22"/>
          <w:lang w:val="en-US"/>
        </w:rPr>
        <w:t xml:space="preserve"> </w:t>
      </w:r>
    </w:p>
    <w:p w14:paraId="4B27BBCD" w14:textId="29B94063" w:rsidR="00BF3BED" w:rsidRPr="00314AC9" w:rsidRDefault="00BF3BED" w:rsidP="00A759D9">
      <w:pPr>
        <w:spacing w:line="240" w:lineRule="auto"/>
        <w:rPr>
          <w:rFonts w:ascii="Arial" w:hAnsi="Arial" w:cs="Arial"/>
          <w:szCs w:val="22"/>
          <w:lang w:val="en-US"/>
        </w:rPr>
      </w:pPr>
      <w:r>
        <w:rPr>
          <w:rFonts w:ascii="Arial" w:eastAsia="Arial" w:hAnsi="Arial" w:cs="Arial"/>
          <w:szCs w:val="22"/>
          <w:lang w:val="en-US"/>
        </w:rPr>
        <w:t xml:space="preserve">Given the arguments above, we would suggest removing the term </w:t>
      </w:r>
      <w:r w:rsidR="00420436">
        <w:rPr>
          <w:rFonts w:ascii="Arial" w:eastAsia="Arial" w:hAnsi="Arial" w:cs="Arial"/>
          <w:szCs w:val="22"/>
          <w:lang w:val="en-US"/>
        </w:rPr>
        <w:t>‘</w:t>
      </w:r>
      <w:r w:rsidRPr="00420436">
        <w:rPr>
          <w:rFonts w:ascii="Arial" w:eastAsia="Arial" w:hAnsi="Arial" w:cs="Arial"/>
          <w:i/>
          <w:iCs/>
          <w:szCs w:val="22"/>
          <w:lang w:val="en-US"/>
        </w:rPr>
        <w:t>predetermined</w:t>
      </w:r>
      <w:r w:rsidR="00420436">
        <w:rPr>
          <w:rFonts w:ascii="Arial" w:eastAsia="Arial" w:hAnsi="Arial" w:cs="Arial"/>
          <w:szCs w:val="22"/>
          <w:lang w:val="en-US"/>
        </w:rPr>
        <w:t>’</w:t>
      </w:r>
      <w:r>
        <w:rPr>
          <w:rFonts w:ascii="Arial" w:eastAsia="Arial" w:hAnsi="Arial" w:cs="Arial"/>
          <w:szCs w:val="22"/>
          <w:lang w:val="en-US"/>
        </w:rPr>
        <w:t xml:space="preserve"> from Annex 3.4 IV - Article 4(1) to allow for sufficient flexibility – noting this is </w:t>
      </w:r>
      <w:r w:rsidR="00944F0E">
        <w:rPr>
          <w:rFonts w:ascii="Arial" w:eastAsia="Arial" w:hAnsi="Arial" w:cs="Arial"/>
          <w:szCs w:val="22"/>
          <w:lang w:val="en-US"/>
        </w:rPr>
        <w:t>already not included in</w:t>
      </w:r>
      <w:r>
        <w:rPr>
          <w:rFonts w:ascii="Arial" w:eastAsia="Arial" w:hAnsi="Arial" w:cs="Arial"/>
          <w:szCs w:val="22"/>
          <w:lang w:val="en-US"/>
        </w:rPr>
        <w:t xml:space="preserve"> Article 4(1) for UCITS</w:t>
      </w:r>
      <w:r w:rsidR="00460349" w:rsidRPr="0013481D">
        <w:rPr>
          <w:rFonts w:ascii="Arial" w:hAnsi="Arial" w:cs="Arial"/>
          <w:szCs w:val="22"/>
          <w:lang w:val="en-US"/>
        </w:rPr>
        <w:t>.</w:t>
      </w:r>
      <w:permEnd w:id="243217811"/>
    </w:p>
    <w:p w14:paraId="16413F78" w14:textId="2AD1BC0B" w:rsidR="00DA4F15" w:rsidRDefault="00DA4F15" w:rsidP="00A759D9">
      <w:pPr>
        <w:spacing w:line="240" w:lineRule="auto"/>
      </w:pPr>
      <w:r>
        <w:t>&lt;ESMA_QUESTION_SLMT_22&gt;</w:t>
      </w:r>
    </w:p>
    <w:p w14:paraId="6BF83C6C" w14:textId="77777777" w:rsidR="00BF3BED" w:rsidRDefault="00BF3BED" w:rsidP="00A759D9">
      <w:pPr>
        <w:spacing w:line="240" w:lineRule="auto"/>
      </w:pPr>
    </w:p>
    <w:p w14:paraId="602C9AAF" w14:textId="77777777" w:rsidR="00DA4F15" w:rsidRDefault="00DA4F15" w:rsidP="00A759D9">
      <w:pPr>
        <w:pStyle w:val="Questionstyle"/>
        <w:numPr>
          <w:ilvl w:val="0"/>
          <w:numId w:val="14"/>
        </w:numPr>
        <w:tabs>
          <w:tab w:val="clear" w:pos="567"/>
        </w:tabs>
        <w:spacing w:line="256" w:lineRule="auto"/>
        <w:ind w:left="851" w:hanging="851"/>
      </w:pPr>
      <w:r>
        <w:t>Can you think of any other redemption fee mechanism than the ones described above? If yes, please provide examples.</w:t>
      </w:r>
    </w:p>
    <w:p w14:paraId="2A371F57" w14:textId="77777777" w:rsidR="00DA4F15" w:rsidRDefault="00DA4F15" w:rsidP="00A759D9">
      <w:r>
        <w:t>&lt;ESMA_QUESTION_SLMT_23&gt;</w:t>
      </w:r>
    </w:p>
    <w:p w14:paraId="650D2038" w14:textId="0DA102DB" w:rsidR="008A5F92" w:rsidRPr="008A5F92" w:rsidRDefault="008A5F92" w:rsidP="00A759D9">
      <w:pPr>
        <w:spacing w:line="240" w:lineRule="auto"/>
        <w:rPr>
          <w:rFonts w:ascii="Arial" w:eastAsia="Arial" w:hAnsi="Arial" w:cs="Arial"/>
          <w:strike/>
          <w:szCs w:val="22"/>
          <w:lang w:val="en-US"/>
        </w:rPr>
      </w:pPr>
      <w:permStart w:id="646406651" w:edGrp="everyone"/>
      <w:r w:rsidRPr="41760CA5">
        <w:rPr>
          <w:rFonts w:ascii="Arial" w:eastAsia="Arial" w:hAnsi="Arial" w:cs="Arial"/>
          <w:szCs w:val="22"/>
          <w:lang w:val="en-US"/>
        </w:rPr>
        <w:t xml:space="preserve">Per our response to question 22 redemption fees </w:t>
      </w:r>
      <w:r>
        <w:rPr>
          <w:rFonts w:ascii="Arial" w:eastAsia="Arial" w:hAnsi="Arial" w:cs="Arial"/>
          <w:szCs w:val="22"/>
          <w:lang w:val="en-US"/>
        </w:rPr>
        <w:t xml:space="preserve">are </w:t>
      </w:r>
      <w:r w:rsidRPr="41760CA5">
        <w:rPr>
          <w:rFonts w:ascii="Arial" w:eastAsia="Arial" w:hAnsi="Arial" w:cs="Arial"/>
          <w:szCs w:val="22"/>
          <w:lang w:val="en-US"/>
        </w:rPr>
        <w:t>not always linked to dilution costs e.g</w:t>
      </w:r>
      <w:bookmarkStart w:id="1" w:name="_Int_JLM3YSOB"/>
      <w:r w:rsidRPr="41760CA5">
        <w:rPr>
          <w:rFonts w:ascii="Arial" w:eastAsia="Arial" w:hAnsi="Arial" w:cs="Arial"/>
          <w:szCs w:val="22"/>
          <w:lang w:val="en-US"/>
        </w:rPr>
        <w:t xml:space="preserve">.  </w:t>
      </w:r>
      <w:r w:rsidR="00B6312D">
        <w:rPr>
          <w:rFonts w:ascii="Arial" w:eastAsia="Arial" w:hAnsi="Arial" w:cs="Arial"/>
          <w:szCs w:val="22"/>
          <w:lang w:val="en-US"/>
        </w:rPr>
        <w:t>c</w:t>
      </w:r>
      <w:r w:rsidRPr="41760CA5">
        <w:rPr>
          <w:rFonts w:ascii="Arial" w:eastAsia="Arial" w:hAnsi="Arial" w:cs="Arial"/>
          <w:szCs w:val="22"/>
          <w:lang w:val="en-US"/>
        </w:rPr>
        <w:t>ontingent</w:t>
      </w:r>
      <w:bookmarkEnd w:id="1"/>
      <w:r w:rsidRPr="41760CA5">
        <w:rPr>
          <w:rFonts w:ascii="Arial" w:eastAsia="Arial" w:hAnsi="Arial" w:cs="Arial"/>
          <w:szCs w:val="22"/>
          <w:lang w:val="en-US"/>
        </w:rPr>
        <w:t xml:space="preserve"> </w:t>
      </w:r>
      <w:r w:rsidR="00B6312D">
        <w:rPr>
          <w:rFonts w:ascii="Arial" w:eastAsia="Arial" w:hAnsi="Arial" w:cs="Arial"/>
          <w:szCs w:val="22"/>
          <w:lang w:val="en-US"/>
        </w:rPr>
        <w:t>d</w:t>
      </w:r>
      <w:r w:rsidRPr="41760CA5">
        <w:rPr>
          <w:rFonts w:ascii="Arial" w:eastAsia="Arial" w:hAnsi="Arial" w:cs="Arial"/>
          <w:szCs w:val="22"/>
          <w:lang w:val="en-US"/>
        </w:rPr>
        <w:t xml:space="preserve">eferred </w:t>
      </w:r>
      <w:r w:rsidR="00B6312D">
        <w:rPr>
          <w:rFonts w:ascii="Arial" w:eastAsia="Arial" w:hAnsi="Arial" w:cs="Arial"/>
          <w:szCs w:val="22"/>
          <w:lang w:val="en-US"/>
        </w:rPr>
        <w:t>c</w:t>
      </w:r>
      <w:r w:rsidRPr="41760CA5">
        <w:rPr>
          <w:rFonts w:ascii="Arial" w:eastAsia="Arial" w:hAnsi="Arial" w:cs="Arial"/>
          <w:szCs w:val="22"/>
          <w:lang w:val="en-US"/>
        </w:rPr>
        <w:t xml:space="preserve">osts, redemption charges during lock-up periods and other distribution redemption fees. </w:t>
      </w:r>
      <w:permEnd w:id="646406651"/>
    </w:p>
    <w:p w14:paraId="08FD8CD5" w14:textId="278F13BF" w:rsidR="00DA4F15" w:rsidRDefault="00DA4F15" w:rsidP="00A759D9">
      <w:r>
        <w:t>&lt;ESMA_QUESTION_SLMT_23&gt;</w:t>
      </w:r>
    </w:p>
    <w:p w14:paraId="12A1C14D" w14:textId="77777777" w:rsidR="00314AC9" w:rsidRDefault="00314AC9" w:rsidP="00A759D9"/>
    <w:p w14:paraId="021075EA" w14:textId="77777777" w:rsidR="00DA4F15" w:rsidRDefault="00DA4F15" w:rsidP="00A759D9">
      <w:pPr>
        <w:pStyle w:val="Questionstyle"/>
        <w:numPr>
          <w:ilvl w:val="0"/>
          <w:numId w:val="14"/>
        </w:numPr>
        <w:tabs>
          <w:tab w:val="clear" w:pos="567"/>
        </w:tabs>
        <w:spacing w:line="256" w:lineRule="auto"/>
        <w:ind w:left="851" w:hanging="851"/>
      </w:pPr>
      <w:r>
        <w:t>Do you think there is merit for the characteristics of redemption fees to differ between different investment strategies and between AIFs and UCITS? If yes, how?</w:t>
      </w:r>
    </w:p>
    <w:p w14:paraId="4C883DC4" w14:textId="77777777" w:rsidR="00DA4F15" w:rsidRDefault="00DA4F15" w:rsidP="00A759D9">
      <w:r>
        <w:t>&lt;ESMA_QUESTION_SLMT_24&gt;</w:t>
      </w:r>
    </w:p>
    <w:p w14:paraId="65933D9E" w14:textId="5442B3C8" w:rsidR="00F67A2A" w:rsidRPr="00314AC9" w:rsidRDefault="00F67A2A" w:rsidP="00A759D9">
      <w:pPr>
        <w:spacing w:line="240" w:lineRule="auto"/>
        <w:rPr>
          <w:rFonts w:ascii="Arial" w:eastAsia="Arial" w:hAnsi="Arial" w:cs="Arial"/>
          <w:szCs w:val="22"/>
          <w:lang w:val="en-US"/>
        </w:rPr>
      </w:pPr>
      <w:permStart w:id="1731542779" w:edGrp="everyone"/>
      <w:r w:rsidRPr="41760CA5">
        <w:rPr>
          <w:rFonts w:ascii="Arial" w:eastAsia="Arial" w:hAnsi="Arial" w:cs="Arial"/>
          <w:szCs w:val="22"/>
          <w:lang w:val="en-US"/>
        </w:rPr>
        <w:t>No, we don’t believe the characteristics of a redemption fee should differ between different investment strategies and between AIFs and UCITS. Ultimately, the manager will set a fee or range that is appropriate for their fund. However, as referenced in question 22 and 23 the purpose of a redemption fee will not always be to act as an anti-dilution tool.</w:t>
      </w:r>
      <w:permEnd w:id="1731542779"/>
    </w:p>
    <w:p w14:paraId="1011AA70" w14:textId="4000463C" w:rsidR="00DA4F15" w:rsidRDefault="00DA4F15" w:rsidP="00A759D9">
      <w:pPr>
        <w:spacing w:line="240" w:lineRule="auto"/>
      </w:pPr>
      <w:r>
        <w:t>&lt;ESMA_QUESTION_SLMT_24&gt;</w:t>
      </w:r>
    </w:p>
    <w:p w14:paraId="02E329EC" w14:textId="77777777" w:rsidR="00F67A2A" w:rsidRPr="00F67A2A" w:rsidRDefault="00F67A2A" w:rsidP="00A759D9">
      <w:pPr>
        <w:spacing w:line="240" w:lineRule="auto"/>
        <w:rPr>
          <w:rFonts w:ascii="Arial" w:eastAsia="Arial" w:hAnsi="Arial" w:cs="Arial"/>
          <w:szCs w:val="22"/>
          <w:lang w:val="en-US"/>
        </w:rPr>
      </w:pPr>
    </w:p>
    <w:p w14:paraId="10C4425D" w14:textId="77777777" w:rsidR="00DA4F15" w:rsidRDefault="00DA4F15" w:rsidP="00A759D9">
      <w:pPr>
        <w:pStyle w:val="Questionstyle"/>
        <w:numPr>
          <w:ilvl w:val="0"/>
          <w:numId w:val="14"/>
        </w:numPr>
        <w:tabs>
          <w:tab w:val="clear" w:pos="567"/>
        </w:tabs>
        <w:spacing w:line="256" w:lineRule="auto"/>
        <w:ind w:left="851" w:hanging="851"/>
      </w:pPr>
      <w:r>
        <w:t>Do you agree with the description of swing pricing and the corresponding characteristics? If not, please justify your position.</w:t>
      </w:r>
    </w:p>
    <w:p w14:paraId="54329BB0" w14:textId="77777777" w:rsidR="00DA4F15" w:rsidRDefault="00DA4F15" w:rsidP="00A759D9">
      <w:r>
        <w:t>&lt;ESMA_QUESTION_SLMT_25&gt;</w:t>
      </w:r>
    </w:p>
    <w:p w14:paraId="42EA33C7" w14:textId="06E753E5" w:rsidR="00CC452C" w:rsidRDefault="00CC452C" w:rsidP="00A759D9">
      <w:pPr>
        <w:spacing w:line="240" w:lineRule="auto"/>
        <w:rPr>
          <w:rFonts w:ascii="Arial" w:eastAsia="Arial" w:hAnsi="Arial" w:cs="Arial"/>
          <w:szCs w:val="22"/>
          <w:lang w:val="en-US"/>
        </w:rPr>
      </w:pPr>
      <w:permStart w:id="440675277" w:edGrp="everyone"/>
      <w:r>
        <w:rPr>
          <w:rFonts w:ascii="Arial" w:eastAsia="Arial" w:hAnsi="Arial" w:cs="Arial"/>
          <w:szCs w:val="22"/>
          <w:lang w:val="en-US"/>
        </w:rPr>
        <w:t>Irish Funds</w:t>
      </w:r>
      <w:r w:rsidRPr="41760CA5">
        <w:rPr>
          <w:rFonts w:ascii="Arial" w:eastAsia="Arial" w:hAnsi="Arial" w:cs="Arial"/>
          <w:szCs w:val="22"/>
          <w:lang w:val="en-US"/>
        </w:rPr>
        <w:t xml:space="preserve"> generally agree with the description and corresponding characteristics (including the use of full, partial and tiered swings) and welcome the recognition that the liquidity costs are estimated and as such, different </w:t>
      </w:r>
      <w:r>
        <w:rPr>
          <w:rFonts w:ascii="Arial" w:eastAsia="Arial" w:hAnsi="Arial" w:cs="Arial"/>
          <w:szCs w:val="22"/>
          <w:lang w:val="en-US"/>
        </w:rPr>
        <w:t>managers</w:t>
      </w:r>
      <w:r w:rsidRPr="41760CA5">
        <w:rPr>
          <w:rFonts w:ascii="Arial" w:eastAsia="Arial" w:hAnsi="Arial" w:cs="Arial"/>
          <w:szCs w:val="22"/>
          <w:lang w:val="en-US"/>
        </w:rPr>
        <w:t xml:space="preserve"> may derive different estimates. However, we would like to highlight that estimating implicit </w:t>
      </w:r>
      <w:r>
        <w:rPr>
          <w:rFonts w:ascii="Arial" w:eastAsia="Arial" w:hAnsi="Arial" w:cs="Arial"/>
          <w:szCs w:val="22"/>
          <w:lang w:val="en-US"/>
        </w:rPr>
        <w:t>costs is not straightforward,</w:t>
      </w:r>
      <w:r w:rsidRPr="41760CA5">
        <w:rPr>
          <w:rFonts w:ascii="Arial" w:eastAsia="Arial" w:hAnsi="Arial" w:cs="Arial"/>
          <w:szCs w:val="22"/>
          <w:lang w:val="en-US"/>
        </w:rPr>
        <w:t xml:space="preserve"> and market impact presents significant complexity and </w:t>
      </w:r>
      <w:r>
        <w:rPr>
          <w:rFonts w:ascii="Arial" w:eastAsia="Arial" w:hAnsi="Arial" w:cs="Arial"/>
          <w:szCs w:val="22"/>
          <w:lang w:val="en-US"/>
        </w:rPr>
        <w:t>difficulties in some cases</w:t>
      </w:r>
      <w:r w:rsidRPr="41760CA5">
        <w:rPr>
          <w:rFonts w:ascii="Arial" w:eastAsia="Arial" w:hAnsi="Arial" w:cs="Arial"/>
          <w:szCs w:val="22"/>
          <w:lang w:val="en-US"/>
        </w:rPr>
        <w:t>, for example in stress</w:t>
      </w:r>
      <w:r>
        <w:rPr>
          <w:rFonts w:ascii="Arial" w:eastAsia="Arial" w:hAnsi="Arial" w:cs="Arial"/>
          <w:szCs w:val="22"/>
          <w:lang w:val="en-US"/>
        </w:rPr>
        <w:t>ed</w:t>
      </w:r>
      <w:r w:rsidRPr="41760CA5">
        <w:rPr>
          <w:rFonts w:ascii="Arial" w:eastAsia="Arial" w:hAnsi="Arial" w:cs="Arial"/>
          <w:szCs w:val="22"/>
          <w:lang w:val="en-US"/>
        </w:rPr>
        <w:t xml:space="preserve"> market conditions for certain asset classes (</w:t>
      </w:r>
      <w:r>
        <w:rPr>
          <w:rFonts w:ascii="Arial" w:eastAsia="Arial" w:hAnsi="Arial" w:cs="Arial"/>
          <w:szCs w:val="22"/>
          <w:lang w:val="en-US"/>
        </w:rPr>
        <w:t xml:space="preserve">e.g., </w:t>
      </w:r>
      <w:r w:rsidRPr="41760CA5">
        <w:rPr>
          <w:rFonts w:ascii="Arial" w:eastAsia="Arial" w:hAnsi="Arial" w:cs="Arial"/>
          <w:szCs w:val="22"/>
          <w:lang w:val="en-US"/>
        </w:rPr>
        <w:t>fixed income). During market stress, liquidity can deteriorate rapidly, and transaction costs may become highly unpredictable, making accurate estimation challenging. Th</w:t>
      </w:r>
      <w:r>
        <w:rPr>
          <w:rFonts w:ascii="Arial" w:eastAsia="Arial" w:hAnsi="Arial" w:cs="Arial"/>
          <w:szCs w:val="22"/>
          <w:lang w:val="en-US"/>
        </w:rPr>
        <w:t>e</w:t>
      </w:r>
      <w:r w:rsidRPr="41760CA5">
        <w:rPr>
          <w:rFonts w:ascii="Arial" w:eastAsia="Arial" w:hAnsi="Arial" w:cs="Arial"/>
          <w:szCs w:val="22"/>
          <w:lang w:val="en-US"/>
        </w:rPr>
        <w:t xml:space="preserve"> calculation </w:t>
      </w:r>
      <w:r>
        <w:rPr>
          <w:rFonts w:ascii="Arial" w:eastAsia="Arial" w:hAnsi="Arial" w:cs="Arial"/>
          <w:szCs w:val="22"/>
          <w:lang w:val="en-US"/>
        </w:rPr>
        <w:t xml:space="preserve">of implicit costs </w:t>
      </w:r>
      <w:r w:rsidRPr="41760CA5">
        <w:rPr>
          <w:rFonts w:ascii="Arial" w:eastAsia="Arial" w:hAnsi="Arial" w:cs="Arial"/>
          <w:szCs w:val="22"/>
          <w:lang w:val="en-US"/>
        </w:rPr>
        <w:t xml:space="preserve">should be considered </w:t>
      </w:r>
      <w:r w:rsidR="00563690">
        <w:rPr>
          <w:rFonts w:ascii="Arial" w:eastAsia="Arial" w:hAnsi="Arial" w:cs="Arial"/>
          <w:szCs w:val="22"/>
          <w:lang w:val="en-US"/>
        </w:rPr>
        <w:t xml:space="preserve">an </w:t>
      </w:r>
      <w:r w:rsidRPr="41760CA5">
        <w:rPr>
          <w:rFonts w:ascii="Arial" w:eastAsia="Arial" w:hAnsi="Arial" w:cs="Arial"/>
          <w:szCs w:val="22"/>
          <w:lang w:val="en-US"/>
        </w:rPr>
        <w:t xml:space="preserve">estimate on a ‘best efforts’ basis. The risk of overestimation of costs should also be </w:t>
      </w:r>
      <w:r>
        <w:rPr>
          <w:rFonts w:ascii="Arial" w:eastAsia="Arial" w:hAnsi="Arial" w:cs="Arial"/>
          <w:szCs w:val="22"/>
          <w:lang w:val="en-US"/>
        </w:rPr>
        <w:t>considered</w:t>
      </w:r>
      <w:r w:rsidRPr="41760CA5">
        <w:rPr>
          <w:rFonts w:ascii="Arial" w:eastAsia="Arial" w:hAnsi="Arial" w:cs="Arial"/>
          <w:szCs w:val="22"/>
          <w:lang w:val="en-US"/>
        </w:rPr>
        <w:t xml:space="preserve">. </w:t>
      </w:r>
    </w:p>
    <w:p w14:paraId="67892512" w14:textId="77777777" w:rsidR="00E72A1B" w:rsidRDefault="00CC452C" w:rsidP="00A759D9">
      <w:pPr>
        <w:spacing w:line="240" w:lineRule="auto"/>
        <w:rPr>
          <w:rFonts w:ascii="Arial" w:eastAsia="Arial" w:hAnsi="Arial" w:cs="Arial"/>
          <w:szCs w:val="22"/>
        </w:rPr>
      </w:pPr>
      <w:r w:rsidRPr="41760CA5">
        <w:rPr>
          <w:rFonts w:ascii="Arial" w:eastAsia="Arial" w:hAnsi="Arial" w:cs="Arial"/>
          <w:szCs w:val="22"/>
          <w:lang w:val="en-US"/>
        </w:rPr>
        <w:t xml:space="preserve">As such, the statement that </w:t>
      </w:r>
      <w:r>
        <w:rPr>
          <w:rFonts w:ascii="Arial" w:eastAsia="Arial" w:hAnsi="Arial" w:cs="Arial"/>
          <w:szCs w:val="22"/>
          <w:lang w:val="en-US"/>
        </w:rPr>
        <w:t>“</w:t>
      </w:r>
      <w:r w:rsidRPr="41760CA5">
        <w:rPr>
          <w:rFonts w:ascii="Arial" w:eastAsia="Arial" w:hAnsi="Arial" w:cs="Arial"/>
          <w:i/>
          <w:iCs/>
          <w:szCs w:val="22"/>
          <w:lang w:val="en-US"/>
        </w:rPr>
        <w:t>t</w:t>
      </w:r>
      <w:r w:rsidRPr="41760CA5">
        <w:rPr>
          <w:rFonts w:ascii="Arial" w:eastAsia="Arial" w:hAnsi="Arial" w:cs="Arial"/>
          <w:i/>
          <w:iCs/>
          <w:szCs w:val="22"/>
        </w:rPr>
        <w:t>he swing factor shall impose [..] the explicit and implicit estimated costs of portfolio transactions costs caused by subscriptions or redemptions, including any significant market impact of assets purchases</w:t>
      </w:r>
      <w:r>
        <w:rPr>
          <w:rFonts w:ascii="Arial" w:eastAsia="Arial" w:hAnsi="Arial" w:cs="Arial"/>
          <w:i/>
          <w:iCs/>
          <w:szCs w:val="22"/>
        </w:rPr>
        <w:t>”</w:t>
      </w:r>
      <w:r w:rsidRPr="41760CA5">
        <w:rPr>
          <w:rFonts w:ascii="Arial" w:eastAsia="Arial" w:hAnsi="Arial" w:cs="Arial"/>
          <w:i/>
          <w:iCs/>
          <w:szCs w:val="22"/>
        </w:rPr>
        <w:t xml:space="preserve"> </w:t>
      </w:r>
      <w:r w:rsidRPr="41760CA5">
        <w:rPr>
          <w:rFonts w:ascii="Arial" w:eastAsia="Arial" w:hAnsi="Arial" w:cs="Arial"/>
          <w:szCs w:val="22"/>
        </w:rPr>
        <w:t xml:space="preserve">does not fully appreciate, in our view, the complexity and practical challenges of measuring dilution impact and updating the swing factors (including from an operational and governance perspective). </w:t>
      </w:r>
      <w:r w:rsidR="00236A92">
        <w:rPr>
          <w:rFonts w:ascii="Arial" w:eastAsia="Arial" w:hAnsi="Arial" w:cs="Arial"/>
          <w:szCs w:val="22"/>
        </w:rPr>
        <w:t>Therefore, m</w:t>
      </w:r>
      <w:r>
        <w:rPr>
          <w:rFonts w:ascii="Arial" w:eastAsia="Arial" w:hAnsi="Arial" w:cs="Arial"/>
          <w:szCs w:val="22"/>
        </w:rPr>
        <w:t>ateriality of the implicit costs</w:t>
      </w:r>
      <w:r w:rsidR="00D7155B">
        <w:rPr>
          <w:rFonts w:ascii="Arial" w:eastAsia="Arial" w:hAnsi="Arial" w:cs="Arial"/>
          <w:szCs w:val="22"/>
        </w:rPr>
        <w:t>,</w:t>
      </w:r>
      <w:r>
        <w:rPr>
          <w:rFonts w:ascii="Arial" w:eastAsia="Arial" w:hAnsi="Arial" w:cs="Arial"/>
          <w:szCs w:val="22"/>
        </w:rPr>
        <w:t xml:space="preserve"> including market impact</w:t>
      </w:r>
      <w:r w:rsidR="00D7155B">
        <w:rPr>
          <w:rFonts w:ascii="Arial" w:eastAsia="Arial" w:hAnsi="Arial" w:cs="Arial"/>
          <w:szCs w:val="22"/>
        </w:rPr>
        <w:t>,</w:t>
      </w:r>
      <w:r>
        <w:rPr>
          <w:rFonts w:ascii="Arial" w:eastAsia="Arial" w:hAnsi="Arial" w:cs="Arial"/>
          <w:szCs w:val="22"/>
        </w:rPr>
        <w:t xml:space="preserve"> should be a consideration and where the manager deems these costs not material </w:t>
      </w:r>
      <w:r w:rsidRPr="5A1DD096">
        <w:rPr>
          <w:rFonts w:ascii="Arial" w:eastAsia="Arial" w:hAnsi="Arial" w:cs="Arial"/>
          <w:szCs w:val="22"/>
        </w:rPr>
        <w:t xml:space="preserve">(e.g. a large cap fund) </w:t>
      </w:r>
      <w:r>
        <w:rPr>
          <w:rFonts w:ascii="Arial" w:eastAsia="Arial" w:hAnsi="Arial" w:cs="Arial"/>
          <w:szCs w:val="22"/>
        </w:rPr>
        <w:t>there should be no requirement to include in the swing factor when considered on a cost/benefit basis.</w:t>
      </w:r>
    </w:p>
    <w:p w14:paraId="4E754F32" w14:textId="7C51C828" w:rsidR="00CC452C" w:rsidRDefault="00DA38F5" w:rsidP="00A759D9">
      <w:pPr>
        <w:spacing w:line="240" w:lineRule="auto"/>
        <w:rPr>
          <w:rFonts w:ascii="Arial" w:eastAsia="Arial" w:hAnsi="Arial" w:cs="Arial"/>
          <w:szCs w:val="22"/>
        </w:rPr>
      </w:pPr>
      <w:r>
        <w:rPr>
          <w:rFonts w:ascii="Arial" w:eastAsia="Arial" w:hAnsi="Arial" w:cs="Arial"/>
          <w:szCs w:val="22"/>
        </w:rPr>
        <w:t>Additionally, w</w:t>
      </w:r>
      <w:r w:rsidR="00E72A1B">
        <w:rPr>
          <w:rFonts w:ascii="Arial" w:eastAsia="Arial" w:hAnsi="Arial" w:cs="Arial"/>
          <w:szCs w:val="22"/>
        </w:rPr>
        <w:t xml:space="preserve">e would also highlight our </w:t>
      </w:r>
      <w:r w:rsidR="00C40504">
        <w:rPr>
          <w:rFonts w:ascii="Arial" w:eastAsia="Arial" w:hAnsi="Arial" w:cs="Arial"/>
          <w:szCs w:val="22"/>
        </w:rPr>
        <w:t>response</w:t>
      </w:r>
      <w:r w:rsidR="00E72A1B">
        <w:rPr>
          <w:rFonts w:ascii="Arial" w:eastAsia="Arial" w:hAnsi="Arial" w:cs="Arial"/>
          <w:szCs w:val="22"/>
        </w:rPr>
        <w:t xml:space="preserve"> to question 2</w:t>
      </w:r>
      <w:r w:rsidR="005E7CA4">
        <w:rPr>
          <w:rFonts w:ascii="Arial" w:eastAsia="Arial" w:hAnsi="Arial" w:cs="Arial"/>
          <w:szCs w:val="22"/>
        </w:rPr>
        <w:t>8</w:t>
      </w:r>
      <w:r w:rsidR="005F6638">
        <w:rPr>
          <w:rFonts w:ascii="Arial" w:eastAsia="Arial" w:hAnsi="Arial" w:cs="Arial"/>
          <w:szCs w:val="22"/>
        </w:rPr>
        <w:t xml:space="preserve"> in relation to </w:t>
      </w:r>
      <w:r w:rsidR="0085782B">
        <w:rPr>
          <w:rFonts w:ascii="Arial" w:eastAsia="Arial" w:hAnsi="Arial" w:cs="Arial"/>
          <w:szCs w:val="22"/>
        </w:rPr>
        <w:t>the application of swing factors per share class.</w:t>
      </w:r>
      <w:r w:rsidR="00A03F0E" w:rsidRPr="00FE2CBE">
        <w:rPr>
          <w:lang w:val="en-US"/>
        </w:rPr>
        <w:t xml:space="preserve"> </w:t>
      </w:r>
      <w:permEnd w:id="440675277"/>
    </w:p>
    <w:p w14:paraId="02FD11A8" w14:textId="056C1B7E" w:rsidR="00DA4F15" w:rsidRDefault="00DA4F15" w:rsidP="00A759D9">
      <w:pPr>
        <w:spacing w:line="240" w:lineRule="auto"/>
        <w:rPr>
          <w:rFonts w:ascii="Arial" w:eastAsia="Arial" w:hAnsi="Arial" w:cs="Arial"/>
          <w:szCs w:val="22"/>
        </w:rPr>
      </w:pPr>
      <w:r>
        <w:t>&lt;ESMA_QUESTION_SLMT_25&gt;</w:t>
      </w:r>
    </w:p>
    <w:p w14:paraId="00C2D80E" w14:textId="77777777" w:rsidR="00CC452C" w:rsidRPr="00CC452C" w:rsidRDefault="00CC452C" w:rsidP="00A759D9">
      <w:pPr>
        <w:spacing w:line="240" w:lineRule="auto"/>
        <w:rPr>
          <w:rFonts w:ascii="Arial" w:eastAsia="Arial" w:hAnsi="Arial" w:cs="Arial"/>
          <w:szCs w:val="22"/>
        </w:rPr>
      </w:pPr>
    </w:p>
    <w:p w14:paraId="419AFCA6" w14:textId="77777777" w:rsidR="00DA4F15" w:rsidRDefault="00DA4F15" w:rsidP="00A759D9">
      <w:pPr>
        <w:pStyle w:val="Questionstyle"/>
        <w:numPr>
          <w:ilvl w:val="0"/>
          <w:numId w:val="14"/>
        </w:numPr>
        <w:tabs>
          <w:tab w:val="clear" w:pos="567"/>
        </w:tabs>
        <w:spacing w:line="256" w:lineRule="auto"/>
        <w:ind w:left="851" w:hanging="851"/>
      </w:pPr>
      <w:r>
        <w:t>Can you think of any characteristics of swing pricing that the ones described above?</w:t>
      </w:r>
    </w:p>
    <w:p w14:paraId="71DB42FF" w14:textId="77777777" w:rsidR="00DA4F15" w:rsidRDefault="00DA4F15" w:rsidP="00A759D9">
      <w:r>
        <w:t>&lt;ESMA_QUESTION_SLMT_26&gt;</w:t>
      </w:r>
    </w:p>
    <w:p w14:paraId="66DF24AE" w14:textId="77777777" w:rsidR="002E36C2" w:rsidRDefault="002E36C2" w:rsidP="002E36C2">
      <w:permStart w:id="1765955435" w:edGrp="everyone"/>
      <w:r>
        <w:t>TYPE YOUR TEXT HERE</w:t>
      </w:r>
    </w:p>
    <w:permEnd w:id="1765955435"/>
    <w:p w14:paraId="1EB0361D" w14:textId="50CBF82F" w:rsidR="00DA4F15" w:rsidRDefault="00DA4F15" w:rsidP="00A759D9">
      <w:r>
        <w:t>&lt;ESMA_QUESTION_SLMT_26&gt;</w:t>
      </w:r>
    </w:p>
    <w:p w14:paraId="731CFDD9" w14:textId="77777777" w:rsidR="00314AC9" w:rsidRDefault="00314AC9" w:rsidP="00A759D9"/>
    <w:p w14:paraId="6918B88B" w14:textId="77777777" w:rsidR="00DA4F15" w:rsidRDefault="00DA4F15" w:rsidP="00A759D9">
      <w:pPr>
        <w:pStyle w:val="Questionstyle"/>
        <w:numPr>
          <w:ilvl w:val="0"/>
          <w:numId w:val="14"/>
        </w:numPr>
        <w:tabs>
          <w:tab w:val="clear" w:pos="567"/>
        </w:tabs>
        <w:spacing w:line="256" w:lineRule="auto"/>
        <w:ind w:left="851" w:hanging="851"/>
      </w:pPr>
      <w:r>
        <w:t>Do you think there is merit for the characteristics of swing pricing to differ between different investment strategies and between AIFs and UCITS? If yes, how?</w:t>
      </w:r>
    </w:p>
    <w:p w14:paraId="746CADAB" w14:textId="77777777" w:rsidR="00DA4F15" w:rsidRDefault="00DA4F15" w:rsidP="00A759D9">
      <w:r>
        <w:t>&lt;ESMA_QUESTION_SLMT_27&gt;</w:t>
      </w:r>
    </w:p>
    <w:p w14:paraId="4A9FD064" w14:textId="28AB6D3B" w:rsidR="007A48C5" w:rsidRPr="007A48C5" w:rsidRDefault="007A48C5" w:rsidP="00A759D9">
      <w:pPr>
        <w:spacing w:line="240" w:lineRule="auto"/>
        <w:rPr>
          <w:rFonts w:ascii="Arial" w:eastAsia="Arial" w:hAnsi="Arial" w:cs="Arial"/>
          <w:szCs w:val="22"/>
          <w:lang w:val="en-US"/>
        </w:rPr>
      </w:pPr>
      <w:permStart w:id="1045646515" w:edGrp="everyone"/>
      <w:r w:rsidRPr="41760CA5">
        <w:rPr>
          <w:rFonts w:ascii="Arial" w:eastAsia="Arial" w:hAnsi="Arial" w:cs="Arial"/>
          <w:szCs w:val="22"/>
          <w:lang w:val="en-US"/>
        </w:rPr>
        <w:t xml:space="preserve">We do not believe </w:t>
      </w:r>
      <w:r>
        <w:rPr>
          <w:rFonts w:ascii="Arial" w:eastAsia="Arial" w:hAnsi="Arial" w:cs="Arial"/>
          <w:szCs w:val="22"/>
          <w:lang w:val="en-US"/>
        </w:rPr>
        <w:t xml:space="preserve">it is necessary to differentiate </w:t>
      </w:r>
      <w:r w:rsidRPr="41760CA5">
        <w:rPr>
          <w:rFonts w:ascii="Arial" w:eastAsia="Arial" w:hAnsi="Arial" w:cs="Arial"/>
          <w:szCs w:val="22"/>
          <w:lang w:val="en-US"/>
        </w:rPr>
        <w:t xml:space="preserve">between UCITS and AIFs regardless of the investment strategy, and although investment strategy is a key consideration when deciding if swing pricing is a suitable LMT for </w:t>
      </w:r>
      <w:r>
        <w:rPr>
          <w:rFonts w:ascii="Arial" w:eastAsia="Arial" w:hAnsi="Arial" w:cs="Arial"/>
          <w:szCs w:val="22"/>
          <w:lang w:val="en-US"/>
        </w:rPr>
        <w:t>a</w:t>
      </w:r>
      <w:r w:rsidRPr="41760CA5">
        <w:rPr>
          <w:rFonts w:ascii="Arial" w:eastAsia="Arial" w:hAnsi="Arial" w:cs="Arial"/>
          <w:szCs w:val="22"/>
          <w:lang w:val="en-US"/>
        </w:rPr>
        <w:t xml:space="preserve"> fund, the characteristics of swing pricing does not need to vary across strategies or fun</w:t>
      </w:r>
      <w:r w:rsidR="00314AC9">
        <w:rPr>
          <w:rFonts w:ascii="Arial" w:eastAsia="Arial" w:hAnsi="Arial" w:cs="Arial"/>
          <w:szCs w:val="22"/>
          <w:lang w:val="en-US"/>
        </w:rPr>
        <w:t>d</w:t>
      </w:r>
      <w:r w:rsidRPr="41760CA5">
        <w:rPr>
          <w:rFonts w:ascii="Arial" w:eastAsia="Arial" w:hAnsi="Arial" w:cs="Arial"/>
          <w:szCs w:val="22"/>
          <w:lang w:val="en-US"/>
        </w:rPr>
        <w:t xml:space="preserve"> type. </w:t>
      </w:r>
      <w:permEnd w:id="1045646515"/>
    </w:p>
    <w:p w14:paraId="69A4659A" w14:textId="5493A66B" w:rsidR="00DA4F15" w:rsidRDefault="00DA4F15" w:rsidP="00A759D9">
      <w:r>
        <w:t>&lt;ESMA_QUESTION_SLMT_27&gt;</w:t>
      </w:r>
    </w:p>
    <w:p w14:paraId="76316C12" w14:textId="77777777" w:rsidR="00314AC9" w:rsidRDefault="00314AC9" w:rsidP="00A759D9"/>
    <w:p w14:paraId="62DAABAC" w14:textId="77777777" w:rsidR="00DA4F15" w:rsidRDefault="00DA4F15" w:rsidP="00A759D9">
      <w:pPr>
        <w:pStyle w:val="Questionstyle"/>
        <w:numPr>
          <w:ilvl w:val="0"/>
          <w:numId w:val="14"/>
        </w:numPr>
        <w:tabs>
          <w:tab w:val="clear" w:pos="567"/>
        </w:tabs>
        <w:spacing w:line="256" w:lineRule="auto"/>
        <w:ind w:left="851" w:hanging="851"/>
      </w:pPr>
      <w:r>
        <w:t>Do you agree that in the case of funds with multiple share classes, the same swing factor shall be applied to all share classes? If not, please justify your position.</w:t>
      </w:r>
    </w:p>
    <w:p w14:paraId="79F8C072" w14:textId="77777777" w:rsidR="00DA4F15" w:rsidRDefault="00DA4F15" w:rsidP="00A759D9">
      <w:r>
        <w:t>&lt;ESMA_QUESTION_SLMT_28&gt;</w:t>
      </w:r>
    </w:p>
    <w:p w14:paraId="56FBC2E2" w14:textId="15EBD48C" w:rsidR="00DA4F15" w:rsidRPr="0003343E" w:rsidRDefault="003A445D" w:rsidP="00D355CD">
      <w:pPr>
        <w:spacing w:line="240" w:lineRule="auto"/>
        <w:rPr>
          <w:lang w:val="en-US"/>
        </w:rPr>
      </w:pPr>
      <w:permStart w:id="546384282" w:edGrp="everyone"/>
      <w:r w:rsidRPr="003A445D">
        <w:rPr>
          <w:lang w:val="en-US"/>
        </w:rPr>
        <w:t xml:space="preserve">Managers should have the flexibility to select and activate the LMTs that are in the best interest of their investors. Affording the manager sufficient flexibility in how they apply LMTs allows them to meet their fiduciary duties to their investors. Irish Funds would not be in </w:t>
      </w:r>
      <w:proofErr w:type="spellStart"/>
      <w:r w:rsidRPr="003A445D">
        <w:rPr>
          <w:lang w:val="en-US"/>
        </w:rPr>
        <w:t>favour</w:t>
      </w:r>
      <w:proofErr w:type="spellEnd"/>
      <w:r w:rsidRPr="003A445D">
        <w:rPr>
          <w:lang w:val="en-US"/>
        </w:rPr>
        <w:t xml:space="preserve"> of overly restrictive and prescriptive rules governing the application of LMTs, and while we would expect the standard approach to be that LMTs are applied to all share classes, there may be limited circumstances where this is not the case. It would therefore seem appropriate to afford managers flexibility to apply LMTs on a share class basis where it is deemed in the best interests of all investors and clearly stated in the funds offering documents.</w:t>
      </w:r>
    </w:p>
    <w:permEnd w:id="546384282"/>
    <w:p w14:paraId="54666322" w14:textId="1E3BE113" w:rsidR="00DA4F15" w:rsidRDefault="00DA4F15" w:rsidP="00A759D9">
      <w:r>
        <w:t>&lt;ESMA_QUESTION_SLMT_28&gt;</w:t>
      </w:r>
    </w:p>
    <w:p w14:paraId="556132DA" w14:textId="77777777" w:rsidR="00314AC9" w:rsidRDefault="00314AC9" w:rsidP="00A759D9"/>
    <w:p w14:paraId="76F5EEE2" w14:textId="77777777" w:rsidR="00DA4F15" w:rsidRDefault="00DA4F15" w:rsidP="00A759D9">
      <w:pPr>
        <w:pStyle w:val="Questionstyle"/>
        <w:numPr>
          <w:ilvl w:val="0"/>
          <w:numId w:val="14"/>
        </w:numPr>
        <w:tabs>
          <w:tab w:val="clear" w:pos="567"/>
        </w:tabs>
        <w:spacing w:line="256" w:lineRule="auto"/>
        <w:ind w:left="851" w:hanging="851"/>
      </w:pPr>
      <w:r>
        <w:t>Do you agree with the description of the dual pricing and the corresponding characteristics? If not, please justify your position.</w:t>
      </w:r>
    </w:p>
    <w:p w14:paraId="53DA44A5" w14:textId="77777777" w:rsidR="00DA4F15" w:rsidRDefault="00DA4F15" w:rsidP="00A759D9">
      <w:r>
        <w:t>&lt;ESMA_QUESTION_SLMT_29&gt;</w:t>
      </w:r>
    </w:p>
    <w:p w14:paraId="2A3C9396" w14:textId="085D8402" w:rsidR="00DC7F18" w:rsidRPr="00DC7F18" w:rsidRDefault="00DC7F18" w:rsidP="00A759D9">
      <w:pPr>
        <w:spacing w:line="240" w:lineRule="auto"/>
        <w:rPr>
          <w:rFonts w:ascii="Arial" w:eastAsia="Arial" w:hAnsi="Arial" w:cs="Arial"/>
          <w:szCs w:val="22"/>
          <w:lang w:val="en-US"/>
        </w:rPr>
      </w:pPr>
      <w:permStart w:id="1529225249" w:edGrp="everyone"/>
      <w:r>
        <w:rPr>
          <w:rFonts w:ascii="Arial" w:eastAsia="Arial" w:hAnsi="Arial" w:cs="Arial"/>
          <w:szCs w:val="22"/>
          <w:lang w:val="en-US"/>
        </w:rPr>
        <w:t>Irish Funds agree with the description of dual pricing and the corresponding characteristics.</w:t>
      </w:r>
      <w:permEnd w:id="1529225249"/>
    </w:p>
    <w:p w14:paraId="5AD72AAD" w14:textId="64E76AB0" w:rsidR="00DA4F15" w:rsidRDefault="00DA4F15" w:rsidP="00A759D9">
      <w:r>
        <w:t>&lt;ESMA_QUESTION_SLMT_29&gt;</w:t>
      </w:r>
    </w:p>
    <w:p w14:paraId="74F61D54" w14:textId="77777777" w:rsidR="00314AC9" w:rsidRDefault="00314AC9" w:rsidP="00A759D9"/>
    <w:p w14:paraId="0B8D1068" w14:textId="77777777" w:rsidR="00DA4F15" w:rsidRDefault="00DA4F15" w:rsidP="00A759D9">
      <w:pPr>
        <w:pStyle w:val="Questionstyle"/>
        <w:numPr>
          <w:ilvl w:val="0"/>
          <w:numId w:val="14"/>
        </w:numPr>
        <w:tabs>
          <w:tab w:val="clear" w:pos="567"/>
        </w:tabs>
        <w:spacing w:line="256" w:lineRule="auto"/>
        <w:ind w:left="851" w:hanging="851"/>
      </w:pPr>
      <w:r>
        <w:t>Are there any other calculation methods for dual pricing that should be considered? If yes, please give example.</w:t>
      </w:r>
    </w:p>
    <w:p w14:paraId="3DBB2C4A" w14:textId="77777777" w:rsidR="00DA4F15" w:rsidRDefault="00DA4F15" w:rsidP="00A759D9">
      <w:r>
        <w:t>&lt;ESMA_QUESTION_SLMT_30&gt;</w:t>
      </w:r>
    </w:p>
    <w:p w14:paraId="509EE9CD" w14:textId="68EF6A17" w:rsidR="00DA4F15" w:rsidRPr="00A95C66" w:rsidRDefault="00704097" w:rsidP="00A759D9">
      <w:pPr>
        <w:rPr>
          <w:lang w:val="en-US"/>
        </w:rPr>
      </w:pPr>
      <w:permStart w:id="621349682" w:edGrp="everyone"/>
      <w:r>
        <w:rPr>
          <w:rFonts w:ascii="Arial" w:eastAsia="Arial" w:hAnsi="Arial" w:cs="Arial"/>
          <w:szCs w:val="22"/>
          <w:lang w:val="en-US"/>
        </w:rPr>
        <w:t>Irish Funds</w:t>
      </w:r>
      <w:r w:rsidRPr="41760CA5">
        <w:rPr>
          <w:rFonts w:ascii="Arial" w:eastAsia="Arial" w:hAnsi="Arial" w:cs="Arial"/>
          <w:szCs w:val="22"/>
          <w:lang w:val="en-US"/>
        </w:rPr>
        <w:t xml:space="preserve"> are not aware of other calculation methods</w:t>
      </w:r>
      <w:r w:rsidR="00A95C66" w:rsidRPr="008F3456">
        <w:rPr>
          <w:lang w:val="en-US"/>
        </w:rPr>
        <w:t>.</w:t>
      </w:r>
    </w:p>
    <w:permEnd w:id="621349682"/>
    <w:p w14:paraId="65ADDD64" w14:textId="2CDF500E" w:rsidR="00DA4F15" w:rsidRDefault="00DA4F15" w:rsidP="00A759D9">
      <w:r>
        <w:t>&lt;ESMA_QUESTION_SLMT_30&gt;</w:t>
      </w:r>
    </w:p>
    <w:p w14:paraId="024D8598" w14:textId="77777777" w:rsidR="00314AC9" w:rsidRDefault="00314AC9" w:rsidP="00A759D9"/>
    <w:p w14:paraId="5A132B74" w14:textId="77777777" w:rsidR="00DA4F15" w:rsidRDefault="00DA4F15" w:rsidP="00A759D9">
      <w:pPr>
        <w:pStyle w:val="Questionstyle"/>
        <w:numPr>
          <w:ilvl w:val="0"/>
          <w:numId w:val="14"/>
        </w:numPr>
        <w:tabs>
          <w:tab w:val="clear" w:pos="567"/>
        </w:tabs>
        <w:spacing w:line="256" w:lineRule="auto"/>
        <w:ind w:left="851" w:hanging="851"/>
      </w:pPr>
      <w:r>
        <w:t>Do you think there is merit for the characteristics of dual pricing to differ between different investment strategies and between AIFs and UCITS? If yes, how?</w:t>
      </w:r>
    </w:p>
    <w:p w14:paraId="2C76F116" w14:textId="77777777" w:rsidR="00DA4F15" w:rsidRDefault="00DA4F15" w:rsidP="00A759D9">
      <w:r>
        <w:t>&lt;ESMA_QUESTION_SLMT_31&gt;</w:t>
      </w:r>
    </w:p>
    <w:p w14:paraId="6DB844F8" w14:textId="35D19B85" w:rsidR="008B7BE9" w:rsidRPr="008B7BE9" w:rsidRDefault="008B7BE9" w:rsidP="00A759D9">
      <w:pPr>
        <w:spacing w:line="240" w:lineRule="auto"/>
        <w:rPr>
          <w:rFonts w:ascii="Arial" w:eastAsia="Arial" w:hAnsi="Arial" w:cs="Arial"/>
          <w:szCs w:val="22"/>
          <w:lang w:val="en-US"/>
        </w:rPr>
      </w:pPr>
      <w:permStart w:id="1647707371" w:edGrp="everyone"/>
      <w:r w:rsidRPr="41760CA5">
        <w:rPr>
          <w:rFonts w:ascii="Arial" w:eastAsia="Arial" w:hAnsi="Arial" w:cs="Arial"/>
          <w:szCs w:val="22"/>
          <w:lang w:val="en-US"/>
        </w:rPr>
        <w:t xml:space="preserve">No, </w:t>
      </w:r>
      <w:r>
        <w:rPr>
          <w:rFonts w:ascii="Arial" w:eastAsia="Arial" w:hAnsi="Arial" w:cs="Arial"/>
          <w:szCs w:val="22"/>
          <w:lang w:val="en-US"/>
        </w:rPr>
        <w:t>Irish Funds</w:t>
      </w:r>
      <w:r w:rsidRPr="41760CA5">
        <w:rPr>
          <w:rFonts w:ascii="Arial" w:eastAsia="Arial" w:hAnsi="Arial" w:cs="Arial"/>
          <w:szCs w:val="22"/>
          <w:lang w:val="en-US"/>
        </w:rPr>
        <w:t xml:space="preserve"> do</w:t>
      </w:r>
      <w:r w:rsidR="00EB08E2">
        <w:rPr>
          <w:rFonts w:ascii="Arial" w:eastAsia="Arial" w:hAnsi="Arial" w:cs="Arial"/>
          <w:szCs w:val="22"/>
          <w:lang w:val="en-US"/>
        </w:rPr>
        <w:t>es</w:t>
      </w:r>
      <w:r w:rsidR="00F862AF">
        <w:rPr>
          <w:rFonts w:ascii="Arial" w:eastAsia="Arial" w:hAnsi="Arial" w:cs="Arial"/>
          <w:szCs w:val="22"/>
          <w:lang w:val="en-US"/>
        </w:rPr>
        <w:t xml:space="preserve"> </w:t>
      </w:r>
      <w:r w:rsidRPr="41760CA5">
        <w:rPr>
          <w:rFonts w:ascii="Arial" w:eastAsia="Arial" w:hAnsi="Arial" w:cs="Arial"/>
          <w:szCs w:val="22"/>
          <w:lang w:val="en-US"/>
        </w:rPr>
        <w:t>n</w:t>
      </w:r>
      <w:r w:rsidR="00F862AF">
        <w:rPr>
          <w:rFonts w:ascii="Arial" w:eastAsia="Arial" w:hAnsi="Arial" w:cs="Arial"/>
          <w:szCs w:val="22"/>
          <w:lang w:val="en-US"/>
        </w:rPr>
        <w:t>o</w:t>
      </w:r>
      <w:r w:rsidRPr="41760CA5">
        <w:rPr>
          <w:rFonts w:ascii="Arial" w:eastAsia="Arial" w:hAnsi="Arial" w:cs="Arial"/>
          <w:szCs w:val="22"/>
          <w:lang w:val="en-US"/>
        </w:rPr>
        <w:t>t se</w:t>
      </w:r>
      <w:r w:rsidR="00383F65">
        <w:rPr>
          <w:rFonts w:ascii="Arial" w:eastAsia="Arial" w:hAnsi="Arial" w:cs="Arial"/>
          <w:szCs w:val="22"/>
          <w:lang w:val="en-US"/>
        </w:rPr>
        <w:t>e</w:t>
      </w:r>
      <w:r w:rsidRPr="41760CA5">
        <w:rPr>
          <w:rFonts w:ascii="Arial" w:eastAsia="Arial" w:hAnsi="Arial" w:cs="Arial"/>
          <w:szCs w:val="22"/>
          <w:lang w:val="en-US"/>
        </w:rPr>
        <w:t xml:space="preserve"> merit in the characteristics of dual pricing </w:t>
      </w:r>
      <w:r w:rsidR="00165FEC">
        <w:rPr>
          <w:rFonts w:ascii="Arial" w:eastAsia="Arial" w:hAnsi="Arial" w:cs="Arial"/>
          <w:szCs w:val="22"/>
          <w:lang w:val="en-US"/>
        </w:rPr>
        <w:t>differing</w:t>
      </w:r>
      <w:r w:rsidRPr="41760CA5">
        <w:rPr>
          <w:rFonts w:ascii="Arial" w:eastAsia="Arial" w:hAnsi="Arial" w:cs="Arial"/>
          <w:szCs w:val="22"/>
          <w:lang w:val="en-US"/>
        </w:rPr>
        <w:t xml:space="preserve"> between different investment strategies and between AIFs and UCITS. The characteristics of the LMT are the same regardless of the strategy or vehicle. Its suitability and when and why it is applied will be determined by the manager</w:t>
      </w:r>
      <w:r w:rsidR="00314AC9">
        <w:rPr>
          <w:rFonts w:ascii="Arial" w:eastAsia="Arial" w:hAnsi="Arial" w:cs="Arial"/>
          <w:szCs w:val="22"/>
          <w:lang w:val="en-US"/>
        </w:rPr>
        <w:t>.</w:t>
      </w:r>
      <w:permEnd w:id="1647707371"/>
    </w:p>
    <w:p w14:paraId="1D650652" w14:textId="206CECB1" w:rsidR="00DA4F15" w:rsidRDefault="00DA4F15" w:rsidP="00A759D9">
      <w:r>
        <w:t>&lt;ESMA_QUESTION_SLMT_31&gt;</w:t>
      </w:r>
    </w:p>
    <w:p w14:paraId="6BB723A4" w14:textId="77777777" w:rsidR="00314AC9" w:rsidRDefault="00314AC9" w:rsidP="00A759D9"/>
    <w:p w14:paraId="47B04078" w14:textId="77777777" w:rsidR="00DA4F15" w:rsidRDefault="00DA4F15" w:rsidP="00A759D9">
      <w:pPr>
        <w:pStyle w:val="Questionstyle"/>
        <w:numPr>
          <w:ilvl w:val="0"/>
          <w:numId w:val="14"/>
        </w:numPr>
        <w:tabs>
          <w:tab w:val="clear" w:pos="567"/>
        </w:tabs>
        <w:spacing w:line="256" w:lineRule="auto"/>
        <w:ind w:left="851" w:hanging="851"/>
      </w:pPr>
      <w:r>
        <w:t>Do you agree with the description of the anti-dilution levy and the corresponding characteristics? If not, please justify your position.</w:t>
      </w:r>
    </w:p>
    <w:p w14:paraId="4FA61CC6" w14:textId="77777777" w:rsidR="00DA4F15" w:rsidRDefault="00DA4F15" w:rsidP="00A759D9">
      <w:r>
        <w:t>&lt;ESMA_QUESTION_SLMT_32&gt;</w:t>
      </w:r>
    </w:p>
    <w:p w14:paraId="081FDFE0" w14:textId="32654888" w:rsidR="0023496A" w:rsidRDefault="0023496A" w:rsidP="00A759D9">
      <w:pPr>
        <w:spacing w:line="240" w:lineRule="auto"/>
        <w:rPr>
          <w:rFonts w:ascii="Arial" w:eastAsia="Arial" w:hAnsi="Arial" w:cs="Arial"/>
          <w:szCs w:val="22"/>
          <w:lang w:val="en-US"/>
        </w:rPr>
      </w:pPr>
      <w:permStart w:id="1085082725" w:edGrp="everyone"/>
      <w:r>
        <w:rPr>
          <w:rFonts w:ascii="Arial" w:eastAsia="Arial" w:hAnsi="Arial" w:cs="Arial"/>
          <w:szCs w:val="22"/>
          <w:lang w:val="en-US"/>
        </w:rPr>
        <w:t>Irish Funds</w:t>
      </w:r>
      <w:r w:rsidRPr="41760CA5">
        <w:rPr>
          <w:rFonts w:ascii="Arial" w:eastAsia="Arial" w:hAnsi="Arial" w:cs="Arial"/>
          <w:szCs w:val="22"/>
          <w:lang w:val="en-US"/>
        </w:rPr>
        <w:t xml:space="preserve"> agree with the description</w:t>
      </w:r>
      <w:r>
        <w:rPr>
          <w:rFonts w:ascii="Arial" w:eastAsia="Arial" w:hAnsi="Arial" w:cs="Arial"/>
          <w:szCs w:val="22"/>
          <w:lang w:val="en-US"/>
        </w:rPr>
        <w:t xml:space="preserve"> of the anti-dilution levy (“ADL”)</w:t>
      </w:r>
      <w:r w:rsidRPr="41760CA5">
        <w:rPr>
          <w:rFonts w:ascii="Arial" w:eastAsia="Arial" w:hAnsi="Arial" w:cs="Arial"/>
          <w:szCs w:val="22"/>
          <w:lang w:val="en-US"/>
        </w:rPr>
        <w:t xml:space="preserve">. </w:t>
      </w:r>
    </w:p>
    <w:p w14:paraId="24C59076" w14:textId="5734383C" w:rsidR="0023496A" w:rsidRPr="00710B18" w:rsidRDefault="0023496A" w:rsidP="00A759D9">
      <w:pPr>
        <w:spacing w:line="240" w:lineRule="auto"/>
        <w:rPr>
          <w:rFonts w:ascii="Arial" w:eastAsia="Arial" w:hAnsi="Arial" w:cs="Arial"/>
          <w:szCs w:val="22"/>
          <w:lang w:val="en-US"/>
        </w:rPr>
      </w:pPr>
      <w:r w:rsidRPr="00710B18">
        <w:rPr>
          <w:rFonts w:ascii="Arial" w:eastAsia="Arial" w:hAnsi="Arial" w:cs="Arial"/>
          <w:szCs w:val="22"/>
          <w:lang w:val="en-US"/>
        </w:rPr>
        <w:t xml:space="preserve">In terms of characteristics, we note the same concerns highlighted in questions 22 </w:t>
      </w:r>
      <w:r w:rsidR="00C21B50">
        <w:rPr>
          <w:rFonts w:ascii="Arial" w:eastAsia="Arial" w:hAnsi="Arial" w:cs="Arial"/>
          <w:szCs w:val="22"/>
          <w:lang w:val="en-US"/>
        </w:rPr>
        <w:t>and</w:t>
      </w:r>
      <w:r w:rsidRPr="00710B18">
        <w:rPr>
          <w:rFonts w:ascii="Arial" w:eastAsia="Arial" w:hAnsi="Arial" w:cs="Arial"/>
          <w:szCs w:val="22"/>
          <w:lang w:val="en-US"/>
        </w:rPr>
        <w:t xml:space="preserve"> 25 around the challenges of calculating implicit costs and particularly market impact and the need to consider the materiality of the implicit costs including market impact before mandating their inclusion within the ADL.</w:t>
      </w:r>
    </w:p>
    <w:p w14:paraId="160BF377" w14:textId="3859973A" w:rsidR="0023496A" w:rsidRDefault="0023496A" w:rsidP="00A759D9">
      <w:pPr>
        <w:spacing w:line="240" w:lineRule="auto"/>
        <w:rPr>
          <w:rFonts w:ascii="Arial" w:eastAsia="Arial" w:hAnsi="Arial" w:cs="Arial"/>
          <w:szCs w:val="22"/>
          <w:lang w:val="en-US"/>
        </w:rPr>
      </w:pPr>
      <w:r w:rsidRPr="00710B18">
        <w:rPr>
          <w:rFonts w:ascii="Arial" w:eastAsia="Arial" w:hAnsi="Arial" w:cs="Arial"/>
          <w:szCs w:val="22"/>
          <w:lang w:val="en-US"/>
        </w:rPr>
        <w:t xml:space="preserve">In addition, ADL can also be calculated and applied on a pro-rata basis so that transaction costs are borne by both subscribing and redeeming investors. </w:t>
      </w:r>
    </w:p>
    <w:p w14:paraId="294A7756" w14:textId="5D2117CA" w:rsidR="00E4445B" w:rsidRPr="00710B18" w:rsidRDefault="00E4445B" w:rsidP="00A759D9">
      <w:pPr>
        <w:spacing w:line="240" w:lineRule="auto"/>
        <w:rPr>
          <w:rFonts w:ascii="Arial" w:eastAsia="Arial" w:hAnsi="Arial" w:cs="Arial"/>
          <w:szCs w:val="22"/>
          <w:lang w:val="en-US"/>
        </w:rPr>
      </w:pPr>
      <w:r>
        <w:rPr>
          <w:rFonts w:ascii="Arial" w:eastAsia="Arial" w:hAnsi="Arial" w:cs="Arial"/>
          <w:szCs w:val="22"/>
          <w:lang w:val="en-US"/>
        </w:rPr>
        <w:t xml:space="preserve">Irish Funds also notes its response to question </w:t>
      </w:r>
      <w:r w:rsidR="00C32D27">
        <w:rPr>
          <w:rFonts w:ascii="Arial" w:eastAsia="Arial" w:hAnsi="Arial" w:cs="Arial"/>
          <w:szCs w:val="22"/>
          <w:lang w:val="en-US"/>
        </w:rPr>
        <w:t>34 below.</w:t>
      </w:r>
    </w:p>
    <w:p w14:paraId="78A392A3" w14:textId="73F81151" w:rsidR="0023496A" w:rsidRPr="0023496A" w:rsidRDefault="0023496A" w:rsidP="00A759D9">
      <w:pPr>
        <w:spacing w:line="240" w:lineRule="auto"/>
        <w:rPr>
          <w:rFonts w:ascii="Arial" w:eastAsia="Arial" w:hAnsi="Arial" w:cs="Arial"/>
          <w:szCs w:val="22"/>
          <w:lang w:val="en-US"/>
        </w:rPr>
      </w:pPr>
      <w:r w:rsidRPr="00710B18">
        <w:rPr>
          <w:rFonts w:ascii="Arial" w:eastAsia="Arial" w:hAnsi="Arial" w:cs="Arial"/>
          <w:szCs w:val="22"/>
          <w:lang w:val="en-US"/>
        </w:rPr>
        <w:t>Finally, there also appears to be a typo that causes a difference between the calculation of market impact in Article 7 of both the AIF and UCITS</w:t>
      </w:r>
      <w:r w:rsidRPr="41760CA5">
        <w:rPr>
          <w:rFonts w:ascii="Arial" w:eastAsia="Arial" w:hAnsi="Arial" w:cs="Arial"/>
          <w:szCs w:val="22"/>
          <w:lang w:val="en-US"/>
        </w:rPr>
        <w:t xml:space="preserve"> text. The first bullet of </w:t>
      </w:r>
      <w:r>
        <w:rPr>
          <w:rFonts w:ascii="Arial" w:eastAsia="Arial" w:hAnsi="Arial" w:cs="Arial"/>
          <w:szCs w:val="22"/>
          <w:lang w:val="en-US"/>
        </w:rPr>
        <w:t xml:space="preserve">the </w:t>
      </w:r>
      <w:r w:rsidRPr="41760CA5">
        <w:rPr>
          <w:rFonts w:ascii="Arial" w:eastAsia="Arial" w:hAnsi="Arial" w:cs="Arial"/>
          <w:szCs w:val="22"/>
          <w:lang w:val="en-US"/>
        </w:rPr>
        <w:t xml:space="preserve">UCITS text includes the term “estimated” significant market impact, whereas the term “estimated” is missing in the AIF text. Given the calculation of market impact is widely </w:t>
      </w:r>
      <w:proofErr w:type="spellStart"/>
      <w:r w:rsidRPr="41760CA5">
        <w:rPr>
          <w:rFonts w:ascii="Arial" w:eastAsia="Arial" w:hAnsi="Arial" w:cs="Arial"/>
          <w:szCs w:val="22"/>
          <w:lang w:val="en-US"/>
        </w:rPr>
        <w:t>recognised</w:t>
      </w:r>
      <w:proofErr w:type="spellEnd"/>
      <w:r w:rsidRPr="41760CA5">
        <w:rPr>
          <w:rFonts w:ascii="Arial" w:eastAsia="Arial" w:hAnsi="Arial" w:cs="Arial"/>
          <w:szCs w:val="22"/>
          <w:lang w:val="en-US"/>
        </w:rPr>
        <w:t xml:space="preserve"> as a </w:t>
      </w:r>
      <w:r>
        <w:rPr>
          <w:rFonts w:ascii="Arial" w:eastAsia="Arial" w:hAnsi="Arial" w:cs="Arial"/>
          <w:szCs w:val="22"/>
          <w:lang w:val="en-US"/>
        </w:rPr>
        <w:t>‘</w:t>
      </w:r>
      <w:r w:rsidRPr="41760CA5">
        <w:rPr>
          <w:rFonts w:ascii="Arial" w:eastAsia="Arial" w:hAnsi="Arial" w:cs="Arial"/>
          <w:szCs w:val="22"/>
          <w:lang w:val="en-US"/>
        </w:rPr>
        <w:t>best effort</w:t>
      </w:r>
      <w:r>
        <w:rPr>
          <w:rFonts w:ascii="Arial" w:eastAsia="Arial" w:hAnsi="Arial" w:cs="Arial"/>
          <w:szCs w:val="22"/>
          <w:lang w:val="en-US"/>
        </w:rPr>
        <w:t>’</w:t>
      </w:r>
      <w:r w:rsidRPr="41760CA5">
        <w:rPr>
          <w:rFonts w:ascii="Arial" w:eastAsia="Arial" w:hAnsi="Arial" w:cs="Arial"/>
          <w:szCs w:val="22"/>
          <w:lang w:val="en-US"/>
        </w:rPr>
        <w:t xml:space="preserve"> estimate</w:t>
      </w:r>
      <w:r>
        <w:rPr>
          <w:rFonts w:ascii="Arial" w:eastAsia="Arial" w:hAnsi="Arial" w:cs="Arial"/>
          <w:szCs w:val="22"/>
          <w:lang w:val="en-US"/>
        </w:rPr>
        <w:t>,</w:t>
      </w:r>
      <w:r w:rsidRPr="41760CA5">
        <w:rPr>
          <w:rFonts w:ascii="Arial" w:eastAsia="Arial" w:hAnsi="Arial" w:cs="Arial"/>
          <w:szCs w:val="22"/>
          <w:lang w:val="en-US"/>
        </w:rPr>
        <w:t xml:space="preserve"> we request Article 7 of the AIF text to be updated accordingly. </w:t>
      </w:r>
      <w:permEnd w:id="1085082725"/>
    </w:p>
    <w:p w14:paraId="46DE12A4" w14:textId="1485F035" w:rsidR="00DA4F15" w:rsidRDefault="00DA4F15" w:rsidP="00A759D9">
      <w:r>
        <w:t>&lt;ESMA_QUESTION_SLMT_32&gt;</w:t>
      </w:r>
    </w:p>
    <w:p w14:paraId="2D1B524E" w14:textId="77777777" w:rsidR="00314AC9" w:rsidRDefault="00314AC9" w:rsidP="00A759D9"/>
    <w:p w14:paraId="507DE97B" w14:textId="77777777" w:rsidR="00DA4F15" w:rsidRDefault="00DA4F15" w:rsidP="00A759D9">
      <w:pPr>
        <w:pStyle w:val="Questionstyle"/>
        <w:numPr>
          <w:ilvl w:val="0"/>
          <w:numId w:val="14"/>
        </w:numPr>
        <w:tabs>
          <w:tab w:val="clear" w:pos="567"/>
        </w:tabs>
        <w:spacing w:line="256" w:lineRule="auto"/>
        <w:ind w:left="851" w:hanging="851"/>
      </w:pPr>
      <w:r>
        <w:t>Are there any other calculation methods for anti-dilution levy that ESMA shall consider? If yes, please give example.</w:t>
      </w:r>
    </w:p>
    <w:p w14:paraId="0972ED9A" w14:textId="77777777" w:rsidR="00DA4F15" w:rsidRDefault="00DA4F15" w:rsidP="00A759D9">
      <w:r>
        <w:t>&lt;ESMA_QUESTION_SLMT_33&gt;</w:t>
      </w:r>
    </w:p>
    <w:p w14:paraId="09B3CEE9" w14:textId="2B50CD94" w:rsidR="00496F9C" w:rsidRPr="00496F9C" w:rsidRDefault="00496F9C" w:rsidP="00A759D9">
      <w:pPr>
        <w:spacing w:line="240" w:lineRule="auto"/>
        <w:rPr>
          <w:rFonts w:ascii="Arial" w:eastAsia="Arial" w:hAnsi="Arial" w:cs="Arial"/>
          <w:szCs w:val="22"/>
          <w:lang w:val="en-US"/>
        </w:rPr>
      </w:pPr>
      <w:permStart w:id="1171087067" w:edGrp="everyone"/>
      <w:r w:rsidRPr="41760CA5">
        <w:rPr>
          <w:rFonts w:ascii="Arial" w:eastAsia="Arial" w:hAnsi="Arial" w:cs="Arial"/>
          <w:szCs w:val="22"/>
          <w:lang w:val="en-US"/>
        </w:rPr>
        <w:t>As per the previous question, ADL can also be calculated and applied on a pro-rata basis so that transaction costs are borne by both subscribing and redeeming investors</w:t>
      </w:r>
      <w:r w:rsidR="004862FF">
        <w:rPr>
          <w:lang w:val="en-US"/>
        </w:rPr>
        <w:t xml:space="preserve">. </w:t>
      </w:r>
      <w:permEnd w:id="1171087067"/>
    </w:p>
    <w:p w14:paraId="5FBADF6B" w14:textId="06402934" w:rsidR="00DA4F15" w:rsidRDefault="00DA4F15" w:rsidP="00A759D9">
      <w:r>
        <w:t>&lt;ESMA_QUESTION_SLMT_33&gt;</w:t>
      </w:r>
    </w:p>
    <w:p w14:paraId="42985B2F" w14:textId="77777777" w:rsidR="00314AC9" w:rsidRDefault="00314AC9" w:rsidP="00A759D9"/>
    <w:p w14:paraId="1F19FA78" w14:textId="77777777" w:rsidR="00DA4F15" w:rsidRDefault="00DA4F15" w:rsidP="00A759D9">
      <w:pPr>
        <w:pStyle w:val="Questionstyle"/>
        <w:numPr>
          <w:ilvl w:val="0"/>
          <w:numId w:val="14"/>
        </w:numPr>
        <w:tabs>
          <w:tab w:val="clear" w:pos="567"/>
        </w:tabs>
        <w:spacing w:line="256" w:lineRule="auto"/>
        <w:ind w:left="851" w:hanging="851"/>
      </w:pPr>
      <w:r>
        <w:t>In the case of funds with multiple share classes, would you see the possibility for different anti-dilution levies depending on share classes? Please justify your position.</w:t>
      </w:r>
    </w:p>
    <w:p w14:paraId="42AA84F7" w14:textId="77777777" w:rsidR="00DA4F15" w:rsidRDefault="00DA4F15" w:rsidP="00A759D9">
      <w:r>
        <w:t>&lt;ESMA_QUESTION_SLMT_34&gt;</w:t>
      </w:r>
    </w:p>
    <w:p w14:paraId="22BBDA7D" w14:textId="1345C106" w:rsidR="00DA4F15" w:rsidRPr="008025F9" w:rsidRDefault="008025F9" w:rsidP="00D355CD">
      <w:pPr>
        <w:spacing w:line="240" w:lineRule="auto"/>
        <w:rPr>
          <w:rFonts w:ascii="Arial" w:eastAsia="Arial" w:hAnsi="Arial" w:cs="Arial"/>
          <w:color w:val="auto"/>
          <w:szCs w:val="22"/>
        </w:rPr>
      </w:pPr>
      <w:permStart w:id="523176774" w:edGrp="everyone"/>
      <w:r w:rsidRPr="008025F9">
        <w:rPr>
          <w:rFonts w:ascii="Arial" w:eastAsia="Arial" w:hAnsi="Arial" w:cs="Arial"/>
          <w:color w:val="auto"/>
          <w:szCs w:val="22"/>
        </w:rPr>
        <w:t>Managers should have the flexibility to select and activate the LMTs that are in the best interest of their investors. Affording the manager sufficient flexibility in how they apply LMTs allows them to meet their fiduciary duties to their investors. Irish Funds would not be in favour of overly restrictive and prescriptive rules governing the application of LMTs, and while we would expect the standard approach to be that LMTs are applied to all share classes, there may be limited circumstances where this is not the case. It would therefore seem appropriate to afford managers flexibility to apply LMTs on a share class basis where it is deemed in the best interests of all investors and clearly stated in the funds offering documents.</w:t>
      </w:r>
    </w:p>
    <w:permEnd w:id="523176774"/>
    <w:p w14:paraId="3DAE1B7F" w14:textId="6ADC839E" w:rsidR="00DA4F15" w:rsidRDefault="00DA4F15" w:rsidP="00A759D9">
      <w:r>
        <w:t>&lt;ESMA_QUESTION_SLMT_34&gt;</w:t>
      </w:r>
    </w:p>
    <w:p w14:paraId="40418F15" w14:textId="77777777" w:rsidR="00314AC9" w:rsidRDefault="00314AC9" w:rsidP="00A759D9"/>
    <w:p w14:paraId="5B61AB94" w14:textId="77777777" w:rsidR="00DA4F15" w:rsidRDefault="00DA4F15" w:rsidP="00A759D9">
      <w:pPr>
        <w:pStyle w:val="Questionstyle"/>
        <w:numPr>
          <w:ilvl w:val="0"/>
          <w:numId w:val="14"/>
        </w:numPr>
        <w:tabs>
          <w:tab w:val="clear" w:pos="567"/>
        </w:tabs>
        <w:spacing w:line="256" w:lineRule="auto"/>
        <w:ind w:left="851" w:hanging="851"/>
      </w:pPr>
      <w:r>
        <w:t>Do you think there is merit for the characteristics of anti-dilution levy to differ between different investment strategies and between AIFs and UCITS? If yes, how?</w:t>
      </w:r>
    </w:p>
    <w:p w14:paraId="4D0041CE" w14:textId="77777777" w:rsidR="00DA4F15" w:rsidRDefault="00DA4F15" w:rsidP="00A759D9">
      <w:r>
        <w:t>&lt;ESMA_QUESTION_SLMT_35&gt;</w:t>
      </w:r>
    </w:p>
    <w:p w14:paraId="1DE94B0A" w14:textId="37782A65" w:rsidR="00DA4F15" w:rsidRPr="006E5201" w:rsidRDefault="00833E24" w:rsidP="00D355CD">
      <w:pPr>
        <w:spacing w:line="240" w:lineRule="auto"/>
        <w:rPr>
          <w:lang w:val="en-US"/>
        </w:rPr>
      </w:pPr>
      <w:permStart w:id="1985707259" w:edGrp="everyone"/>
      <w:r w:rsidRPr="41760CA5">
        <w:rPr>
          <w:rFonts w:ascii="Arial" w:eastAsia="Arial" w:hAnsi="Arial" w:cs="Arial"/>
          <w:szCs w:val="22"/>
          <w:lang w:val="en-US"/>
        </w:rPr>
        <w:t xml:space="preserve">No, </w:t>
      </w:r>
      <w:r>
        <w:rPr>
          <w:rFonts w:ascii="Arial" w:eastAsia="Arial" w:hAnsi="Arial" w:cs="Arial"/>
          <w:szCs w:val="22"/>
          <w:lang w:val="en-US"/>
        </w:rPr>
        <w:t>Irish Funds</w:t>
      </w:r>
      <w:r w:rsidRPr="41760CA5">
        <w:rPr>
          <w:rFonts w:ascii="Arial" w:eastAsia="Arial" w:hAnsi="Arial" w:cs="Arial"/>
          <w:szCs w:val="22"/>
          <w:lang w:val="en-US"/>
        </w:rPr>
        <w:t xml:space="preserve"> do</w:t>
      </w:r>
      <w:r w:rsidR="004341F0">
        <w:rPr>
          <w:rFonts w:ascii="Arial" w:eastAsia="Arial" w:hAnsi="Arial" w:cs="Arial"/>
          <w:szCs w:val="22"/>
          <w:lang w:val="en-US"/>
        </w:rPr>
        <w:t>es</w:t>
      </w:r>
      <w:r>
        <w:rPr>
          <w:rFonts w:ascii="Arial" w:eastAsia="Arial" w:hAnsi="Arial" w:cs="Arial"/>
          <w:szCs w:val="22"/>
          <w:lang w:val="en-US"/>
        </w:rPr>
        <w:t xml:space="preserve"> not</w:t>
      </w:r>
      <w:r w:rsidRPr="41760CA5">
        <w:rPr>
          <w:rFonts w:ascii="Arial" w:eastAsia="Arial" w:hAnsi="Arial" w:cs="Arial"/>
          <w:szCs w:val="22"/>
          <w:lang w:val="en-US"/>
        </w:rPr>
        <w:t xml:space="preserve"> see merit in the characteristics of ADLs </w:t>
      </w:r>
      <w:r>
        <w:rPr>
          <w:rFonts w:ascii="Arial" w:eastAsia="Arial" w:hAnsi="Arial" w:cs="Arial"/>
          <w:szCs w:val="22"/>
          <w:lang w:val="en-US"/>
        </w:rPr>
        <w:t>differing</w:t>
      </w:r>
      <w:r w:rsidRPr="41760CA5">
        <w:rPr>
          <w:rFonts w:ascii="Arial" w:eastAsia="Arial" w:hAnsi="Arial" w:cs="Arial"/>
          <w:szCs w:val="22"/>
          <w:lang w:val="en-US"/>
        </w:rPr>
        <w:t xml:space="preserve"> between different investment strategies and between AIFs and UCITS. The characteristics of the LMT are the same regardless of the strategy or vehicle. Its suitability and when and why it is applied will be determined by the manager</w:t>
      </w:r>
      <w:r w:rsidR="002C2A2C">
        <w:rPr>
          <w:rFonts w:ascii="Arial" w:eastAsia="Arial" w:hAnsi="Arial" w:cs="Arial"/>
          <w:szCs w:val="22"/>
          <w:lang w:val="en-US"/>
        </w:rPr>
        <w:t>.</w:t>
      </w:r>
      <w:r w:rsidR="006E5201" w:rsidRPr="008F3456">
        <w:rPr>
          <w:lang w:val="en-US"/>
        </w:rPr>
        <w:t xml:space="preserve"> </w:t>
      </w:r>
    </w:p>
    <w:permEnd w:id="1985707259"/>
    <w:p w14:paraId="384DCE3C" w14:textId="5983ED51" w:rsidR="00DA4F15" w:rsidRDefault="00DA4F15" w:rsidP="00A759D9">
      <w:r>
        <w:t>&lt;ESMA_QUESTION_SLMT_35&gt;</w:t>
      </w:r>
    </w:p>
    <w:p w14:paraId="585F3396" w14:textId="77777777" w:rsidR="00314AC9" w:rsidRDefault="00314AC9" w:rsidP="00A759D9"/>
    <w:p w14:paraId="1BED9330" w14:textId="77777777" w:rsidR="00DA4F15" w:rsidRDefault="00DA4F15" w:rsidP="00A759D9">
      <w:pPr>
        <w:pStyle w:val="Questionstyle"/>
        <w:numPr>
          <w:ilvl w:val="0"/>
          <w:numId w:val="14"/>
        </w:numPr>
        <w:tabs>
          <w:tab w:val="clear" w:pos="567"/>
        </w:tabs>
        <w:spacing w:line="256" w:lineRule="auto"/>
        <w:ind w:left="851" w:hanging="851"/>
      </w:pPr>
      <w:r>
        <w:t>Do you agree with the description of redemptions in kind and the corresponding characteristics? If not, please justify your position.</w:t>
      </w:r>
    </w:p>
    <w:p w14:paraId="0434658B" w14:textId="77777777" w:rsidR="00DA4F15" w:rsidRDefault="00DA4F15" w:rsidP="00A759D9">
      <w:r>
        <w:t>&lt;ESMA_QUESTION_SLMT_36&gt;</w:t>
      </w:r>
    </w:p>
    <w:p w14:paraId="3B4726B6" w14:textId="0BAFB9E1" w:rsidR="00C74D50" w:rsidRPr="00C74D50" w:rsidRDefault="00C74D50" w:rsidP="00A759D9">
      <w:pPr>
        <w:spacing w:line="240" w:lineRule="auto"/>
        <w:rPr>
          <w:rFonts w:ascii="Arial" w:eastAsia="Arial" w:hAnsi="Arial" w:cs="Arial"/>
          <w:color w:val="FF0000"/>
          <w:szCs w:val="22"/>
        </w:rPr>
      </w:pPr>
      <w:permStart w:id="272712298" w:edGrp="everyone"/>
      <w:r>
        <w:rPr>
          <w:rFonts w:ascii="Arial" w:eastAsia="Arial" w:hAnsi="Arial" w:cs="Arial"/>
          <w:szCs w:val="22"/>
        </w:rPr>
        <w:t xml:space="preserve">See response to </w:t>
      </w:r>
      <w:r w:rsidR="00F81C8A">
        <w:rPr>
          <w:rFonts w:ascii="Arial" w:eastAsia="Arial" w:hAnsi="Arial" w:cs="Arial"/>
          <w:szCs w:val="22"/>
        </w:rPr>
        <w:t>q</w:t>
      </w:r>
      <w:r>
        <w:rPr>
          <w:rFonts w:ascii="Arial" w:eastAsia="Arial" w:hAnsi="Arial" w:cs="Arial"/>
          <w:szCs w:val="22"/>
        </w:rPr>
        <w:t>uestion 3</w:t>
      </w:r>
      <w:r w:rsidR="00326749">
        <w:rPr>
          <w:rFonts w:ascii="Arial" w:eastAsia="Arial" w:hAnsi="Arial" w:cs="Arial"/>
          <w:szCs w:val="22"/>
        </w:rPr>
        <w:t>8</w:t>
      </w:r>
      <w:r>
        <w:rPr>
          <w:rFonts w:ascii="Arial" w:eastAsia="Arial" w:hAnsi="Arial" w:cs="Arial"/>
          <w:szCs w:val="22"/>
        </w:rPr>
        <w:t>.</w:t>
      </w:r>
      <w:permEnd w:id="272712298"/>
    </w:p>
    <w:p w14:paraId="3852AC84" w14:textId="3C57EFE0" w:rsidR="00DA4F15" w:rsidRDefault="00DA4F15" w:rsidP="00A759D9">
      <w:r>
        <w:t>&lt;ESMA_QUESTION_SLMT_36&gt;</w:t>
      </w:r>
    </w:p>
    <w:p w14:paraId="6C45A37D" w14:textId="77777777" w:rsidR="00314AC9" w:rsidRDefault="00314AC9" w:rsidP="00A759D9"/>
    <w:p w14:paraId="56B126EF" w14:textId="77777777" w:rsidR="00DA4F15" w:rsidRDefault="00DA4F15" w:rsidP="00A759D9">
      <w:pPr>
        <w:pStyle w:val="Questionstyle"/>
        <w:numPr>
          <w:ilvl w:val="0"/>
          <w:numId w:val="14"/>
        </w:numPr>
        <w:tabs>
          <w:tab w:val="clear" w:pos="567"/>
        </w:tabs>
        <w:spacing w:line="256" w:lineRule="auto"/>
        <w:ind w:left="851" w:hanging="851"/>
      </w:pPr>
      <w:r>
        <w:t>Can you think of any characteristics of redemptions in kind?</w:t>
      </w:r>
    </w:p>
    <w:p w14:paraId="652F76A3" w14:textId="77777777" w:rsidR="00DA4F15" w:rsidRDefault="00DA4F15" w:rsidP="00A759D9">
      <w:r>
        <w:t>&lt;ESMA_QUESTION_SLMT_37&gt;</w:t>
      </w:r>
    </w:p>
    <w:p w14:paraId="258BAB16" w14:textId="77777777" w:rsidR="009256B0" w:rsidRDefault="009256B0" w:rsidP="009256B0">
      <w:permStart w:id="1085623252" w:edGrp="everyone"/>
      <w:r>
        <w:t>TYPE YOUR TEXT HERE</w:t>
      </w:r>
    </w:p>
    <w:permEnd w:id="1085623252"/>
    <w:p w14:paraId="7970F171" w14:textId="0F1ADDCE" w:rsidR="00DA4F15" w:rsidRDefault="00DA4F15" w:rsidP="00A759D9">
      <w:r>
        <w:t>&lt;ESMA_QUESTION_SLMT_37&gt;</w:t>
      </w:r>
    </w:p>
    <w:p w14:paraId="098BCFDE" w14:textId="77777777" w:rsidR="00314AC9" w:rsidRDefault="00314AC9" w:rsidP="00A759D9"/>
    <w:p w14:paraId="7CEB8085" w14:textId="77777777" w:rsidR="00DA4F15" w:rsidRDefault="00DA4F15" w:rsidP="00A759D9">
      <w:pPr>
        <w:pStyle w:val="Questionstyle"/>
        <w:numPr>
          <w:ilvl w:val="0"/>
          <w:numId w:val="14"/>
        </w:numPr>
        <w:tabs>
          <w:tab w:val="clear" w:pos="567"/>
        </w:tabs>
        <w:spacing w:line="256" w:lineRule="auto"/>
        <w:ind w:left="851" w:hanging="851"/>
      </w:pPr>
      <w:r>
        <w:t>Do you think there is merit for the characteristics of redemption in kinds to differ between different investment strategies between AIFs and UCITS? If yes, how?</w:t>
      </w:r>
    </w:p>
    <w:p w14:paraId="71AE73E9" w14:textId="77777777" w:rsidR="00DA4F15" w:rsidRDefault="00DA4F15" w:rsidP="00A759D9">
      <w:r>
        <w:t>&lt;ESMA_QUESTION_SLMT_38&gt;</w:t>
      </w:r>
    </w:p>
    <w:p w14:paraId="75A5CE93" w14:textId="77777777" w:rsidR="00FC3A48" w:rsidRDefault="00FC3A48" w:rsidP="00FC3A48">
      <w:pPr>
        <w:spacing w:line="240" w:lineRule="auto"/>
        <w:rPr>
          <w:rFonts w:ascii="Arial" w:eastAsia="Arial" w:hAnsi="Arial" w:cs="Arial"/>
          <w:szCs w:val="22"/>
        </w:rPr>
      </w:pPr>
      <w:permStart w:id="1966288748" w:edGrp="everyone"/>
      <w:r>
        <w:rPr>
          <w:rFonts w:ascii="Arial" w:eastAsia="Arial" w:hAnsi="Arial" w:cs="Arial"/>
          <w:szCs w:val="22"/>
        </w:rPr>
        <w:t>Irish Funds</w:t>
      </w:r>
      <w:r w:rsidRPr="00523A89">
        <w:rPr>
          <w:rFonts w:ascii="Arial" w:eastAsia="Arial" w:hAnsi="Arial" w:cs="Arial"/>
          <w:szCs w:val="22"/>
        </w:rPr>
        <w:t xml:space="preserve"> note that in the case where passive Exchange Traded Funds (</w:t>
      </w:r>
      <w:r>
        <w:rPr>
          <w:rFonts w:ascii="Arial" w:eastAsia="Arial" w:hAnsi="Arial" w:cs="Arial"/>
          <w:szCs w:val="22"/>
        </w:rPr>
        <w:t>“</w:t>
      </w:r>
      <w:r w:rsidRPr="00523A89">
        <w:rPr>
          <w:rFonts w:ascii="Arial" w:eastAsia="Arial" w:hAnsi="Arial" w:cs="Arial"/>
          <w:szCs w:val="22"/>
        </w:rPr>
        <w:t>ETFs</w:t>
      </w:r>
      <w:r w:rsidRPr="000B43C4">
        <w:rPr>
          <w:rFonts w:ascii="Arial" w:eastAsia="Arial" w:hAnsi="Arial" w:cs="Arial"/>
          <w:szCs w:val="22"/>
        </w:rPr>
        <w:t>”</w:t>
      </w:r>
      <w:r w:rsidRPr="00523A89">
        <w:rPr>
          <w:rFonts w:ascii="Arial" w:eastAsia="Arial" w:hAnsi="Arial" w:cs="Arial"/>
          <w:szCs w:val="22"/>
        </w:rPr>
        <w:t>) opt to use in-kind redemption</w:t>
      </w:r>
      <w:r>
        <w:rPr>
          <w:rFonts w:ascii="Arial" w:eastAsia="Arial" w:hAnsi="Arial" w:cs="Arial"/>
          <w:szCs w:val="22"/>
        </w:rPr>
        <w:t>s</w:t>
      </w:r>
      <w:r w:rsidRPr="00523A89">
        <w:rPr>
          <w:rFonts w:ascii="Arial" w:eastAsia="Arial" w:hAnsi="Arial" w:cs="Arial"/>
          <w:szCs w:val="22"/>
        </w:rPr>
        <w:t xml:space="preserve"> as one of its two nominated forms of Liquidity Management Tools (i.e. dictates to the investor precisely what securities it will return in exchange for ETF shares), the pro-rata requirement shall not be applied. We would also like to take the opportunity to clarify an important point in respect of ETFs generally (whether passive or active), namely that the requirements in relation to </w:t>
      </w:r>
      <w:r>
        <w:rPr>
          <w:rFonts w:ascii="Arial" w:eastAsia="Arial" w:hAnsi="Arial" w:cs="Arial"/>
          <w:szCs w:val="22"/>
        </w:rPr>
        <w:t>RIK</w:t>
      </w:r>
      <w:r w:rsidRPr="00523A89">
        <w:rPr>
          <w:rFonts w:ascii="Arial" w:eastAsia="Arial" w:hAnsi="Arial" w:cs="Arial"/>
          <w:szCs w:val="22"/>
        </w:rPr>
        <w:t xml:space="preserve"> shall </w:t>
      </w:r>
      <w:r>
        <w:rPr>
          <w:rFonts w:ascii="Arial" w:eastAsia="Arial" w:hAnsi="Arial" w:cs="Arial"/>
          <w:szCs w:val="22"/>
        </w:rPr>
        <w:t>only</w:t>
      </w:r>
      <w:r w:rsidRPr="00523A89">
        <w:rPr>
          <w:rFonts w:ascii="Arial" w:eastAsia="Arial" w:hAnsi="Arial" w:cs="Arial"/>
          <w:szCs w:val="22"/>
        </w:rPr>
        <w:t xml:space="preserve"> apply where a UCITS ETF is using </w:t>
      </w:r>
      <w:r>
        <w:rPr>
          <w:rFonts w:ascii="Arial" w:eastAsia="Arial" w:hAnsi="Arial" w:cs="Arial"/>
          <w:szCs w:val="22"/>
        </w:rPr>
        <w:t>RIK</w:t>
      </w:r>
      <w:r w:rsidRPr="00523A89">
        <w:rPr>
          <w:rFonts w:ascii="Arial" w:eastAsia="Arial" w:hAnsi="Arial" w:cs="Arial"/>
          <w:szCs w:val="22"/>
        </w:rPr>
        <w:t xml:space="preserve"> as one of its two nominated LMTs</w:t>
      </w:r>
      <w:r>
        <w:rPr>
          <w:rFonts w:ascii="Arial" w:eastAsia="Arial" w:hAnsi="Arial" w:cs="Arial"/>
          <w:szCs w:val="22"/>
        </w:rPr>
        <w:t xml:space="preserve"> </w:t>
      </w:r>
      <w:r w:rsidRPr="002D5EB0">
        <w:rPr>
          <w:rFonts w:ascii="Arial" w:eastAsia="Arial" w:hAnsi="Arial" w:cs="Arial"/>
          <w:szCs w:val="22"/>
        </w:rPr>
        <w:t>and not where it is using it as part of its business-as-usual redemption process</w:t>
      </w:r>
      <w:r w:rsidRPr="00523A89">
        <w:rPr>
          <w:rFonts w:ascii="Arial" w:eastAsia="Arial" w:hAnsi="Arial" w:cs="Arial"/>
          <w:szCs w:val="22"/>
        </w:rPr>
        <w:t xml:space="preserve">. It is important that this point is clarified. </w:t>
      </w:r>
    </w:p>
    <w:p w14:paraId="74F2D2F6" w14:textId="77777777" w:rsidR="00FC3A48" w:rsidRPr="00523A89" w:rsidRDefault="00FC3A48" w:rsidP="00FC3A48">
      <w:pPr>
        <w:spacing w:line="240" w:lineRule="auto"/>
        <w:rPr>
          <w:rFonts w:ascii="Arial" w:eastAsia="Arial" w:hAnsi="Arial" w:cs="Arial"/>
          <w:szCs w:val="22"/>
        </w:rPr>
      </w:pPr>
      <w:r w:rsidRPr="00523A89">
        <w:rPr>
          <w:rFonts w:ascii="Arial" w:eastAsia="Arial" w:hAnsi="Arial" w:cs="Arial"/>
          <w:szCs w:val="22"/>
        </w:rPr>
        <w:t xml:space="preserve">As noted by both the </w:t>
      </w:r>
      <w:r w:rsidRPr="00316479">
        <w:rPr>
          <w:rFonts w:ascii="Arial" w:eastAsia="Arial" w:hAnsi="Arial" w:cs="Arial"/>
          <w:szCs w:val="22"/>
        </w:rPr>
        <w:t>FSB</w:t>
      </w:r>
      <w:r w:rsidRPr="00613BDB">
        <w:rPr>
          <w:rStyle w:val="FootnoteReference"/>
          <w:rFonts w:ascii="Arial" w:eastAsia="Arial" w:hAnsi="Arial" w:cs="Arial"/>
          <w:b/>
          <w:bCs/>
          <w:color w:val="34009F" w:themeColor="hyperlink"/>
          <w:szCs w:val="22"/>
        </w:rPr>
        <w:footnoteReference w:id="4"/>
      </w:r>
      <w:r w:rsidRPr="00523A89">
        <w:rPr>
          <w:rFonts w:ascii="Arial" w:eastAsia="Arial" w:hAnsi="Arial" w:cs="Arial"/>
          <w:szCs w:val="22"/>
        </w:rPr>
        <w:t xml:space="preserve"> and </w:t>
      </w:r>
      <w:r w:rsidRPr="00316479">
        <w:rPr>
          <w:rFonts w:ascii="Arial" w:eastAsia="Arial" w:hAnsi="Arial" w:cs="Arial"/>
          <w:szCs w:val="22"/>
        </w:rPr>
        <w:t>IOSCO</w:t>
      </w:r>
      <w:r w:rsidRPr="00613BDB">
        <w:rPr>
          <w:rStyle w:val="FootnoteReference"/>
          <w:rFonts w:ascii="Arial" w:eastAsia="Arial" w:hAnsi="Arial" w:cs="Arial"/>
          <w:b/>
          <w:bCs/>
          <w:color w:val="34009F" w:themeColor="hyperlink"/>
          <w:szCs w:val="22"/>
        </w:rPr>
        <w:footnoteReference w:id="5"/>
      </w:r>
      <w:r w:rsidRPr="00523A89">
        <w:rPr>
          <w:rFonts w:ascii="Arial" w:eastAsia="Arial" w:hAnsi="Arial" w:cs="Arial"/>
          <w:szCs w:val="22"/>
        </w:rPr>
        <w:t xml:space="preserve"> in their respective Reports of December 2023, ETFs have an operational structure which is distinct from other UCITS and consequently both the FSB and IOSCO explicitly state that their respective guidance of December 2023 is not applicable to ETFs. They also indicate that the operation and structure of ETFs have been subject to significant review including as outlined in the IOSCO (2021) Exchange Traded Funds Thematic Note – Findings and Observations during Covid-19 induced market stress</w:t>
      </w:r>
      <w:r>
        <w:rPr>
          <w:rFonts w:ascii="Arial" w:eastAsia="Arial" w:hAnsi="Arial" w:cs="Arial"/>
          <w:szCs w:val="22"/>
        </w:rPr>
        <w:t>es</w:t>
      </w:r>
      <w:r>
        <w:rPr>
          <w:rStyle w:val="FootnoteReference"/>
          <w:rFonts w:ascii="Arial" w:eastAsia="Arial" w:hAnsi="Arial" w:cs="Arial"/>
          <w:szCs w:val="22"/>
        </w:rPr>
        <w:footnoteReference w:id="6"/>
      </w:r>
      <w:r w:rsidRPr="00523A89">
        <w:rPr>
          <w:rFonts w:ascii="Arial" w:eastAsia="Arial" w:hAnsi="Arial" w:cs="Arial"/>
          <w:szCs w:val="22"/>
        </w:rPr>
        <w:t xml:space="preserve"> and the IOSCO Final Report on Good Practices Relating to the Implementation of the IOSCO Principles for Exchange Traded Funds (May 2023)</w:t>
      </w:r>
      <w:r>
        <w:rPr>
          <w:rStyle w:val="FootnoteReference"/>
          <w:rFonts w:ascii="Arial" w:eastAsia="Arial" w:hAnsi="Arial" w:cs="Arial"/>
          <w:szCs w:val="22"/>
        </w:rPr>
        <w:footnoteReference w:id="7"/>
      </w:r>
      <w:r w:rsidRPr="00523A89">
        <w:rPr>
          <w:rFonts w:ascii="Arial" w:eastAsia="Arial" w:hAnsi="Arial" w:cs="Arial"/>
          <w:szCs w:val="22"/>
        </w:rPr>
        <w:t>.</w:t>
      </w:r>
    </w:p>
    <w:p w14:paraId="2294276C" w14:textId="77777777" w:rsidR="00FC3A48" w:rsidRPr="00523A89" w:rsidRDefault="00FC3A48" w:rsidP="00FC3A48">
      <w:pPr>
        <w:spacing w:line="240" w:lineRule="auto"/>
        <w:rPr>
          <w:rFonts w:ascii="Arial" w:eastAsia="Arial" w:hAnsi="Arial" w:cs="Arial"/>
          <w:szCs w:val="22"/>
        </w:rPr>
      </w:pPr>
      <w:r w:rsidRPr="00523A89">
        <w:rPr>
          <w:rFonts w:ascii="Arial" w:eastAsia="Arial" w:hAnsi="Arial" w:cs="Arial"/>
          <w:szCs w:val="22"/>
        </w:rPr>
        <w:t>ETFs trade in two distinct yet interconnected markets: ‘primary’ (ETF share creation and redemption between ETF issuers and Authorised Participants (APs)</w:t>
      </w:r>
      <w:r>
        <w:rPr>
          <w:rFonts w:ascii="Arial" w:eastAsia="Arial" w:hAnsi="Arial" w:cs="Arial"/>
          <w:szCs w:val="22"/>
        </w:rPr>
        <w:t>)</w:t>
      </w:r>
      <w:r w:rsidRPr="00523A89">
        <w:rPr>
          <w:rFonts w:ascii="Arial" w:eastAsia="Arial" w:hAnsi="Arial" w:cs="Arial"/>
          <w:szCs w:val="22"/>
        </w:rPr>
        <w:t xml:space="preserve">, and ‘secondary’ (exchange of ETF shares amongst investors, facilitated by market-makers operating on public trading venues). In the primary market, APs are authorised to transact (by creating and/or redeeming ETF shares) directly with the ETF issuer, in exchange for cash proceeds or a proportionate share of the underlying assets that make up the benchmark tracked by the ETF. APs typically undertake such primary market activity in response to ETF investors’ demand for liquidity in the secondary market. This liquidation feature of ETFs is distinctly different from other forms of UCITS funds such as Open-Ended Funds. With respect to the use of </w:t>
      </w:r>
      <w:r>
        <w:rPr>
          <w:rFonts w:ascii="Arial" w:eastAsia="Arial" w:hAnsi="Arial" w:cs="Arial"/>
          <w:szCs w:val="22"/>
        </w:rPr>
        <w:t xml:space="preserve">RIK </w:t>
      </w:r>
      <w:r w:rsidRPr="00523A89">
        <w:rPr>
          <w:rFonts w:ascii="Arial" w:eastAsia="Arial" w:hAnsi="Arial" w:cs="Arial"/>
          <w:szCs w:val="22"/>
        </w:rPr>
        <w:t>by an ETF issuer, it is important to acknowledge two structural drivers</w:t>
      </w:r>
      <w:r>
        <w:rPr>
          <w:rFonts w:ascii="Arial" w:eastAsia="Arial" w:hAnsi="Arial" w:cs="Arial"/>
          <w:szCs w:val="22"/>
        </w:rPr>
        <w:t>:</w:t>
      </w:r>
    </w:p>
    <w:p w14:paraId="28B91E0C" w14:textId="77777777" w:rsidR="00FC3A48" w:rsidRPr="00523A89" w:rsidRDefault="00FC3A48" w:rsidP="00FC3A48">
      <w:pPr>
        <w:numPr>
          <w:ilvl w:val="0"/>
          <w:numId w:val="16"/>
        </w:numPr>
        <w:spacing w:line="240" w:lineRule="auto"/>
        <w:rPr>
          <w:rFonts w:ascii="Arial" w:eastAsia="Arial" w:hAnsi="Arial" w:cs="Arial"/>
          <w:szCs w:val="22"/>
        </w:rPr>
      </w:pPr>
      <w:r w:rsidRPr="00523A89">
        <w:rPr>
          <w:rFonts w:ascii="Arial" w:eastAsia="Arial" w:hAnsi="Arial" w:cs="Arial"/>
          <w:szCs w:val="22"/>
        </w:rPr>
        <w:t>R</w:t>
      </w:r>
      <w:r>
        <w:rPr>
          <w:rFonts w:ascii="Arial" w:eastAsia="Arial" w:hAnsi="Arial" w:cs="Arial"/>
          <w:szCs w:val="22"/>
        </w:rPr>
        <w:t>IK</w:t>
      </w:r>
      <w:r w:rsidRPr="00523A89">
        <w:rPr>
          <w:rFonts w:ascii="Arial" w:eastAsia="Arial" w:hAnsi="Arial" w:cs="Arial"/>
          <w:szCs w:val="22"/>
        </w:rPr>
        <w:t xml:space="preserve"> are regularly used by ETF issuers, enabling APs to facilitate liquidity, efficient pricing and effective arbitrage for the benefit of ETF investors. As such, redemptions-in-kind constitute a regular liquidity transmission tool for UCITS ETFs and restricting their use as an LMT will significantly disrupt the efficient functioning of </w:t>
      </w:r>
      <w:r>
        <w:rPr>
          <w:rFonts w:ascii="Arial" w:eastAsia="Arial" w:hAnsi="Arial" w:cs="Arial"/>
          <w:szCs w:val="22"/>
        </w:rPr>
        <w:t xml:space="preserve">the </w:t>
      </w:r>
      <w:r w:rsidRPr="00523A89">
        <w:rPr>
          <w:rFonts w:ascii="Arial" w:eastAsia="Arial" w:hAnsi="Arial" w:cs="Arial"/>
          <w:szCs w:val="22"/>
        </w:rPr>
        <w:t xml:space="preserve">UCITS ETF market. </w:t>
      </w:r>
    </w:p>
    <w:p w14:paraId="60C27498" w14:textId="77777777" w:rsidR="00FC3A48" w:rsidRPr="00E56D9B" w:rsidRDefault="00FC3A48" w:rsidP="00FC3A48">
      <w:pPr>
        <w:numPr>
          <w:ilvl w:val="0"/>
          <w:numId w:val="16"/>
        </w:numPr>
        <w:spacing w:line="240" w:lineRule="auto"/>
        <w:rPr>
          <w:rFonts w:ascii="Arial" w:eastAsia="Arial" w:hAnsi="Arial" w:cs="Arial"/>
          <w:szCs w:val="22"/>
        </w:rPr>
      </w:pPr>
      <w:r w:rsidRPr="00523A89">
        <w:rPr>
          <w:rFonts w:ascii="Arial" w:eastAsia="Arial" w:hAnsi="Arial" w:cs="Arial"/>
          <w:szCs w:val="22"/>
        </w:rPr>
        <w:t>APs are specialised financial institutions such as banks and specialist ETF market makers.</w:t>
      </w:r>
      <w:r w:rsidRPr="00523A89">
        <w:rPr>
          <w:rFonts w:ascii="Arial" w:eastAsia="Arial" w:hAnsi="Arial" w:cs="Arial"/>
          <w:b/>
          <w:bCs/>
          <w:szCs w:val="22"/>
        </w:rPr>
        <w:t xml:space="preserve"> </w:t>
      </w:r>
      <w:r w:rsidRPr="00523A89">
        <w:rPr>
          <w:rFonts w:ascii="Arial" w:eastAsia="Arial" w:hAnsi="Arial" w:cs="Arial"/>
          <w:szCs w:val="22"/>
        </w:rPr>
        <w:t xml:space="preserve">APs are therefore operationally prepared to receive redemptions-in-kind in exchange for ETF shares. In contrast, most ETF investors cannot receive the custody of underlying securities. </w:t>
      </w:r>
    </w:p>
    <w:p w14:paraId="1EFFDAF0" w14:textId="77777777" w:rsidR="00FC3A48" w:rsidRPr="00E56D9B" w:rsidRDefault="00FC3A48" w:rsidP="00FC3A48">
      <w:pPr>
        <w:spacing w:line="240" w:lineRule="auto"/>
        <w:rPr>
          <w:rFonts w:ascii="Arial" w:eastAsia="Arial" w:hAnsi="Arial" w:cs="Arial"/>
          <w:szCs w:val="22"/>
        </w:rPr>
      </w:pPr>
      <w:r w:rsidRPr="00523A89">
        <w:rPr>
          <w:rFonts w:ascii="Arial" w:eastAsia="Arial" w:hAnsi="Arial" w:cs="Arial"/>
          <w:szCs w:val="22"/>
        </w:rPr>
        <w:t xml:space="preserve">We would highlight that the ability for an ETF issuer to </w:t>
      </w:r>
      <w:proofErr w:type="gramStart"/>
      <w:r w:rsidRPr="00523A89">
        <w:rPr>
          <w:rFonts w:ascii="Arial" w:eastAsia="Arial" w:hAnsi="Arial" w:cs="Arial"/>
          <w:szCs w:val="22"/>
        </w:rPr>
        <w:t>enter into</w:t>
      </w:r>
      <w:proofErr w:type="gramEnd"/>
      <w:r w:rsidRPr="00523A89">
        <w:rPr>
          <w:rFonts w:ascii="Arial" w:eastAsia="Arial" w:hAnsi="Arial" w:cs="Arial"/>
          <w:szCs w:val="22"/>
        </w:rPr>
        <w:t xml:space="preserve"> in-kind arrangements with the APs is a key </w:t>
      </w:r>
      <w:r>
        <w:rPr>
          <w:rFonts w:ascii="Arial" w:eastAsia="Arial" w:hAnsi="Arial" w:cs="Arial"/>
          <w:szCs w:val="22"/>
        </w:rPr>
        <w:t>‘</w:t>
      </w:r>
      <w:r w:rsidRPr="00523A89">
        <w:rPr>
          <w:rFonts w:ascii="Arial" w:eastAsia="Arial" w:hAnsi="Arial" w:cs="Arial"/>
          <w:szCs w:val="22"/>
        </w:rPr>
        <w:t>business as usual</w:t>
      </w:r>
      <w:r>
        <w:rPr>
          <w:rFonts w:ascii="Arial" w:eastAsia="Arial" w:hAnsi="Arial" w:cs="Arial"/>
          <w:szCs w:val="22"/>
        </w:rPr>
        <w:t>’</w:t>
      </w:r>
      <w:r w:rsidRPr="00523A89">
        <w:rPr>
          <w:rFonts w:ascii="Arial" w:eastAsia="Arial" w:hAnsi="Arial" w:cs="Arial"/>
          <w:szCs w:val="22"/>
        </w:rPr>
        <w:t xml:space="preserve"> structural feature which is used to facilitate an efficient and effective arbitrage mechanism. While this arrangement is entered into with sophisticated professional investors (i.e. APs), the UCITS ETFs may be sold to retail investors on the secondary market who will benefit from an effective arbitrage mechanism. This arrangement is supported by the transparency of the ETF’s portfolio holdings and dedicated capital markets personnel who assist with its operation and oversight. This is acknowledged by IOSCO (in its </w:t>
      </w:r>
      <w:r w:rsidRPr="00613BDB">
        <w:rPr>
          <w:rFonts w:ascii="Arial" w:eastAsia="Arial" w:hAnsi="Arial" w:cs="Arial"/>
          <w:szCs w:val="22"/>
        </w:rPr>
        <w:t>May</w:t>
      </w:r>
      <w:r w:rsidRPr="00613BDB">
        <w:rPr>
          <w:rFonts w:ascii="Arial" w:eastAsia="Arial" w:hAnsi="Arial" w:cs="Arial"/>
          <w:szCs w:val="22"/>
        </w:rPr>
        <w:tab/>
        <w:t>2023 report</w:t>
      </w:r>
      <w:r w:rsidRPr="00613BDB">
        <w:rPr>
          <w:rStyle w:val="FootnoteReference"/>
          <w:rFonts w:ascii="Arial" w:eastAsia="Arial" w:hAnsi="Arial" w:cs="Arial"/>
          <w:b/>
          <w:bCs/>
          <w:color w:val="34009F" w:themeColor="hyperlink"/>
          <w:szCs w:val="22"/>
        </w:rPr>
        <w:footnoteReference w:id="8"/>
      </w:r>
      <w:r w:rsidRPr="00523A89">
        <w:rPr>
          <w:rFonts w:ascii="Arial" w:eastAsia="Arial" w:hAnsi="Arial" w:cs="Arial"/>
          <w:szCs w:val="22"/>
        </w:rPr>
        <w:t>) which notes that “</w:t>
      </w:r>
      <w:r w:rsidRPr="002A3438">
        <w:rPr>
          <w:rFonts w:ascii="Arial" w:eastAsia="Arial" w:hAnsi="Arial" w:cs="Arial"/>
          <w:i/>
          <w:iCs/>
          <w:szCs w:val="22"/>
        </w:rPr>
        <w:t>The arbitrage mechanism is the defining feature of the ETFs structure as it provides the means to maintain a close tie between market price and NAV per share of the ETF. This in turn helps to ensure that different ETF investors are treated equitably when buying and selling ETF shares</w:t>
      </w:r>
      <w:r>
        <w:rPr>
          <w:rFonts w:ascii="Arial" w:eastAsia="Arial" w:hAnsi="Arial" w:cs="Arial"/>
          <w:szCs w:val="22"/>
        </w:rPr>
        <w:t>”</w:t>
      </w:r>
      <w:r w:rsidRPr="00523A89">
        <w:rPr>
          <w:rFonts w:ascii="Arial" w:eastAsia="Arial" w:hAnsi="Arial" w:cs="Arial"/>
          <w:i/>
          <w:iCs/>
          <w:szCs w:val="22"/>
        </w:rPr>
        <w:t>.</w:t>
      </w:r>
    </w:p>
    <w:p w14:paraId="587EFC5B" w14:textId="1786F071" w:rsidR="00FC3A48" w:rsidRPr="00E56D9B" w:rsidRDefault="00FC3A48" w:rsidP="00FC3A48">
      <w:pPr>
        <w:spacing w:line="240" w:lineRule="auto"/>
        <w:rPr>
          <w:rFonts w:ascii="Arial" w:eastAsia="Arial" w:hAnsi="Arial" w:cs="Arial"/>
          <w:i/>
          <w:iCs/>
          <w:szCs w:val="22"/>
        </w:rPr>
      </w:pPr>
      <w:r w:rsidRPr="00E5196B">
        <w:rPr>
          <w:rFonts w:ascii="Arial" w:eastAsia="Arial" w:hAnsi="Arial" w:cs="Arial"/>
          <w:szCs w:val="22"/>
        </w:rPr>
        <w:t>It should also be noted that in the case of</w:t>
      </w:r>
      <w:r>
        <w:rPr>
          <w:rFonts w:ascii="Arial" w:eastAsia="Arial" w:hAnsi="Arial" w:cs="Arial"/>
          <w:szCs w:val="22"/>
        </w:rPr>
        <w:t xml:space="preserve"> European Long-Term Investment Funds</w:t>
      </w:r>
      <w:r w:rsidRPr="00E5196B">
        <w:rPr>
          <w:rFonts w:ascii="Arial" w:eastAsia="Arial" w:hAnsi="Arial" w:cs="Arial"/>
          <w:szCs w:val="22"/>
        </w:rPr>
        <w:t xml:space="preserve"> </w:t>
      </w:r>
      <w:r>
        <w:rPr>
          <w:rFonts w:ascii="Arial" w:eastAsia="Arial" w:hAnsi="Arial" w:cs="Arial"/>
          <w:szCs w:val="22"/>
        </w:rPr>
        <w:t>(“</w:t>
      </w:r>
      <w:r w:rsidRPr="00E5196B">
        <w:rPr>
          <w:rFonts w:ascii="Arial" w:eastAsia="Arial" w:hAnsi="Arial" w:cs="Arial"/>
          <w:szCs w:val="22"/>
        </w:rPr>
        <w:t>ELTIFs</w:t>
      </w:r>
      <w:r>
        <w:rPr>
          <w:rFonts w:ascii="Arial" w:eastAsia="Arial" w:hAnsi="Arial" w:cs="Arial"/>
          <w:szCs w:val="22"/>
        </w:rPr>
        <w:t>”)</w:t>
      </w:r>
      <w:r w:rsidRPr="00E5196B">
        <w:rPr>
          <w:rFonts w:ascii="Arial" w:eastAsia="Arial" w:hAnsi="Arial" w:cs="Arial"/>
          <w:szCs w:val="22"/>
        </w:rPr>
        <w:t xml:space="preserve"> there are prescriptive rules on when an investor in an ELTIF can receive assets in</w:t>
      </w:r>
      <w:r>
        <w:rPr>
          <w:rFonts w:ascii="Arial" w:eastAsia="Arial" w:hAnsi="Arial" w:cs="Arial"/>
          <w:szCs w:val="22"/>
        </w:rPr>
        <w:t>-</w:t>
      </w:r>
      <w:r w:rsidRPr="00E5196B">
        <w:rPr>
          <w:rFonts w:ascii="Arial" w:eastAsia="Arial" w:hAnsi="Arial" w:cs="Arial"/>
          <w:szCs w:val="22"/>
        </w:rPr>
        <w:t>kind and the ELTIF rules should take precedence over any AIFMD rules</w:t>
      </w:r>
      <w:r>
        <w:rPr>
          <w:rFonts w:ascii="Arial" w:eastAsia="Arial" w:hAnsi="Arial" w:cs="Arial"/>
          <w:szCs w:val="22"/>
        </w:rPr>
        <w:t xml:space="preserve">. </w:t>
      </w:r>
      <w:permEnd w:id="1966288748"/>
    </w:p>
    <w:p w14:paraId="044C2490" w14:textId="71D156AD" w:rsidR="00DA4F15" w:rsidRDefault="00DA4F15" w:rsidP="00A759D9">
      <w:r>
        <w:t>&lt;ESMA_QUESTION_SLMT_38&gt;</w:t>
      </w:r>
    </w:p>
    <w:p w14:paraId="0F7F7417" w14:textId="77777777" w:rsidR="00314AC9" w:rsidRDefault="00314AC9" w:rsidP="00A759D9"/>
    <w:p w14:paraId="78235916" w14:textId="77777777" w:rsidR="00DA4F15" w:rsidRDefault="00DA4F15" w:rsidP="00A759D9">
      <w:pPr>
        <w:pStyle w:val="Questionstyle"/>
        <w:numPr>
          <w:ilvl w:val="0"/>
          <w:numId w:val="14"/>
        </w:numPr>
        <w:tabs>
          <w:tab w:val="clear" w:pos="567"/>
        </w:tabs>
        <w:spacing w:line="256" w:lineRule="auto"/>
        <w:ind w:left="851" w:hanging="851"/>
      </w:pPr>
      <w:r>
        <w:t xml:space="preserve">Do you agree with the description of side pockets and the corresponding characteristics? If not, please justify your position. </w:t>
      </w:r>
    </w:p>
    <w:p w14:paraId="7F1DAAB5" w14:textId="77777777" w:rsidR="00DA4F15" w:rsidRDefault="00DA4F15" w:rsidP="00A759D9">
      <w:r>
        <w:t>&lt;ESMA_QUESTION_SLMT_39&gt;</w:t>
      </w:r>
    </w:p>
    <w:p w14:paraId="4464B86A" w14:textId="32C7E94D" w:rsidR="007120BA" w:rsidRDefault="007120BA" w:rsidP="00A759D9">
      <w:pPr>
        <w:spacing w:line="240" w:lineRule="auto"/>
        <w:rPr>
          <w:rFonts w:ascii="Arial" w:eastAsia="Arial" w:hAnsi="Arial" w:cs="Arial"/>
          <w:szCs w:val="22"/>
        </w:rPr>
      </w:pPr>
      <w:permStart w:id="510677301" w:edGrp="everyone"/>
      <w:r>
        <w:rPr>
          <w:rFonts w:ascii="Arial" w:eastAsia="Arial" w:hAnsi="Arial" w:cs="Arial"/>
          <w:szCs w:val="22"/>
        </w:rPr>
        <w:t xml:space="preserve">In Article 9(1b) for UCITS and AIFs, we feel the term </w:t>
      </w:r>
      <w:r w:rsidRPr="00907D8F">
        <w:rPr>
          <w:rFonts w:ascii="Arial" w:eastAsia="Arial" w:hAnsi="Arial" w:cs="Arial"/>
          <w:szCs w:val="22"/>
        </w:rPr>
        <w:t>“</w:t>
      </w:r>
      <w:r w:rsidRPr="41760CA5">
        <w:rPr>
          <w:rFonts w:ascii="Arial" w:eastAsia="Arial" w:hAnsi="Arial" w:cs="Arial"/>
          <w:i/>
          <w:iCs/>
          <w:szCs w:val="22"/>
        </w:rPr>
        <w:t>Assets for which there are valuation issues or legal uncertainty</w:t>
      </w:r>
      <w:r w:rsidRPr="00907D8F">
        <w:rPr>
          <w:rFonts w:ascii="Arial" w:eastAsia="Arial" w:hAnsi="Arial" w:cs="Arial"/>
          <w:szCs w:val="22"/>
        </w:rPr>
        <w:t>” is too narrow of a description. W</w:t>
      </w:r>
      <w:r>
        <w:rPr>
          <w:rFonts w:ascii="Arial" w:eastAsia="Arial" w:hAnsi="Arial" w:cs="Arial"/>
          <w:szCs w:val="22"/>
        </w:rPr>
        <w:t>hat may be useful is to</w:t>
      </w:r>
      <w:r w:rsidRPr="00907D8F">
        <w:rPr>
          <w:rFonts w:ascii="Arial" w:eastAsia="Arial" w:hAnsi="Arial" w:cs="Arial"/>
          <w:szCs w:val="22"/>
        </w:rPr>
        <w:t xml:space="preserve"> </w:t>
      </w:r>
      <w:r>
        <w:rPr>
          <w:rFonts w:ascii="Arial" w:eastAsia="Arial" w:hAnsi="Arial" w:cs="Arial"/>
          <w:szCs w:val="22"/>
        </w:rPr>
        <w:t>expand the</w:t>
      </w:r>
      <w:r w:rsidRPr="00907D8F">
        <w:rPr>
          <w:rFonts w:ascii="Arial" w:eastAsia="Arial" w:hAnsi="Arial" w:cs="Arial"/>
          <w:szCs w:val="22"/>
        </w:rPr>
        <w:t xml:space="preserve"> definition</w:t>
      </w:r>
      <w:r>
        <w:rPr>
          <w:rFonts w:ascii="Arial" w:eastAsia="Arial" w:hAnsi="Arial" w:cs="Arial"/>
          <w:szCs w:val="22"/>
        </w:rPr>
        <w:t xml:space="preserve"> to include manager discretion, “</w:t>
      </w:r>
      <w:r w:rsidRPr="41760CA5">
        <w:rPr>
          <w:rFonts w:ascii="Arial" w:eastAsia="Arial" w:hAnsi="Arial" w:cs="Arial"/>
          <w:i/>
          <w:iCs/>
          <w:szCs w:val="22"/>
        </w:rPr>
        <w:t xml:space="preserve">Assets for which there are valuation issues, legal uncertainty </w:t>
      </w:r>
      <w:r w:rsidRPr="41760CA5">
        <w:rPr>
          <w:rFonts w:ascii="Arial" w:eastAsia="Arial" w:hAnsi="Arial" w:cs="Arial"/>
          <w:i/>
          <w:iCs/>
          <w:szCs w:val="22"/>
          <w:u w:val="single"/>
        </w:rPr>
        <w:t>or that the manager deems necessary to move to a side pocket</w:t>
      </w:r>
      <w:r w:rsidRPr="008B375C">
        <w:rPr>
          <w:rFonts w:ascii="Arial" w:eastAsia="Arial" w:hAnsi="Arial" w:cs="Arial"/>
          <w:szCs w:val="22"/>
          <w:u w:val="single"/>
        </w:rPr>
        <w:t>”</w:t>
      </w:r>
      <w:r w:rsidRPr="00E0043E">
        <w:rPr>
          <w:rFonts w:ascii="Arial" w:eastAsia="Arial" w:hAnsi="Arial" w:cs="Arial"/>
          <w:szCs w:val="22"/>
        </w:rPr>
        <w:t xml:space="preserve">. </w:t>
      </w:r>
      <w:r w:rsidRPr="00907D8F">
        <w:rPr>
          <w:rFonts w:ascii="Arial" w:eastAsia="Arial" w:hAnsi="Arial" w:cs="Arial"/>
          <w:szCs w:val="22"/>
        </w:rPr>
        <w:t xml:space="preserve">This definition </w:t>
      </w:r>
      <w:r>
        <w:rPr>
          <w:rFonts w:ascii="Arial" w:eastAsia="Arial" w:hAnsi="Arial" w:cs="Arial"/>
          <w:szCs w:val="22"/>
        </w:rPr>
        <w:t xml:space="preserve">provides for sufficient flexibility to </w:t>
      </w:r>
      <w:r w:rsidRPr="00907D8F">
        <w:rPr>
          <w:rFonts w:ascii="Arial" w:eastAsia="Arial" w:hAnsi="Arial" w:cs="Arial"/>
          <w:szCs w:val="22"/>
        </w:rPr>
        <w:t>includ</w:t>
      </w:r>
      <w:r>
        <w:rPr>
          <w:rFonts w:ascii="Arial" w:eastAsia="Arial" w:hAnsi="Arial" w:cs="Arial"/>
          <w:szCs w:val="22"/>
        </w:rPr>
        <w:t>e</w:t>
      </w:r>
      <w:r w:rsidRPr="00907D8F">
        <w:rPr>
          <w:rFonts w:ascii="Arial" w:eastAsia="Arial" w:hAnsi="Arial" w:cs="Arial"/>
          <w:szCs w:val="22"/>
        </w:rPr>
        <w:t xml:space="preserve"> the full scope of assets that may be considered for a side pocket, including illiquid assets</w:t>
      </w:r>
      <w:r>
        <w:rPr>
          <w:rFonts w:ascii="Arial" w:eastAsia="Arial" w:hAnsi="Arial" w:cs="Arial"/>
          <w:szCs w:val="22"/>
        </w:rPr>
        <w:t>, which aligns with the criteria for activation and calibration within the ESMA Guidelines consultation</w:t>
      </w:r>
      <w:r>
        <w:rPr>
          <w:rStyle w:val="FootnoteReference"/>
          <w:rFonts w:ascii="Arial" w:eastAsia="Arial" w:hAnsi="Arial" w:cs="Arial"/>
          <w:szCs w:val="22"/>
        </w:rPr>
        <w:footnoteReference w:id="9"/>
      </w:r>
      <w:r>
        <w:rPr>
          <w:rFonts w:ascii="Arial" w:eastAsia="Arial" w:hAnsi="Arial" w:cs="Arial"/>
          <w:szCs w:val="22"/>
        </w:rPr>
        <w:t>.</w:t>
      </w:r>
    </w:p>
    <w:p w14:paraId="221CAEA9" w14:textId="68E69155" w:rsidR="007120BA" w:rsidRPr="007120BA" w:rsidRDefault="007120BA" w:rsidP="00A759D9">
      <w:pPr>
        <w:spacing w:line="240" w:lineRule="auto"/>
        <w:rPr>
          <w:rFonts w:ascii="Arial" w:eastAsia="Arial" w:hAnsi="Arial" w:cs="Arial"/>
          <w:szCs w:val="22"/>
        </w:rPr>
      </w:pPr>
      <w:r w:rsidRPr="316BC453">
        <w:rPr>
          <w:rFonts w:ascii="Arial" w:eastAsia="Arial" w:hAnsi="Arial" w:cs="Arial"/>
          <w:szCs w:val="22"/>
        </w:rPr>
        <w:t xml:space="preserve">Finally, we understand the bullet </w:t>
      </w:r>
      <w:r w:rsidR="001650E9">
        <w:rPr>
          <w:rFonts w:ascii="Arial" w:eastAsia="Arial" w:hAnsi="Arial" w:cs="Arial"/>
          <w:szCs w:val="22"/>
        </w:rPr>
        <w:t>in paragraph 94</w:t>
      </w:r>
      <w:r w:rsidR="00354CD3">
        <w:rPr>
          <w:rFonts w:ascii="Arial" w:eastAsia="Arial" w:hAnsi="Arial" w:cs="Arial"/>
          <w:szCs w:val="22"/>
        </w:rPr>
        <w:t xml:space="preserve"> of the consultation </w:t>
      </w:r>
      <w:r w:rsidRPr="316BC453">
        <w:rPr>
          <w:rFonts w:ascii="Arial" w:eastAsia="Arial" w:hAnsi="Arial" w:cs="Arial"/>
          <w:szCs w:val="22"/>
        </w:rPr>
        <w:t>“</w:t>
      </w:r>
      <w:r w:rsidRPr="316BC453">
        <w:rPr>
          <w:rFonts w:ascii="Arial" w:eastAsia="Arial" w:hAnsi="Arial" w:cs="Arial"/>
          <w:i/>
          <w:iCs/>
          <w:szCs w:val="22"/>
        </w:rPr>
        <w:t>The fund manager shall allocate a proportion of liquid assets to the side pocket in order to fulfil any possible liabilities arising from the management of the side pocket</w:t>
      </w:r>
      <w:r w:rsidRPr="316BC453">
        <w:rPr>
          <w:rFonts w:ascii="Arial" w:eastAsia="Arial" w:hAnsi="Arial" w:cs="Arial"/>
          <w:szCs w:val="22"/>
        </w:rPr>
        <w:t xml:space="preserve">” to mean that these liquid assets are transferred directly from the fund that the side </w:t>
      </w:r>
      <w:r w:rsidR="00A759D9">
        <w:rPr>
          <w:rFonts w:ascii="Arial" w:eastAsia="Arial" w:hAnsi="Arial" w:cs="Arial"/>
          <w:szCs w:val="22"/>
        </w:rPr>
        <w:t>p</w:t>
      </w:r>
      <w:r w:rsidRPr="316BC453">
        <w:rPr>
          <w:rFonts w:ascii="Arial" w:eastAsia="Arial" w:hAnsi="Arial" w:cs="Arial"/>
          <w:szCs w:val="22"/>
        </w:rPr>
        <w:t>ocket</w:t>
      </w:r>
      <w:r w:rsidR="004E6315">
        <w:rPr>
          <w:rFonts w:ascii="Arial" w:eastAsia="Arial" w:hAnsi="Arial" w:cs="Arial"/>
          <w:szCs w:val="22"/>
        </w:rPr>
        <w:t xml:space="preserve"> was created from</w:t>
      </w:r>
      <w:r w:rsidRPr="316BC453">
        <w:rPr>
          <w:rFonts w:ascii="Arial" w:eastAsia="Arial" w:hAnsi="Arial" w:cs="Arial"/>
          <w:szCs w:val="22"/>
        </w:rPr>
        <w:t>.</w:t>
      </w:r>
      <w:r w:rsidR="004E6315">
        <w:rPr>
          <w:rFonts w:ascii="Arial" w:eastAsia="Arial" w:hAnsi="Arial" w:cs="Arial"/>
          <w:szCs w:val="22"/>
        </w:rPr>
        <w:t xml:space="preserve"> </w:t>
      </w:r>
      <w:permEnd w:id="510677301"/>
    </w:p>
    <w:p w14:paraId="2B51EEFB" w14:textId="5F4FFBF8" w:rsidR="00DA4F15" w:rsidRDefault="00DA4F15" w:rsidP="00A759D9">
      <w:r>
        <w:t>&lt;ESMA_QUESTION_SLMT_39&gt;</w:t>
      </w:r>
    </w:p>
    <w:p w14:paraId="1AEA409E" w14:textId="77777777" w:rsidR="00314AC9" w:rsidRDefault="00314AC9" w:rsidP="00A759D9"/>
    <w:p w14:paraId="0149E8D5" w14:textId="77777777" w:rsidR="00DA4F15" w:rsidRDefault="00DA4F15" w:rsidP="00A759D9">
      <w:pPr>
        <w:pStyle w:val="Questionstyle"/>
        <w:numPr>
          <w:ilvl w:val="0"/>
          <w:numId w:val="14"/>
        </w:numPr>
        <w:tabs>
          <w:tab w:val="clear" w:pos="567"/>
        </w:tabs>
        <w:spacing w:line="256" w:lineRule="auto"/>
        <w:ind w:left="851" w:hanging="851"/>
      </w:pPr>
      <w:r>
        <w:t xml:space="preserve">Do you agree that in the case of UCITS, side pockets created by physical separation should only be done with the creation of a new UCITS where the assets for which there are no problems are placed? If not, please explain your position.  </w:t>
      </w:r>
    </w:p>
    <w:p w14:paraId="0B75D819" w14:textId="77777777" w:rsidR="00DA4F15" w:rsidRDefault="00DA4F15" w:rsidP="00A759D9">
      <w:r>
        <w:t>&lt;ESMA_QUESTION_SLMT_40&gt;</w:t>
      </w:r>
    </w:p>
    <w:p w14:paraId="1004CBCB" w14:textId="56CBA1F5" w:rsidR="0006232E" w:rsidRDefault="0006232E" w:rsidP="00A759D9">
      <w:pPr>
        <w:spacing w:line="240" w:lineRule="auto"/>
        <w:rPr>
          <w:rFonts w:ascii="Arial" w:eastAsia="Arial" w:hAnsi="Arial" w:cs="Arial"/>
          <w:szCs w:val="22"/>
        </w:rPr>
      </w:pPr>
      <w:permStart w:id="2037011811" w:edGrp="everyone"/>
      <w:r>
        <w:rPr>
          <w:rFonts w:ascii="Arial" w:eastAsia="Arial" w:hAnsi="Arial" w:cs="Arial"/>
          <w:szCs w:val="22"/>
        </w:rPr>
        <w:t>Irish Funds would generally support the approach that</w:t>
      </w:r>
      <w:r w:rsidRPr="00040270">
        <w:rPr>
          <w:rFonts w:ascii="Arial" w:eastAsia="Arial" w:hAnsi="Arial" w:cs="Arial"/>
          <w:szCs w:val="22"/>
        </w:rPr>
        <w:t xml:space="preserve"> the problematic assets should remain in the UCITS</w:t>
      </w:r>
      <w:r>
        <w:rPr>
          <w:rFonts w:ascii="Arial" w:eastAsia="Arial" w:hAnsi="Arial" w:cs="Arial"/>
          <w:szCs w:val="22"/>
        </w:rPr>
        <w:t>,</w:t>
      </w:r>
      <w:r w:rsidRPr="00040270">
        <w:rPr>
          <w:rFonts w:ascii="Arial" w:eastAsia="Arial" w:hAnsi="Arial" w:cs="Arial"/>
          <w:szCs w:val="22"/>
        </w:rPr>
        <w:t xml:space="preserve"> with the liquid assets being transferred to a new UCITS. This ensures that the related parties (</w:t>
      </w:r>
      <w:r>
        <w:rPr>
          <w:rFonts w:ascii="Arial" w:eastAsia="Arial" w:hAnsi="Arial" w:cs="Arial"/>
          <w:szCs w:val="22"/>
        </w:rPr>
        <w:t xml:space="preserve">fund </w:t>
      </w:r>
      <w:r w:rsidRPr="00040270">
        <w:rPr>
          <w:rFonts w:ascii="Arial" w:eastAsia="Arial" w:hAnsi="Arial" w:cs="Arial"/>
          <w:szCs w:val="22"/>
        </w:rPr>
        <w:t>admin</w:t>
      </w:r>
      <w:r>
        <w:rPr>
          <w:rFonts w:ascii="Arial" w:eastAsia="Arial" w:hAnsi="Arial" w:cs="Arial"/>
          <w:szCs w:val="22"/>
        </w:rPr>
        <w:t>istrator</w:t>
      </w:r>
      <w:r w:rsidRPr="00040270">
        <w:rPr>
          <w:rFonts w:ascii="Arial" w:eastAsia="Arial" w:hAnsi="Arial" w:cs="Arial"/>
          <w:szCs w:val="22"/>
        </w:rPr>
        <w:t>, depo</w:t>
      </w:r>
      <w:r>
        <w:rPr>
          <w:rFonts w:ascii="Arial" w:eastAsia="Arial" w:hAnsi="Arial" w:cs="Arial"/>
          <w:szCs w:val="22"/>
        </w:rPr>
        <w:t>sitary</w:t>
      </w:r>
      <w:r w:rsidRPr="00040270">
        <w:rPr>
          <w:rFonts w:ascii="Arial" w:eastAsia="Arial" w:hAnsi="Arial" w:cs="Arial"/>
          <w:szCs w:val="22"/>
        </w:rPr>
        <w:t>, legal, audit etc) are familiar with any historical issues/events leading to the side pocket. It also avoids issues around the transfer of problematic assets to a new fund due to sanctions or other uncertainties.</w:t>
      </w:r>
      <w:r w:rsidRPr="316BC453">
        <w:rPr>
          <w:rStyle w:val="CommentReference"/>
          <w:rFonts w:eastAsia="Arial" w:cs="Arial"/>
          <w:szCs w:val="22"/>
        </w:rPr>
        <w:t xml:space="preserve"> </w:t>
      </w:r>
      <w:r>
        <w:rPr>
          <w:rFonts w:ascii="Arial" w:eastAsia="Arial" w:hAnsi="Arial" w:cs="Arial"/>
          <w:szCs w:val="22"/>
        </w:rPr>
        <w:t xml:space="preserve">However, it is worth noting that the physical separation of assets is not a straightforward process and can take a significant </w:t>
      </w:r>
      <w:proofErr w:type="gramStart"/>
      <w:r>
        <w:rPr>
          <w:rFonts w:ascii="Arial" w:eastAsia="Arial" w:hAnsi="Arial" w:cs="Arial"/>
          <w:szCs w:val="22"/>
        </w:rPr>
        <w:t>period of time</w:t>
      </w:r>
      <w:proofErr w:type="gramEnd"/>
      <w:r>
        <w:rPr>
          <w:rFonts w:ascii="Arial" w:eastAsia="Arial" w:hAnsi="Arial" w:cs="Arial"/>
          <w:szCs w:val="22"/>
        </w:rPr>
        <w:t xml:space="preserve"> to implement, with additional costs also being borne through operating a separate vehicle versus an accounting segregated side pocket. It is worth highlighting also that in Ireland the Central Bank of Ireland </w:t>
      </w:r>
      <w:r w:rsidRPr="00250062">
        <w:rPr>
          <w:rFonts w:ascii="Arial" w:eastAsia="Arial" w:hAnsi="Arial" w:cs="Arial"/>
          <w:szCs w:val="22"/>
        </w:rPr>
        <w:t>only permit the method outlined in the ESMA consultation for UCITS</w:t>
      </w:r>
      <w:r w:rsidRPr="00250062">
        <w:rPr>
          <w:rStyle w:val="FootnoteReference"/>
          <w:rFonts w:ascii="Arial" w:eastAsia="Arial" w:hAnsi="Arial" w:cs="Arial"/>
          <w:szCs w:val="22"/>
        </w:rPr>
        <w:footnoteReference w:id="10"/>
      </w:r>
      <w:r w:rsidRPr="00250062">
        <w:rPr>
          <w:rFonts w:ascii="Arial" w:eastAsia="Arial" w:hAnsi="Arial" w:cs="Arial"/>
          <w:szCs w:val="22"/>
        </w:rPr>
        <w:t>.</w:t>
      </w:r>
    </w:p>
    <w:p w14:paraId="4476AC81" w14:textId="18EC6E50" w:rsidR="0006232E" w:rsidRPr="0006232E" w:rsidRDefault="0006232E" w:rsidP="00A759D9">
      <w:pPr>
        <w:spacing w:line="240" w:lineRule="auto"/>
        <w:rPr>
          <w:rFonts w:ascii="Arial" w:eastAsia="Arial" w:hAnsi="Arial" w:cs="Arial"/>
          <w:szCs w:val="22"/>
        </w:rPr>
      </w:pPr>
      <w:r>
        <w:rPr>
          <w:rFonts w:ascii="Arial" w:eastAsia="Arial" w:hAnsi="Arial" w:cs="Arial"/>
          <w:szCs w:val="22"/>
        </w:rPr>
        <w:t xml:space="preserve">Finally, </w:t>
      </w:r>
      <w:r w:rsidRPr="316BC453">
        <w:rPr>
          <w:rFonts w:ascii="Arial" w:eastAsia="Arial" w:hAnsi="Arial" w:cs="Arial"/>
          <w:szCs w:val="22"/>
        </w:rPr>
        <w:t>Irish Funds is also of the opinion that the text of Article 9(2) in the UCITS RTS should be amended to afford the manager sufficient flexibility to allow for the efficient management of their fund for the benefit of all investors;</w:t>
      </w:r>
      <w:r w:rsidRPr="316BC453">
        <w:rPr>
          <w:rFonts w:ascii="Arial" w:eastAsia="Arial" w:hAnsi="Arial" w:cs="Arial"/>
          <w:szCs w:val="22"/>
          <w:lang w:eastAsia="en-GB"/>
        </w:rPr>
        <w:t xml:space="preserve"> “</w:t>
      </w:r>
      <w:r w:rsidRPr="316BC453">
        <w:rPr>
          <w:rFonts w:ascii="Arial" w:eastAsia="Arial" w:hAnsi="Arial" w:cs="Arial"/>
          <w:i/>
          <w:iCs/>
          <w:szCs w:val="22"/>
          <w:lang w:eastAsia="en-GB"/>
        </w:rPr>
        <w:t>1. For side pockets referred to in paragraph 1 b) of this Article, management companies</w:t>
      </w:r>
      <w:r w:rsidRPr="316BC453">
        <w:rPr>
          <w:rFonts w:ascii="Arial" w:eastAsia="Arial" w:hAnsi="Arial" w:cs="Arial"/>
          <w:i/>
          <w:iCs/>
          <w:strike/>
          <w:szCs w:val="22"/>
          <w:lang w:eastAsia="en-GB"/>
        </w:rPr>
        <w:t xml:space="preserve"> shall</w:t>
      </w:r>
      <w:r w:rsidRPr="316BC453">
        <w:rPr>
          <w:rFonts w:ascii="Arial" w:eastAsia="Arial" w:hAnsi="Arial" w:cs="Arial"/>
          <w:i/>
          <w:iCs/>
          <w:szCs w:val="22"/>
          <w:lang w:eastAsia="en-GB"/>
        </w:rPr>
        <w:t xml:space="preserve"> </w:t>
      </w:r>
      <w:r w:rsidRPr="316BC453">
        <w:rPr>
          <w:rFonts w:ascii="Arial" w:eastAsia="Arial" w:hAnsi="Arial" w:cs="Arial"/>
          <w:b/>
          <w:bCs/>
          <w:i/>
          <w:iCs/>
          <w:szCs w:val="22"/>
          <w:lang w:eastAsia="en-GB"/>
        </w:rPr>
        <w:t xml:space="preserve">may </w:t>
      </w:r>
      <w:r w:rsidRPr="316BC453">
        <w:rPr>
          <w:rFonts w:ascii="Arial" w:eastAsia="Arial" w:hAnsi="Arial" w:cs="Arial"/>
          <w:i/>
          <w:iCs/>
          <w:szCs w:val="22"/>
          <w:lang w:eastAsia="en-GB"/>
        </w:rPr>
        <w:t>suspend the subscriptions and redemptions of the UCITS and transfer the assets for which there are no valuation issues or legal uncertainty in a new UCITS created specifically for the purpose of this operation (or via a merger into an existing UCITS in so far as the merger complies with the requirements set out in Chapter VI of Directive 2009/65/EC).</w:t>
      </w:r>
      <w:r w:rsidRPr="316BC453">
        <w:rPr>
          <w:rFonts w:ascii="Arial" w:eastAsia="Arial" w:hAnsi="Arial" w:cs="Arial"/>
          <w:szCs w:val="22"/>
          <w:lang w:eastAsia="en-GB"/>
        </w:rPr>
        <w:t>”</w:t>
      </w:r>
      <w:permEnd w:id="2037011811"/>
    </w:p>
    <w:p w14:paraId="2E565A0B" w14:textId="06D94077" w:rsidR="00DA4F15" w:rsidRDefault="00DA4F15" w:rsidP="00A759D9">
      <w:r>
        <w:t>&lt;ESMA_QUESTION_SLMT_40&gt;</w:t>
      </w:r>
    </w:p>
    <w:p w14:paraId="4DE3CFE0" w14:textId="77777777" w:rsidR="00314AC9" w:rsidRDefault="00314AC9" w:rsidP="00A759D9"/>
    <w:p w14:paraId="41C93715" w14:textId="77777777" w:rsidR="00DA4F15" w:rsidRDefault="00DA4F15" w:rsidP="00A759D9">
      <w:pPr>
        <w:pStyle w:val="Questionstyle"/>
        <w:numPr>
          <w:ilvl w:val="0"/>
          <w:numId w:val="14"/>
        </w:numPr>
        <w:tabs>
          <w:tab w:val="clear" w:pos="567"/>
        </w:tabs>
        <w:spacing w:line="256" w:lineRule="auto"/>
        <w:ind w:left="851" w:hanging="851"/>
      </w:pPr>
      <w:r>
        <w:t xml:space="preserve">Can you think of any other characteristics of side pockets that ESMA should consider? </w:t>
      </w:r>
      <w:proofErr w:type="gramStart"/>
      <w:r>
        <w:t>In particular, do</w:t>
      </w:r>
      <w:proofErr w:type="gramEnd"/>
      <w:r>
        <w:t xml:space="preserve"> you think that the characteristics of side pockets shall differ between UCITS and AIFs (in addition to the creation of side pockets via physical separation of the assets)? If, yes please elaborate.</w:t>
      </w:r>
    </w:p>
    <w:p w14:paraId="5F52E75C" w14:textId="77777777" w:rsidR="00DA4F15" w:rsidRDefault="00DA4F15" w:rsidP="00A759D9">
      <w:r>
        <w:t>&lt;ESMA_QUESTION_SLMT_41&gt;</w:t>
      </w:r>
    </w:p>
    <w:p w14:paraId="2E01153B" w14:textId="20F2EDCD" w:rsidR="00984F12" w:rsidRPr="00984F12" w:rsidRDefault="00984F12" w:rsidP="00A759D9">
      <w:pPr>
        <w:spacing w:line="240" w:lineRule="auto"/>
        <w:rPr>
          <w:rFonts w:ascii="Arial" w:eastAsia="Arial" w:hAnsi="Arial" w:cs="Arial"/>
          <w:szCs w:val="22"/>
        </w:rPr>
      </w:pPr>
      <w:permStart w:id="585316222" w:edGrp="everyone"/>
      <w:r>
        <w:rPr>
          <w:rFonts w:ascii="Arial" w:eastAsia="Arial" w:hAnsi="Arial" w:cs="Arial"/>
          <w:szCs w:val="22"/>
        </w:rPr>
        <w:t xml:space="preserve">We </w:t>
      </w:r>
      <w:r w:rsidRPr="41760CA5">
        <w:rPr>
          <w:rFonts w:ascii="Arial" w:eastAsia="Arial" w:hAnsi="Arial" w:cs="Arial"/>
          <w:szCs w:val="22"/>
        </w:rPr>
        <w:t>do not believe that the characteristics of side pockets should differ</w:t>
      </w:r>
      <w:r>
        <w:rPr>
          <w:rFonts w:ascii="Arial" w:eastAsia="Arial" w:hAnsi="Arial" w:cs="Arial"/>
          <w:szCs w:val="22"/>
        </w:rPr>
        <w:t>, beyond that of the example in the consultation,</w:t>
      </w:r>
      <w:r w:rsidRPr="41760CA5">
        <w:rPr>
          <w:rFonts w:ascii="Arial" w:eastAsia="Arial" w:hAnsi="Arial" w:cs="Arial"/>
          <w:szCs w:val="22"/>
        </w:rPr>
        <w:t xml:space="preserve"> between UCITS and AIFs.</w:t>
      </w:r>
      <w:permEnd w:id="585316222"/>
    </w:p>
    <w:p w14:paraId="4E5DFC3D" w14:textId="1C84C0F6" w:rsidR="00DA4F15" w:rsidRDefault="00DA4F15" w:rsidP="00A759D9">
      <w:r>
        <w:t>&lt;ESMA_QUESTION_SLMT_41&gt;</w:t>
      </w:r>
    </w:p>
    <w:p w14:paraId="7BDDD2C6" w14:textId="77777777" w:rsidR="00314AC9" w:rsidRDefault="00314AC9" w:rsidP="00A759D9"/>
    <w:p w14:paraId="06A28B94" w14:textId="77777777" w:rsidR="00DA4F15" w:rsidRDefault="00DA4F15" w:rsidP="00A759D9">
      <w:pPr>
        <w:pStyle w:val="Questionstyle"/>
        <w:numPr>
          <w:ilvl w:val="0"/>
          <w:numId w:val="14"/>
        </w:numPr>
        <w:tabs>
          <w:tab w:val="clear" w:pos="567"/>
        </w:tabs>
        <w:spacing w:line="256" w:lineRule="auto"/>
        <w:ind w:left="851" w:hanging="851"/>
      </w:pPr>
      <w:r>
        <w:t>Do you see merit in specifying further the characteristics that side pocket created by means of accounting segregation should have? If yes, can you please explain how you have created side pocket via accounting segregation? Have you encountered any legal constraints or are you aware of any legal constraints in your jurisdiction that may limit the use of side pockets via asset segregation?</w:t>
      </w:r>
    </w:p>
    <w:p w14:paraId="24D150F5" w14:textId="77777777" w:rsidR="00DA4F15" w:rsidRDefault="00DA4F15" w:rsidP="00A759D9">
      <w:r>
        <w:t>&lt;ESMA_QUESTION_SLMT_42&gt;</w:t>
      </w:r>
    </w:p>
    <w:p w14:paraId="2E246FCE" w14:textId="35B9BA01" w:rsidR="006B0EB9" w:rsidRDefault="006B0EB9" w:rsidP="00A759D9">
      <w:pPr>
        <w:spacing w:line="240" w:lineRule="auto"/>
        <w:rPr>
          <w:rFonts w:ascii="Arial" w:eastAsia="Arial" w:hAnsi="Arial" w:cs="Arial"/>
          <w:szCs w:val="22"/>
        </w:rPr>
      </w:pPr>
      <w:permStart w:id="221516517" w:edGrp="everyone"/>
      <w:r w:rsidRPr="41760CA5">
        <w:rPr>
          <w:rFonts w:ascii="Arial" w:eastAsia="Arial" w:hAnsi="Arial" w:cs="Arial"/>
          <w:szCs w:val="22"/>
        </w:rPr>
        <w:t xml:space="preserve">Yes, it may be useful to highlight accounting segregation as a timelier and cost-effective setup relative to physical segregation. Accounting segregation may be agreed with </w:t>
      </w:r>
      <w:r>
        <w:rPr>
          <w:rFonts w:ascii="Arial" w:eastAsia="Arial" w:hAnsi="Arial" w:cs="Arial"/>
          <w:szCs w:val="22"/>
        </w:rPr>
        <w:t>Fund A</w:t>
      </w:r>
      <w:r w:rsidRPr="41760CA5">
        <w:rPr>
          <w:rFonts w:ascii="Arial" w:eastAsia="Arial" w:hAnsi="Arial" w:cs="Arial"/>
          <w:szCs w:val="22"/>
        </w:rPr>
        <w:t>dministrators as a straightforward solution to set up closed</w:t>
      </w:r>
      <w:r>
        <w:rPr>
          <w:rFonts w:ascii="Arial" w:eastAsia="Arial" w:hAnsi="Arial" w:cs="Arial"/>
          <w:szCs w:val="22"/>
        </w:rPr>
        <w:t>-</w:t>
      </w:r>
      <w:r w:rsidRPr="41760CA5">
        <w:rPr>
          <w:rFonts w:ascii="Arial" w:eastAsia="Arial" w:hAnsi="Arial" w:cs="Arial"/>
          <w:szCs w:val="22"/>
        </w:rPr>
        <w:t xml:space="preserve">ended share classes on an ongoing basis (e.g. for illiquid investments), where fees are factored in up front. This offers more flexibility in the investment universe for open ended AIF’s. </w:t>
      </w:r>
    </w:p>
    <w:p w14:paraId="1BE89733" w14:textId="17A56339" w:rsidR="006B0EB9" w:rsidRPr="006B0EB9" w:rsidRDefault="006B0EB9" w:rsidP="00A759D9">
      <w:pPr>
        <w:spacing w:line="240" w:lineRule="auto"/>
        <w:rPr>
          <w:rFonts w:ascii="Arial" w:eastAsia="Arial" w:hAnsi="Arial" w:cs="Arial"/>
          <w:szCs w:val="22"/>
        </w:rPr>
      </w:pPr>
      <w:r w:rsidRPr="41760CA5">
        <w:rPr>
          <w:rFonts w:ascii="Arial" w:eastAsia="Arial" w:hAnsi="Arial" w:cs="Arial"/>
          <w:szCs w:val="22"/>
        </w:rPr>
        <w:t xml:space="preserve">The Central Bank of Ireland issued a </w:t>
      </w:r>
      <w:r w:rsidR="001D0DA0">
        <w:rPr>
          <w:rFonts w:ascii="Arial" w:eastAsia="Arial" w:hAnsi="Arial" w:cs="Arial"/>
          <w:szCs w:val="22"/>
        </w:rPr>
        <w:t>“</w:t>
      </w:r>
      <w:r w:rsidRPr="001D0DA0">
        <w:rPr>
          <w:rFonts w:ascii="Arial" w:eastAsia="Arial" w:hAnsi="Arial" w:cs="Arial"/>
          <w:szCs w:val="22"/>
        </w:rPr>
        <w:t>Notice of Intention</w:t>
      </w:r>
      <w:r w:rsidR="001D0DA0">
        <w:rPr>
          <w:rStyle w:val="FootnoteReference"/>
          <w:rFonts w:eastAsia="Arial" w:cs="Arial"/>
          <w:szCs w:val="22"/>
        </w:rPr>
        <w:footnoteReference w:id="11"/>
      </w:r>
      <w:r w:rsidR="001D0DA0">
        <w:rPr>
          <w:rFonts w:ascii="Arial" w:eastAsia="Arial" w:hAnsi="Arial" w:cs="Arial"/>
          <w:szCs w:val="22"/>
        </w:rPr>
        <w:t>”</w:t>
      </w:r>
      <w:r w:rsidRPr="41760CA5">
        <w:rPr>
          <w:rFonts w:ascii="Arial" w:eastAsia="Arial" w:hAnsi="Arial" w:cs="Arial"/>
          <w:szCs w:val="22"/>
        </w:rPr>
        <w:t xml:space="preserve"> in May 2022 regarding the creation of side pockets in UCITS to address the increased sanctioning of assets resulting from the Russian invasion of Ukraine. Currently in Ireland you can only create a side pocket through ‘physical separation’ for Irish domiciled UCITS.  </w:t>
      </w:r>
      <w:permEnd w:id="221516517"/>
    </w:p>
    <w:p w14:paraId="3BBEA373" w14:textId="4CF79696" w:rsidR="00DA4F15" w:rsidRDefault="00DA4F15" w:rsidP="00A759D9">
      <w:r>
        <w:t>&lt;ESMA_QUESTION_SLMT_42&gt;</w:t>
      </w:r>
    </w:p>
    <w:p w14:paraId="17BECBF8" w14:textId="77777777" w:rsidR="00314AC9" w:rsidRDefault="00314AC9" w:rsidP="00A759D9"/>
    <w:p w14:paraId="1B91340B" w14:textId="77777777" w:rsidR="00DA4F15" w:rsidRDefault="00DA4F15" w:rsidP="00A759D9">
      <w:pPr>
        <w:pStyle w:val="Questionstyle"/>
        <w:numPr>
          <w:ilvl w:val="0"/>
          <w:numId w:val="14"/>
        </w:numPr>
        <w:tabs>
          <w:tab w:val="clear" w:pos="567"/>
        </w:tabs>
        <w:spacing w:line="256" w:lineRule="auto"/>
        <w:ind w:left="851" w:hanging="851"/>
      </w:pPr>
      <w:r>
        <w:t xml:space="preserve">Do you agree that the assets in the side pocket should always be managed with the view to liquidate them? Or could there be circumstances, where a reintegration with the normal assets could be contemplated? Please explain.  </w:t>
      </w:r>
    </w:p>
    <w:p w14:paraId="2C86457E" w14:textId="77777777" w:rsidR="00DA4F15" w:rsidRDefault="00DA4F15" w:rsidP="00A759D9">
      <w:r>
        <w:t>&lt;ESMA_QUESTION_SLMT_43&gt;</w:t>
      </w:r>
    </w:p>
    <w:p w14:paraId="4208FC9A" w14:textId="3343D3C6" w:rsidR="00CC11D1" w:rsidRPr="00CC11D1" w:rsidRDefault="00CC11D1" w:rsidP="00A759D9">
      <w:pPr>
        <w:spacing w:line="240" w:lineRule="auto"/>
        <w:rPr>
          <w:rFonts w:ascii="Arial" w:eastAsia="Arial" w:hAnsi="Arial" w:cs="Arial"/>
          <w:szCs w:val="22"/>
        </w:rPr>
      </w:pPr>
      <w:permStart w:id="69550584" w:edGrp="everyone"/>
      <w:r w:rsidRPr="00284199">
        <w:rPr>
          <w:rFonts w:ascii="Arial" w:eastAsia="Arial" w:hAnsi="Arial" w:cs="Arial"/>
          <w:szCs w:val="22"/>
        </w:rPr>
        <w:t>The manager shall</w:t>
      </w:r>
      <w:r w:rsidRPr="00452798">
        <w:rPr>
          <w:rFonts w:ascii="Arial" w:eastAsia="Arial" w:hAnsi="Arial" w:cs="Arial"/>
          <w:i/>
          <w:iCs/>
          <w:szCs w:val="22"/>
        </w:rPr>
        <w:t xml:space="preserve"> </w:t>
      </w:r>
      <w:r>
        <w:rPr>
          <w:rFonts w:ascii="Arial" w:eastAsia="Arial" w:hAnsi="Arial" w:cs="Arial"/>
          <w:i/>
          <w:iCs/>
          <w:szCs w:val="22"/>
        </w:rPr>
        <w:t>“</w:t>
      </w:r>
      <w:r w:rsidRPr="00452798">
        <w:rPr>
          <w:rFonts w:ascii="Arial" w:eastAsia="Arial" w:hAnsi="Arial" w:cs="Arial"/>
          <w:i/>
          <w:iCs/>
          <w:szCs w:val="22"/>
        </w:rPr>
        <w:t>manage the side pockets with the sole objective of being liquidated</w:t>
      </w:r>
      <w:r>
        <w:rPr>
          <w:rFonts w:ascii="Arial" w:eastAsia="Arial" w:hAnsi="Arial" w:cs="Arial"/>
          <w:i/>
          <w:iCs/>
          <w:szCs w:val="22"/>
        </w:rPr>
        <w:t>” (Article 9(4) – AIFM and Article 9(6) - UCITS)</w:t>
      </w:r>
      <w:r w:rsidRPr="00452798">
        <w:rPr>
          <w:rFonts w:ascii="Arial" w:eastAsia="Arial" w:hAnsi="Arial" w:cs="Arial"/>
          <w:szCs w:val="22"/>
        </w:rPr>
        <w:t xml:space="preserve"> could be read to mean that the side pocket shall ultimately be liquidated which ignores the potential for the manager to move asset</w:t>
      </w:r>
      <w:r w:rsidR="0074025B">
        <w:rPr>
          <w:rFonts w:ascii="Arial" w:eastAsia="Arial" w:hAnsi="Arial" w:cs="Arial"/>
          <w:szCs w:val="22"/>
        </w:rPr>
        <w:t>s</w:t>
      </w:r>
      <w:r w:rsidRPr="00452798">
        <w:rPr>
          <w:rFonts w:ascii="Arial" w:eastAsia="Arial" w:hAnsi="Arial" w:cs="Arial"/>
          <w:szCs w:val="22"/>
        </w:rPr>
        <w:t xml:space="preserve"> from the side pocket back to the main fund once the liquidity/legal/valuation issues are resolved. In exceptional circumstances, where specific criteria such as a constant/single investor base are met, it may be beneficial to investors to reintegrate side-pocketed assets into the portfolio. In situations where sanctions are lifted and positions are liquid/tradable once more, it may be in the best interest of </w:t>
      </w:r>
      <w:r>
        <w:rPr>
          <w:rFonts w:ascii="Arial" w:eastAsia="Arial" w:hAnsi="Arial" w:cs="Arial"/>
          <w:szCs w:val="22"/>
        </w:rPr>
        <w:t>investors</w:t>
      </w:r>
      <w:r w:rsidRPr="00452798">
        <w:rPr>
          <w:rFonts w:ascii="Arial" w:eastAsia="Arial" w:hAnsi="Arial" w:cs="Arial"/>
          <w:szCs w:val="22"/>
        </w:rPr>
        <w:t xml:space="preserve"> to hold the asset as part of the wider portfolio, reducing transaction costs etc, to achieve optimal returns. However, discretion should be afforded to managers to make informed decisions based on the best interests of their investors</w:t>
      </w:r>
      <w:r>
        <w:rPr>
          <w:rFonts w:ascii="Arial" w:eastAsia="Arial" w:hAnsi="Arial" w:cs="Arial"/>
          <w:szCs w:val="22"/>
        </w:rPr>
        <w:t>.</w:t>
      </w:r>
      <w:permEnd w:id="69550584"/>
    </w:p>
    <w:p w14:paraId="4C737CA9" w14:textId="6288DECB" w:rsidR="00DA4F15" w:rsidRDefault="00DA4F15" w:rsidP="00A759D9">
      <w:r>
        <w:t>&lt;ESMA_QUESTION_SLMT_43&gt;</w:t>
      </w:r>
    </w:p>
    <w:p w14:paraId="3BC38064" w14:textId="77777777" w:rsidR="00314AC9" w:rsidRDefault="00314AC9" w:rsidP="00A759D9"/>
    <w:p w14:paraId="058231F8" w14:textId="77777777" w:rsidR="00DA4F15" w:rsidRDefault="00DA4F15" w:rsidP="00A759D9">
      <w:pPr>
        <w:pStyle w:val="Questionstyle"/>
        <w:numPr>
          <w:ilvl w:val="0"/>
          <w:numId w:val="14"/>
        </w:numPr>
        <w:tabs>
          <w:tab w:val="clear" w:pos="567"/>
        </w:tabs>
        <w:spacing w:line="256" w:lineRule="auto"/>
        <w:ind w:left="851" w:hanging="851"/>
      </w:pPr>
      <w:r>
        <w:t>Do you agree with the above-mentioned reasoning in relation to the possible costs and benefits of the option taken by ESMA as regards the characteristics of LMTs set out in Annex IIA of the UCITS Directive? Which other types of costs or benefits would you consider in that context?</w:t>
      </w:r>
    </w:p>
    <w:p w14:paraId="6EC3B103" w14:textId="77777777" w:rsidR="00DA4F15" w:rsidRDefault="00DA4F15" w:rsidP="00A759D9">
      <w:r>
        <w:t>&lt;ESMA_QUESTION_SLMT_44&gt;</w:t>
      </w:r>
    </w:p>
    <w:p w14:paraId="646AA996" w14:textId="77777777" w:rsidR="00DA4F15" w:rsidRDefault="00DA4F15" w:rsidP="00A759D9">
      <w:permStart w:id="1794260798" w:edGrp="everyone"/>
      <w:r>
        <w:t>TYPE YOUR TEXT HERE</w:t>
      </w:r>
    </w:p>
    <w:permEnd w:id="1794260798"/>
    <w:p w14:paraId="673A91E3" w14:textId="58D95105" w:rsidR="00DA4F15" w:rsidRDefault="00DA4F15" w:rsidP="00A759D9">
      <w:r>
        <w:t>&lt;ESMA_QUESTION_SLMT_44&gt;</w:t>
      </w:r>
    </w:p>
    <w:p w14:paraId="1E91F88C" w14:textId="77777777" w:rsidR="00314AC9" w:rsidRDefault="00314AC9" w:rsidP="00A759D9"/>
    <w:p w14:paraId="4CFBA7C7" w14:textId="77777777" w:rsidR="00DA4F15" w:rsidRDefault="00DA4F15" w:rsidP="00A759D9">
      <w:pPr>
        <w:pStyle w:val="Questionstyle"/>
        <w:numPr>
          <w:ilvl w:val="0"/>
          <w:numId w:val="14"/>
        </w:numPr>
        <w:tabs>
          <w:tab w:val="clear" w:pos="567"/>
        </w:tabs>
        <w:spacing w:line="256" w:lineRule="auto"/>
        <w:ind w:left="851" w:hanging="851"/>
      </w:pPr>
      <w:r>
        <w:t>Is there any ESG and innovation-related aspects that ESMA should consider when drafting the RTS under the UCITS Directive?</w:t>
      </w:r>
    </w:p>
    <w:p w14:paraId="6D604FDD" w14:textId="77777777" w:rsidR="00DA4F15" w:rsidRDefault="00DA4F15" w:rsidP="00A759D9">
      <w:r>
        <w:t>&lt;ESMA_QUESTION_SLMT_45&gt;</w:t>
      </w:r>
    </w:p>
    <w:p w14:paraId="22E4B192" w14:textId="77777777" w:rsidR="00DA4F15" w:rsidRDefault="00DA4F15" w:rsidP="00A759D9">
      <w:permStart w:id="1279335310" w:edGrp="everyone"/>
      <w:r>
        <w:t>TYPE YOUR TEXT HERE</w:t>
      </w:r>
    </w:p>
    <w:permEnd w:id="1279335310"/>
    <w:p w14:paraId="663FFB77" w14:textId="77F3A604" w:rsidR="00DA4F15" w:rsidRDefault="00DA4F15" w:rsidP="00A759D9">
      <w:r>
        <w:t>&lt;ESMA_QUESTION_SLMT_45&gt;</w:t>
      </w:r>
    </w:p>
    <w:p w14:paraId="46C8D5C7" w14:textId="77777777" w:rsidR="00314AC9" w:rsidRDefault="00314AC9" w:rsidP="00A759D9"/>
    <w:p w14:paraId="3F9EEE8E" w14:textId="77777777" w:rsidR="00DA4F15" w:rsidRDefault="00DA4F15" w:rsidP="00A759D9">
      <w:pPr>
        <w:pStyle w:val="Questionstyle"/>
        <w:numPr>
          <w:ilvl w:val="0"/>
          <w:numId w:val="14"/>
        </w:numPr>
        <w:tabs>
          <w:tab w:val="clear" w:pos="567"/>
        </w:tabs>
        <w:spacing w:line="256" w:lineRule="auto"/>
        <w:ind w:left="851" w:hanging="851"/>
      </w:pPr>
      <w:r>
        <w:t>Do you agree with the above-mentioned reasoning in relation to the possible costs and benefits of the option taken by ESMA as regards the characteristics of LMTs set out in Annex V of the AIFMD? Which other types of costs or benefits would you consider in that context?</w:t>
      </w:r>
    </w:p>
    <w:p w14:paraId="4F328DC2" w14:textId="77777777" w:rsidR="00DA4F15" w:rsidRDefault="00DA4F15" w:rsidP="00A759D9">
      <w:r>
        <w:t>&lt;ESMA_QUESTION_SLMT_46&gt;</w:t>
      </w:r>
    </w:p>
    <w:p w14:paraId="617532F3" w14:textId="77777777" w:rsidR="00DA4F15" w:rsidRDefault="00DA4F15" w:rsidP="00A759D9">
      <w:permStart w:id="1733898629" w:edGrp="everyone"/>
      <w:r>
        <w:t>TYPE YOUR TEXT HERE</w:t>
      </w:r>
    </w:p>
    <w:permEnd w:id="1733898629"/>
    <w:p w14:paraId="29D9EE93" w14:textId="7FF3A6C6" w:rsidR="00DA4F15" w:rsidRDefault="00DA4F15" w:rsidP="00A759D9">
      <w:r>
        <w:t>&lt;ESMA_QUESTION_SLMT_46&gt;</w:t>
      </w:r>
    </w:p>
    <w:p w14:paraId="15E7A20C" w14:textId="77777777" w:rsidR="00314AC9" w:rsidRDefault="00314AC9" w:rsidP="00A759D9"/>
    <w:p w14:paraId="28A24316" w14:textId="77777777" w:rsidR="00DA4F15" w:rsidRDefault="00DA4F15" w:rsidP="00A759D9">
      <w:pPr>
        <w:pStyle w:val="Questionstyle"/>
        <w:numPr>
          <w:ilvl w:val="0"/>
          <w:numId w:val="14"/>
        </w:numPr>
        <w:tabs>
          <w:tab w:val="clear" w:pos="567"/>
        </w:tabs>
        <w:spacing w:line="256" w:lineRule="auto"/>
        <w:ind w:left="851" w:hanging="851"/>
      </w:pPr>
      <w:r>
        <w:t>Is there any ESG and innovation-related aspects that ESMA should consider when drafting the RTS under the AIFMD?</w:t>
      </w:r>
    </w:p>
    <w:p w14:paraId="73F479FB" w14:textId="77777777" w:rsidR="00DA4F15" w:rsidRDefault="00DA4F15" w:rsidP="00A759D9">
      <w:r>
        <w:t>&lt;ESMA_QUESTION_SLMT_47&gt;</w:t>
      </w:r>
    </w:p>
    <w:p w14:paraId="04F88DF8" w14:textId="77777777" w:rsidR="00DA4F15" w:rsidRDefault="00DA4F15" w:rsidP="00A759D9">
      <w:permStart w:id="1224744272" w:edGrp="everyone"/>
      <w:r>
        <w:t>TYPE YOUR TEXT HERE</w:t>
      </w:r>
    </w:p>
    <w:permEnd w:id="1224744272"/>
    <w:p w14:paraId="04595985" w14:textId="30E56565" w:rsidR="00B15C0B" w:rsidRPr="00C5469A" w:rsidRDefault="00DA4F15" w:rsidP="00B15C0B">
      <w:r>
        <w:t>&lt;ESMA_QUESTION_SLMT_47&gt;</w:t>
      </w:r>
    </w:p>
    <w:sectPr w:rsidR="00B15C0B" w:rsidRPr="00C5469A" w:rsidSect="00AD0B10">
      <w:headerReference w:type="default" r:id="rId21"/>
      <w:footerReference w:type="default" r:id="rId22"/>
      <w:pgSz w:w="11906" w:h="16838"/>
      <w:pgMar w:top="1417" w:right="1417" w:bottom="1417" w:left="1417" w:header="86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8600B" w14:textId="77777777" w:rsidR="00821B02" w:rsidRDefault="00821B02" w:rsidP="007E7997">
      <w:pPr>
        <w:spacing w:line="240" w:lineRule="auto"/>
      </w:pPr>
      <w:r>
        <w:separator/>
      </w:r>
    </w:p>
  </w:endnote>
  <w:endnote w:type="continuationSeparator" w:id="0">
    <w:p w14:paraId="1B31C2AB" w14:textId="77777777" w:rsidR="00821B02" w:rsidRDefault="00821B02" w:rsidP="007E7997">
      <w:pPr>
        <w:spacing w:line="240" w:lineRule="auto"/>
      </w:pPr>
      <w:r>
        <w:continuationSeparator/>
      </w:r>
    </w:p>
  </w:endnote>
  <w:endnote w:type="continuationNotice" w:id="1">
    <w:p w14:paraId="7BF260A8" w14:textId="77777777" w:rsidR="00821B02" w:rsidRDefault="00821B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1B4F" w:themeColor="text1" w:themeShade="80"/>
        <w:sz w:val="16"/>
        <w:szCs w:val="16"/>
      </w:rPr>
      <w:id w:val="-1421483652"/>
      <w:docPartObj>
        <w:docPartGallery w:val="Page Numbers (Bottom of Page)"/>
        <w:docPartUnique/>
      </w:docPartObj>
    </w:sdtPr>
    <w:sdtEndPr/>
    <w:sdtContent>
      <w:p w14:paraId="70AFCDE4" w14:textId="77777777" w:rsidR="00045BA9" w:rsidRDefault="00045BA9" w:rsidP="002533FC">
        <w:pPr>
          <w:rPr>
            <w:i/>
            <w:iCs/>
          </w:rPr>
        </w:pPr>
      </w:p>
      <w:p w14:paraId="237A920D" w14:textId="56870BC6" w:rsidR="00787413" w:rsidRPr="004E5FF8" w:rsidRDefault="0043139E" w:rsidP="004E5FF8">
        <w:pPr>
          <w:pStyle w:val="Footer"/>
          <w:rPr>
            <w:rFonts w:ascii="Arial" w:hAnsi="Arial" w:cs="Arial"/>
            <w:lang w:val="fr-FR"/>
          </w:rPr>
        </w:pPr>
        <w:r w:rsidRPr="00A8626B">
          <w:rPr>
            <w:rFonts w:ascii="Arial" w:hAnsi="Arial" w:cs="Arial"/>
            <w:sz w:val="15"/>
            <w:szCs w:val="15"/>
            <w:lang w:val="fr-FR"/>
          </w:rPr>
          <w:t xml:space="preserve">ESMA - </w:t>
        </w:r>
        <w:r w:rsidRPr="00A8626B">
          <w:rPr>
            <w:sz w:val="15"/>
            <w:szCs w:val="15"/>
            <w:lang w:val="fr-FR"/>
          </w:rPr>
          <w:t>201-203 rue de Bercy - CS 80910 - 75589 Paris Cedex 12 -</w:t>
        </w:r>
        <w:r w:rsidRPr="00A8626B">
          <w:rPr>
            <w:rFonts w:ascii="Arial" w:hAnsi="Arial" w:cs="Arial"/>
            <w:sz w:val="15"/>
            <w:szCs w:val="15"/>
            <w:lang w:val="fr-FR"/>
          </w:rPr>
          <w:t xml:space="preserve"> France -</w:t>
        </w:r>
        <w:r w:rsidRPr="00A8626B">
          <w:rPr>
            <w:rFonts w:ascii="Arial" w:hAnsi="Arial" w:cs="Arial"/>
            <w:color w:val="3E3F90"/>
            <w:sz w:val="15"/>
            <w:szCs w:val="15"/>
            <w:lang w:val="fr-FR"/>
          </w:rPr>
          <w:t xml:space="preserve"> </w:t>
        </w:r>
        <w:r w:rsidRPr="00A8626B">
          <w:rPr>
            <w:rFonts w:ascii="Arial" w:hAnsi="Arial" w:cs="Arial"/>
            <w:sz w:val="15"/>
            <w:szCs w:val="15"/>
            <w:lang w:val="fr-FR"/>
          </w:rPr>
          <w:t xml:space="preserve">Tel. </w:t>
        </w:r>
        <w:r w:rsidRPr="00A8626B">
          <w:rPr>
            <w:rFonts w:ascii="Arial" w:hAnsi="Arial" w:cs="Arial"/>
            <w:sz w:val="15"/>
            <w:szCs w:val="15"/>
            <w:lang w:val="fr-BE"/>
          </w:rPr>
          <w:t xml:space="preserve">+33 (0) 1 58 36 43 21 - </w:t>
        </w:r>
        <w:hyperlink r:id="rId1" w:history="1">
          <w:r w:rsidRPr="00A8626B">
            <w:rPr>
              <w:rStyle w:val="Hyperlink"/>
              <w:rFonts w:ascii="Arial" w:hAnsi="Arial" w:cs="Arial"/>
              <w:sz w:val="15"/>
              <w:szCs w:val="15"/>
              <w:lang w:val="fr-FR"/>
            </w:rPr>
            <w:t>www.esma.</w:t>
          </w:r>
          <w:proofErr w:type="spellStart"/>
          <w:r w:rsidRPr="00A8626B">
            <w:rPr>
              <w:rStyle w:val="Hyperlink"/>
              <w:sz w:val="15"/>
              <w:szCs w:val="15"/>
              <w:lang w:val="fr-BE"/>
            </w:rPr>
            <w:t>europa</w:t>
          </w:r>
          <w:proofErr w:type="spellEnd"/>
          <w:r w:rsidRPr="00A8626B">
            <w:rPr>
              <w:rStyle w:val="Hyperlink"/>
              <w:rFonts w:ascii="Arial" w:hAnsi="Arial" w:cs="Arial"/>
              <w:sz w:val="15"/>
              <w:szCs w:val="15"/>
              <w:lang w:val="fr-FR"/>
            </w:rPr>
            <w:t>.eu</w:t>
          </w:r>
        </w:hyperlink>
        <w:r w:rsidR="004E5FF8">
          <w:rPr>
            <w:rFonts w:ascii="Arial" w:hAnsi="Arial" w:cs="Arial"/>
            <w:lang w:val="fr-FR"/>
          </w:rPr>
          <w:tab/>
        </w:r>
        <w:r w:rsidR="006A44DA" w:rsidRPr="00B73281">
          <w:rPr>
            <w:lang w:val="fr-BE"/>
          </w:rPr>
          <w:t xml:space="preserve"> </w:t>
        </w:r>
        <w:r w:rsidR="006A44DA">
          <w:fldChar w:fldCharType="begin"/>
        </w:r>
        <w:r w:rsidR="006A44DA" w:rsidRPr="002537CE">
          <w:rPr>
            <w:lang w:val="fr-FR"/>
          </w:rPr>
          <w:instrText xml:space="preserve"> PAGE   \* MERGEFORMAT </w:instrText>
        </w:r>
        <w:r w:rsidR="006A44DA">
          <w:fldChar w:fldCharType="separate"/>
        </w:r>
        <w:r w:rsidR="006A44DA" w:rsidRPr="002537CE">
          <w:rPr>
            <w:noProof/>
            <w:lang w:val="fr-FR"/>
          </w:rPr>
          <w:t>2</w:t>
        </w:r>
        <w:r w:rsidR="006A44DA">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4024557"/>
      <w:docPartObj>
        <w:docPartGallery w:val="Page Numbers (Bottom of Page)"/>
        <w:docPartUnique/>
      </w:docPartObj>
    </w:sdtPr>
    <w:sdtEndPr>
      <w:rPr>
        <w:noProof/>
      </w:rPr>
    </w:sdtEndPr>
    <w:sdtContent>
      <w:p w14:paraId="5AA6C61A" w14:textId="77777777" w:rsidR="006A44DA" w:rsidRDefault="006A44DA" w:rsidP="00B73281">
        <w:pPr>
          <w:pStyle w:val="Footer"/>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00430B" w14:textId="77777777" w:rsidR="00821B02" w:rsidRDefault="00821B02" w:rsidP="007E7997">
      <w:pPr>
        <w:spacing w:line="240" w:lineRule="auto"/>
      </w:pPr>
      <w:r>
        <w:separator/>
      </w:r>
    </w:p>
  </w:footnote>
  <w:footnote w:type="continuationSeparator" w:id="0">
    <w:p w14:paraId="16888CC8" w14:textId="77777777" w:rsidR="00821B02" w:rsidRDefault="00821B02" w:rsidP="007E7997">
      <w:pPr>
        <w:spacing w:line="240" w:lineRule="auto"/>
      </w:pPr>
      <w:r>
        <w:continuationSeparator/>
      </w:r>
    </w:p>
  </w:footnote>
  <w:footnote w:type="continuationNotice" w:id="1">
    <w:p w14:paraId="4536204E" w14:textId="77777777" w:rsidR="00821B02" w:rsidRDefault="00821B02">
      <w:pPr>
        <w:spacing w:after="0" w:line="240" w:lineRule="auto"/>
      </w:pPr>
    </w:p>
  </w:footnote>
  <w:footnote w:id="2">
    <w:p w14:paraId="65A951E6" w14:textId="77777777" w:rsidR="00923501" w:rsidRPr="006273F3" w:rsidRDefault="00923501" w:rsidP="00F23055">
      <w:pPr>
        <w:pStyle w:val="FootnoteText"/>
        <w:jc w:val="left"/>
        <w:rPr>
          <w:lang w:val="en-IE"/>
        </w:rPr>
      </w:pPr>
      <w:r>
        <w:rPr>
          <w:rStyle w:val="FootnoteReference"/>
        </w:rPr>
        <w:footnoteRef/>
      </w:r>
      <w:r>
        <w:t xml:space="preserve"> </w:t>
      </w:r>
      <w:r w:rsidRPr="001C392C">
        <w:t>https://www.esma.europa.eu/sites/default/files/2024-07/ESMA34-1985693317-1097_CP_on_LMTs_of_UCITS_and_open-ended_AIFs.pdf</w:t>
      </w:r>
    </w:p>
  </w:footnote>
  <w:footnote w:id="3">
    <w:p w14:paraId="0BFF7D91" w14:textId="77777777" w:rsidR="00A9305F" w:rsidRPr="00A65769" w:rsidRDefault="00A9305F" w:rsidP="00FF215C">
      <w:pPr>
        <w:pStyle w:val="FootnoteText"/>
        <w:jc w:val="left"/>
        <w:rPr>
          <w:lang w:val="en-IE"/>
        </w:rPr>
      </w:pPr>
      <w:r>
        <w:rPr>
          <w:rStyle w:val="FootnoteReference"/>
        </w:rPr>
        <w:footnoteRef/>
      </w:r>
      <w:r>
        <w:t xml:space="preserve"> </w:t>
      </w:r>
      <w:r w:rsidRPr="00A65769">
        <w:t>https://www.esma.europa.eu/sites/default/files/2024-07/ESMA34-1985693317-1097_CP_on_LMTs_of_UCITS_and_open-ended_AIFs.pdf</w:t>
      </w:r>
    </w:p>
  </w:footnote>
  <w:footnote w:id="4">
    <w:p w14:paraId="1AA420BA" w14:textId="77777777" w:rsidR="00FC3A48" w:rsidRPr="00D5496A" w:rsidRDefault="00FC3A48" w:rsidP="00FC3A48">
      <w:pPr>
        <w:pStyle w:val="FootnoteText"/>
        <w:rPr>
          <w:lang w:val="en-IE"/>
        </w:rPr>
      </w:pPr>
      <w:r>
        <w:rPr>
          <w:rStyle w:val="FootnoteReference"/>
        </w:rPr>
        <w:footnoteRef/>
      </w:r>
      <w:r>
        <w:t xml:space="preserve"> </w:t>
      </w:r>
      <w:hyperlink r:id="rId1" w:history="1">
        <w:r w:rsidRPr="00D5496A">
          <w:rPr>
            <w:rStyle w:val="Hyperlink"/>
            <w:lang w:val="en-IE"/>
          </w:rPr>
          <w:t>Revised Policy Recommendations to Address Structural Vulnerabilities from Liquidity Mismatch in Open-Ended Funds (fsb.org)</w:t>
        </w:r>
      </w:hyperlink>
    </w:p>
  </w:footnote>
  <w:footnote w:id="5">
    <w:p w14:paraId="2588481A" w14:textId="77777777" w:rsidR="00FC3A48" w:rsidRPr="00316479" w:rsidRDefault="00FC3A48" w:rsidP="00FC3A48">
      <w:pPr>
        <w:pStyle w:val="FootnoteText"/>
        <w:rPr>
          <w:lang w:val="en-IE"/>
        </w:rPr>
      </w:pPr>
      <w:r>
        <w:rPr>
          <w:rStyle w:val="FootnoteReference"/>
        </w:rPr>
        <w:footnoteRef/>
      </w:r>
      <w:r>
        <w:t xml:space="preserve"> </w:t>
      </w:r>
      <w:hyperlink r:id="rId2" w:history="1">
        <w:r w:rsidRPr="00316479">
          <w:rPr>
            <w:rStyle w:val="Hyperlink"/>
            <w:lang w:val="en-IE"/>
          </w:rPr>
          <w:t>FR15/23 Anti-dilution Liquidity Management Tools – Guidance for Effective Implementation of the Recommendations for Liquidity Risk Management for Collective Investment Schemes (iosco.org)</w:t>
        </w:r>
      </w:hyperlink>
    </w:p>
  </w:footnote>
  <w:footnote w:id="6">
    <w:p w14:paraId="7842E0B0" w14:textId="77777777" w:rsidR="00FC3A48" w:rsidRPr="00B10965" w:rsidRDefault="00FC3A48" w:rsidP="00FC3A48">
      <w:pPr>
        <w:pStyle w:val="FootnoteText"/>
        <w:rPr>
          <w:lang w:val="en-IE"/>
        </w:rPr>
      </w:pPr>
      <w:r>
        <w:rPr>
          <w:rStyle w:val="FootnoteReference"/>
        </w:rPr>
        <w:footnoteRef/>
      </w:r>
      <w:r>
        <w:t xml:space="preserve"> </w:t>
      </w:r>
      <w:r w:rsidRPr="00B10965">
        <w:t>https://www.iosco.org/library/pubdocs/pdf/IOSCOPD682.pdf</w:t>
      </w:r>
    </w:p>
  </w:footnote>
  <w:footnote w:id="7">
    <w:p w14:paraId="38B2B893" w14:textId="77777777" w:rsidR="00FC3A48" w:rsidRPr="00232ED1" w:rsidRDefault="00FC3A48" w:rsidP="00FC3A48">
      <w:pPr>
        <w:pStyle w:val="FootnoteText"/>
        <w:rPr>
          <w:lang w:val="en-IE"/>
        </w:rPr>
      </w:pPr>
      <w:r>
        <w:rPr>
          <w:rStyle w:val="FootnoteReference"/>
        </w:rPr>
        <w:footnoteRef/>
      </w:r>
      <w:r>
        <w:t xml:space="preserve"> </w:t>
      </w:r>
      <w:hyperlink r:id="rId3" w:history="1">
        <w:r w:rsidRPr="00232ED1">
          <w:rPr>
            <w:rStyle w:val="Hyperlink"/>
            <w:lang w:val="en-IE"/>
          </w:rPr>
          <w:t>FR07/23 Good Practices Relating to the Implementation of the IOSCO Principles for Exchange Traded Funds</w:t>
        </w:r>
      </w:hyperlink>
    </w:p>
  </w:footnote>
  <w:footnote w:id="8">
    <w:p w14:paraId="3B5FA3F6" w14:textId="77777777" w:rsidR="00FC3A48" w:rsidRPr="00613BDB" w:rsidRDefault="00FC3A48" w:rsidP="00FC3A48">
      <w:pPr>
        <w:pStyle w:val="FootnoteText"/>
        <w:rPr>
          <w:lang w:val="en-IE"/>
        </w:rPr>
      </w:pPr>
      <w:r>
        <w:rPr>
          <w:rStyle w:val="FootnoteReference"/>
        </w:rPr>
        <w:footnoteRef/>
      </w:r>
      <w:r>
        <w:t xml:space="preserve"> </w:t>
      </w:r>
      <w:hyperlink r:id="rId4" w:history="1">
        <w:r w:rsidRPr="00613BDB">
          <w:rPr>
            <w:rStyle w:val="Hyperlink"/>
            <w:lang w:val="en-IE"/>
          </w:rPr>
          <w:t>FR07/23 Good Practices Relating to the Implementation of the IOSCO Principles for Exchange Traded Funds</w:t>
        </w:r>
      </w:hyperlink>
    </w:p>
  </w:footnote>
  <w:footnote w:id="9">
    <w:p w14:paraId="11673499" w14:textId="77777777" w:rsidR="007120BA" w:rsidRPr="008B375C" w:rsidRDefault="007120BA" w:rsidP="00FC3A48">
      <w:pPr>
        <w:pStyle w:val="FootnoteText"/>
        <w:jc w:val="left"/>
        <w:rPr>
          <w:lang w:val="en-IE"/>
        </w:rPr>
      </w:pPr>
      <w:r>
        <w:rPr>
          <w:rStyle w:val="FootnoteReference"/>
        </w:rPr>
        <w:footnoteRef/>
      </w:r>
      <w:r>
        <w:t xml:space="preserve"> </w:t>
      </w:r>
      <w:r w:rsidRPr="006A6000">
        <w:t>https://www.esma.europa.eu/sites/default/files/2024-07/ESMA34-1985693317-1097_CP_on_LMTs_of_UCITS_and_open-ended_AIFs.pdf</w:t>
      </w:r>
    </w:p>
  </w:footnote>
  <w:footnote w:id="10">
    <w:p w14:paraId="721EAC56" w14:textId="77777777" w:rsidR="0006232E" w:rsidRPr="006273F3" w:rsidRDefault="0006232E" w:rsidP="003C6083">
      <w:pPr>
        <w:pStyle w:val="FootnoteText"/>
        <w:jc w:val="left"/>
        <w:rPr>
          <w:lang w:val="en-IE"/>
        </w:rPr>
      </w:pPr>
      <w:r>
        <w:rPr>
          <w:rStyle w:val="FootnoteReference"/>
        </w:rPr>
        <w:footnoteRef/>
      </w:r>
      <w:r>
        <w:t xml:space="preserve"> </w:t>
      </w:r>
      <w:hyperlink r:id="rId5" w:history="1">
        <w:r w:rsidRPr="00321BDC">
          <w:rPr>
            <w:rStyle w:val="Hyperlink"/>
            <w:lang w:val="en-IE"/>
          </w:rPr>
          <w:t>https://www.centralbank.ie/docs/default-source/regulation/industry-market-sectors/funds/industry-communications/notice-of-intention-ucits-side-pocket-arrangements.pdf</w:t>
        </w:r>
      </w:hyperlink>
    </w:p>
  </w:footnote>
  <w:footnote w:id="11">
    <w:p w14:paraId="3EDC4704" w14:textId="0C8D149A" w:rsidR="001D0DA0" w:rsidRPr="001D0DA0" w:rsidRDefault="001D0DA0">
      <w:pPr>
        <w:pStyle w:val="FootnoteText"/>
        <w:rPr>
          <w:lang w:val="en-IE"/>
        </w:rPr>
      </w:pPr>
      <w:r>
        <w:rPr>
          <w:rStyle w:val="FootnoteReference"/>
        </w:rPr>
        <w:footnoteRef/>
      </w:r>
      <w:r>
        <w:t xml:space="preserve"> </w:t>
      </w:r>
      <w:hyperlink r:id="rId6" w:history="1">
        <w:r w:rsidR="005D23E8" w:rsidRPr="005D23E8">
          <w:rPr>
            <w:rStyle w:val="Hyperlink"/>
          </w:rPr>
          <w:t>Notice of Intention - UCITS Side-Pocket Arrangements (centralbank.ie)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42034" w14:textId="2B7BAB5B" w:rsidR="00D77369" w:rsidRPr="008858FE" w:rsidRDefault="00D77369" w:rsidP="008858FE">
    <w:pPr>
      <w:pStyle w:val="Header"/>
      <w:rPr>
        <w:bCs/>
        <w:caps/>
        <w:color w:val="FF0000" w:themeColor="accent6"/>
        <w:sz w:val="22"/>
      </w:rPr>
    </w:pPr>
    <w:r w:rsidRPr="008858FE">
      <w:rPr>
        <w:rStyle w:val="ESMAConfidentialRestricted"/>
        <w:noProof/>
      </w:rPr>
      <w:drawing>
        <wp:anchor distT="0" distB="0" distL="114300" distR="114300" simplePos="0" relativeHeight="251658240" behindDoc="0" locked="0" layoutInCell="1" allowOverlap="1" wp14:anchorId="7A8D36CF" wp14:editId="0FC7D767">
          <wp:simplePos x="0" y="0"/>
          <wp:positionH relativeFrom="page">
            <wp:posOffset>892914</wp:posOffset>
          </wp:positionH>
          <wp:positionV relativeFrom="page">
            <wp:posOffset>547370</wp:posOffset>
          </wp:positionV>
          <wp:extent cx="2296800" cy="601200"/>
          <wp:effectExtent l="0" t="0" r="1905" b="0"/>
          <wp:wrapNone/>
          <wp:docPr id="637989688" name="Picture 63798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00B34748">
      <w:t>8</w:t>
    </w:r>
    <w:r w:rsidR="00667FF6">
      <w:t xml:space="preserve"> </w:t>
    </w:r>
    <w:r w:rsidR="00C1298A">
      <w:t>July</w:t>
    </w:r>
    <w:r w:rsidR="00667FF6">
      <w:t xml:space="preserve"> </w:t>
    </w:r>
    <w:r w:rsidR="00282901">
      <w:t>202</w:t>
    </w:r>
    <w:r w:rsidR="00667FF6">
      <w:t>4</w:t>
    </w:r>
  </w:p>
  <w:p w14:paraId="471D4524" w14:textId="57CE881B" w:rsidR="004E5FF8" w:rsidRDefault="00B03969" w:rsidP="00BD20AC">
    <w:pPr>
      <w:pStyle w:val="Header"/>
    </w:pPr>
    <w:r w:rsidRPr="00B03969">
      <w:t>ESMA</w:t>
    </w:r>
    <w:r w:rsidR="00667FF6">
      <w:t xml:space="preserve"> </w:t>
    </w:r>
    <w:r w:rsidR="00667FF6" w:rsidRPr="00667FF6">
      <w:t>34</w:t>
    </w:r>
    <w:r w:rsidR="002230D9" w:rsidRPr="002230D9">
      <w:t>-1985693317-</w:t>
    </w:r>
    <w:r w:rsidR="00535024">
      <w:t>1133</w:t>
    </w:r>
  </w:p>
  <w:p w14:paraId="48F2413B" w14:textId="77777777" w:rsidR="004E5FF8" w:rsidRDefault="004E5FF8" w:rsidP="004E5FF8"/>
  <w:p w14:paraId="10BD5565" w14:textId="77777777" w:rsidR="008858FE" w:rsidRDefault="008858FE" w:rsidP="004E5F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BFB72" w14:textId="122D2DD4" w:rsidR="006A44DA" w:rsidRDefault="006A44DA" w:rsidP="0043139E">
    <w:pPr>
      <w:pStyle w:val="Header"/>
    </w:pPr>
  </w:p>
  <w:p w14:paraId="6A43EA5E" w14:textId="4A830C83" w:rsidR="00AD0B10" w:rsidRDefault="00AD0B10" w:rsidP="0043139E">
    <w:pPr>
      <w:pStyle w:val="Header"/>
    </w:pPr>
  </w:p>
  <w:p w14:paraId="2083DACE" w14:textId="77777777" w:rsidR="00AD0B10" w:rsidRPr="0043139E" w:rsidRDefault="00AD0B10" w:rsidP="0043139E">
    <w:pPr>
      <w:pStyle w:val="Header"/>
    </w:pPr>
  </w:p>
  <w:p w14:paraId="140A363C" w14:textId="77777777" w:rsidR="006A44DA" w:rsidRPr="0043139E" w:rsidRDefault="006A44DA" w:rsidP="0043139E">
    <w:pPr>
      <w:pStyle w:val="Header"/>
    </w:pPr>
  </w:p>
  <w:p w14:paraId="66CF4BF9" w14:textId="4F625EE8" w:rsidR="006A44DA" w:rsidRPr="0043139E" w:rsidRDefault="008858FE" w:rsidP="0043139E">
    <w:pPr>
      <w:pStyle w:val="Header"/>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1" behindDoc="0" locked="0" layoutInCell="1" allowOverlap="1" wp14:anchorId="43B59946" wp14:editId="1140D658">
          <wp:simplePos x="0" y="0"/>
          <wp:positionH relativeFrom="page">
            <wp:posOffset>892810</wp:posOffset>
          </wp:positionH>
          <wp:positionV relativeFrom="page">
            <wp:posOffset>547370</wp:posOffset>
          </wp:positionV>
          <wp:extent cx="1807200" cy="475200"/>
          <wp:effectExtent l="0" t="0" r="0" b="0"/>
          <wp:wrapNone/>
          <wp:docPr id="2133895875" name="Picture 213389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5BBCAF0B" w14:textId="77777777" w:rsidR="00787413" w:rsidRPr="0043139E" w:rsidRDefault="00787413" w:rsidP="0043139E">
    <w:pPr>
      <w:pStyle w:val="Header"/>
    </w:pPr>
  </w:p>
  <w:p w14:paraId="70942C9C" w14:textId="77777777" w:rsidR="00672010" w:rsidRPr="0043139E" w:rsidRDefault="00672010" w:rsidP="0043139E">
    <w:pPr>
      <w:pStyle w:val="Header"/>
    </w:pPr>
  </w:p>
  <w:p w14:paraId="7F8040EC" w14:textId="77777777" w:rsidR="0018540C" w:rsidRPr="0043139E" w:rsidRDefault="0018540C" w:rsidP="0043139E">
    <w:pPr>
      <w:pStyle w:val="Header"/>
    </w:pPr>
  </w:p>
  <w:p w14:paraId="76479F6F" w14:textId="77777777" w:rsidR="00CA565A" w:rsidRPr="0043139E" w:rsidRDefault="00CA565A" w:rsidP="0043139E">
    <w:pPr>
      <w:pStyle w:val="Header"/>
    </w:pPr>
  </w:p>
  <w:p w14:paraId="34BC4F59" w14:textId="77777777" w:rsidR="00CA565A" w:rsidRPr="0043139E" w:rsidRDefault="00CA565A" w:rsidP="0043139E">
    <w:pPr>
      <w:pStyle w:val="Header"/>
    </w:pPr>
  </w:p>
  <w:p w14:paraId="373CE412" w14:textId="77777777" w:rsidR="0018540C" w:rsidRPr="0043139E" w:rsidRDefault="0018540C" w:rsidP="0043139E">
    <w:pPr>
      <w:pStyle w:val="Header"/>
    </w:pPr>
  </w:p>
  <w:p w14:paraId="36065F1B" w14:textId="154438DA" w:rsidR="0018540C" w:rsidRDefault="0018540C" w:rsidP="0043139E">
    <w:pPr>
      <w:pStyle w:val="Header"/>
    </w:pPr>
  </w:p>
  <w:p w14:paraId="7545C91A" w14:textId="77777777" w:rsidR="0043139E" w:rsidRPr="0043139E" w:rsidRDefault="0043139E" w:rsidP="004313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0D944" w14:textId="77777777" w:rsidR="006A44DA" w:rsidRDefault="006A44DA">
    <w:pPr>
      <w:pStyle w:val="Header"/>
    </w:pPr>
  </w:p>
  <w:p w14:paraId="410BE8FC" w14:textId="77777777" w:rsidR="006A44DA" w:rsidRDefault="006A44DA">
    <w:pPr>
      <w:pStyle w:val="Header"/>
    </w:pPr>
  </w:p>
  <w:p w14:paraId="00F5D8E1" w14:textId="77777777" w:rsidR="006A44DA" w:rsidRDefault="006A44DA">
    <w:pPr>
      <w:pStyle w:val="Header"/>
    </w:pPr>
    <w:r>
      <w:rPr>
        <w:noProof/>
        <w:lang w:val="en-US"/>
      </w:rPr>
      <w:drawing>
        <wp:anchor distT="0" distB="0" distL="114300" distR="114300" simplePos="0" relativeHeight="251658242" behindDoc="0" locked="0" layoutInCell="1" allowOverlap="1" wp14:anchorId="4A201A98" wp14:editId="4CA91887">
          <wp:simplePos x="0" y="0"/>
          <wp:positionH relativeFrom="page">
            <wp:posOffset>366395</wp:posOffset>
          </wp:positionH>
          <wp:positionV relativeFrom="page">
            <wp:posOffset>372745</wp:posOffset>
          </wp:positionV>
          <wp:extent cx="2209800" cy="904875"/>
          <wp:effectExtent l="0" t="0" r="0" b="9525"/>
          <wp:wrapNone/>
          <wp:docPr id="360354350" name="Picture 36035435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p w14:paraId="728DCE3B" w14:textId="77777777" w:rsidR="00787413" w:rsidRDefault="00787413"/>
  <w:p w14:paraId="452DAADD" w14:textId="77777777" w:rsidR="00787413" w:rsidRDefault="0078741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34B74" w14:textId="7D6DC2CF" w:rsidR="00AD0B10" w:rsidRDefault="00AD0B10" w:rsidP="00AD0B10">
    <w:pPr>
      <w:pStyle w:val="Header"/>
    </w:pPr>
  </w:p>
  <w:p w14:paraId="76D78551" w14:textId="45227A06" w:rsidR="00AD0B10" w:rsidRDefault="00AD0B10" w:rsidP="00AD0B10">
    <w:pPr>
      <w:pStyle w:val="Header"/>
    </w:pPr>
  </w:p>
  <w:p w14:paraId="56B00CEC" w14:textId="77777777" w:rsidR="00AD0B10" w:rsidRPr="0043139E" w:rsidRDefault="00AD0B10" w:rsidP="00AD0B10">
    <w:pPr>
      <w:pStyle w:val="Header"/>
    </w:pPr>
  </w:p>
  <w:p w14:paraId="68227DE6" w14:textId="77777777" w:rsidR="00AD0B10" w:rsidRPr="0043139E" w:rsidRDefault="00AD0B10" w:rsidP="00AD0B10">
    <w:pPr>
      <w:pStyle w:val="Header"/>
    </w:pPr>
  </w:p>
  <w:p w14:paraId="0E44DBD1" w14:textId="77777777" w:rsidR="00AD0B10" w:rsidRPr="0043139E" w:rsidRDefault="00AD0B10" w:rsidP="00AD0B10">
    <w:pPr>
      <w:pStyle w:val="Header"/>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3" behindDoc="0" locked="0" layoutInCell="1" allowOverlap="1" wp14:anchorId="5D5432C8" wp14:editId="022CF7DB">
          <wp:simplePos x="0" y="0"/>
          <wp:positionH relativeFrom="page">
            <wp:posOffset>892810</wp:posOffset>
          </wp:positionH>
          <wp:positionV relativeFrom="page">
            <wp:posOffset>547370</wp:posOffset>
          </wp:positionV>
          <wp:extent cx="1807200" cy="4752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02B18CB0" w14:textId="77777777" w:rsidR="00AD0B10" w:rsidRPr="0043139E" w:rsidRDefault="00AD0B10" w:rsidP="00AD0B10">
    <w:pPr>
      <w:pStyle w:val="Header"/>
    </w:pPr>
  </w:p>
  <w:p w14:paraId="706EF268" w14:textId="77777777" w:rsidR="00AD0B10" w:rsidRPr="0043139E" w:rsidRDefault="00AD0B10" w:rsidP="00AD0B10">
    <w:pPr>
      <w:pStyle w:val="Header"/>
    </w:pPr>
  </w:p>
  <w:p w14:paraId="6B568202" w14:textId="77777777" w:rsidR="00AD0B10" w:rsidRPr="0043139E" w:rsidRDefault="00AD0B10" w:rsidP="00AD0B10">
    <w:pPr>
      <w:pStyle w:val="Header"/>
    </w:pPr>
  </w:p>
  <w:p w14:paraId="70C66BCD" w14:textId="77777777" w:rsidR="00AD0B10" w:rsidRPr="0043139E" w:rsidRDefault="00AD0B10" w:rsidP="00AD0B10">
    <w:pPr>
      <w:pStyle w:val="Header"/>
    </w:pPr>
  </w:p>
  <w:p w14:paraId="07229907" w14:textId="77777777" w:rsidR="00AD0B10" w:rsidRPr="0043139E" w:rsidRDefault="00AD0B10" w:rsidP="00AD0B10">
    <w:pPr>
      <w:pStyle w:val="Header"/>
    </w:pPr>
  </w:p>
  <w:p w14:paraId="55555744" w14:textId="77777777" w:rsidR="00AD0B10" w:rsidRPr="0043139E" w:rsidRDefault="00AD0B10" w:rsidP="00AD0B10">
    <w:pPr>
      <w:pStyle w:val="Header"/>
    </w:pPr>
  </w:p>
  <w:p w14:paraId="4601AE9C" w14:textId="77777777" w:rsidR="00AD0B10" w:rsidRDefault="00AD0B10" w:rsidP="00AD0B10">
    <w:pPr>
      <w:pStyle w:val="Header"/>
    </w:pPr>
  </w:p>
  <w:p w14:paraId="49946785" w14:textId="77777777" w:rsidR="00AD0B10" w:rsidRPr="0043139E" w:rsidRDefault="00AD0B10" w:rsidP="00AD0B10">
    <w:pPr>
      <w:pStyle w:val="Header"/>
    </w:pPr>
  </w:p>
  <w:p w14:paraId="72BAD19F" w14:textId="77777777" w:rsidR="008858FE" w:rsidRPr="00AD0B10" w:rsidRDefault="008858FE" w:rsidP="00AD0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53E5F"/>
    <w:multiLevelType w:val="multilevel"/>
    <w:tmpl w:val="63DC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C741E"/>
    <w:multiLevelType w:val="hybridMultilevel"/>
    <w:tmpl w:val="4A224C4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001F3C"/>
    <w:multiLevelType w:val="hybridMultilevel"/>
    <w:tmpl w:val="4A224C42"/>
    <w:lvl w:ilvl="0" w:tplc="C84A6C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257555"/>
    <w:multiLevelType w:val="hybridMultilevel"/>
    <w:tmpl w:val="1EFE42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8806DE5"/>
    <w:multiLevelType w:val="multilevel"/>
    <w:tmpl w:val="5790C2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6517925"/>
    <w:multiLevelType w:val="hybridMultilevel"/>
    <w:tmpl w:val="E3C81A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A52232B"/>
    <w:multiLevelType w:val="hybridMultilevel"/>
    <w:tmpl w:val="E474F29A"/>
    <w:lvl w:ilvl="0" w:tplc="91A4A3F4">
      <w:start w:val="1"/>
      <w:numFmt w:val="decimal"/>
      <w:lvlText w:val="Q%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EA61840"/>
    <w:multiLevelType w:val="hybridMultilevel"/>
    <w:tmpl w:val="6624CD50"/>
    <w:lvl w:ilvl="0" w:tplc="30EC5BE8">
      <w:start w:val="1"/>
      <w:numFmt w:val="bullet"/>
      <w:pStyle w:val="ListParagraph"/>
      <w:lvlText w:val=""/>
      <w:lvlJc w:val="left"/>
      <w:pPr>
        <w:ind w:left="1070" w:hanging="360"/>
      </w:pPr>
      <w:rPr>
        <w:rFonts w:ascii="Symbol" w:hAnsi="Symbol" w:hint="default"/>
      </w:rPr>
    </w:lvl>
    <w:lvl w:ilvl="1" w:tplc="FFFFFFFF">
      <w:start w:val="1"/>
      <w:numFmt w:val="decimal"/>
      <w:lvlText w:val="%2."/>
      <w:lvlJc w:val="left"/>
      <w:pPr>
        <w:ind w:left="795" w:hanging="360"/>
      </w:pPr>
    </w:lvl>
    <w:lvl w:ilvl="2" w:tplc="FFFFFFFF">
      <w:start w:val="1"/>
      <w:numFmt w:val="bullet"/>
      <w:lvlText w:val=""/>
      <w:lvlJc w:val="left"/>
      <w:pPr>
        <w:ind w:left="1515" w:hanging="360"/>
      </w:pPr>
      <w:rPr>
        <w:rFonts w:ascii="Wingdings" w:hAnsi="Wingdings" w:hint="default"/>
      </w:rPr>
    </w:lvl>
    <w:lvl w:ilvl="3" w:tplc="FFFFFFFF" w:tentative="1">
      <w:start w:val="1"/>
      <w:numFmt w:val="bullet"/>
      <w:lvlText w:val=""/>
      <w:lvlJc w:val="left"/>
      <w:pPr>
        <w:ind w:left="2235" w:hanging="360"/>
      </w:pPr>
      <w:rPr>
        <w:rFonts w:ascii="Symbol" w:hAnsi="Symbol" w:hint="default"/>
      </w:rPr>
    </w:lvl>
    <w:lvl w:ilvl="4" w:tplc="FFFFFFFF" w:tentative="1">
      <w:start w:val="1"/>
      <w:numFmt w:val="bullet"/>
      <w:lvlText w:val="o"/>
      <w:lvlJc w:val="left"/>
      <w:pPr>
        <w:ind w:left="2955" w:hanging="360"/>
      </w:pPr>
      <w:rPr>
        <w:rFonts w:ascii="Courier New" w:hAnsi="Courier New" w:cs="Courier New" w:hint="default"/>
      </w:rPr>
    </w:lvl>
    <w:lvl w:ilvl="5" w:tplc="FFFFFFFF" w:tentative="1">
      <w:start w:val="1"/>
      <w:numFmt w:val="bullet"/>
      <w:lvlText w:val=""/>
      <w:lvlJc w:val="left"/>
      <w:pPr>
        <w:ind w:left="3675" w:hanging="360"/>
      </w:pPr>
      <w:rPr>
        <w:rFonts w:ascii="Wingdings" w:hAnsi="Wingdings" w:hint="default"/>
      </w:rPr>
    </w:lvl>
    <w:lvl w:ilvl="6" w:tplc="FFFFFFFF" w:tentative="1">
      <w:start w:val="1"/>
      <w:numFmt w:val="bullet"/>
      <w:lvlText w:val=""/>
      <w:lvlJc w:val="left"/>
      <w:pPr>
        <w:ind w:left="4395" w:hanging="360"/>
      </w:pPr>
      <w:rPr>
        <w:rFonts w:ascii="Symbol" w:hAnsi="Symbol" w:hint="default"/>
      </w:rPr>
    </w:lvl>
    <w:lvl w:ilvl="7" w:tplc="FFFFFFFF" w:tentative="1">
      <w:start w:val="1"/>
      <w:numFmt w:val="bullet"/>
      <w:lvlText w:val="o"/>
      <w:lvlJc w:val="left"/>
      <w:pPr>
        <w:ind w:left="5115" w:hanging="360"/>
      </w:pPr>
      <w:rPr>
        <w:rFonts w:ascii="Courier New" w:hAnsi="Courier New" w:cs="Courier New" w:hint="default"/>
      </w:rPr>
    </w:lvl>
    <w:lvl w:ilvl="8" w:tplc="FFFFFFFF" w:tentative="1">
      <w:start w:val="1"/>
      <w:numFmt w:val="bullet"/>
      <w:lvlText w:val=""/>
      <w:lvlJc w:val="left"/>
      <w:pPr>
        <w:ind w:left="5835" w:hanging="360"/>
      </w:pPr>
      <w:rPr>
        <w:rFonts w:ascii="Wingdings" w:hAnsi="Wingdings" w:hint="default"/>
      </w:rPr>
    </w:lvl>
  </w:abstractNum>
  <w:abstractNum w:abstractNumId="9" w15:restartNumberingAfterBreak="0">
    <w:nsid w:val="4F2B60E0"/>
    <w:multiLevelType w:val="hybridMultilevel"/>
    <w:tmpl w:val="93826B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34F44E6"/>
    <w:multiLevelType w:val="multilevel"/>
    <w:tmpl w:val="647663A2"/>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7672233"/>
    <w:multiLevelType w:val="hybridMultilevel"/>
    <w:tmpl w:val="9A6A3B8A"/>
    <w:lvl w:ilvl="0" w:tplc="4F3C28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AD1101"/>
    <w:multiLevelType w:val="multilevel"/>
    <w:tmpl w:val="647663A2"/>
    <w:lvl w:ilvl="0">
      <w:start w:val="1"/>
      <w:numFmt w:val="decimal"/>
      <w:pStyle w:val="Heading1"/>
      <w:lvlText w:val="%1"/>
      <w:lvlJc w:val="left"/>
      <w:pPr>
        <w:ind w:left="4686" w:hanging="432"/>
      </w:pPr>
    </w:lvl>
    <w:lvl w:ilvl="1">
      <w:start w:val="1"/>
      <w:numFmt w:val="decimal"/>
      <w:pStyle w:val="Heading2"/>
      <w:lvlText w:val="%1.%2"/>
      <w:lvlJc w:val="left"/>
      <w:pPr>
        <w:ind w:left="823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D3F4D74"/>
    <w:multiLevelType w:val="hybridMultilevel"/>
    <w:tmpl w:val="630AC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3801430">
    <w:abstractNumId w:val="12"/>
  </w:num>
  <w:num w:numId="2" w16cid:durableId="1144354351">
    <w:abstractNumId w:val="5"/>
  </w:num>
  <w:num w:numId="3" w16cid:durableId="1006909420">
    <w:abstractNumId w:val="10"/>
  </w:num>
  <w:num w:numId="4" w16cid:durableId="569996677">
    <w:abstractNumId w:val="4"/>
  </w:num>
  <w:num w:numId="5" w16cid:durableId="807014924">
    <w:abstractNumId w:val="0"/>
  </w:num>
  <w:num w:numId="6" w16cid:durableId="310985182">
    <w:abstractNumId w:val="6"/>
  </w:num>
  <w:num w:numId="7" w16cid:durableId="492061559">
    <w:abstractNumId w:val="13"/>
  </w:num>
  <w:num w:numId="8" w16cid:durableId="2063743978">
    <w:abstractNumId w:val="2"/>
  </w:num>
  <w:num w:numId="9" w16cid:durableId="1378703109">
    <w:abstractNumId w:val="11"/>
  </w:num>
  <w:num w:numId="10" w16cid:durableId="632100844">
    <w:abstractNumId w:val="9"/>
  </w:num>
  <w:num w:numId="11" w16cid:durableId="1573200029">
    <w:abstractNumId w:val="8"/>
  </w:num>
  <w:num w:numId="12" w16cid:durableId="1587836858">
    <w:abstractNumId w:val="8"/>
    <w:lvlOverride w:ilvl="0">
      <w:startOverride w:val="1"/>
    </w:lvlOverride>
  </w:num>
  <w:num w:numId="13" w16cid:durableId="1548224532">
    <w:abstractNumId w:val="1"/>
  </w:num>
  <w:num w:numId="14" w16cid:durableId="5014318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79209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11481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63C1F"/>
    <w:rsid w:val="00000106"/>
    <w:rsid w:val="000006B0"/>
    <w:rsid w:val="00000871"/>
    <w:rsid w:val="0000093E"/>
    <w:rsid w:val="00000B5A"/>
    <w:rsid w:val="000016E1"/>
    <w:rsid w:val="00001A56"/>
    <w:rsid w:val="00001FE4"/>
    <w:rsid w:val="00002320"/>
    <w:rsid w:val="000024D8"/>
    <w:rsid w:val="0000274F"/>
    <w:rsid w:val="00002779"/>
    <w:rsid w:val="00002825"/>
    <w:rsid w:val="0000290A"/>
    <w:rsid w:val="00002C50"/>
    <w:rsid w:val="00002ED5"/>
    <w:rsid w:val="00002EE6"/>
    <w:rsid w:val="00004AF7"/>
    <w:rsid w:val="00005477"/>
    <w:rsid w:val="000056A3"/>
    <w:rsid w:val="00005AB2"/>
    <w:rsid w:val="00005C61"/>
    <w:rsid w:val="00005F85"/>
    <w:rsid w:val="000064F2"/>
    <w:rsid w:val="00006545"/>
    <w:rsid w:val="00006613"/>
    <w:rsid w:val="00006815"/>
    <w:rsid w:val="00007464"/>
    <w:rsid w:val="00007779"/>
    <w:rsid w:val="000079F1"/>
    <w:rsid w:val="00007A47"/>
    <w:rsid w:val="00007A85"/>
    <w:rsid w:val="00007F5B"/>
    <w:rsid w:val="00010571"/>
    <w:rsid w:val="0001058E"/>
    <w:rsid w:val="0001066A"/>
    <w:rsid w:val="00010A1D"/>
    <w:rsid w:val="00010FB2"/>
    <w:rsid w:val="000111A8"/>
    <w:rsid w:val="00011B38"/>
    <w:rsid w:val="000126F1"/>
    <w:rsid w:val="00012B39"/>
    <w:rsid w:val="00012D0A"/>
    <w:rsid w:val="00012D68"/>
    <w:rsid w:val="000138FA"/>
    <w:rsid w:val="00013DD9"/>
    <w:rsid w:val="00013F7F"/>
    <w:rsid w:val="0001403A"/>
    <w:rsid w:val="0001447C"/>
    <w:rsid w:val="000145FD"/>
    <w:rsid w:val="00014634"/>
    <w:rsid w:val="00014ED9"/>
    <w:rsid w:val="00015167"/>
    <w:rsid w:val="0001526F"/>
    <w:rsid w:val="000154A2"/>
    <w:rsid w:val="000157DC"/>
    <w:rsid w:val="0001595F"/>
    <w:rsid w:val="00015D05"/>
    <w:rsid w:val="000166FD"/>
    <w:rsid w:val="00016C55"/>
    <w:rsid w:val="0001714D"/>
    <w:rsid w:val="0001716D"/>
    <w:rsid w:val="000178F0"/>
    <w:rsid w:val="00020300"/>
    <w:rsid w:val="00020308"/>
    <w:rsid w:val="0002059D"/>
    <w:rsid w:val="00020AF3"/>
    <w:rsid w:val="00021363"/>
    <w:rsid w:val="000213BF"/>
    <w:rsid w:val="00021485"/>
    <w:rsid w:val="000216EE"/>
    <w:rsid w:val="00021B39"/>
    <w:rsid w:val="00021DEB"/>
    <w:rsid w:val="00021E84"/>
    <w:rsid w:val="000222AE"/>
    <w:rsid w:val="0002236C"/>
    <w:rsid w:val="0002246F"/>
    <w:rsid w:val="00022A26"/>
    <w:rsid w:val="00022CCD"/>
    <w:rsid w:val="00022EE9"/>
    <w:rsid w:val="000230FF"/>
    <w:rsid w:val="000233CE"/>
    <w:rsid w:val="0002341B"/>
    <w:rsid w:val="00023473"/>
    <w:rsid w:val="00023E8C"/>
    <w:rsid w:val="00024499"/>
    <w:rsid w:val="000245DA"/>
    <w:rsid w:val="00024CAF"/>
    <w:rsid w:val="00024D39"/>
    <w:rsid w:val="00025363"/>
    <w:rsid w:val="00025631"/>
    <w:rsid w:val="00025A7F"/>
    <w:rsid w:val="00025C8C"/>
    <w:rsid w:val="00026016"/>
    <w:rsid w:val="0002607B"/>
    <w:rsid w:val="00026E1C"/>
    <w:rsid w:val="000271F8"/>
    <w:rsid w:val="000275A0"/>
    <w:rsid w:val="000275BD"/>
    <w:rsid w:val="000279E9"/>
    <w:rsid w:val="00030900"/>
    <w:rsid w:val="00030B38"/>
    <w:rsid w:val="00030CFE"/>
    <w:rsid w:val="00030EF6"/>
    <w:rsid w:val="000312A6"/>
    <w:rsid w:val="00031738"/>
    <w:rsid w:val="00031FBC"/>
    <w:rsid w:val="0003232A"/>
    <w:rsid w:val="00032C68"/>
    <w:rsid w:val="00033108"/>
    <w:rsid w:val="000332F2"/>
    <w:rsid w:val="00033318"/>
    <w:rsid w:val="000333F7"/>
    <w:rsid w:val="0003343E"/>
    <w:rsid w:val="00033696"/>
    <w:rsid w:val="00033B3C"/>
    <w:rsid w:val="00033DE1"/>
    <w:rsid w:val="00034017"/>
    <w:rsid w:val="000340CE"/>
    <w:rsid w:val="000340EB"/>
    <w:rsid w:val="000341C3"/>
    <w:rsid w:val="00034277"/>
    <w:rsid w:val="000343DB"/>
    <w:rsid w:val="000351AB"/>
    <w:rsid w:val="00035C05"/>
    <w:rsid w:val="000372BF"/>
    <w:rsid w:val="00037FBD"/>
    <w:rsid w:val="0004027B"/>
    <w:rsid w:val="00040979"/>
    <w:rsid w:val="00040D1B"/>
    <w:rsid w:val="00040EED"/>
    <w:rsid w:val="00041079"/>
    <w:rsid w:val="00041281"/>
    <w:rsid w:val="000418EB"/>
    <w:rsid w:val="00041978"/>
    <w:rsid w:val="00041B30"/>
    <w:rsid w:val="00041C7C"/>
    <w:rsid w:val="00041DB8"/>
    <w:rsid w:val="00042241"/>
    <w:rsid w:val="000425D9"/>
    <w:rsid w:val="00042762"/>
    <w:rsid w:val="000427B1"/>
    <w:rsid w:val="00042BF9"/>
    <w:rsid w:val="00042E50"/>
    <w:rsid w:val="00043271"/>
    <w:rsid w:val="0004374E"/>
    <w:rsid w:val="000437B4"/>
    <w:rsid w:val="00043A53"/>
    <w:rsid w:val="00043E48"/>
    <w:rsid w:val="000442CD"/>
    <w:rsid w:val="00044364"/>
    <w:rsid w:val="00044845"/>
    <w:rsid w:val="000448B4"/>
    <w:rsid w:val="00044C5A"/>
    <w:rsid w:val="00044FA7"/>
    <w:rsid w:val="00045B6B"/>
    <w:rsid w:val="00045BA9"/>
    <w:rsid w:val="00045CED"/>
    <w:rsid w:val="000463FB"/>
    <w:rsid w:val="000469D2"/>
    <w:rsid w:val="00047270"/>
    <w:rsid w:val="000504AC"/>
    <w:rsid w:val="000509A0"/>
    <w:rsid w:val="00050C75"/>
    <w:rsid w:val="0005116F"/>
    <w:rsid w:val="000516AB"/>
    <w:rsid w:val="000518C1"/>
    <w:rsid w:val="00052218"/>
    <w:rsid w:val="00052934"/>
    <w:rsid w:val="00052CB6"/>
    <w:rsid w:val="000531B4"/>
    <w:rsid w:val="00053346"/>
    <w:rsid w:val="00053B49"/>
    <w:rsid w:val="0005431E"/>
    <w:rsid w:val="00054555"/>
    <w:rsid w:val="000546CD"/>
    <w:rsid w:val="000547CC"/>
    <w:rsid w:val="00054C9F"/>
    <w:rsid w:val="00054DE5"/>
    <w:rsid w:val="00055AC4"/>
    <w:rsid w:val="00055E25"/>
    <w:rsid w:val="0005603E"/>
    <w:rsid w:val="00056196"/>
    <w:rsid w:val="0005683E"/>
    <w:rsid w:val="00056896"/>
    <w:rsid w:val="00056BF6"/>
    <w:rsid w:val="000605A6"/>
    <w:rsid w:val="0006071F"/>
    <w:rsid w:val="00060962"/>
    <w:rsid w:val="00060A0A"/>
    <w:rsid w:val="00060D38"/>
    <w:rsid w:val="0006131F"/>
    <w:rsid w:val="000613AD"/>
    <w:rsid w:val="000617DB"/>
    <w:rsid w:val="0006186E"/>
    <w:rsid w:val="00061BB8"/>
    <w:rsid w:val="00061F32"/>
    <w:rsid w:val="0006232E"/>
    <w:rsid w:val="00062D49"/>
    <w:rsid w:val="0006339C"/>
    <w:rsid w:val="00063847"/>
    <w:rsid w:val="00063BAE"/>
    <w:rsid w:val="00063FB5"/>
    <w:rsid w:val="00064212"/>
    <w:rsid w:val="00064EF0"/>
    <w:rsid w:val="000652E1"/>
    <w:rsid w:val="00065B40"/>
    <w:rsid w:val="000661C3"/>
    <w:rsid w:val="00066B8E"/>
    <w:rsid w:val="0006711D"/>
    <w:rsid w:val="0006773E"/>
    <w:rsid w:val="00067893"/>
    <w:rsid w:val="00067B6D"/>
    <w:rsid w:val="00067C84"/>
    <w:rsid w:val="000704EB"/>
    <w:rsid w:val="00070613"/>
    <w:rsid w:val="00072846"/>
    <w:rsid w:val="0007285E"/>
    <w:rsid w:val="00072E43"/>
    <w:rsid w:val="00073FFD"/>
    <w:rsid w:val="00074344"/>
    <w:rsid w:val="00074E30"/>
    <w:rsid w:val="00075014"/>
    <w:rsid w:val="000759A3"/>
    <w:rsid w:val="00075DA6"/>
    <w:rsid w:val="00076B7A"/>
    <w:rsid w:val="00076BC7"/>
    <w:rsid w:val="00076DE8"/>
    <w:rsid w:val="00077859"/>
    <w:rsid w:val="00077BA1"/>
    <w:rsid w:val="00077BDF"/>
    <w:rsid w:val="00077C57"/>
    <w:rsid w:val="000801E8"/>
    <w:rsid w:val="00080709"/>
    <w:rsid w:val="00080D13"/>
    <w:rsid w:val="00080DC3"/>
    <w:rsid w:val="00080FC3"/>
    <w:rsid w:val="000812C7"/>
    <w:rsid w:val="00081841"/>
    <w:rsid w:val="00081F58"/>
    <w:rsid w:val="0008237A"/>
    <w:rsid w:val="00082E89"/>
    <w:rsid w:val="000831F3"/>
    <w:rsid w:val="00083DAE"/>
    <w:rsid w:val="00084FC1"/>
    <w:rsid w:val="00085AA4"/>
    <w:rsid w:val="00085B24"/>
    <w:rsid w:val="00085EFA"/>
    <w:rsid w:val="000860D3"/>
    <w:rsid w:val="000866B2"/>
    <w:rsid w:val="00086783"/>
    <w:rsid w:val="00086BAC"/>
    <w:rsid w:val="000874BC"/>
    <w:rsid w:val="00087745"/>
    <w:rsid w:val="00087D2D"/>
    <w:rsid w:val="000900C6"/>
    <w:rsid w:val="00090912"/>
    <w:rsid w:val="00091203"/>
    <w:rsid w:val="00091B09"/>
    <w:rsid w:val="00091BB5"/>
    <w:rsid w:val="00092AA2"/>
    <w:rsid w:val="0009321F"/>
    <w:rsid w:val="000934DC"/>
    <w:rsid w:val="000934FD"/>
    <w:rsid w:val="0009362A"/>
    <w:rsid w:val="00093884"/>
    <w:rsid w:val="000942EA"/>
    <w:rsid w:val="0009498D"/>
    <w:rsid w:val="00094C24"/>
    <w:rsid w:val="00095712"/>
    <w:rsid w:val="0009597A"/>
    <w:rsid w:val="00095E39"/>
    <w:rsid w:val="00096AAC"/>
    <w:rsid w:val="00096B28"/>
    <w:rsid w:val="00096D55"/>
    <w:rsid w:val="00096D57"/>
    <w:rsid w:val="00097CBF"/>
    <w:rsid w:val="000A081E"/>
    <w:rsid w:val="000A0C5A"/>
    <w:rsid w:val="000A0FB7"/>
    <w:rsid w:val="000A10FD"/>
    <w:rsid w:val="000A17B4"/>
    <w:rsid w:val="000A1DBC"/>
    <w:rsid w:val="000A2058"/>
    <w:rsid w:val="000A2A7D"/>
    <w:rsid w:val="000A2CFA"/>
    <w:rsid w:val="000A2F1D"/>
    <w:rsid w:val="000A3326"/>
    <w:rsid w:val="000A35C8"/>
    <w:rsid w:val="000A3CDE"/>
    <w:rsid w:val="000A54CD"/>
    <w:rsid w:val="000A55CE"/>
    <w:rsid w:val="000A5820"/>
    <w:rsid w:val="000A5B5A"/>
    <w:rsid w:val="000A6117"/>
    <w:rsid w:val="000A6616"/>
    <w:rsid w:val="000A6786"/>
    <w:rsid w:val="000A756F"/>
    <w:rsid w:val="000A7600"/>
    <w:rsid w:val="000A7CF6"/>
    <w:rsid w:val="000B056C"/>
    <w:rsid w:val="000B0864"/>
    <w:rsid w:val="000B0A19"/>
    <w:rsid w:val="000B0FA7"/>
    <w:rsid w:val="000B14CD"/>
    <w:rsid w:val="000B16DC"/>
    <w:rsid w:val="000B1961"/>
    <w:rsid w:val="000B1AC3"/>
    <w:rsid w:val="000B1D4F"/>
    <w:rsid w:val="000B1DE9"/>
    <w:rsid w:val="000B253F"/>
    <w:rsid w:val="000B2818"/>
    <w:rsid w:val="000B2A66"/>
    <w:rsid w:val="000B2C5A"/>
    <w:rsid w:val="000B312D"/>
    <w:rsid w:val="000B3131"/>
    <w:rsid w:val="000B32A0"/>
    <w:rsid w:val="000B32E6"/>
    <w:rsid w:val="000B3465"/>
    <w:rsid w:val="000B3D11"/>
    <w:rsid w:val="000B4353"/>
    <w:rsid w:val="000B45DC"/>
    <w:rsid w:val="000B51F8"/>
    <w:rsid w:val="000B5D3D"/>
    <w:rsid w:val="000B5F77"/>
    <w:rsid w:val="000B60AB"/>
    <w:rsid w:val="000B6C50"/>
    <w:rsid w:val="000B7851"/>
    <w:rsid w:val="000B7C20"/>
    <w:rsid w:val="000B7C84"/>
    <w:rsid w:val="000C009C"/>
    <w:rsid w:val="000C0745"/>
    <w:rsid w:val="000C07C6"/>
    <w:rsid w:val="000C08C5"/>
    <w:rsid w:val="000C0AF3"/>
    <w:rsid w:val="000C0CE0"/>
    <w:rsid w:val="000C1066"/>
    <w:rsid w:val="000C11BC"/>
    <w:rsid w:val="000C1CB2"/>
    <w:rsid w:val="000C1E78"/>
    <w:rsid w:val="000C380D"/>
    <w:rsid w:val="000C3858"/>
    <w:rsid w:val="000C3B2A"/>
    <w:rsid w:val="000C3FEB"/>
    <w:rsid w:val="000C40F1"/>
    <w:rsid w:val="000C4CAD"/>
    <w:rsid w:val="000C52F9"/>
    <w:rsid w:val="000C567A"/>
    <w:rsid w:val="000C5886"/>
    <w:rsid w:val="000C5A4E"/>
    <w:rsid w:val="000C5C41"/>
    <w:rsid w:val="000C5FB4"/>
    <w:rsid w:val="000C6025"/>
    <w:rsid w:val="000C654E"/>
    <w:rsid w:val="000C660F"/>
    <w:rsid w:val="000C6631"/>
    <w:rsid w:val="000C7251"/>
    <w:rsid w:val="000C72DC"/>
    <w:rsid w:val="000C7AE6"/>
    <w:rsid w:val="000C7EDE"/>
    <w:rsid w:val="000D0040"/>
    <w:rsid w:val="000D0366"/>
    <w:rsid w:val="000D0372"/>
    <w:rsid w:val="000D0C54"/>
    <w:rsid w:val="000D0C71"/>
    <w:rsid w:val="000D1038"/>
    <w:rsid w:val="000D13ED"/>
    <w:rsid w:val="000D16EB"/>
    <w:rsid w:val="000D1894"/>
    <w:rsid w:val="000D1A12"/>
    <w:rsid w:val="000D1C3A"/>
    <w:rsid w:val="000D1E53"/>
    <w:rsid w:val="000D1E81"/>
    <w:rsid w:val="000D212B"/>
    <w:rsid w:val="000D2604"/>
    <w:rsid w:val="000D27F3"/>
    <w:rsid w:val="000D2C4F"/>
    <w:rsid w:val="000D2CBC"/>
    <w:rsid w:val="000D3569"/>
    <w:rsid w:val="000D3661"/>
    <w:rsid w:val="000D42F2"/>
    <w:rsid w:val="000D48AC"/>
    <w:rsid w:val="000D4B4E"/>
    <w:rsid w:val="000D4E31"/>
    <w:rsid w:val="000D4E48"/>
    <w:rsid w:val="000D5244"/>
    <w:rsid w:val="000D529F"/>
    <w:rsid w:val="000D5598"/>
    <w:rsid w:val="000D6245"/>
    <w:rsid w:val="000D78CF"/>
    <w:rsid w:val="000E00D9"/>
    <w:rsid w:val="000E02A3"/>
    <w:rsid w:val="000E03E9"/>
    <w:rsid w:val="000E06D5"/>
    <w:rsid w:val="000E07ED"/>
    <w:rsid w:val="000E0ECD"/>
    <w:rsid w:val="000E10A4"/>
    <w:rsid w:val="000E16CC"/>
    <w:rsid w:val="000E19CE"/>
    <w:rsid w:val="000E1A33"/>
    <w:rsid w:val="000E23D5"/>
    <w:rsid w:val="000E330E"/>
    <w:rsid w:val="000E384D"/>
    <w:rsid w:val="000E4100"/>
    <w:rsid w:val="000E4207"/>
    <w:rsid w:val="000E42A2"/>
    <w:rsid w:val="000E4875"/>
    <w:rsid w:val="000E492C"/>
    <w:rsid w:val="000E49FC"/>
    <w:rsid w:val="000E4A13"/>
    <w:rsid w:val="000E4B31"/>
    <w:rsid w:val="000E4B48"/>
    <w:rsid w:val="000E5313"/>
    <w:rsid w:val="000E539E"/>
    <w:rsid w:val="000E5B21"/>
    <w:rsid w:val="000E6341"/>
    <w:rsid w:val="000E686A"/>
    <w:rsid w:val="000E6879"/>
    <w:rsid w:val="000E70F7"/>
    <w:rsid w:val="000E75F0"/>
    <w:rsid w:val="000E77EF"/>
    <w:rsid w:val="000E7879"/>
    <w:rsid w:val="000F042B"/>
    <w:rsid w:val="000F0535"/>
    <w:rsid w:val="000F1AC6"/>
    <w:rsid w:val="000F1AF5"/>
    <w:rsid w:val="000F3148"/>
    <w:rsid w:val="000F3473"/>
    <w:rsid w:val="000F40BA"/>
    <w:rsid w:val="000F4BF0"/>
    <w:rsid w:val="000F4C18"/>
    <w:rsid w:val="000F52DD"/>
    <w:rsid w:val="000F541A"/>
    <w:rsid w:val="000F57B6"/>
    <w:rsid w:val="000F5B7D"/>
    <w:rsid w:val="000F6036"/>
    <w:rsid w:val="000F66F0"/>
    <w:rsid w:val="000F683D"/>
    <w:rsid w:val="000F690E"/>
    <w:rsid w:val="000F6FF0"/>
    <w:rsid w:val="000F71FE"/>
    <w:rsid w:val="000F7766"/>
    <w:rsid w:val="000F7954"/>
    <w:rsid w:val="000F7EAE"/>
    <w:rsid w:val="00100177"/>
    <w:rsid w:val="001004FA"/>
    <w:rsid w:val="00100A48"/>
    <w:rsid w:val="00100D19"/>
    <w:rsid w:val="00100EAE"/>
    <w:rsid w:val="00101225"/>
    <w:rsid w:val="0010144C"/>
    <w:rsid w:val="0010181A"/>
    <w:rsid w:val="00101986"/>
    <w:rsid w:val="00101B11"/>
    <w:rsid w:val="00101DAD"/>
    <w:rsid w:val="00102675"/>
    <w:rsid w:val="00103513"/>
    <w:rsid w:val="0010390A"/>
    <w:rsid w:val="001040CF"/>
    <w:rsid w:val="00104265"/>
    <w:rsid w:val="0010473F"/>
    <w:rsid w:val="00104DFF"/>
    <w:rsid w:val="00104FD6"/>
    <w:rsid w:val="00105115"/>
    <w:rsid w:val="0010560D"/>
    <w:rsid w:val="001058E6"/>
    <w:rsid w:val="00105B37"/>
    <w:rsid w:val="00106494"/>
    <w:rsid w:val="00106799"/>
    <w:rsid w:val="001067FA"/>
    <w:rsid w:val="001069C1"/>
    <w:rsid w:val="00106CF2"/>
    <w:rsid w:val="00106F04"/>
    <w:rsid w:val="0010780B"/>
    <w:rsid w:val="0010785F"/>
    <w:rsid w:val="00107DE3"/>
    <w:rsid w:val="00107E69"/>
    <w:rsid w:val="00107EA7"/>
    <w:rsid w:val="00110454"/>
    <w:rsid w:val="00110B88"/>
    <w:rsid w:val="00110E98"/>
    <w:rsid w:val="001112D9"/>
    <w:rsid w:val="00111B6D"/>
    <w:rsid w:val="00111C8F"/>
    <w:rsid w:val="00112066"/>
    <w:rsid w:val="001120F2"/>
    <w:rsid w:val="001122D0"/>
    <w:rsid w:val="00112591"/>
    <w:rsid w:val="00112637"/>
    <w:rsid w:val="001128B5"/>
    <w:rsid w:val="00113090"/>
    <w:rsid w:val="00113750"/>
    <w:rsid w:val="001139A8"/>
    <w:rsid w:val="001139E4"/>
    <w:rsid w:val="0011403D"/>
    <w:rsid w:val="001141FB"/>
    <w:rsid w:val="001143E4"/>
    <w:rsid w:val="00114B49"/>
    <w:rsid w:val="00114ED5"/>
    <w:rsid w:val="00115648"/>
    <w:rsid w:val="00115EA1"/>
    <w:rsid w:val="0011604D"/>
    <w:rsid w:val="00116558"/>
    <w:rsid w:val="00116FEC"/>
    <w:rsid w:val="00117269"/>
    <w:rsid w:val="001174A8"/>
    <w:rsid w:val="00117CA3"/>
    <w:rsid w:val="00117E46"/>
    <w:rsid w:val="00117FB3"/>
    <w:rsid w:val="00120222"/>
    <w:rsid w:val="001204FC"/>
    <w:rsid w:val="00120548"/>
    <w:rsid w:val="00120B7D"/>
    <w:rsid w:val="00121319"/>
    <w:rsid w:val="00121770"/>
    <w:rsid w:val="00121A91"/>
    <w:rsid w:val="00121B3A"/>
    <w:rsid w:val="00122450"/>
    <w:rsid w:val="00122550"/>
    <w:rsid w:val="001227A0"/>
    <w:rsid w:val="001231AA"/>
    <w:rsid w:val="00123483"/>
    <w:rsid w:val="00124C76"/>
    <w:rsid w:val="00124E47"/>
    <w:rsid w:val="00124F90"/>
    <w:rsid w:val="0012509F"/>
    <w:rsid w:val="00125101"/>
    <w:rsid w:val="001256CF"/>
    <w:rsid w:val="001256D3"/>
    <w:rsid w:val="00125CC2"/>
    <w:rsid w:val="001278A2"/>
    <w:rsid w:val="00130851"/>
    <w:rsid w:val="00130D88"/>
    <w:rsid w:val="00130EF9"/>
    <w:rsid w:val="0013112A"/>
    <w:rsid w:val="0013112E"/>
    <w:rsid w:val="00131979"/>
    <w:rsid w:val="001324D7"/>
    <w:rsid w:val="001327B9"/>
    <w:rsid w:val="001329DF"/>
    <w:rsid w:val="0013329C"/>
    <w:rsid w:val="001333FD"/>
    <w:rsid w:val="0013408E"/>
    <w:rsid w:val="001340CE"/>
    <w:rsid w:val="00134578"/>
    <w:rsid w:val="0013511C"/>
    <w:rsid w:val="001353F4"/>
    <w:rsid w:val="00135DB5"/>
    <w:rsid w:val="00135E08"/>
    <w:rsid w:val="00136102"/>
    <w:rsid w:val="0013656A"/>
    <w:rsid w:val="00136B4D"/>
    <w:rsid w:val="00137264"/>
    <w:rsid w:val="00137E61"/>
    <w:rsid w:val="001400C6"/>
    <w:rsid w:val="001406D6"/>
    <w:rsid w:val="00140BD4"/>
    <w:rsid w:val="0014136E"/>
    <w:rsid w:val="00142E4A"/>
    <w:rsid w:val="00142FBA"/>
    <w:rsid w:val="00143112"/>
    <w:rsid w:val="00143116"/>
    <w:rsid w:val="00143685"/>
    <w:rsid w:val="00143DD3"/>
    <w:rsid w:val="0014423D"/>
    <w:rsid w:val="00144920"/>
    <w:rsid w:val="00144AAD"/>
    <w:rsid w:val="00146012"/>
    <w:rsid w:val="0014628C"/>
    <w:rsid w:val="001462D5"/>
    <w:rsid w:val="00146698"/>
    <w:rsid w:val="00146A33"/>
    <w:rsid w:val="00146B8D"/>
    <w:rsid w:val="00146C60"/>
    <w:rsid w:val="00146D7A"/>
    <w:rsid w:val="00146E77"/>
    <w:rsid w:val="00146F68"/>
    <w:rsid w:val="00147029"/>
    <w:rsid w:val="001471A9"/>
    <w:rsid w:val="0014759E"/>
    <w:rsid w:val="0014796F"/>
    <w:rsid w:val="00147E4E"/>
    <w:rsid w:val="001504A4"/>
    <w:rsid w:val="001509B2"/>
    <w:rsid w:val="001519C2"/>
    <w:rsid w:val="00151A73"/>
    <w:rsid w:val="00151CE1"/>
    <w:rsid w:val="00151FBE"/>
    <w:rsid w:val="0015215A"/>
    <w:rsid w:val="00152DA0"/>
    <w:rsid w:val="00152DE0"/>
    <w:rsid w:val="0015349D"/>
    <w:rsid w:val="00153A29"/>
    <w:rsid w:val="00153E86"/>
    <w:rsid w:val="0015410F"/>
    <w:rsid w:val="0015505F"/>
    <w:rsid w:val="00155685"/>
    <w:rsid w:val="00155EE0"/>
    <w:rsid w:val="00156067"/>
    <w:rsid w:val="00156071"/>
    <w:rsid w:val="001561CF"/>
    <w:rsid w:val="001562B9"/>
    <w:rsid w:val="00156538"/>
    <w:rsid w:val="0015657B"/>
    <w:rsid w:val="00157562"/>
    <w:rsid w:val="00157895"/>
    <w:rsid w:val="00157B19"/>
    <w:rsid w:val="00157E2B"/>
    <w:rsid w:val="001612BB"/>
    <w:rsid w:val="00162033"/>
    <w:rsid w:val="00162660"/>
    <w:rsid w:val="00162BE2"/>
    <w:rsid w:val="00162E45"/>
    <w:rsid w:val="0016313B"/>
    <w:rsid w:val="0016369E"/>
    <w:rsid w:val="0016408C"/>
    <w:rsid w:val="00164153"/>
    <w:rsid w:val="001646B2"/>
    <w:rsid w:val="001650E9"/>
    <w:rsid w:val="00165834"/>
    <w:rsid w:val="00165987"/>
    <w:rsid w:val="00165B05"/>
    <w:rsid w:val="00165F27"/>
    <w:rsid w:val="00165FEC"/>
    <w:rsid w:val="00166381"/>
    <w:rsid w:val="00166568"/>
    <w:rsid w:val="00166ED0"/>
    <w:rsid w:val="001675D5"/>
    <w:rsid w:val="001678F4"/>
    <w:rsid w:val="001706ED"/>
    <w:rsid w:val="00170D35"/>
    <w:rsid w:val="00170D8A"/>
    <w:rsid w:val="00171149"/>
    <w:rsid w:val="00171343"/>
    <w:rsid w:val="001715FF"/>
    <w:rsid w:val="00172046"/>
    <w:rsid w:val="0017230D"/>
    <w:rsid w:val="00172469"/>
    <w:rsid w:val="001727C0"/>
    <w:rsid w:val="00172CDC"/>
    <w:rsid w:val="00172FA3"/>
    <w:rsid w:val="001730A2"/>
    <w:rsid w:val="0017314B"/>
    <w:rsid w:val="001734BF"/>
    <w:rsid w:val="001734FE"/>
    <w:rsid w:val="001737CA"/>
    <w:rsid w:val="001737F0"/>
    <w:rsid w:val="00173D05"/>
    <w:rsid w:val="00174AC5"/>
    <w:rsid w:val="00174B11"/>
    <w:rsid w:val="001752CF"/>
    <w:rsid w:val="001759B1"/>
    <w:rsid w:val="00175AF5"/>
    <w:rsid w:val="00175DD2"/>
    <w:rsid w:val="001768AB"/>
    <w:rsid w:val="00176E22"/>
    <w:rsid w:val="0017767C"/>
    <w:rsid w:val="00177B79"/>
    <w:rsid w:val="00177F8C"/>
    <w:rsid w:val="00180136"/>
    <w:rsid w:val="00180912"/>
    <w:rsid w:val="00180E67"/>
    <w:rsid w:val="001814B4"/>
    <w:rsid w:val="001817EC"/>
    <w:rsid w:val="001818CC"/>
    <w:rsid w:val="00182160"/>
    <w:rsid w:val="001826FD"/>
    <w:rsid w:val="00182A76"/>
    <w:rsid w:val="00183414"/>
    <w:rsid w:val="001839B2"/>
    <w:rsid w:val="00183AE7"/>
    <w:rsid w:val="00183C99"/>
    <w:rsid w:val="00183CE7"/>
    <w:rsid w:val="00184017"/>
    <w:rsid w:val="00184589"/>
    <w:rsid w:val="0018540C"/>
    <w:rsid w:val="00185A90"/>
    <w:rsid w:val="00185C4C"/>
    <w:rsid w:val="001865B6"/>
    <w:rsid w:val="001865EF"/>
    <w:rsid w:val="00186932"/>
    <w:rsid w:val="00186BAD"/>
    <w:rsid w:val="0018704D"/>
    <w:rsid w:val="001872C8"/>
    <w:rsid w:val="001879C7"/>
    <w:rsid w:val="0019085F"/>
    <w:rsid w:val="00190FCF"/>
    <w:rsid w:val="00191A56"/>
    <w:rsid w:val="001920DF"/>
    <w:rsid w:val="00192249"/>
    <w:rsid w:val="001924C0"/>
    <w:rsid w:val="00192BBA"/>
    <w:rsid w:val="00192FDE"/>
    <w:rsid w:val="00193114"/>
    <w:rsid w:val="00194440"/>
    <w:rsid w:val="001947EE"/>
    <w:rsid w:val="0019488B"/>
    <w:rsid w:val="00194A1B"/>
    <w:rsid w:val="0019537A"/>
    <w:rsid w:val="001955BB"/>
    <w:rsid w:val="0019689D"/>
    <w:rsid w:val="00196F6C"/>
    <w:rsid w:val="00197828"/>
    <w:rsid w:val="00197FF5"/>
    <w:rsid w:val="001A0632"/>
    <w:rsid w:val="001A069D"/>
    <w:rsid w:val="001A0C53"/>
    <w:rsid w:val="001A0C90"/>
    <w:rsid w:val="001A0E8D"/>
    <w:rsid w:val="001A1117"/>
    <w:rsid w:val="001A16BF"/>
    <w:rsid w:val="001A19EF"/>
    <w:rsid w:val="001A1D74"/>
    <w:rsid w:val="001A217C"/>
    <w:rsid w:val="001A27A0"/>
    <w:rsid w:val="001A2869"/>
    <w:rsid w:val="001A2AC4"/>
    <w:rsid w:val="001A33A7"/>
    <w:rsid w:val="001A4A92"/>
    <w:rsid w:val="001A4D4B"/>
    <w:rsid w:val="001A5526"/>
    <w:rsid w:val="001A555F"/>
    <w:rsid w:val="001A558B"/>
    <w:rsid w:val="001A5A8F"/>
    <w:rsid w:val="001A5B61"/>
    <w:rsid w:val="001A5CA8"/>
    <w:rsid w:val="001A683E"/>
    <w:rsid w:val="001A6912"/>
    <w:rsid w:val="001A69F5"/>
    <w:rsid w:val="001A7004"/>
    <w:rsid w:val="001A747B"/>
    <w:rsid w:val="001B01C1"/>
    <w:rsid w:val="001B0316"/>
    <w:rsid w:val="001B0951"/>
    <w:rsid w:val="001B0AE5"/>
    <w:rsid w:val="001B0E17"/>
    <w:rsid w:val="001B0EFC"/>
    <w:rsid w:val="001B0FDF"/>
    <w:rsid w:val="001B0FE0"/>
    <w:rsid w:val="001B172E"/>
    <w:rsid w:val="001B187F"/>
    <w:rsid w:val="001B1DD9"/>
    <w:rsid w:val="001B1DEB"/>
    <w:rsid w:val="001B2151"/>
    <w:rsid w:val="001B22E3"/>
    <w:rsid w:val="001B2388"/>
    <w:rsid w:val="001B25A1"/>
    <w:rsid w:val="001B31B1"/>
    <w:rsid w:val="001B31BE"/>
    <w:rsid w:val="001B32D3"/>
    <w:rsid w:val="001B3347"/>
    <w:rsid w:val="001B39F8"/>
    <w:rsid w:val="001B3AF8"/>
    <w:rsid w:val="001B4086"/>
    <w:rsid w:val="001B4996"/>
    <w:rsid w:val="001B4AE1"/>
    <w:rsid w:val="001B5730"/>
    <w:rsid w:val="001B57ED"/>
    <w:rsid w:val="001B5DCD"/>
    <w:rsid w:val="001B6AE1"/>
    <w:rsid w:val="001B7063"/>
    <w:rsid w:val="001B73E7"/>
    <w:rsid w:val="001B767E"/>
    <w:rsid w:val="001B7F20"/>
    <w:rsid w:val="001C0461"/>
    <w:rsid w:val="001C088C"/>
    <w:rsid w:val="001C13FA"/>
    <w:rsid w:val="001C1457"/>
    <w:rsid w:val="001C163F"/>
    <w:rsid w:val="001C2017"/>
    <w:rsid w:val="001C2134"/>
    <w:rsid w:val="001C2186"/>
    <w:rsid w:val="001C2AC2"/>
    <w:rsid w:val="001C34BB"/>
    <w:rsid w:val="001C389D"/>
    <w:rsid w:val="001C3B72"/>
    <w:rsid w:val="001C3B81"/>
    <w:rsid w:val="001C41D7"/>
    <w:rsid w:val="001C4F22"/>
    <w:rsid w:val="001C5579"/>
    <w:rsid w:val="001C65B7"/>
    <w:rsid w:val="001C660F"/>
    <w:rsid w:val="001C6675"/>
    <w:rsid w:val="001C66BA"/>
    <w:rsid w:val="001C69A8"/>
    <w:rsid w:val="001C6A07"/>
    <w:rsid w:val="001C6D50"/>
    <w:rsid w:val="001C7507"/>
    <w:rsid w:val="001C7877"/>
    <w:rsid w:val="001C78F4"/>
    <w:rsid w:val="001C7ACE"/>
    <w:rsid w:val="001C7D48"/>
    <w:rsid w:val="001D00BD"/>
    <w:rsid w:val="001D07B9"/>
    <w:rsid w:val="001D090B"/>
    <w:rsid w:val="001D0DA0"/>
    <w:rsid w:val="001D0F87"/>
    <w:rsid w:val="001D1701"/>
    <w:rsid w:val="001D1AA0"/>
    <w:rsid w:val="001D1B5D"/>
    <w:rsid w:val="001D21CE"/>
    <w:rsid w:val="001D261E"/>
    <w:rsid w:val="001D2AB5"/>
    <w:rsid w:val="001D2E2D"/>
    <w:rsid w:val="001D380E"/>
    <w:rsid w:val="001D3811"/>
    <w:rsid w:val="001D3B3F"/>
    <w:rsid w:val="001D4D39"/>
    <w:rsid w:val="001D5740"/>
    <w:rsid w:val="001D5A1D"/>
    <w:rsid w:val="001D5C07"/>
    <w:rsid w:val="001D5CAF"/>
    <w:rsid w:val="001D6503"/>
    <w:rsid w:val="001D66F1"/>
    <w:rsid w:val="001D7080"/>
    <w:rsid w:val="001D7492"/>
    <w:rsid w:val="001D7C85"/>
    <w:rsid w:val="001E0231"/>
    <w:rsid w:val="001E05CE"/>
    <w:rsid w:val="001E1281"/>
    <w:rsid w:val="001E1282"/>
    <w:rsid w:val="001E1C23"/>
    <w:rsid w:val="001E22D5"/>
    <w:rsid w:val="001E2A4A"/>
    <w:rsid w:val="001E3356"/>
    <w:rsid w:val="001E36EC"/>
    <w:rsid w:val="001E49FD"/>
    <w:rsid w:val="001E4E68"/>
    <w:rsid w:val="001E5253"/>
    <w:rsid w:val="001E599B"/>
    <w:rsid w:val="001E5BDC"/>
    <w:rsid w:val="001E63FF"/>
    <w:rsid w:val="001E66EC"/>
    <w:rsid w:val="001E72A7"/>
    <w:rsid w:val="001E7D54"/>
    <w:rsid w:val="001E7E49"/>
    <w:rsid w:val="001F0400"/>
    <w:rsid w:val="001F0E16"/>
    <w:rsid w:val="001F1B5A"/>
    <w:rsid w:val="001F1EC1"/>
    <w:rsid w:val="001F251D"/>
    <w:rsid w:val="001F287C"/>
    <w:rsid w:val="001F288D"/>
    <w:rsid w:val="001F33DE"/>
    <w:rsid w:val="001F352E"/>
    <w:rsid w:val="001F3660"/>
    <w:rsid w:val="001F419C"/>
    <w:rsid w:val="001F427C"/>
    <w:rsid w:val="001F452C"/>
    <w:rsid w:val="001F4611"/>
    <w:rsid w:val="001F487D"/>
    <w:rsid w:val="001F4ECD"/>
    <w:rsid w:val="001F52FD"/>
    <w:rsid w:val="001F59C8"/>
    <w:rsid w:val="001F5F4E"/>
    <w:rsid w:val="001F6811"/>
    <w:rsid w:val="001F6936"/>
    <w:rsid w:val="001F6DD6"/>
    <w:rsid w:val="001F711E"/>
    <w:rsid w:val="001F759B"/>
    <w:rsid w:val="001F768F"/>
    <w:rsid w:val="001F7C99"/>
    <w:rsid w:val="001F7D89"/>
    <w:rsid w:val="001F7E7D"/>
    <w:rsid w:val="002004EC"/>
    <w:rsid w:val="00200EF9"/>
    <w:rsid w:val="002011E1"/>
    <w:rsid w:val="002012B0"/>
    <w:rsid w:val="00201468"/>
    <w:rsid w:val="002017BA"/>
    <w:rsid w:val="0020313D"/>
    <w:rsid w:val="002031EA"/>
    <w:rsid w:val="00204C7D"/>
    <w:rsid w:val="00205C40"/>
    <w:rsid w:val="00206205"/>
    <w:rsid w:val="0020622B"/>
    <w:rsid w:val="00206A7B"/>
    <w:rsid w:val="00207A39"/>
    <w:rsid w:val="00207CA6"/>
    <w:rsid w:val="002101FB"/>
    <w:rsid w:val="002104E5"/>
    <w:rsid w:val="0021101C"/>
    <w:rsid w:val="00211384"/>
    <w:rsid w:val="00211CF5"/>
    <w:rsid w:val="00212030"/>
    <w:rsid w:val="00213569"/>
    <w:rsid w:val="00213716"/>
    <w:rsid w:val="002138C3"/>
    <w:rsid w:val="00213CDC"/>
    <w:rsid w:val="002142BB"/>
    <w:rsid w:val="002146B3"/>
    <w:rsid w:val="002152F9"/>
    <w:rsid w:val="00215527"/>
    <w:rsid w:val="00215BE1"/>
    <w:rsid w:val="00216141"/>
    <w:rsid w:val="0021622E"/>
    <w:rsid w:val="00217155"/>
    <w:rsid w:val="00217772"/>
    <w:rsid w:val="00217848"/>
    <w:rsid w:val="002209C3"/>
    <w:rsid w:val="00220A3B"/>
    <w:rsid w:val="00220D26"/>
    <w:rsid w:val="00221728"/>
    <w:rsid w:val="0022181F"/>
    <w:rsid w:val="002218C3"/>
    <w:rsid w:val="00221B56"/>
    <w:rsid w:val="0022214D"/>
    <w:rsid w:val="002227CF"/>
    <w:rsid w:val="002230D9"/>
    <w:rsid w:val="002236FA"/>
    <w:rsid w:val="00224440"/>
    <w:rsid w:val="00224667"/>
    <w:rsid w:val="002247AF"/>
    <w:rsid w:val="0022488F"/>
    <w:rsid w:val="00224ABF"/>
    <w:rsid w:val="002255A5"/>
    <w:rsid w:val="00227538"/>
    <w:rsid w:val="00227964"/>
    <w:rsid w:val="00227A16"/>
    <w:rsid w:val="00227A98"/>
    <w:rsid w:val="00227E47"/>
    <w:rsid w:val="00227F6F"/>
    <w:rsid w:val="00227FD5"/>
    <w:rsid w:val="0023008B"/>
    <w:rsid w:val="00230BBE"/>
    <w:rsid w:val="00230FA9"/>
    <w:rsid w:val="00231643"/>
    <w:rsid w:val="00231659"/>
    <w:rsid w:val="00231966"/>
    <w:rsid w:val="00231CCD"/>
    <w:rsid w:val="00231FF3"/>
    <w:rsid w:val="00232394"/>
    <w:rsid w:val="0023249B"/>
    <w:rsid w:val="002328C6"/>
    <w:rsid w:val="00232A37"/>
    <w:rsid w:val="00233015"/>
    <w:rsid w:val="0023345E"/>
    <w:rsid w:val="002336F6"/>
    <w:rsid w:val="00233DDB"/>
    <w:rsid w:val="00234013"/>
    <w:rsid w:val="002346D7"/>
    <w:rsid w:val="0023471B"/>
    <w:rsid w:val="0023496A"/>
    <w:rsid w:val="00234DF3"/>
    <w:rsid w:val="00235224"/>
    <w:rsid w:val="002353C3"/>
    <w:rsid w:val="00235E18"/>
    <w:rsid w:val="00236144"/>
    <w:rsid w:val="0023670D"/>
    <w:rsid w:val="002369AA"/>
    <w:rsid w:val="00236A92"/>
    <w:rsid w:val="00236FCF"/>
    <w:rsid w:val="002374D3"/>
    <w:rsid w:val="00237B4D"/>
    <w:rsid w:val="00240412"/>
    <w:rsid w:val="0024051F"/>
    <w:rsid w:val="0024077E"/>
    <w:rsid w:val="00240AE3"/>
    <w:rsid w:val="00240ECE"/>
    <w:rsid w:val="002411E1"/>
    <w:rsid w:val="002415E7"/>
    <w:rsid w:val="00241D72"/>
    <w:rsid w:val="0024265E"/>
    <w:rsid w:val="00242C10"/>
    <w:rsid w:val="00242E6E"/>
    <w:rsid w:val="0024346C"/>
    <w:rsid w:val="00244191"/>
    <w:rsid w:val="0024426C"/>
    <w:rsid w:val="00244561"/>
    <w:rsid w:val="00244813"/>
    <w:rsid w:val="00244A2C"/>
    <w:rsid w:val="00244ADE"/>
    <w:rsid w:val="00244D05"/>
    <w:rsid w:val="00244D77"/>
    <w:rsid w:val="00244FE9"/>
    <w:rsid w:val="00245056"/>
    <w:rsid w:val="002450DE"/>
    <w:rsid w:val="00245199"/>
    <w:rsid w:val="002456DA"/>
    <w:rsid w:val="00245B89"/>
    <w:rsid w:val="00246005"/>
    <w:rsid w:val="00246587"/>
    <w:rsid w:val="0024683D"/>
    <w:rsid w:val="00246ABA"/>
    <w:rsid w:val="00246B53"/>
    <w:rsid w:val="00246DA6"/>
    <w:rsid w:val="002475F6"/>
    <w:rsid w:val="00251067"/>
    <w:rsid w:val="00251A27"/>
    <w:rsid w:val="00251F26"/>
    <w:rsid w:val="00252076"/>
    <w:rsid w:val="00252A09"/>
    <w:rsid w:val="0025326D"/>
    <w:rsid w:val="002533FC"/>
    <w:rsid w:val="0025354A"/>
    <w:rsid w:val="00253719"/>
    <w:rsid w:val="002537CE"/>
    <w:rsid w:val="00253AF4"/>
    <w:rsid w:val="00253BF8"/>
    <w:rsid w:val="00253F4A"/>
    <w:rsid w:val="0025474C"/>
    <w:rsid w:val="0025491B"/>
    <w:rsid w:val="002549E6"/>
    <w:rsid w:val="002553BA"/>
    <w:rsid w:val="00255849"/>
    <w:rsid w:val="00255B29"/>
    <w:rsid w:val="00256077"/>
    <w:rsid w:val="00256437"/>
    <w:rsid w:val="002566F0"/>
    <w:rsid w:val="00256780"/>
    <w:rsid w:val="0025725E"/>
    <w:rsid w:val="002574D1"/>
    <w:rsid w:val="00257FBF"/>
    <w:rsid w:val="002614EA"/>
    <w:rsid w:val="00261D1C"/>
    <w:rsid w:val="00261ED0"/>
    <w:rsid w:val="002621C0"/>
    <w:rsid w:val="0026242D"/>
    <w:rsid w:val="0026299A"/>
    <w:rsid w:val="00262C4D"/>
    <w:rsid w:val="0026331D"/>
    <w:rsid w:val="00263A72"/>
    <w:rsid w:val="00263AFF"/>
    <w:rsid w:val="0026408E"/>
    <w:rsid w:val="0026480C"/>
    <w:rsid w:val="00264D17"/>
    <w:rsid w:val="002653AF"/>
    <w:rsid w:val="00265A85"/>
    <w:rsid w:val="00266352"/>
    <w:rsid w:val="0026653F"/>
    <w:rsid w:val="0026725A"/>
    <w:rsid w:val="00267D21"/>
    <w:rsid w:val="00267EBD"/>
    <w:rsid w:val="00270200"/>
    <w:rsid w:val="00270564"/>
    <w:rsid w:val="002708B8"/>
    <w:rsid w:val="00270D4E"/>
    <w:rsid w:val="002711D5"/>
    <w:rsid w:val="002714FA"/>
    <w:rsid w:val="00271B03"/>
    <w:rsid w:val="00273699"/>
    <w:rsid w:val="00273B76"/>
    <w:rsid w:val="00274544"/>
    <w:rsid w:val="002747FC"/>
    <w:rsid w:val="00274AAF"/>
    <w:rsid w:val="00274D2F"/>
    <w:rsid w:val="00275171"/>
    <w:rsid w:val="00275188"/>
    <w:rsid w:val="0027567D"/>
    <w:rsid w:val="00275EB0"/>
    <w:rsid w:val="002765D1"/>
    <w:rsid w:val="002768E1"/>
    <w:rsid w:val="00276E2F"/>
    <w:rsid w:val="00277553"/>
    <w:rsid w:val="002775CC"/>
    <w:rsid w:val="00277D49"/>
    <w:rsid w:val="00280417"/>
    <w:rsid w:val="0028060C"/>
    <w:rsid w:val="002807CB"/>
    <w:rsid w:val="00280F3B"/>
    <w:rsid w:val="002811DA"/>
    <w:rsid w:val="00281840"/>
    <w:rsid w:val="00281851"/>
    <w:rsid w:val="00281870"/>
    <w:rsid w:val="00281B6A"/>
    <w:rsid w:val="00281C2C"/>
    <w:rsid w:val="0028218D"/>
    <w:rsid w:val="00282901"/>
    <w:rsid w:val="002838EF"/>
    <w:rsid w:val="00283FA7"/>
    <w:rsid w:val="00284237"/>
    <w:rsid w:val="00284DE2"/>
    <w:rsid w:val="00285354"/>
    <w:rsid w:val="002853B1"/>
    <w:rsid w:val="002857DE"/>
    <w:rsid w:val="00285A45"/>
    <w:rsid w:val="00285CFF"/>
    <w:rsid w:val="00285D15"/>
    <w:rsid w:val="00286CCF"/>
    <w:rsid w:val="00287171"/>
    <w:rsid w:val="00287D88"/>
    <w:rsid w:val="002907B1"/>
    <w:rsid w:val="00290FF8"/>
    <w:rsid w:val="0029142B"/>
    <w:rsid w:val="00291FBD"/>
    <w:rsid w:val="0029217E"/>
    <w:rsid w:val="00292755"/>
    <w:rsid w:val="00292807"/>
    <w:rsid w:val="00292F46"/>
    <w:rsid w:val="00292F7D"/>
    <w:rsid w:val="00293A5F"/>
    <w:rsid w:val="00293AC5"/>
    <w:rsid w:val="00294074"/>
    <w:rsid w:val="002943B4"/>
    <w:rsid w:val="0029486D"/>
    <w:rsid w:val="00294983"/>
    <w:rsid w:val="002957E3"/>
    <w:rsid w:val="0029592F"/>
    <w:rsid w:val="00295977"/>
    <w:rsid w:val="00295D12"/>
    <w:rsid w:val="00295DCA"/>
    <w:rsid w:val="00295E4D"/>
    <w:rsid w:val="00295F04"/>
    <w:rsid w:val="00296067"/>
    <w:rsid w:val="00296589"/>
    <w:rsid w:val="00296BF7"/>
    <w:rsid w:val="002970EA"/>
    <w:rsid w:val="0029727F"/>
    <w:rsid w:val="002974A6"/>
    <w:rsid w:val="00297C80"/>
    <w:rsid w:val="002A0186"/>
    <w:rsid w:val="002A051B"/>
    <w:rsid w:val="002A0658"/>
    <w:rsid w:val="002A0C3C"/>
    <w:rsid w:val="002A0E37"/>
    <w:rsid w:val="002A13F1"/>
    <w:rsid w:val="002A1657"/>
    <w:rsid w:val="002A1964"/>
    <w:rsid w:val="002A2D48"/>
    <w:rsid w:val="002A2D63"/>
    <w:rsid w:val="002A3076"/>
    <w:rsid w:val="002A32CD"/>
    <w:rsid w:val="002A4C6E"/>
    <w:rsid w:val="002A4F46"/>
    <w:rsid w:val="002A54D9"/>
    <w:rsid w:val="002A55C5"/>
    <w:rsid w:val="002A5751"/>
    <w:rsid w:val="002A5753"/>
    <w:rsid w:val="002A6E54"/>
    <w:rsid w:val="002A742E"/>
    <w:rsid w:val="002A7B5A"/>
    <w:rsid w:val="002A7F2B"/>
    <w:rsid w:val="002B003D"/>
    <w:rsid w:val="002B036C"/>
    <w:rsid w:val="002B04BE"/>
    <w:rsid w:val="002B06CD"/>
    <w:rsid w:val="002B1143"/>
    <w:rsid w:val="002B159F"/>
    <w:rsid w:val="002B1BEA"/>
    <w:rsid w:val="002B1E5E"/>
    <w:rsid w:val="002B1FBE"/>
    <w:rsid w:val="002B20CA"/>
    <w:rsid w:val="002B2422"/>
    <w:rsid w:val="002B2467"/>
    <w:rsid w:val="002B2D98"/>
    <w:rsid w:val="002B30BB"/>
    <w:rsid w:val="002B342E"/>
    <w:rsid w:val="002B358A"/>
    <w:rsid w:val="002B35CC"/>
    <w:rsid w:val="002B4AD7"/>
    <w:rsid w:val="002B59F0"/>
    <w:rsid w:val="002B5B01"/>
    <w:rsid w:val="002B6654"/>
    <w:rsid w:val="002B698F"/>
    <w:rsid w:val="002B73FB"/>
    <w:rsid w:val="002B7497"/>
    <w:rsid w:val="002B76FE"/>
    <w:rsid w:val="002B7955"/>
    <w:rsid w:val="002B7F6D"/>
    <w:rsid w:val="002C06CE"/>
    <w:rsid w:val="002C1530"/>
    <w:rsid w:val="002C2175"/>
    <w:rsid w:val="002C2940"/>
    <w:rsid w:val="002C2A2C"/>
    <w:rsid w:val="002C2CE1"/>
    <w:rsid w:val="002C2E9E"/>
    <w:rsid w:val="002C2FA5"/>
    <w:rsid w:val="002C3068"/>
    <w:rsid w:val="002C3305"/>
    <w:rsid w:val="002C3AA7"/>
    <w:rsid w:val="002C40BE"/>
    <w:rsid w:val="002C423B"/>
    <w:rsid w:val="002C4317"/>
    <w:rsid w:val="002C4999"/>
    <w:rsid w:val="002C4A15"/>
    <w:rsid w:val="002C4FC0"/>
    <w:rsid w:val="002C51C7"/>
    <w:rsid w:val="002C5437"/>
    <w:rsid w:val="002C54A8"/>
    <w:rsid w:val="002C551A"/>
    <w:rsid w:val="002C566E"/>
    <w:rsid w:val="002C569F"/>
    <w:rsid w:val="002C56E1"/>
    <w:rsid w:val="002C591C"/>
    <w:rsid w:val="002C59A6"/>
    <w:rsid w:val="002C5DC6"/>
    <w:rsid w:val="002C615B"/>
    <w:rsid w:val="002C687A"/>
    <w:rsid w:val="002C6F5E"/>
    <w:rsid w:val="002C713B"/>
    <w:rsid w:val="002C736F"/>
    <w:rsid w:val="002C7374"/>
    <w:rsid w:val="002C7E46"/>
    <w:rsid w:val="002D030A"/>
    <w:rsid w:val="002D0D64"/>
    <w:rsid w:val="002D0E50"/>
    <w:rsid w:val="002D0EAC"/>
    <w:rsid w:val="002D1122"/>
    <w:rsid w:val="002D1694"/>
    <w:rsid w:val="002D21B1"/>
    <w:rsid w:val="002D3317"/>
    <w:rsid w:val="002D3559"/>
    <w:rsid w:val="002D37EE"/>
    <w:rsid w:val="002D3825"/>
    <w:rsid w:val="002D3881"/>
    <w:rsid w:val="002D3ADD"/>
    <w:rsid w:val="002D3D91"/>
    <w:rsid w:val="002D425B"/>
    <w:rsid w:val="002D557C"/>
    <w:rsid w:val="002D5768"/>
    <w:rsid w:val="002D6291"/>
    <w:rsid w:val="002D7205"/>
    <w:rsid w:val="002D750A"/>
    <w:rsid w:val="002D772D"/>
    <w:rsid w:val="002E0065"/>
    <w:rsid w:val="002E04A9"/>
    <w:rsid w:val="002E1045"/>
    <w:rsid w:val="002E12EF"/>
    <w:rsid w:val="002E1BB9"/>
    <w:rsid w:val="002E1C11"/>
    <w:rsid w:val="002E1DF2"/>
    <w:rsid w:val="002E257D"/>
    <w:rsid w:val="002E28DB"/>
    <w:rsid w:val="002E3534"/>
    <w:rsid w:val="002E359D"/>
    <w:rsid w:val="002E35C7"/>
    <w:rsid w:val="002E36C2"/>
    <w:rsid w:val="002E3EAA"/>
    <w:rsid w:val="002E401D"/>
    <w:rsid w:val="002E4311"/>
    <w:rsid w:val="002E43B9"/>
    <w:rsid w:val="002E576A"/>
    <w:rsid w:val="002E5B28"/>
    <w:rsid w:val="002E606F"/>
    <w:rsid w:val="002E62B3"/>
    <w:rsid w:val="002E6311"/>
    <w:rsid w:val="002E649A"/>
    <w:rsid w:val="002E6556"/>
    <w:rsid w:val="002E65F2"/>
    <w:rsid w:val="002E6F9C"/>
    <w:rsid w:val="002E7268"/>
    <w:rsid w:val="002E7B59"/>
    <w:rsid w:val="002E7D02"/>
    <w:rsid w:val="002F01DC"/>
    <w:rsid w:val="002F065D"/>
    <w:rsid w:val="002F07C6"/>
    <w:rsid w:val="002F0A7C"/>
    <w:rsid w:val="002F0A8F"/>
    <w:rsid w:val="002F0F94"/>
    <w:rsid w:val="002F12CD"/>
    <w:rsid w:val="002F1B0E"/>
    <w:rsid w:val="002F1CD3"/>
    <w:rsid w:val="002F1E0B"/>
    <w:rsid w:val="002F289C"/>
    <w:rsid w:val="002F289E"/>
    <w:rsid w:val="002F3073"/>
    <w:rsid w:val="002F347A"/>
    <w:rsid w:val="002F37C2"/>
    <w:rsid w:val="002F3F3B"/>
    <w:rsid w:val="002F4938"/>
    <w:rsid w:val="002F4A56"/>
    <w:rsid w:val="002F4D0C"/>
    <w:rsid w:val="002F557B"/>
    <w:rsid w:val="002F57EB"/>
    <w:rsid w:val="002F5A3C"/>
    <w:rsid w:val="002F66CA"/>
    <w:rsid w:val="002F773E"/>
    <w:rsid w:val="002F7B7C"/>
    <w:rsid w:val="003003F3"/>
    <w:rsid w:val="003003F9"/>
    <w:rsid w:val="00300709"/>
    <w:rsid w:val="003009AC"/>
    <w:rsid w:val="00300D81"/>
    <w:rsid w:val="003011D4"/>
    <w:rsid w:val="003015DF"/>
    <w:rsid w:val="00301891"/>
    <w:rsid w:val="003018E8"/>
    <w:rsid w:val="0030209B"/>
    <w:rsid w:val="003020F7"/>
    <w:rsid w:val="00302488"/>
    <w:rsid w:val="00302A09"/>
    <w:rsid w:val="00302A76"/>
    <w:rsid w:val="00302F37"/>
    <w:rsid w:val="0030327A"/>
    <w:rsid w:val="003032AB"/>
    <w:rsid w:val="003036D7"/>
    <w:rsid w:val="00303B4E"/>
    <w:rsid w:val="00304BDC"/>
    <w:rsid w:val="00304CD4"/>
    <w:rsid w:val="00304ED0"/>
    <w:rsid w:val="00305609"/>
    <w:rsid w:val="0030562A"/>
    <w:rsid w:val="003057A5"/>
    <w:rsid w:val="00305B3B"/>
    <w:rsid w:val="00305D1F"/>
    <w:rsid w:val="00305E9C"/>
    <w:rsid w:val="00306780"/>
    <w:rsid w:val="00306B81"/>
    <w:rsid w:val="0030704A"/>
    <w:rsid w:val="003070F2"/>
    <w:rsid w:val="00310314"/>
    <w:rsid w:val="0031033C"/>
    <w:rsid w:val="00310BDC"/>
    <w:rsid w:val="00310CAF"/>
    <w:rsid w:val="003110E3"/>
    <w:rsid w:val="003110EF"/>
    <w:rsid w:val="00311358"/>
    <w:rsid w:val="003120D5"/>
    <w:rsid w:val="003124F5"/>
    <w:rsid w:val="0031252F"/>
    <w:rsid w:val="00312D33"/>
    <w:rsid w:val="0031315D"/>
    <w:rsid w:val="003134B2"/>
    <w:rsid w:val="0031396B"/>
    <w:rsid w:val="003139A6"/>
    <w:rsid w:val="00313C60"/>
    <w:rsid w:val="00313F4E"/>
    <w:rsid w:val="00314117"/>
    <w:rsid w:val="0031452B"/>
    <w:rsid w:val="0031472B"/>
    <w:rsid w:val="00314AC9"/>
    <w:rsid w:val="003154E2"/>
    <w:rsid w:val="003155BD"/>
    <w:rsid w:val="0031613D"/>
    <w:rsid w:val="003161E9"/>
    <w:rsid w:val="00316BB2"/>
    <w:rsid w:val="00316DD2"/>
    <w:rsid w:val="00317540"/>
    <w:rsid w:val="003176ED"/>
    <w:rsid w:val="00317AC2"/>
    <w:rsid w:val="00317BBF"/>
    <w:rsid w:val="00317DF8"/>
    <w:rsid w:val="00317EDF"/>
    <w:rsid w:val="00320060"/>
    <w:rsid w:val="003201FA"/>
    <w:rsid w:val="003206AF"/>
    <w:rsid w:val="00320ED3"/>
    <w:rsid w:val="00321065"/>
    <w:rsid w:val="00321275"/>
    <w:rsid w:val="0032165E"/>
    <w:rsid w:val="003217BE"/>
    <w:rsid w:val="0032196C"/>
    <w:rsid w:val="00322069"/>
    <w:rsid w:val="00322AA8"/>
    <w:rsid w:val="0032494A"/>
    <w:rsid w:val="00324A37"/>
    <w:rsid w:val="00324E8F"/>
    <w:rsid w:val="0032537E"/>
    <w:rsid w:val="00325417"/>
    <w:rsid w:val="00325432"/>
    <w:rsid w:val="00325CD5"/>
    <w:rsid w:val="00326389"/>
    <w:rsid w:val="0032640E"/>
    <w:rsid w:val="0032655B"/>
    <w:rsid w:val="00326749"/>
    <w:rsid w:val="003268D2"/>
    <w:rsid w:val="003269D5"/>
    <w:rsid w:val="00327012"/>
    <w:rsid w:val="003277C4"/>
    <w:rsid w:val="003279E7"/>
    <w:rsid w:val="00330363"/>
    <w:rsid w:val="00330680"/>
    <w:rsid w:val="0033089F"/>
    <w:rsid w:val="00330AD8"/>
    <w:rsid w:val="003315F5"/>
    <w:rsid w:val="00331811"/>
    <w:rsid w:val="00331C47"/>
    <w:rsid w:val="003321D7"/>
    <w:rsid w:val="0033324D"/>
    <w:rsid w:val="00333CD5"/>
    <w:rsid w:val="00333D66"/>
    <w:rsid w:val="00333EF4"/>
    <w:rsid w:val="003345D4"/>
    <w:rsid w:val="00334B67"/>
    <w:rsid w:val="00334F58"/>
    <w:rsid w:val="00334FEA"/>
    <w:rsid w:val="003350D6"/>
    <w:rsid w:val="003359FF"/>
    <w:rsid w:val="00335AED"/>
    <w:rsid w:val="00336C52"/>
    <w:rsid w:val="00336D33"/>
    <w:rsid w:val="00336E3A"/>
    <w:rsid w:val="003370C9"/>
    <w:rsid w:val="00337129"/>
    <w:rsid w:val="00337317"/>
    <w:rsid w:val="00337A21"/>
    <w:rsid w:val="00337DA3"/>
    <w:rsid w:val="00340073"/>
    <w:rsid w:val="0034050B"/>
    <w:rsid w:val="00340B10"/>
    <w:rsid w:val="00341B6E"/>
    <w:rsid w:val="00342050"/>
    <w:rsid w:val="003420F9"/>
    <w:rsid w:val="003432FA"/>
    <w:rsid w:val="00343507"/>
    <w:rsid w:val="00343A52"/>
    <w:rsid w:val="00343BFD"/>
    <w:rsid w:val="00344957"/>
    <w:rsid w:val="00344BD6"/>
    <w:rsid w:val="00344D60"/>
    <w:rsid w:val="00344E59"/>
    <w:rsid w:val="003450C2"/>
    <w:rsid w:val="003454ED"/>
    <w:rsid w:val="00345847"/>
    <w:rsid w:val="00346600"/>
    <w:rsid w:val="0034676F"/>
    <w:rsid w:val="003467A2"/>
    <w:rsid w:val="003469AF"/>
    <w:rsid w:val="00346AA2"/>
    <w:rsid w:val="00346AB8"/>
    <w:rsid w:val="00346CB2"/>
    <w:rsid w:val="00347121"/>
    <w:rsid w:val="00347367"/>
    <w:rsid w:val="00347403"/>
    <w:rsid w:val="00347534"/>
    <w:rsid w:val="00347D6A"/>
    <w:rsid w:val="00350CA1"/>
    <w:rsid w:val="00350D45"/>
    <w:rsid w:val="003510C9"/>
    <w:rsid w:val="00351757"/>
    <w:rsid w:val="003519DA"/>
    <w:rsid w:val="00351BE3"/>
    <w:rsid w:val="003523B3"/>
    <w:rsid w:val="00352433"/>
    <w:rsid w:val="00352A2C"/>
    <w:rsid w:val="00352DA9"/>
    <w:rsid w:val="00353629"/>
    <w:rsid w:val="00353E8B"/>
    <w:rsid w:val="003540E9"/>
    <w:rsid w:val="00354133"/>
    <w:rsid w:val="00354CD3"/>
    <w:rsid w:val="00355569"/>
    <w:rsid w:val="0035556C"/>
    <w:rsid w:val="003564FA"/>
    <w:rsid w:val="00356903"/>
    <w:rsid w:val="00356CAF"/>
    <w:rsid w:val="00357571"/>
    <w:rsid w:val="00357712"/>
    <w:rsid w:val="00357AD6"/>
    <w:rsid w:val="00360D72"/>
    <w:rsid w:val="00360FBD"/>
    <w:rsid w:val="00361255"/>
    <w:rsid w:val="00361B6F"/>
    <w:rsid w:val="003621BC"/>
    <w:rsid w:val="0036298B"/>
    <w:rsid w:val="00362D2B"/>
    <w:rsid w:val="003634ED"/>
    <w:rsid w:val="00364460"/>
    <w:rsid w:val="00364C61"/>
    <w:rsid w:val="003656AB"/>
    <w:rsid w:val="00365943"/>
    <w:rsid w:val="00365F70"/>
    <w:rsid w:val="00365F8E"/>
    <w:rsid w:val="003665C3"/>
    <w:rsid w:val="0036689B"/>
    <w:rsid w:val="00366D42"/>
    <w:rsid w:val="00367160"/>
    <w:rsid w:val="0036753F"/>
    <w:rsid w:val="003700CA"/>
    <w:rsid w:val="0037015B"/>
    <w:rsid w:val="0037020E"/>
    <w:rsid w:val="00370671"/>
    <w:rsid w:val="00370DC9"/>
    <w:rsid w:val="00371A95"/>
    <w:rsid w:val="00371C57"/>
    <w:rsid w:val="00371CBD"/>
    <w:rsid w:val="00372038"/>
    <w:rsid w:val="0037245E"/>
    <w:rsid w:val="00372594"/>
    <w:rsid w:val="00372E44"/>
    <w:rsid w:val="00372E8A"/>
    <w:rsid w:val="00373429"/>
    <w:rsid w:val="0037344E"/>
    <w:rsid w:val="00373811"/>
    <w:rsid w:val="00373928"/>
    <w:rsid w:val="00373D64"/>
    <w:rsid w:val="00374786"/>
    <w:rsid w:val="003748B4"/>
    <w:rsid w:val="00374A8F"/>
    <w:rsid w:val="003755B3"/>
    <w:rsid w:val="00375857"/>
    <w:rsid w:val="00375C6D"/>
    <w:rsid w:val="0037613E"/>
    <w:rsid w:val="00376F54"/>
    <w:rsid w:val="0037711B"/>
    <w:rsid w:val="00377232"/>
    <w:rsid w:val="00377357"/>
    <w:rsid w:val="00377883"/>
    <w:rsid w:val="00377AD7"/>
    <w:rsid w:val="00380102"/>
    <w:rsid w:val="003806F7"/>
    <w:rsid w:val="0038077B"/>
    <w:rsid w:val="00380FE4"/>
    <w:rsid w:val="003816C4"/>
    <w:rsid w:val="00381DAE"/>
    <w:rsid w:val="003821C1"/>
    <w:rsid w:val="003826C8"/>
    <w:rsid w:val="003829D6"/>
    <w:rsid w:val="00383097"/>
    <w:rsid w:val="003831E2"/>
    <w:rsid w:val="00383A09"/>
    <w:rsid w:val="00383B87"/>
    <w:rsid w:val="00383F65"/>
    <w:rsid w:val="00384C43"/>
    <w:rsid w:val="00385BC6"/>
    <w:rsid w:val="00385F5C"/>
    <w:rsid w:val="00387A6C"/>
    <w:rsid w:val="00390B09"/>
    <w:rsid w:val="00390E7C"/>
    <w:rsid w:val="00391E8C"/>
    <w:rsid w:val="003923A0"/>
    <w:rsid w:val="00392652"/>
    <w:rsid w:val="003929A1"/>
    <w:rsid w:val="00392A6B"/>
    <w:rsid w:val="00392DB6"/>
    <w:rsid w:val="00393554"/>
    <w:rsid w:val="0039365A"/>
    <w:rsid w:val="00393E2D"/>
    <w:rsid w:val="0039470E"/>
    <w:rsid w:val="00394E3A"/>
    <w:rsid w:val="00394F80"/>
    <w:rsid w:val="003950BB"/>
    <w:rsid w:val="00395540"/>
    <w:rsid w:val="00395C72"/>
    <w:rsid w:val="00396B14"/>
    <w:rsid w:val="00396BF9"/>
    <w:rsid w:val="00396D21"/>
    <w:rsid w:val="00396EDD"/>
    <w:rsid w:val="00396F7D"/>
    <w:rsid w:val="0039774D"/>
    <w:rsid w:val="00397879"/>
    <w:rsid w:val="00397C31"/>
    <w:rsid w:val="00397CDC"/>
    <w:rsid w:val="00397FE5"/>
    <w:rsid w:val="003A02C2"/>
    <w:rsid w:val="003A04E1"/>
    <w:rsid w:val="003A052A"/>
    <w:rsid w:val="003A067F"/>
    <w:rsid w:val="003A0E03"/>
    <w:rsid w:val="003A0F93"/>
    <w:rsid w:val="003A0FB5"/>
    <w:rsid w:val="003A1044"/>
    <w:rsid w:val="003A1153"/>
    <w:rsid w:val="003A15E8"/>
    <w:rsid w:val="003A1A3C"/>
    <w:rsid w:val="003A1B8D"/>
    <w:rsid w:val="003A1ED2"/>
    <w:rsid w:val="003A2DC9"/>
    <w:rsid w:val="003A2F5F"/>
    <w:rsid w:val="003A30AE"/>
    <w:rsid w:val="003A3270"/>
    <w:rsid w:val="003A445D"/>
    <w:rsid w:val="003A44E9"/>
    <w:rsid w:val="003A5382"/>
    <w:rsid w:val="003A553A"/>
    <w:rsid w:val="003A575A"/>
    <w:rsid w:val="003A5900"/>
    <w:rsid w:val="003A5C1D"/>
    <w:rsid w:val="003A5DB4"/>
    <w:rsid w:val="003A5F34"/>
    <w:rsid w:val="003A6085"/>
    <w:rsid w:val="003A6E3B"/>
    <w:rsid w:val="003A75C1"/>
    <w:rsid w:val="003A7718"/>
    <w:rsid w:val="003A773D"/>
    <w:rsid w:val="003A78AC"/>
    <w:rsid w:val="003B0006"/>
    <w:rsid w:val="003B0FFF"/>
    <w:rsid w:val="003B1091"/>
    <w:rsid w:val="003B132F"/>
    <w:rsid w:val="003B1464"/>
    <w:rsid w:val="003B1BC3"/>
    <w:rsid w:val="003B1E51"/>
    <w:rsid w:val="003B21CF"/>
    <w:rsid w:val="003B22B2"/>
    <w:rsid w:val="003B23CC"/>
    <w:rsid w:val="003B2A8B"/>
    <w:rsid w:val="003B320B"/>
    <w:rsid w:val="003B34A1"/>
    <w:rsid w:val="003B363D"/>
    <w:rsid w:val="003B36C1"/>
    <w:rsid w:val="003B3803"/>
    <w:rsid w:val="003B3A84"/>
    <w:rsid w:val="003B40A3"/>
    <w:rsid w:val="003B4656"/>
    <w:rsid w:val="003B56AF"/>
    <w:rsid w:val="003B6135"/>
    <w:rsid w:val="003B6E20"/>
    <w:rsid w:val="003B6F36"/>
    <w:rsid w:val="003B79FB"/>
    <w:rsid w:val="003B7D3F"/>
    <w:rsid w:val="003B7FBE"/>
    <w:rsid w:val="003C059F"/>
    <w:rsid w:val="003C16C6"/>
    <w:rsid w:val="003C1710"/>
    <w:rsid w:val="003C1D0D"/>
    <w:rsid w:val="003C232C"/>
    <w:rsid w:val="003C2E99"/>
    <w:rsid w:val="003C3001"/>
    <w:rsid w:val="003C35E6"/>
    <w:rsid w:val="003C397B"/>
    <w:rsid w:val="003C43CD"/>
    <w:rsid w:val="003C484E"/>
    <w:rsid w:val="003C4EB5"/>
    <w:rsid w:val="003C5050"/>
    <w:rsid w:val="003C50CE"/>
    <w:rsid w:val="003C5288"/>
    <w:rsid w:val="003C537A"/>
    <w:rsid w:val="003C5D75"/>
    <w:rsid w:val="003C6083"/>
    <w:rsid w:val="003C6BC5"/>
    <w:rsid w:val="003C7696"/>
    <w:rsid w:val="003D017C"/>
    <w:rsid w:val="003D02F0"/>
    <w:rsid w:val="003D0516"/>
    <w:rsid w:val="003D09B4"/>
    <w:rsid w:val="003D0D59"/>
    <w:rsid w:val="003D1AC5"/>
    <w:rsid w:val="003D1B59"/>
    <w:rsid w:val="003D1D3C"/>
    <w:rsid w:val="003D1D80"/>
    <w:rsid w:val="003D1EED"/>
    <w:rsid w:val="003D24BA"/>
    <w:rsid w:val="003D3B93"/>
    <w:rsid w:val="003D47C1"/>
    <w:rsid w:val="003D4B69"/>
    <w:rsid w:val="003D4F08"/>
    <w:rsid w:val="003D4FAB"/>
    <w:rsid w:val="003D4FAD"/>
    <w:rsid w:val="003D5A6F"/>
    <w:rsid w:val="003D5CB9"/>
    <w:rsid w:val="003D5DB1"/>
    <w:rsid w:val="003D6062"/>
    <w:rsid w:val="003D61FE"/>
    <w:rsid w:val="003D656E"/>
    <w:rsid w:val="003D666D"/>
    <w:rsid w:val="003D6902"/>
    <w:rsid w:val="003D7321"/>
    <w:rsid w:val="003E014B"/>
    <w:rsid w:val="003E0240"/>
    <w:rsid w:val="003E038A"/>
    <w:rsid w:val="003E0405"/>
    <w:rsid w:val="003E0CF9"/>
    <w:rsid w:val="003E1371"/>
    <w:rsid w:val="003E196A"/>
    <w:rsid w:val="003E2368"/>
    <w:rsid w:val="003E24CC"/>
    <w:rsid w:val="003E2717"/>
    <w:rsid w:val="003E2E2E"/>
    <w:rsid w:val="003E3AC0"/>
    <w:rsid w:val="003E3C5D"/>
    <w:rsid w:val="003E3D78"/>
    <w:rsid w:val="003E3DBA"/>
    <w:rsid w:val="003E4571"/>
    <w:rsid w:val="003E48D0"/>
    <w:rsid w:val="003E4CE0"/>
    <w:rsid w:val="003E4CF1"/>
    <w:rsid w:val="003E555E"/>
    <w:rsid w:val="003E559B"/>
    <w:rsid w:val="003E5954"/>
    <w:rsid w:val="003E5B22"/>
    <w:rsid w:val="003E621E"/>
    <w:rsid w:val="003E649A"/>
    <w:rsid w:val="003E7169"/>
    <w:rsid w:val="003E73D5"/>
    <w:rsid w:val="003E7558"/>
    <w:rsid w:val="003E7AA0"/>
    <w:rsid w:val="003E7ED1"/>
    <w:rsid w:val="003F0B44"/>
    <w:rsid w:val="003F0BBC"/>
    <w:rsid w:val="003F1204"/>
    <w:rsid w:val="003F1FB2"/>
    <w:rsid w:val="003F1FCF"/>
    <w:rsid w:val="003F25D3"/>
    <w:rsid w:val="003F2651"/>
    <w:rsid w:val="003F2C8D"/>
    <w:rsid w:val="003F2D98"/>
    <w:rsid w:val="003F33D3"/>
    <w:rsid w:val="003F3842"/>
    <w:rsid w:val="003F39B1"/>
    <w:rsid w:val="003F3E4C"/>
    <w:rsid w:val="003F3F14"/>
    <w:rsid w:val="003F4824"/>
    <w:rsid w:val="003F4AFE"/>
    <w:rsid w:val="003F5A11"/>
    <w:rsid w:val="003F5B77"/>
    <w:rsid w:val="003F61D7"/>
    <w:rsid w:val="003F6288"/>
    <w:rsid w:val="003F6714"/>
    <w:rsid w:val="003F6AD4"/>
    <w:rsid w:val="003F7008"/>
    <w:rsid w:val="003F70E0"/>
    <w:rsid w:val="003F7508"/>
    <w:rsid w:val="003F7C9B"/>
    <w:rsid w:val="003F7F1F"/>
    <w:rsid w:val="004003A2"/>
    <w:rsid w:val="00400EC1"/>
    <w:rsid w:val="00401185"/>
    <w:rsid w:val="00401CF2"/>
    <w:rsid w:val="0040211B"/>
    <w:rsid w:val="0040236B"/>
    <w:rsid w:val="00402635"/>
    <w:rsid w:val="0040265D"/>
    <w:rsid w:val="00402A43"/>
    <w:rsid w:val="00402AD3"/>
    <w:rsid w:val="00402FF5"/>
    <w:rsid w:val="0040305B"/>
    <w:rsid w:val="00403C9F"/>
    <w:rsid w:val="004045CC"/>
    <w:rsid w:val="00404638"/>
    <w:rsid w:val="004048DD"/>
    <w:rsid w:val="00404A27"/>
    <w:rsid w:val="00405453"/>
    <w:rsid w:val="00405739"/>
    <w:rsid w:val="00406853"/>
    <w:rsid w:val="00406988"/>
    <w:rsid w:val="00406A35"/>
    <w:rsid w:val="00406C0C"/>
    <w:rsid w:val="004075C4"/>
    <w:rsid w:val="00407B49"/>
    <w:rsid w:val="004102A7"/>
    <w:rsid w:val="00410993"/>
    <w:rsid w:val="0041139A"/>
    <w:rsid w:val="004115D4"/>
    <w:rsid w:val="004123D9"/>
    <w:rsid w:val="004128F8"/>
    <w:rsid w:val="00412957"/>
    <w:rsid w:val="00412C02"/>
    <w:rsid w:val="00412D6D"/>
    <w:rsid w:val="0041367F"/>
    <w:rsid w:val="0041372D"/>
    <w:rsid w:val="00413E2B"/>
    <w:rsid w:val="00414537"/>
    <w:rsid w:val="004149C3"/>
    <w:rsid w:val="00414AB2"/>
    <w:rsid w:val="00415010"/>
    <w:rsid w:val="004151EB"/>
    <w:rsid w:val="004156B6"/>
    <w:rsid w:val="00415B87"/>
    <w:rsid w:val="00415BBD"/>
    <w:rsid w:val="00415C97"/>
    <w:rsid w:val="00416058"/>
    <w:rsid w:val="004166CF"/>
    <w:rsid w:val="00416841"/>
    <w:rsid w:val="00416B17"/>
    <w:rsid w:val="004171A6"/>
    <w:rsid w:val="00417427"/>
    <w:rsid w:val="00417571"/>
    <w:rsid w:val="004178E6"/>
    <w:rsid w:val="0041790C"/>
    <w:rsid w:val="00417AFB"/>
    <w:rsid w:val="0042013D"/>
    <w:rsid w:val="00420436"/>
    <w:rsid w:val="00421A34"/>
    <w:rsid w:val="00422198"/>
    <w:rsid w:val="00422251"/>
    <w:rsid w:val="004222BC"/>
    <w:rsid w:val="004224B0"/>
    <w:rsid w:val="004231D5"/>
    <w:rsid w:val="00423217"/>
    <w:rsid w:val="00423BA0"/>
    <w:rsid w:val="00423C98"/>
    <w:rsid w:val="004240E1"/>
    <w:rsid w:val="00424573"/>
    <w:rsid w:val="00424840"/>
    <w:rsid w:val="004249C4"/>
    <w:rsid w:val="00424A2A"/>
    <w:rsid w:val="004257CF"/>
    <w:rsid w:val="00425FE5"/>
    <w:rsid w:val="0042606A"/>
    <w:rsid w:val="0042606D"/>
    <w:rsid w:val="004261AD"/>
    <w:rsid w:val="00426324"/>
    <w:rsid w:val="00426902"/>
    <w:rsid w:val="00426951"/>
    <w:rsid w:val="00426A34"/>
    <w:rsid w:val="00426ADC"/>
    <w:rsid w:val="00426C50"/>
    <w:rsid w:val="00426D5B"/>
    <w:rsid w:val="00427068"/>
    <w:rsid w:val="0042727B"/>
    <w:rsid w:val="00427866"/>
    <w:rsid w:val="00430270"/>
    <w:rsid w:val="004302ED"/>
    <w:rsid w:val="00430308"/>
    <w:rsid w:val="00430375"/>
    <w:rsid w:val="004305B7"/>
    <w:rsid w:val="00430AA4"/>
    <w:rsid w:val="00430B18"/>
    <w:rsid w:val="00430B37"/>
    <w:rsid w:val="004311C5"/>
    <w:rsid w:val="0043139E"/>
    <w:rsid w:val="004319ED"/>
    <w:rsid w:val="00431A08"/>
    <w:rsid w:val="0043235B"/>
    <w:rsid w:val="0043242D"/>
    <w:rsid w:val="004325FF"/>
    <w:rsid w:val="00432848"/>
    <w:rsid w:val="0043284D"/>
    <w:rsid w:val="00432AC4"/>
    <w:rsid w:val="00432FC9"/>
    <w:rsid w:val="0043354B"/>
    <w:rsid w:val="00433A3D"/>
    <w:rsid w:val="00433AD8"/>
    <w:rsid w:val="00433CA1"/>
    <w:rsid w:val="004341F0"/>
    <w:rsid w:val="00434A8B"/>
    <w:rsid w:val="00434E72"/>
    <w:rsid w:val="00435473"/>
    <w:rsid w:val="0043576B"/>
    <w:rsid w:val="004357B4"/>
    <w:rsid w:val="004359C5"/>
    <w:rsid w:val="00435F98"/>
    <w:rsid w:val="00435FE9"/>
    <w:rsid w:val="00436206"/>
    <w:rsid w:val="0043757A"/>
    <w:rsid w:val="00437582"/>
    <w:rsid w:val="0043788A"/>
    <w:rsid w:val="00440342"/>
    <w:rsid w:val="004406BD"/>
    <w:rsid w:val="004408D1"/>
    <w:rsid w:val="00440D4E"/>
    <w:rsid w:val="004414E6"/>
    <w:rsid w:val="004414EF"/>
    <w:rsid w:val="00441977"/>
    <w:rsid w:val="00441B89"/>
    <w:rsid w:val="00441FD8"/>
    <w:rsid w:val="004424E6"/>
    <w:rsid w:val="00442518"/>
    <w:rsid w:val="0044299D"/>
    <w:rsid w:val="00442FCD"/>
    <w:rsid w:val="00444272"/>
    <w:rsid w:val="00444295"/>
    <w:rsid w:val="00444714"/>
    <w:rsid w:val="00444F94"/>
    <w:rsid w:val="00445696"/>
    <w:rsid w:val="00445B7E"/>
    <w:rsid w:val="00445BC4"/>
    <w:rsid w:val="00445E7B"/>
    <w:rsid w:val="004468C4"/>
    <w:rsid w:val="00447737"/>
    <w:rsid w:val="00447BEE"/>
    <w:rsid w:val="00447D0D"/>
    <w:rsid w:val="00450412"/>
    <w:rsid w:val="004504AA"/>
    <w:rsid w:val="00450C2E"/>
    <w:rsid w:val="00450DA2"/>
    <w:rsid w:val="004510EA"/>
    <w:rsid w:val="004515DA"/>
    <w:rsid w:val="00451618"/>
    <w:rsid w:val="00451A0B"/>
    <w:rsid w:val="004537A0"/>
    <w:rsid w:val="00453CC2"/>
    <w:rsid w:val="00453DB6"/>
    <w:rsid w:val="00453F33"/>
    <w:rsid w:val="00453F82"/>
    <w:rsid w:val="00454257"/>
    <w:rsid w:val="00454259"/>
    <w:rsid w:val="004551C0"/>
    <w:rsid w:val="004553BE"/>
    <w:rsid w:val="00455A10"/>
    <w:rsid w:val="00456142"/>
    <w:rsid w:val="00456B62"/>
    <w:rsid w:val="00456EC6"/>
    <w:rsid w:val="00456F0B"/>
    <w:rsid w:val="00456F7D"/>
    <w:rsid w:val="004573EF"/>
    <w:rsid w:val="004573F5"/>
    <w:rsid w:val="0045752E"/>
    <w:rsid w:val="00457C7B"/>
    <w:rsid w:val="00460349"/>
    <w:rsid w:val="004607A5"/>
    <w:rsid w:val="0046083D"/>
    <w:rsid w:val="00461564"/>
    <w:rsid w:val="00461937"/>
    <w:rsid w:val="00461A19"/>
    <w:rsid w:val="004620A0"/>
    <w:rsid w:val="004620D1"/>
    <w:rsid w:val="004624D5"/>
    <w:rsid w:val="0046275B"/>
    <w:rsid w:val="00462824"/>
    <w:rsid w:val="00463479"/>
    <w:rsid w:val="0046375A"/>
    <w:rsid w:val="004638D4"/>
    <w:rsid w:val="00463C52"/>
    <w:rsid w:val="00463D90"/>
    <w:rsid w:val="0046412D"/>
    <w:rsid w:val="00464135"/>
    <w:rsid w:val="004644C4"/>
    <w:rsid w:val="00464D47"/>
    <w:rsid w:val="0046503C"/>
    <w:rsid w:val="0046520D"/>
    <w:rsid w:val="004652F0"/>
    <w:rsid w:val="00465643"/>
    <w:rsid w:val="00465759"/>
    <w:rsid w:val="00465CFA"/>
    <w:rsid w:val="00465DA9"/>
    <w:rsid w:val="004667CC"/>
    <w:rsid w:val="004668D2"/>
    <w:rsid w:val="00466A61"/>
    <w:rsid w:val="00467114"/>
    <w:rsid w:val="00467529"/>
    <w:rsid w:val="0046754B"/>
    <w:rsid w:val="0047019B"/>
    <w:rsid w:val="00470508"/>
    <w:rsid w:val="004707A5"/>
    <w:rsid w:val="00470E87"/>
    <w:rsid w:val="00471DEF"/>
    <w:rsid w:val="00472065"/>
    <w:rsid w:val="004727AC"/>
    <w:rsid w:val="004730C6"/>
    <w:rsid w:val="004730DF"/>
    <w:rsid w:val="0047339D"/>
    <w:rsid w:val="0047366A"/>
    <w:rsid w:val="00473E7F"/>
    <w:rsid w:val="004740B2"/>
    <w:rsid w:val="0047469B"/>
    <w:rsid w:val="00474946"/>
    <w:rsid w:val="004750B3"/>
    <w:rsid w:val="00475A18"/>
    <w:rsid w:val="00475A78"/>
    <w:rsid w:val="00475D25"/>
    <w:rsid w:val="00476233"/>
    <w:rsid w:val="00476825"/>
    <w:rsid w:val="00476AAD"/>
    <w:rsid w:val="00476F56"/>
    <w:rsid w:val="0047703A"/>
    <w:rsid w:val="00477200"/>
    <w:rsid w:val="004773DA"/>
    <w:rsid w:val="004776A6"/>
    <w:rsid w:val="00477FFD"/>
    <w:rsid w:val="0048000F"/>
    <w:rsid w:val="00480332"/>
    <w:rsid w:val="0048098A"/>
    <w:rsid w:val="004813F4"/>
    <w:rsid w:val="0048206D"/>
    <w:rsid w:val="00482387"/>
    <w:rsid w:val="00482A83"/>
    <w:rsid w:val="00483D55"/>
    <w:rsid w:val="00484023"/>
    <w:rsid w:val="0048418C"/>
    <w:rsid w:val="00484323"/>
    <w:rsid w:val="004844C5"/>
    <w:rsid w:val="00484B3B"/>
    <w:rsid w:val="00484C1E"/>
    <w:rsid w:val="00485A4C"/>
    <w:rsid w:val="00485DFE"/>
    <w:rsid w:val="00485E4F"/>
    <w:rsid w:val="00485F56"/>
    <w:rsid w:val="00485FC8"/>
    <w:rsid w:val="004862FF"/>
    <w:rsid w:val="00486663"/>
    <w:rsid w:val="00486D9D"/>
    <w:rsid w:val="0048731C"/>
    <w:rsid w:val="00487E3F"/>
    <w:rsid w:val="00490282"/>
    <w:rsid w:val="0049046F"/>
    <w:rsid w:val="0049054B"/>
    <w:rsid w:val="004907D8"/>
    <w:rsid w:val="00491092"/>
    <w:rsid w:val="0049131A"/>
    <w:rsid w:val="004914E1"/>
    <w:rsid w:val="00491546"/>
    <w:rsid w:val="0049159C"/>
    <w:rsid w:val="004916FC"/>
    <w:rsid w:val="00491908"/>
    <w:rsid w:val="00492F3A"/>
    <w:rsid w:val="004937A7"/>
    <w:rsid w:val="00493FD1"/>
    <w:rsid w:val="004941A0"/>
    <w:rsid w:val="00494607"/>
    <w:rsid w:val="00494B27"/>
    <w:rsid w:val="00494E5B"/>
    <w:rsid w:val="00494EA1"/>
    <w:rsid w:val="0049515E"/>
    <w:rsid w:val="00495905"/>
    <w:rsid w:val="00496166"/>
    <w:rsid w:val="00496613"/>
    <w:rsid w:val="00496F0E"/>
    <w:rsid w:val="00496F9C"/>
    <w:rsid w:val="00497353"/>
    <w:rsid w:val="0049738C"/>
    <w:rsid w:val="00497406"/>
    <w:rsid w:val="004975ED"/>
    <w:rsid w:val="00497659"/>
    <w:rsid w:val="004A0308"/>
    <w:rsid w:val="004A0372"/>
    <w:rsid w:val="004A03BF"/>
    <w:rsid w:val="004A05B9"/>
    <w:rsid w:val="004A0A25"/>
    <w:rsid w:val="004A0C51"/>
    <w:rsid w:val="004A125F"/>
    <w:rsid w:val="004A14B3"/>
    <w:rsid w:val="004A166D"/>
    <w:rsid w:val="004A1B24"/>
    <w:rsid w:val="004A1EF4"/>
    <w:rsid w:val="004A20DC"/>
    <w:rsid w:val="004A2BD3"/>
    <w:rsid w:val="004A2F2B"/>
    <w:rsid w:val="004A2FA8"/>
    <w:rsid w:val="004A3946"/>
    <w:rsid w:val="004A4BA2"/>
    <w:rsid w:val="004A4EAC"/>
    <w:rsid w:val="004A50D2"/>
    <w:rsid w:val="004A52D4"/>
    <w:rsid w:val="004A55CE"/>
    <w:rsid w:val="004A5696"/>
    <w:rsid w:val="004A57CE"/>
    <w:rsid w:val="004A5B6B"/>
    <w:rsid w:val="004A60F1"/>
    <w:rsid w:val="004A678D"/>
    <w:rsid w:val="004A69B6"/>
    <w:rsid w:val="004A6BD1"/>
    <w:rsid w:val="004A704E"/>
    <w:rsid w:val="004A7555"/>
    <w:rsid w:val="004A7719"/>
    <w:rsid w:val="004A785C"/>
    <w:rsid w:val="004A7BAD"/>
    <w:rsid w:val="004B02C3"/>
    <w:rsid w:val="004B08D9"/>
    <w:rsid w:val="004B0B81"/>
    <w:rsid w:val="004B1226"/>
    <w:rsid w:val="004B17DD"/>
    <w:rsid w:val="004B19C6"/>
    <w:rsid w:val="004B1D1A"/>
    <w:rsid w:val="004B26FB"/>
    <w:rsid w:val="004B293F"/>
    <w:rsid w:val="004B2EDB"/>
    <w:rsid w:val="004B2F3B"/>
    <w:rsid w:val="004B31D2"/>
    <w:rsid w:val="004B3396"/>
    <w:rsid w:val="004B3765"/>
    <w:rsid w:val="004B3997"/>
    <w:rsid w:val="004B3A8D"/>
    <w:rsid w:val="004B3BD9"/>
    <w:rsid w:val="004B3BF7"/>
    <w:rsid w:val="004B4014"/>
    <w:rsid w:val="004B41CC"/>
    <w:rsid w:val="004B4727"/>
    <w:rsid w:val="004B4F92"/>
    <w:rsid w:val="004B51AD"/>
    <w:rsid w:val="004B53F3"/>
    <w:rsid w:val="004B56A6"/>
    <w:rsid w:val="004B56FD"/>
    <w:rsid w:val="004B6172"/>
    <w:rsid w:val="004B6452"/>
    <w:rsid w:val="004B6495"/>
    <w:rsid w:val="004B6FB7"/>
    <w:rsid w:val="004C0301"/>
    <w:rsid w:val="004C0360"/>
    <w:rsid w:val="004C10ED"/>
    <w:rsid w:val="004C1A38"/>
    <w:rsid w:val="004C1AAB"/>
    <w:rsid w:val="004C1FE3"/>
    <w:rsid w:val="004C219D"/>
    <w:rsid w:val="004C2A13"/>
    <w:rsid w:val="004C35D0"/>
    <w:rsid w:val="004C3937"/>
    <w:rsid w:val="004C3FD2"/>
    <w:rsid w:val="004C417E"/>
    <w:rsid w:val="004C47F3"/>
    <w:rsid w:val="004C4E07"/>
    <w:rsid w:val="004C4E65"/>
    <w:rsid w:val="004C5070"/>
    <w:rsid w:val="004C5846"/>
    <w:rsid w:val="004C5959"/>
    <w:rsid w:val="004C59B8"/>
    <w:rsid w:val="004C5B35"/>
    <w:rsid w:val="004C5DDC"/>
    <w:rsid w:val="004C5E29"/>
    <w:rsid w:val="004C6917"/>
    <w:rsid w:val="004C6B8C"/>
    <w:rsid w:val="004C6EA9"/>
    <w:rsid w:val="004C76FF"/>
    <w:rsid w:val="004C7E96"/>
    <w:rsid w:val="004C7EE2"/>
    <w:rsid w:val="004D028A"/>
    <w:rsid w:val="004D031E"/>
    <w:rsid w:val="004D0744"/>
    <w:rsid w:val="004D1042"/>
    <w:rsid w:val="004D1073"/>
    <w:rsid w:val="004D1B9D"/>
    <w:rsid w:val="004D1C01"/>
    <w:rsid w:val="004D2C6E"/>
    <w:rsid w:val="004D2ED6"/>
    <w:rsid w:val="004D30FA"/>
    <w:rsid w:val="004D3758"/>
    <w:rsid w:val="004D40C7"/>
    <w:rsid w:val="004D4117"/>
    <w:rsid w:val="004D524A"/>
    <w:rsid w:val="004D5513"/>
    <w:rsid w:val="004D5B11"/>
    <w:rsid w:val="004D6BD8"/>
    <w:rsid w:val="004D6C91"/>
    <w:rsid w:val="004D7849"/>
    <w:rsid w:val="004D78E9"/>
    <w:rsid w:val="004D7AE0"/>
    <w:rsid w:val="004D7F13"/>
    <w:rsid w:val="004E0F87"/>
    <w:rsid w:val="004E1C3A"/>
    <w:rsid w:val="004E1EAD"/>
    <w:rsid w:val="004E1FBC"/>
    <w:rsid w:val="004E234D"/>
    <w:rsid w:val="004E2854"/>
    <w:rsid w:val="004E3BC7"/>
    <w:rsid w:val="004E4030"/>
    <w:rsid w:val="004E419E"/>
    <w:rsid w:val="004E4536"/>
    <w:rsid w:val="004E4987"/>
    <w:rsid w:val="004E4F87"/>
    <w:rsid w:val="004E51DE"/>
    <w:rsid w:val="004E54D8"/>
    <w:rsid w:val="004E5659"/>
    <w:rsid w:val="004E5D1C"/>
    <w:rsid w:val="004E5F2A"/>
    <w:rsid w:val="004E5FA3"/>
    <w:rsid w:val="004E5FF8"/>
    <w:rsid w:val="004E617E"/>
    <w:rsid w:val="004E61AC"/>
    <w:rsid w:val="004E6315"/>
    <w:rsid w:val="004E723E"/>
    <w:rsid w:val="004E741E"/>
    <w:rsid w:val="004E7753"/>
    <w:rsid w:val="004E7F43"/>
    <w:rsid w:val="004F01A2"/>
    <w:rsid w:val="004F02D7"/>
    <w:rsid w:val="004F0326"/>
    <w:rsid w:val="004F0331"/>
    <w:rsid w:val="004F03A9"/>
    <w:rsid w:val="004F05EF"/>
    <w:rsid w:val="004F13B9"/>
    <w:rsid w:val="004F17A3"/>
    <w:rsid w:val="004F18EB"/>
    <w:rsid w:val="004F19E6"/>
    <w:rsid w:val="004F1A10"/>
    <w:rsid w:val="004F27FB"/>
    <w:rsid w:val="004F30AE"/>
    <w:rsid w:val="004F3BEE"/>
    <w:rsid w:val="004F4117"/>
    <w:rsid w:val="004F4161"/>
    <w:rsid w:val="004F4296"/>
    <w:rsid w:val="004F452E"/>
    <w:rsid w:val="004F4EB7"/>
    <w:rsid w:val="004F5AC2"/>
    <w:rsid w:val="004F5C2F"/>
    <w:rsid w:val="004F5F52"/>
    <w:rsid w:val="004F641D"/>
    <w:rsid w:val="004F64A1"/>
    <w:rsid w:val="004F6BEB"/>
    <w:rsid w:val="004F6FEB"/>
    <w:rsid w:val="004F780C"/>
    <w:rsid w:val="004F782C"/>
    <w:rsid w:val="004F7B28"/>
    <w:rsid w:val="00500263"/>
    <w:rsid w:val="00500DA4"/>
    <w:rsid w:val="00500FBC"/>
    <w:rsid w:val="005012C6"/>
    <w:rsid w:val="005018D2"/>
    <w:rsid w:val="0050193D"/>
    <w:rsid w:val="005019DF"/>
    <w:rsid w:val="00501B6A"/>
    <w:rsid w:val="00501B7D"/>
    <w:rsid w:val="00501C1C"/>
    <w:rsid w:val="00501D79"/>
    <w:rsid w:val="00502C6B"/>
    <w:rsid w:val="00502CB4"/>
    <w:rsid w:val="0050313D"/>
    <w:rsid w:val="00503B2C"/>
    <w:rsid w:val="00503CE9"/>
    <w:rsid w:val="00503E92"/>
    <w:rsid w:val="00503FF0"/>
    <w:rsid w:val="00504354"/>
    <w:rsid w:val="005044DC"/>
    <w:rsid w:val="00504998"/>
    <w:rsid w:val="00504B68"/>
    <w:rsid w:val="005058EA"/>
    <w:rsid w:val="00505ECC"/>
    <w:rsid w:val="005060BC"/>
    <w:rsid w:val="00506270"/>
    <w:rsid w:val="0050691D"/>
    <w:rsid w:val="00506FD7"/>
    <w:rsid w:val="00507361"/>
    <w:rsid w:val="00507AF2"/>
    <w:rsid w:val="00507E34"/>
    <w:rsid w:val="00507E45"/>
    <w:rsid w:val="0051029F"/>
    <w:rsid w:val="00510657"/>
    <w:rsid w:val="00510A00"/>
    <w:rsid w:val="00511216"/>
    <w:rsid w:val="005117EE"/>
    <w:rsid w:val="00511F7B"/>
    <w:rsid w:val="00514106"/>
    <w:rsid w:val="00514822"/>
    <w:rsid w:val="00515098"/>
    <w:rsid w:val="00515530"/>
    <w:rsid w:val="00515ACC"/>
    <w:rsid w:val="005164B3"/>
    <w:rsid w:val="00516989"/>
    <w:rsid w:val="00516CBA"/>
    <w:rsid w:val="00516F67"/>
    <w:rsid w:val="005174F3"/>
    <w:rsid w:val="00517932"/>
    <w:rsid w:val="00517E1C"/>
    <w:rsid w:val="00520271"/>
    <w:rsid w:val="0052073A"/>
    <w:rsid w:val="00520976"/>
    <w:rsid w:val="00520CF7"/>
    <w:rsid w:val="00520F1A"/>
    <w:rsid w:val="005210B7"/>
    <w:rsid w:val="005211A8"/>
    <w:rsid w:val="005212F7"/>
    <w:rsid w:val="005212FC"/>
    <w:rsid w:val="0052136F"/>
    <w:rsid w:val="00521E11"/>
    <w:rsid w:val="005223DF"/>
    <w:rsid w:val="005229DC"/>
    <w:rsid w:val="00522FCC"/>
    <w:rsid w:val="0052328E"/>
    <w:rsid w:val="005241B3"/>
    <w:rsid w:val="00524770"/>
    <w:rsid w:val="00524C3E"/>
    <w:rsid w:val="00524D37"/>
    <w:rsid w:val="00524E9C"/>
    <w:rsid w:val="005250DA"/>
    <w:rsid w:val="005251EB"/>
    <w:rsid w:val="00525584"/>
    <w:rsid w:val="00525DD7"/>
    <w:rsid w:val="005264C5"/>
    <w:rsid w:val="00526E5D"/>
    <w:rsid w:val="00526FDB"/>
    <w:rsid w:val="005279B7"/>
    <w:rsid w:val="00527C09"/>
    <w:rsid w:val="00527F8C"/>
    <w:rsid w:val="005300C2"/>
    <w:rsid w:val="0053097A"/>
    <w:rsid w:val="005311E2"/>
    <w:rsid w:val="0053134F"/>
    <w:rsid w:val="0053154F"/>
    <w:rsid w:val="005315AA"/>
    <w:rsid w:val="005315CC"/>
    <w:rsid w:val="00533046"/>
    <w:rsid w:val="0053314F"/>
    <w:rsid w:val="00533CE4"/>
    <w:rsid w:val="005342C3"/>
    <w:rsid w:val="00534300"/>
    <w:rsid w:val="00534A52"/>
    <w:rsid w:val="00534F14"/>
    <w:rsid w:val="00535024"/>
    <w:rsid w:val="00535DB3"/>
    <w:rsid w:val="00536390"/>
    <w:rsid w:val="00536714"/>
    <w:rsid w:val="00536DA6"/>
    <w:rsid w:val="005372CD"/>
    <w:rsid w:val="00537328"/>
    <w:rsid w:val="00540A41"/>
    <w:rsid w:val="00540F1E"/>
    <w:rsid w:val="00540F95"/>
    <w:rsid w:val="005413DF"/>
    <w:rsid w:val="0054184A"/>
    <w:rsid w:val="0054205F"/>
    <w:rsid w:val="00542CB3"/>
    <w:rsid w:val="00543344"/>
    <w:rsid w:val="005434A0"/>
    <w:rsid w:val="00543E6C"/>
    <w:rsid w:val="00544433"/>
    <w:rsid w:val="00544897"/>
    <w:rsid w:val="00544A94"/>
    <w:rsid w:val="00544CFC"/>
    <w:rsid w:val="00544D67"/>
    <w:rsid w:val="005452DD"/>
    <w:rsid w:val="00545831"/>
    <w:rsid w:val="005463F0"/>
    <w:rsid w:val="00546D89"/>
    <w:rsid w:val="00546D90"/>
    <w:rsid w:val="00546FB3"/>
    <w:rsid w:val="005472E1"/>
    <w:rsid w:val="005476C0"/>
    <w:rsid w:val="00547C59"/>
    <w:rsid w:val="0055037E"/>
    <w:rsid w:val="005506A1"/>
    <w:rsid w:val="005508DF"/>
    <w:rsid w:val="0055094E"/>
    <w:rsid w:val="00550B4C"/>
    <w:rsid w:val="00550C09"/>
    <w:rsid w:val="00550C8E"/>
    <w:rsid w:val="005515C6"/>
    <w:rsid w:val="005516F9"/>
    <w:rsid w:val="00551860"/>
    <w:rsid w:val="00552116"/>
    <w:rsid w:val="00552535"/>
    <w:rsid w:val="00552855"/>
    <w:rsid w:val="00552AAC"/>
    <w:rsid w:val="00552BD8"/>
    <w:rsid w:val="00552F3D"/>
    <w:rsid w:val="00553278"/>
    <w:rsid w:val="005532C4"/>
    <w:rsid w:val="005533B0"/>
    <w:rsid w:val="0055373D"/>
    <w:rsid w:val="00553D6F"/>
    <w:rsid w:val="00553F8A"/>
    <w:rsid w:val="00554037"/>
    <w:rsid w:val="005551C3"/>
    <w:rsid w:val="00555ED6"/>
    <w:rsid w:val="00555F0B"/>
    <w:rsid w:val="005566AB"/>
    <w:rsid w:val="00556B3C"/>
    <w:rsid w:val="00556CB0"/>
    <w:rsid w:val="00557275"/>
    <w:rsid w:val="005572DC"/>
    <w:rsid w:val="00557349"/>
    <w:rsid w:val="00557442"/>
    <w:rsid w:val="005579EE"/>
    <w:rsid w:val="00560149"/>
    <w:rsid w:val="00560364"/>
    <w:rsid w:val="00560E0B"/>
    <w:rsid w:val="00561168"/>
    <w:rsid w:val="005611C2"/>
    <w:rsid w:val="00561211"/>
    <w:rsid w:val="005613CF"/>
    <w:rsid w:val="00561A32"/>
    <w:rsid w:val="005621EC"/>
    <w:rsid w:val="0056227D"/>
    <w:rsid w:val="005625F4"/>
    <w:rsid w:val="005631E8"/>
    <w:rsid w:val="00563221"/>
    <w:rsid w:val="00563690"/>
    <w:rsid w:val="00563A92"/>
    <w:rsid w:val="00563C1F"/>
    <w:rsid w:val="00564110"/>
    <w:rsid w:val="005641A7"/>
    <w:rsid w:val="00564230"/>
    <w:rsid w:val="0056424C"/>
    <w:rsid w:val="005647ED"/>
    <w:rsid w:val="00564FB9"/>
    <w:rsid w:val="00564FE1"/>
    <w:rsid w:val="00565193"/>
    <w:rsid w:val="005653AB"/>
    <w:rsid w:val="005666CD"/>
    <w:rsid w:val="00566A02"/>
    <w:rsid w:val="00566C49"/>
    <w:rsid w:val="00566EC5"/>
    <w:rsid w:val="00567272"/>
    <w:rsid w:val="00570B0A"/>
    <w:rsid w:val="00570FC2"/>
    <w:rsid w:val="005715F2"/>
    <w:rsid w:val="00571F2D"/>
    <w:rsid w:val="00571F95"/>
    <w:rsid w:val="00572241"/>
    <w:rsid w:val="005722E9"/>
    <w:rsid w:val="0057279C"/>
    <w:rsid w:val="00572A06"/>
    <w:rsid w:val="00572C8A"/>
    <w:rsid w:val="0057314E"/>
    <w:rsid w:val="00573205"/>
    <w:rsid w:val="0057364B"/>
    <w:rsid w:val="005739FB"/>
    <w:rsid w:val="00573E7B"/>
    <w:rsid w:val="00574116"/>
    <w:rsid w:val="00574BFD"/>
    <w:rsid w:val="00574CE9"/>
    <w:rsid w:val="0057510C"/>
    <w:rsid w:val="00575AD3"/>
    <w:rsid w:val="00575CBB"/>
    <w:rsid w:val="00575EC8"/>
    <w:rsid w:val="00576B6D"/>
    <w:rsid w:val="00576EB3"/>
    <w:rsid w:val="00577404"/>
    <w:rsid w:val="00577923"/>
    <w:rsid w:val="00577CFF"/>
    <w:rsid w:val="00580E56"/>
    <w:rsid w:val="00580F63"/>
    <w:rsid w:val="0058140C"/>
    <w:rsid w:val="0058165F"/>
    <w:rsid w:val="00581931"/>
    <w:rsid w:val="00581B50"/>
    <w:rsid w:val="00582588"/>
    <w:rsid w:val="00582C01"/>
    <w:rsid w:val="00582D3C"/>
    <w:rsid w:val="00582EFD"/>
    <w:rsid w:val="005840C3"/>
    <w:rsid w:val="005840C6"/>
    <w:rsid w:val="005849D1"/>
    <w:rsid w:val="00585110"/>
    <w:rsid w:val="0058592C"/>
    <w:rsid w:val="00586116"/>
    <w:rsid w:val="00586449"/>
    <w:rsid w:val="00586851"/>
    <w:rsid w:val="00586CD1"/>
    <w:rsid w:val="00586DB1"/>
    <w:rsid w:val="00587017"/>
    <w:rsid w:val="005870F7"/>
    <w:rsid w:val="005875CB"/>
    <w:rsid w:val="005877BE"/>
    <w:rsid w:val="00587A9F"/>
    <w:rsid w:val="00587C4F"/>
    <w:rsid w:val="00587D65"/>
    <w:rsid w:val="00587D78"/>
    <w:rsid w:val="00587DC3"/>
    <w:rsid w:val="005903A2"/>
    <w:rsid w:val="005906A5"/>
    <w:rsid w:val="00590CB3"/>
    <w:rsid w:val="00590F50"/>
    <w:rsid w:val="00591402"/>
    <w:rsid w:val="0059173E"/>
    <w:rsid w:val="00592E55"/>
    <w:rsid w:val="0059367B"/>
    <w:rsid w:val="00593DDB"/>
    <w:rsid w:val="005945B1"/>
    <w:rsid w:val="0059495F"/>
    <w:rsid w:val="005958A0"/>
    <w:rsid w:val="005958FC"/>
    <w:rsid w:val="00595E58"/>
    <w:rsid w:val="0059639F"/>
    <w:rsid w:val="0059670D"/>
    <w:rsid w:val="00596839"/>
    <w:rsid w:val="005970FD"/>
    <w:rsid w:val="005971EE"/>
    <w:rsid w:val="0059773F"/>
    <w:rsid w:val="00597DE6"/>
    <w:rsid w:val="005A0560"/>
    <w:rsid w:val="005A07B6"/>
    <w:rsid w:val="005A0950"/>
    <w:rsid w:val="005A0BD1"/>
    <w:rsid w:val="005A0D4A"/>
    <w:rsid w:val="005A18DF"/>
    <w:rsid w:val="005A20CE"/>
    <w:rsid w:val="005A20ED"/>
    <w:rsid w:val="005A23F8"/>
    <w:rsid w:val="005A2535"/>
    <w:rsid w:val="005A2AAB"/>
    <w:rsid w:val="005A2B38"/>
    <w:rsid w:val="005A2C9B"/>
    <w:rsid w:val="005A2EFA"/>
    <w:rsid w:val="005A3372"/>
    <w:rsid w:val="005A3640"/>
    <w:rsid w:val="005A4B5B"/>
    <w:rsid w:val="005A4CE2"/>
    <w:rsid w:val="005A5012"/>
    <w:rsid w:val="005A5116"/>
    <w:rsid w:val="005A554D"/>
    <w:rsid w:val="005A59EB"/>
    <w:rsid w:val="005A5D59"/>
    <w:rsid w:val="005A6012"/>
    <w:rsid w:val="005A601B"/>
    <w:rsid w:val="005A6830"/>
    <w:rsid w:val="005A6CA3"/>
    <w:rsid w:val="005A6F5C"/>
    <w:rsid w:val="005A773A"/>
    <w:rsid w:val="005A7EDB"/>
    <w:rsid w:val="005B0195"/>
    <w:rsid w:val="005B08A7"/>
    <w:rsid w:val="005B11CF"/>
    <w:rsid w:val="005B12C1"/>
    <w:rsid w:val="005B1BB5"/>
    <w:rsid w:val="005B1D17"/>
    <w:rsid w:val="005B1EFA"/>
    <w:rsid w:val="005B22E8"/>
    <w:rsid w:val="005B2828"/>
    <w:rsid w:val="005B2D1C"/>
    <w:rsid w:val="005B324C"/>
    <w:rsid w:val="005B3725"/>
    <w:rsid w:val="005B3BA8"/>
    <w:rsid w:val="005B3BE6"/>
    <w:rsid w:val="005B3E6A"/>
    <w:rsid w:val="005B4260"/>
    <w:rsid w:val="005B470A"/>
    <w:rsid w:val="005B4D2B"/>
    <w:rsid w:val="005B52B4"/>
    <w:rsid w:val="005B534D"/>
    <w:rsid w:val="005B54F6"/>
    <w:rsid w:val="005B5505"/>
    <w:rsid w:val="005B59D9"/>
    <w:rsid w:val="005B5DC1"/>
    <w:rsid w:val="005B5F6B"/>
    <w:rsid w:val="005B6026"/>
    <w:rsid w:val="005B64AF"/>
    <w:rsid w:val="005B6597"/>
    <w:rsid w:val="005B6695"/>
    <w:rsid w:val="005B6B12"/>
    <w:rsid w:val="005B6BF6"/>
    <w:rsid w:val="005B76F0"/>
    <w:rsid w:val="005B7B88"/>
    <w:rsid w:val="005C0061"/>
    <w:rsid w:val="005C03CA"/>
    <w:rsid w:val="005C0DB8"/>
    <w:rsid w:val="005C0EF0"/>
    <w:rsid w:val="005C12B2"/>
    <w:rsid w:val="005C1E6C"/>
    <w:rsid w:val="005C217D"/>
    <w:rsid w:val="005C30F3"/>
    <w:rsid w:val="005C3690"/>
    <w:rsid w:val="005C36DC"/>
    <w:rsid w:val="005C3848"/>
    <w:rsid w:val="005C38AE"/>
    <w:rsid w:val="005C393F"/>
    <w:rsid w:val="005C4107"/>
    <w:rsid w:val="005C4703"/>
    <w:rsid w:val="005C493D"/>
    <w:rsid w:val="005C51C5"/>
    <w:rsid w:val="005C53F5"/>
    <w:rsid w:val="005C56A5"/>
    <w:rsid w:val="005C56B4"/>
    <w:rsid w:val="005C56F8"/>
    <w:rsid w:val="005C578B"/>
    <w:rsid w:val="005C58B7"/>
    <w:rsid w:val="005C69EB"/>
    <w:rsid w:val="005C74FA"/>
    <w:rsid w:val="005C77B6"/>
    <w:rsid w:val="005C794F"/>
    <w:rsid w:val="005C7B2D"/>
    <w:rsid w:val="005D00D3"/>
    <w:rsid w:val="005D031C"/>
    <w:rsid w:val="005D0A1B"/>
    <w:rsid w:val="005D1C27"/>
    <w:rsid w:val="005D23E8"/>
    <w:rsid w:val="005D2929"/>
    <w:rsid w:val="005D3263"/>
    <w:rsid w:val="005D34F5"/>
    <w:rsid w:val="005D3EA5"/>
    <w:rsid w:val="005D3EEC"/>
    <w:rsid w:val="005D413D"/>
    <w:rsid w:val="005D418E"/>
    <w:rsid w:val="005D4572"/>
    <w:rsid w:val="005D45AE"/>
    <w:rsid w:val="005D5323"/>
    <w:rsid w:val="005D556B"/>
    <w:rsid w:val="005D5AA2"/>
    <w:rsid w:val="005D5CB0"/>
    <w:rsid w:val="005D6306"/>
    <w:rsid w:val="005D6872"/>
    <w:rsid w:val="005D6CB3"/>
    <w:rsid w:val="005D6D5C"/>
    <w:rsid w:val="005D71F4"/>
    <w:rsid w:val="005D73CB"/>
    <w:rsid w:val="005D76A3"/>
    <w:rsid w:val="005E0161"/>
    <w:rsid w:val="005E0181"/>
    <w:rsid w:val="005E097C"/>
    <w:rsid w:val="005E169A"/>
    <w:rsid w:val="005E18BB"/>
    <w:rsid w:val="005E1D11"/>
    <w:rsid w:val="005E256B"/>
    <w:rsid w:val="005E2930"/>
    <w:rsid w:val="005E2DDB"/>
    <w:rsid w:val="005E2E82"/>
    <w:rsid w:val="005E33FB"/>
    <w:rsid w:val="005E3428"/>
    <w:rsid w:val="005E3E68"/>
    <w:rsid w:val="005E3ED1"/>
    <w:rsid w:val="005E3FD9"/>
    <w:rsid w:val="005E412D"/>
    <w:rsid w:val="005E4732"/>
    <w:rsid w:val="005E4D29"/>
    <w:rsid w:val="005E5E9E"/>
    <w:rsid w:val="005E6C4A"/>
    <w:rsid w:val="005E6DE4"/>
    <w:rsid w:val="005E7421"/>
    <w:rsid w:val="005E74F1"/>
    <w:rsid w:val="005E753A"/>
    <w:rsid w:val="005E7887"/>
    <w:rsid w:val="005E7CA4"/>
    <w:rsid w:val="005F002F"/>
    <w:rsid w:val="005F00EA"/>
    <w:rsid w:val="005F0102"/>
    <w:rsid w:val="005F03A7"/>
    <w:rsid w:val="005F0867"/>
    <w:rsid w:val="005F091E"/>
    <w:rsid w:val="005F09F1"/>
    <w:rsid w:val="005F0F25"/>
    <w:rsid w:val="005F10B1"/>
    <w:rsid w:val="005F1194"/>
    <w:rsid w:val="005F15FE"/>
    <w:rsid w:val="005F1C84"/>
    <w:rsid w:val="005F244B"/>
    <w:rsid w:val="005F28E9"/>
    <w:rsid w:val="005F2969"/>
    <w:rsid w:val="005F32BC"/>
    <w:rsid w:val="005F32FB"/>
    <w:rsid w:val="005F37A0"/>
    <w:rsid w:val="005F37AE"/>
    <w:rsid w:val="005F37FB"/>
    <w:rsid w:val="005F3BBA"/>
    <w:rsid w:val="005F4337"/>
    <w:rsid w:val="005F49ED"/>
    <w:rsid w:val="005F4CCD"/>
    <w:rsid w:val="005F4E6E"/>
    <w:rsid w:val="005F4E92"/>
    <w:rsid w:val="005F50D8"/>
    <w:rsid w:val="005F5760"/>
    <w:rsid w:val="005F58D7"/>
    <w:rsid w:val="005F59C5"/>
    <w:rsid w:val="005F59EC"/>
    <w:rsid w:val="005F5BEC"/>
    <w:rsid w:val="005F6233"/>
    <w:rsid w:val="005F6510"/>
    <w:rsid w:val="005F6638"/>
    <w:rsid w:val="005F68E0"/>
    <w:rsid w:val="005F6AAE"/>
    <w:rsid w:val="005F7491"/>
    <w:rsid w:val="005F7800"/>
    <w:rsid w:val="006014B2"/>
    <w:rsid w:val="00601C34"/>
    <w:rsid w:val="006035B0"/>
    <w:rsid w:val="00604082"/>
    <w:rsid w:val="006042FF"/>
    <w:rsid w:val="006045A7"/>
    <w:rsid w:val="006045B5"/>
    <w:rsid w:val="00604890"/>
    <w:rsid w:val="00604905"/>
    <w:rsid w:val="006057B4"/>
    <w:rsid w:val="00605A19"/>
    <w:rsid w:val="00605D4D"/>
    <w:rsid w:val="006064CF"/>
    <w:rsid w:val="006067B5"/>
    <w:rsid w:val="00606BC7"/>
    <w:rsid w:val="00606C6D"/>
    <w:rsid w:val="00607B16"/>
    <w:rsid w:val="00607B3D"/>
    <w:rsid w:val="006101EB"/>
    <w:rsid w:val="00610410"/>
    <w:rsid w:val="00610796"/>
    <w:rsid w:val="0061079A"/>
    <w:rsid w:val="00610943"/>
    <w:rsid w:val="00610A03"/>
    <w:rsid w:val="00610B07"/>
    <w:rsid w:val="00610E14"/>
    <w:rsid w:val="0061103E"/>
    <w:rsid w:val="0061114B"/>
    <w:rsid w:val="006111CC"/>
    <w:rsid w:val="006118FF"/>
    <w:rsid w:val="00611988"/>
    <w:rsid w:val="00611B42"/>
    <w:rsid w:val="00612216"/>
    <w:rsid w:val="0061233E"/>
    <w:rsid w:val="00612B0F"/>
    <w:rsid w:val="00612C4A"/>
    <w:rsid w:val="00612E1B"/>
    <w:rsid w:val="006132B3"/>
    <w:rsid w:val="006132F6"/>
    <w:rsid w:val="0061383F"/>
    <w:rsid w:val="00613915"/>
    <w:rsid w:val="00613997"/>
    <w:rsid w:val="00613BEA"/>
    <w:rsid w:val="00613F86"/>
    <w:rsid w:val="0061413F"/>
    <w:rsid w:val="00614230"/>
    <w:rsid w:val="006143EF"/>
    <w:rsid w:val="006145AA"/>
    <w:rsid w:val="00614678"/>
    <w:rsid w:val="00614C56"/>
    <w:rsid w:val="00614F67"/>
    <w:rsid w:val="0061557B"/>
    <w:rsid w:val="00615EC7"/>
    <w:rsid w:val="006168B5"/>
    <w:rsid w:val="006174F2"/>
    <w:rsid w:val="00617CA1"/>
    <w:rsid w:val="00617D5D"/>
    <w:rsid w:val="0062012F"/>
    <w:rsid w:val="00620238"/>
    <w:rsid w:val="006203BE"/>
    <w:rsid w:val="0062142B"/>
    <w:rsid w:val="0062182D"/>
    <w:rsid w:val="00621C85"/>
    <w:rsid w:val="00621DF5"/>
    <w:rsid w:val="00622240"/>
    <w:rsid w:val="006223C3"/>
    <w:rsid w:val="00622A73"/>
    <w:rsid w:val="00622F0B"/>
    <w:rsid w:val="00623808"/>
    <w:rsid w:val="0062382F"/>
    <w:rsid w:val="00623868"/>
    <w:rsid w:val="00623A46"/>
    <w:rsid w:val="006245EB"/>
    <w:rsid w:val="00624A50"/>
    <w:rsid w:val="00624BB9"/>
    <w:rsid w:val="006250A4"/>
    <w:rsid w:val="0062578A"/>
    <w:rsid w:val="00625B11"/>
    <w:rsid w:val="0062601B"/>
    <w:rsid w:val="0062631D"/>
    <w:rsid w:val="006263CE"/>
    <w:rsid w:val="00626CA4"/>
    <w:rsid w:val="00626D32"/>
    <w:rsid w:val="0062734D"/>
    <w:rsid w:val="00627D59"/>
    <w:rsid w:val="00630165"/>
    <w:rsid w:val="0063138F"/>
    <w:rsid w:val="006316DD"/>
    <w:rsid w:val="006318DC"/>
    <w:rsid w:val="006322E2"/>
    <w:rsid w:val="006334B4"/>
    <w:rsid w:val="006336E9"/>
    <w:rsid w:val="00633911"/>
    <w:rsid w:val="00633A87"/>
    <w:rsid w:val="00633B2B"/>
    <w:rsid w:val="00634A85"/>
    <w:rsid w:val="00634EC4"/>
    <w:rsid w:val="00635347"/>
    <w:rsid w:val="00635439"/>
    <w:rsid w:val="0063565E"/>
    <w:rsid w:val="00635A12"/>
    <w:rsid w:val="00635BCA"/>
    <w:rsid w:val="00635DDF"/>
    <w:rsid w:val="00636458"/>
    <w:rsid w:val="00636533"/>
    <w:rsid w:val="0063668A"/>
    <w:rsid w:val="006367CF"/>
    <w:rsid w:val="00636C24"/>
    <w:rsid w:val="00636E02"/>
    <w:rsid w:val="00637437"/>
    <w:rsid w:val="00637B29"/>
    <w:rsid w:val="00637FCB"/>
    <w:rsid w:val="00640894"/>
    <w:rsid w:val="00640AC0"/>
    <w:rsid w:val="006414DE"/>
    <w:rsid w:val="00641963"/>
    <w:rsid w:val="00641C86"/>
    <w:rsid w:val="00642297"/>
    <w:rsid w:val="00642300"/>
    <w:rsid w:val="006426B8"/>
    <w:rsid w:val="00642AE4"/>
    <w:rsid w:val="00642BFA"/>
    <w:rsid w:val="00642C7F"/>
    <w:rsid w:val="0064351D"/>
    <w:rsid w:val="006435BF"/>
    <w:rsid w:val="00643EB0"/>
    <w:rsid w:val="00643FC8"/>
    <w:rsid w:val="00644159"/>
    <w:rsid w:val="00644307"/>
    <w:rsid w:val="006448AE"/>
    <w:rsid w:val="00644A34"/>
    <w:rsid w:val="00645204"/>
    <w:rsid w:val="006453A5"/>
    <w:rsid w:val="00645858"/>
    <w:rsid w:val="00645CBC"/>
    <w:rsid w:val="00645CD1"/>
    <w:rsid w:val="00645E58"/>
    <w:rsid w:val="006462D0"/>
    <w:rsid w:val="00646877"/>
    <w:rsid w:val="00646C0F"/>
    <w:rsid w:val="00646CE6"/>
    <w:rsid w:val="00646D3F"/>
    <w:rsid w:val="00647198"/>
    <w:rsid w:val="00647237"/>
    <w:rsid w:val="006475F6"/>
    <w:rsid w:val="006479D7"/>
    <w:rsid w:val="00647DF9"/>
    <w:rsid w:val="00650396"/>
    <w:rsid w:val="0065109C"/>
    <w:rsid w:val="006511A3"/>
    <w:rsid w:val="0065126A"/>
    <w:rsid w:val="00651752"/>
    <w:rsid w:val="0065200A"/>
    <w:rsid w:val="00652221"/>
    <w:rsid w:val="006523C7"/>
    <w:rsid w:val="00652BA9"/>
    <w:rsid w:val="00652D41"/>
    <w:rsid w:val="00652E52"/>
    <w:rsid w:val="00652F59"/>
    <w:rsid w:val="0065332B"/>
    <w:rsid w:val="00653744"/>
    <w:rsid w:val="00653B14"/>
    <w:rsid w:val="0065434D"/>
    <w:rsid w:val="006545A3"/>
    <w:rsid w:val="00655D87"/>
    <w:rsid w:val="00656191"/>
    <w:rsid w:val="00656C7A"/>
    <w:rsid w:val="00656E93"/>
    <w:rsid w:val="0065741F"/>
    <w:rsid w:val="00657B80"/>
    <w:rsid w:val="00657BE7"/>
    <w:rsid w:val="00657C00"/>
    <w:rsid w:val="00657D50"/>
    <w:rsid w:val="00660052"/>
    <w:rsid w:val="00660190"/>
    <w:rsid w:val="006603D3"/>
    <w:rsid w:val="006604BE"/>
    <w:rsid w:val="006604CC"/>
    <w:rsid w:val="00660D82"/>
    <w:rsid w:val="006611BF"/>
    <w:rsid w:val="00661706"/>
    <w:rsid w:val="0066176B"/>
    <w:rsid w:val="0066185A"/>
    <w:rsid w:val="00661B12"/>
    <w:rsid w:val="006623DF"/>
    <w:rsid w:val="00662882"/>
    <w:rsid w:val="00663072"/>
    <w:rsid w:val="006630E0"/>
    <w:rsid w:val="006631EB"/>
    <w:rsid w:val="00663691"/>
    <w:rsid w:val="00663F4C"/>
    <w:rsid w:val="006644F7"/>
    <w:rsid w:val="0066577A"/>
    <w:rsid w:val="00665825"/>
    <w:rsid w:val="00665A7C"/>
    <w:rsid w:val="00665CF5"/>
    <w:rsid w:val="00665DEC"/>
    <w:rsid w:val="006667A8"/>
    <w:rsid w:val="0066774F"/>
    <w:rsid w:val="00667827"/>
    <w:rsid w:val="00667FF6"/>
    <w:rsid w:val="006709B7"/>
    <w:rsid w:val="00671363"/>
    <w:rsid w:val="006719CC"/>
    <w:rsid w:val="00672010"/>
    <w:rsid w:val="0067221D"/>
    <w:rsid w:val="00672C04"/>
    <w:rsid w:val="00672D1B"/>
    <w:rsid w:val="006731AA"/>
    <w:rsid w:val="00673206"/>
    <w:rsid w:val="00673563"/>
    <w:rsid w:val="0067394F"/>
    <w:rsid w:val="00673AC8"/>
    <w:rsid w:val="00673C5E"/>
    <w:rsid w:val="00673FAB"/>
    <w:rsid w:val="00674523"/>
    <w:rsid w:val="00674831"/>
    <w:rsid w:val="00674956"/>
    <w:rsid w:val="00674C26"/>
    <w:rsid w:val="0067523C"/>
    <w:rsid w:val="00675955"/>
    <w:rsid w:val="00675F47"/>
    <w:rsid w:val="006760AD"/>
    <w:rsid w:val="00676140"/>
    <w:rsid w:val="006762F8"/>
    <w:rsid w:val="0067657D"/>
    <w:rsid w:val="00677501"/>
    <w:rsid w:val="006776FA"/>
    <w:rsid w:val="00677928"/>
    <w:rsid w:val="006779AB"/>
    <w:rsid w:val="00680018"/>
    <w:rsid w:val="006802BF"/>
    <w:rsid w:val="006803D8"/>
    <w:rsid w:val="006806F4"/>
    <w:rsid w:val="006808FD"/>
    <w:rsid w:val="00680A90"/>
    <w:rsid w:val="00680CBD"/>
    <w:rsid w:val="006810C4"/>
    <w:rsid w:val="006811EB"/>
    <w:rsid w:val="006816D8"/>
    <w:rsid w:val="00681C6E"/>
    <w:rsid w:val="00681EDB"/>
    <w:rsid w:val="00681F42"/>
    <w:rsid w:val="0068238A"/>
    <w:rsid w:val="006829D5"/>
    <w:rsid w:val="00682B21"/>
    <w:rsid w:val="00682B58"/>
    <w:rsid w:val="00682CB1"/>
    <w:rsid w:val="00683568"/>
    <w:rsid w:val="00683A01"/>
    <w:rsid w:val="00683FD8"/>
    <w:rsid w:val="00684AF0"/>
    <w:rsid w:val="00684B9D"/>
    <w:rsid w:val="00684D1A"/>
    <w:rsid w:val="00684EB0"/>
    <w:rsid w:val="00685190"/>
    <w:rsid w:val="00685485"/>
    <w:rsid w:val="00685812"/>
    <w:rsid w:val="00685A84"/>
    <w:rsid w:val="00685CFB"/>
    <w:rsid w:val="00686CB5"/>
    <w:rsid w:val="00687099"/>
    <w:rsid w:val="00687A6B"/>
    <w:rsid w:val="00687C1D"/>
    <w:rsid w:val="006902D1"/>
    <w:rsid w:val="0069049F"/>
    <w:rsid w:val="00690530"/>
    <w:rsid w:val="00690682"/>
    <w:rsid w:val="006906E5"/>
    <w:rsid w:val="00690879"/>
    <w:rsid w:val="00690E34"/>
    <w:rsid w:val="00691A0D"/>
    <w:rsid w:val="00691B63"/>
    <w:rsid w:val="00691EE2"/>
    <w:rsid w:val="00692214"/>
    <w:rsid w:val="0069245B"/>
    <w:rsid w:val="006928CA"/>
    <w:rsid w:val="00692941"/>
    <w:rsid w:val="00692FB4"/>
    <w:rsid w:val="00693597"/>
    <w:rsid w:val="00693807"/>
    <w:rsid w:val="006938A5"/>
    <w:rsid w:val="00694832"/>
    <w:rsid w:val="00694A04"/>
    <w:rsid w:val="006956FE"/>
    <w:rsid w:val="006958E3"/>
    <w:rsid w:val="00695A42"/>
    <w:rsid w:val="00695AC2"/>
    <w:rsid w:val="006960E9"/>
    <w:rsid w:val="00696B02"/>
    <w:rsid w:val="006A09FA"/>
    <w:rsid w:val="006A0E18"/>
    <w:rsid w:val="006A1288"/>
    <w:rsid w:val="006A1ABD"/>
    <w:rsid w:val="006A1E77"/>
    <w:rsid w:val="006A2C89"/>
    <w:rsid w:val="006A2DC8"/>
    <w:rsid w:val="006A30A8"/>
    <w:rsid w:val="006A44DA"/>
    <w:rsid w:val="006A498C"/>
    <w:rsid w:val="006A5314"/>
    <w:rsid w:val="006A60C9"/>
    <w:rsid w:val="006A61AC"/>
    <w:rsid w:val="006A6374"/>
    <w:rsid w:val="006A64F6"/>
    <w:rsid w:val="006A658C"/>
    <w:rsid w:val="006A66BF"/>
    <w:rsid w:val="006A6A45"/>
    <w:rsid w:val="006A7238"/>
    <w:rsid w:val="006A756A"/>
    <w:rsid w:val="006A797D"/>
    <w:rsid w:val="006A7A10"/>
    <w:rsid w:val="006A7E92"/>
    <w:rsid w:val="006B005C"/>
    <w:rsid w:val="006B09E2"/>
    <w:rsid w:val="006B0DA4"/>
    <w:rsid w:val="006B0EB9"/>
    <w:rsid w:val="006B1220"/>
    <w:rsid w:val="006B145F"/>
    <w:rsid w:val="006B14EC"/>
    <w:rsid w:val="006B1786"/>
    <w:rsid w:val="006B17F1"/>
    <w:rsid w:val="006B1B6B"/>
    <w:rsid w:val="006B2757"/>
    <w:rsid w:val="006B28B3"/>
    <w:rsid w:val="006B2B20"/>
    <w:rsid w:val="006B30A1"/>
    <w:rsid w:val="006B36B2"/>
    <w:rsid w:val="006B3D9E"/>
    <w:rsid w:val="006B4616"/>
    <w:rsid w:val="006B492E"/>
    <w:rsid w:val="006B4D0F"/>
    <w:rsid w:val="006B4FF4"/>
    <w:rsid w:val="006B5605"/>
    <w:rsid w:val="006B5E18"/>
    <w:rsid w:val="006B654F"/>
    <w:rsid w:val="006B677A"/>
    <w:rsid w:val="006B6CDB"/>
    <w:rsid w:val="006B7B72"/>
    <w:rsid w:val="006C0189"/>
    <w:rsid w:val="006C0925"/>
    <w:rsid w:val="006C0D19"/>
    <w:rsid w:val="006C0D3A"/>
    <w:rsid w:val="006C0F82"/>
    <w:rsid w:val="006C1248"/>
    <w:rsid w:val="006C1298"/>
    <w:rsid w:val="006C1485"/>
    <w:rsid w:val="006C1B4A"/>
    <w:rsid w:val="006C2B48"/>
    <w:rsid w:val="006C2D4D"/>
    <w:rsid w:val="006C2FCD"/>
    <w:rsid w:val="006C2FFC"/>
    <w:rsid w:val="006C3092"/>
    <w:rsid w:val="006C3617"/>
    <w:rsid w:val="006C371A"/>
    <w:rsid w:val="006C4351"/>
    <w:rsid w:val="006C4ECA"/>
    <w:rsid w:val="006C531D"/>
    <w:rsid w:val="006C5A3D"/>
    <w:rsid w:val="006C5AC4"/>
    <w:rsid w:val="006C6198"/>
    <w:rsid w:val="006C6421"/>
    <w:rsid w:val="006C6639"/>
    <w:rsid w:val="006C6729"/>
    <w:rsid w:val="006C694A"/>
    <w:rsid w:val="006C6C5B"/>
    <w:rsid w:val="006C6E63"/>
    <w:rsid w:val="006C6E8F"/>
    <w:rsid w:val="006C6F0A"/>
    <w:rsid w:val="006C712E"/>
    <w:rsid w:val="006C7352"/>
    <w:rsid w:val="006D0135"/>
    <w:rsid w:val="006D0137"/>
    <w:rsid w:val="006D050C"/>
    <w:rsid w:val="006D0638"/>
    <w:rsid w:val="006D0D23"/>
    <w:rsid w:val="006D0D35"/>
    <w:rsid w:val="006D0D98"/>
    <w:rsid w:val="006D0DBF"/>
    <w:rsid w:val="006D1A8D"/>
    <w:rsid w:val="006D29E0"/>
    <w:rsid w:val="006D2C70"/>
    <w:rsid w:val="006D2F15"/>
    <w:rsid w:val="006D2FB8"/>
    <w:rsid w:val="006D344E"/>
    <w:rsid w:val="006D3658"/>
    <w:rsid w:val="006D376D"/>
    <w:rsid w:val="006D38B5"/>
    <w:rsid w:val="006D39AE"/>
    <w:rsid w:val="006D3BB5"/>
    <w:rsid w:val="006D3E66"/>
    <w:rsid w:val="006D436A"/>
    <w:rsid w:val="006D4692"/>
    <w:rsid w:val="006D4A95"/>
    <w:rsid w:val="006D4F43"/>
    <w:rsid w:val="006D54B3"/>
    <w:rsid w:val="006D59BF"/>
    <w:rsid w:val="006D5AB4"/>
    <w:rsid w:val="006D5AD3"/>
    <w:rsid w:val="006D5AE0"/>
    <w:rsid w:val="006D605D"/>
    <w:rsid w:val="006D6790"/>
    <w:rsid w:val="006D6803"/>
    <w:rsid w:val="006D6EA0"/>
    <w:rsid w:val="006D704B"/>
    <w:rsid w:val="006D74AF"/>
    <w:rsid w:val="006D7591"/>
    <w:rsid w:val="006D7696"/>
    <w:rsid w:val="006D781A"/>
    <w:rsid w:val="006D7E95"/>
    <w:rsid w:val="006D7F13"/>
    <w:rsid w:val="006E00C4"/>
    <w:rsid w:val="006E0396"/>
    <w:rsid w:val="006E0398"/>
    <w:rsid w:val="006E10E6"/>
    <w:rsid w:val="006E15FE"/>
    <w:rsid w:val="006E1637"/>
    <w:rsid w:val="006E1AAD"/>
    <w:rsid w:val="006E1ADD"/>
    <w:rsid w:val="006E2829"/>
    <w:rsid w:val="006E2999"/>
    <w:rsid w:val="006E3080"/>
    <w:rsid w:val="006E337F"/>
    <w:rsid w:val="006E3481"/>
    <w:rsid w:val="006E3968"/>
    <w:rsid w:val="006E39B5"/>
    <w:rsid w:val="006E4086"/>
    <w:rsid w:val="006E443B"/>
    <w:rsid w:val="006E48AA"/>
    <w:rsid w:val="006E492E"/>
    <w:rsid w:val="006E4A3E"/>
    <w:rsid w:val="006E4C43"/>
    <w:rsid w:val="006E4ED0"/>
    <w:rsid w:val="006E508A"/>
    <w:rsid w:val="006E5201"/>
    <w:rsid w:val="006E54A6"/>
    <w:rsid w:val="006E55E7"/>
    <w:rsid w:val="006E56E1"/>
    <w:rsid w:val="006E5CFD"/>
    <w:rsid w:val="006E5D35"/>
    <w:rsid w:val="006E5FD9"/>
    <w:rsid w:val="006E6300"/>
    <w:rsid w:val="006E65C6"/>
    <w:rsid w:val="006E6651"/>
    <w:rsid w:val="006E66F1"/>
    <w:rsid w:val="006E6A98"/>
    <w:rsid w:val="006E6AF5"/>
    <w:rsid w:val="006E6F60"/>
    <w:rsid w:val="006E77B5"/>
    <w:rsid w:val="006E785C"/>
    <w:rsid w:val="006F01FB"/>
    <w:rsid w:val="006F025C"/>
    <w:rsid w:val="006F0524"/>
    <w:rsid w:val="006F11AA"/>
    <w:rsid w:val="006F1C24"/>
    <w:rsid w:val="006F2084"/>
    <w:rsid w:val="006F21F0"/>
    <w:rsid w:val="006F250E"/>
    <w:rsid w:val="006F2702"/>
    <w:rsid w:val="006F2951"/>
    <w:rsid w:val="006F2D7A"/>
    <w:rsid w:val="006F3AA1"/>
    <w:rsid w:val="006F3DC6"/>
    <w:rsid w:val="006F3F7F"/>
    <w:rsid w:val="006F3FFB"/>
    <w:rsid w:val="006F4185"/>
    <w:rsid w:val="006F45D5"/>
    <w:rsid w:val="006F49FD"/>
    <w:rsid w:val="006F4E2B"/>
    <w:rsid w:val="006F5364"/>
    <w:rsid w:val="006F53CE"/>
    <w:rsid w:val="006F53E8"/>
    <w:rsid w:val="006F5C47"/>
    <w:rsid w:val="006F5C8C"/>
    <w:rsid w:val="006F6226"/>
    <w:rsid w:val="006F6A04"/>
    <w:rsid w:val="006F6B49"/>
    <w:rsid w:val="006F7250"/>
    <w:rsid w:val="006F744F"/>
    <w:rsid w:val="007009D6"/>
    <w:rsid w:val="00700F4C"/>
    <w:rsid w:val="00700FC6"/>
    <w:rsid w:val="00701127"/>
    <w:rsid w:val="0070137A"/>
    <w:rsid w:val="0070175C"/>
    <w:rsid w:val="0070177E"/>
    <w:rsid w:val="0070204F"/>
    <w:rsid w:val="007023F5"/>
    <w:rsid w:val="00702CC5"/>
    <w:rsid w:val="00702EA4"/>
    <w:rsid w:val="00702FCA"/>
    <w:rsid w:val="00703376"/>
    <w:rsid w:val="0070342E"/>
    <w:rsid w:val="0070376B"/>
    <w:rsid w:val="00703A00"/>
    <w:rsid w:val="00703F6E"/>
    <w:rsid w:val="00704097"/>
    <w:rsid w:val="00704103"/>
    <w:rsid w:val="007041BA"/>
    <w:rsid w:val="0070450A"/>
    <w:rsid w:val="00704F45"/>
    <w:rsid w:val="007051A2"/>
    <w:rsid w:val="00705A8E"/>
    <w:rsid w:val="00705AA6"/>
    <w:rsid w:val="00705BA0"/>
    <w:rsid w:val="00705DAF"/>
    <w:rsid w:val="00706072"/>
    <w:rsid w:val="007065CB"/>
    <w:rsid w:val="00706AB2"/>
    <w:rsid w:val="00706C1C"/>
    <w:rsid w:val="00707074"/>
    <w:rsid w:val="007076DA"/>
    <w:rsid w:val="00707C4A"/>
    <w:rsid w:val="00707CD5"/>
    <w:rsid w:val="007101F0"/>
    <w:rsid w:val="007106C0"/>
    <w:rsid w:val="00710B18"/>
    <w:rsid w:val="00710E18"/>
    <w:rsid w:val="007118DF"/>
    <w:rsid w:val="00711E12"/>
    <w:rsid w:val="007120BA"/>
    <w:rsid w:val="00712300"/>
    <w:rsid w:val="00713061"/>
    <w:rsid w:val="00713399"/>
    <w:rsid w:val="00713FB1"/>
    <w:rsid w:val="007140FD"/>
    <w:rsid w:val="007147A4"/>
    <w:rsid w:val="007151BF"/>
    <w:rsid w:val="00715FE1"/>
    <w:rsid w:val="007161B4"/>
    <w:rsid w:val="00716342"/>
    <w:rsid w:val="007164BF"/>
    <w:rsid w:val="007165A5"/>
    <w:rsid w:val="00716759"/>
    <w:rsid w:val="007167DE"/>
    <w:rsid w:val="00717B52"/>
    <w:rsid w:val="007203BF"/>
    <w:rsid w:val="0072056B"/>
    <w:rsid w:val="007205F7"/>
    <w:rsid w:val="00720850"/>
    <w:rsid w:val="00720A99"/>
    <w:rsid w:val="00720E44"/>
    <w:rsid w:val="00721031"/>
    <w:rsid w:val="00721178"/>
    <w:rsid w:val="00721767"/>
    <w:rsid w:val="00721CB3"/>
    <w:rsid w:val="007223F7"/>
    <w:rsid w:val="00722E94"/>
    <w:rsid w:val="00722F17"/>
    <w:rsid w:val="007237AA"/>
    <w:rsid w:val="007238FB"/>
    <w:rsid w:val="00723A91"/>
    <w:rsid w:val="00723F73"/>
    <w:rsid w:val="00723FEC"/>
    <w:rsid w:val="00724A15"/>
    <w:rsid w:val="00724A82"/>
    <w:rsid w:val="00724BD3"/>
    <w:rsid w:val="00724BD9"/>
    <w:rsid w:val="0072592B"/>
    <w:rsid w:val="00725C1A"/>
    <w:rsid w:val="00725D74"/>
    <w:rsid w:val="00725D86"/>
    <w:rsid w:val="00725F59"/>
    <w:rsid w:val="007262D3"/>
    <w:rsid w:val="007266C8"/>
    <w:rsid w:val="00726919"/>
    <w:rsid w:val="00726CAE"/>
    <w:rsid w:val="00727212"/>
    <w:rsid w:val="007273D0"/>
    <w:rsid w:val="00727D5F"/>
    <w:rsid w:val="00730173"/>
    <w:rsid w:val="0073024F"/>
    <w:rsid w:val="00730E4F"/>
    <w:rsid w:val="0073163D"/>
    <w:rsid w:val="00731684"/>
    <w:rsid w:val="007318E3"/>
    <w:rsid w:val="00731D04"/>
    <w:rsid w:val="00732295"/>
    <w:rsid w:val="0073230C"/>
    <w:rsid w:val="0073260F"/>
    <w:rsid w:val="00732E6A"/>
    <w:rsid w:val="0073302D"/>
    <w:rsid w:val="007330FF"/>
    <w:rsid w:val="007333C0"/>
    <w:rsid w:val="007333E9"/>
    <w:rsid w:val="0073380E"/>
    <w:rsid w:val="00733A79"/>
    <w:rsid w:val="00733D35"/>
    <w:rsid w:val="00733F83"/>
    <w:rsid w:val="00734107"/>
    <w:rsid w:val="007341E4"/>
    <w:rsid w:val="00734573"/>
    <w:rsid w:val="00734F2C"/>
    <w:rsid w:val="00734F43"/>
    <w:rsid w:val="00735382"/>
    <w:rsid w:val="00735451"/>
    <w:rsid w:val="007354B6"/>
    <w:rsid w:val="00735657"/>
    <w:rsid w:val="00735C87"/>
    <w:rsid w:val="00740229"/>
    <w:rsid w:val="0074025B"/>
    <w:rsid w:val="00740703"/>
    <w:rsid w:val="00740996"/>
    <w:rsid w:val="00740CE4"/>
    <w:rsid w:val="00740FDB"/>
    <w:rsid w:val="00741324"/>
    <w:rsid w:val="00741677"/>
    <w:rsid w:val="0074205D"/>
    <w:rsid w:val="00742608"/>
    <w:rsid w:val="00742962"/>
    <w:rsid w:val="00742C0F"/>
    <w:rsid w:val="00743006"/>
    <w:rsid w:val="00743477"/>
    <w:rsid w:val="0074379E"/>
    <w:rsid w:val="00743D74"/>
    <w:rsid w:val="007442A4"/>
    <w:rsid w:val="00744335"/>
    <w:rsid w:val="00744C96"/>
    <w:rsid w:val="0074564F"/>
    <w:rsid w:val="007456A1"/>
    <w:rsid w:val="00745EA7"/>
    <w:rsid w:val="00746111"/>
    <w:rsid w:val="007463A8"/>
    <w:rsid w:val="007465BC"/>
    <w:rsid w:val="007467D7"/>
    <w:rsid w:val="00746A56"/>
    <w:rsid w:val="00747168"/>
    <w:rsid w:val="00747575"/>
    <w:rsid w:val="00747785"/>
    <w:rsid w:val="0075066B"/>
    <w:rsid w:val="00750BE1"/>
    <w:rsid w:val="0075129A"/>
    <w:rsid w:val="007520A8"/>
    <w:rsid w:val="00752244"/>
    <w:rsid w:val="007529E5"/>
    <w:rsid w:val="00752DE9"/>
    <w:rsid w:val="007531C1"/>
    <w:rsid w:val="00753542"/>
    <w:rsid w:val="00753870"/>
    <w:rsid w:val="0075447C"/>
    <w:rsid w:val="007549AC"/>
    <w:rsid w:val="00754C78"/>
    <w:rsid w:val="0075532F"/>
    <w:rsid w:val="00755C9A"/>
    <w:rsid w:val="00756B73"/>
    <w:rsid w:val="00756E8A"/>
    <w:rsid w:val="00757140"/>
    <w:rsid w:val="00757219"/>
    <w:rsid w:val="0075725E"/>
    <w:rsid w:val="0075730C"/>
    <w:rsid w:val="007574CF"/>
    <w:rsid w:val="0075786E"/>
    <w:rsid w:val="0076041E"/>
    <w:rsid w:val="00760C2F"/>
    <w:rsid w:val="0076123B"/>
    <w:rsid w:val="007613B2"/>
    <w:rsid w:val="00761A0F"/>
    <w:rsid w:val="00762863"/>
    <w:rsid w:val="0076289E"/>
    <w:rsid w:val="00762945"/>
    <w:rsid w:val="007632DC"/>
    <w:rsid w:val="00763983"/>
    <w:rsid w:val="007642D0"/>
    <w:rsid w:val="00764B06"/>
    <w:rsid w:val="00764B1E"/>
    <w:rsid w:val="00764BDB"/>
    <w:rsid w:val="00764CF3"/>
    <w:rsid w:val="00765302"/>
    <w:rsid w:val="0076571A"/>
    <w:rsid w:val="00765AE2"/>
    <w:rsid w:val="00765B95"/>
    <w:rsid w:val="00766174"/>
    <w:rsid w:val="00766648"/>
    <w:rsid w:val="00766742"/>
    <w:rsid w:val="0076688F"/>
    <w:rsid w:val="00766BA8"/>
    <w:rsid w:val="00766D94"/>
    <w:rsid w:val="00766F29"/>
    <w:rsid w:val="00766F30"/>
    <w:rsid w:val="007670E1"/>
    <w:rsid w:val="00767323"/>
    <w:rsid w:val="007675BB"/>
    <w:rsid w:val="007700CE"/>
    <w:rsid w:val="00770750"/>
    <w:rsid w:val="00770CF0"/>
    <w:rsid w:val="007712EA"/>
    <w:rsid w:val="00771909"/>
    <w:rsid w:val="00771B32"/>
    <w:rsid w:val="00772158"/>
    <w:rsid w:val="0077218E"/>
    <w:rsid w:val="00772ACD"/>
    <w:rsid w:val="00772BA7"/>
    <w:rsid w:val="00772EDB"/>
    <w:rsid w:val="00773003"/>
    <w:rsid w:val="00773718"/>
    <w:rsid w:val="007739B5"/>
    <w:rsid w:val="00773B45"/>
    <w:rsid w:val="00773BAA"/>
    <w:rsid w:val="00773D9D"/>
    <w:rsid w:val="0077428B"/>
    <w:rsid w:val="007746D7"/>
    <w:rsid w:val="0077506E"/>
    <w:rsid w:val="007750F2"/>
    <w:rsid w:val="00775136"/>
    <w:rsid w:val="00775C32"/>
    <w:rsid w:val="0077682F"/>
    <w:rsid w:val="007768B8"/>
    <w:rsid w:val="00776DD7"/>
    <w:rsid w:val="007770FE"/>
    <w:rsid w:val="007771EE"/>
    <w:rsid w:val="00777300"/>
    <w:rsid w:val="00777399"/>
    <w:rsid w:val="007777CB"/>
    <w:rsid w:val="00777811"/>
    <w:rsid w:val="00777954"/>
    <w:rsid w:val="00777C9A"/>
    <w:rsid w:val="00777E56"/>
    <w:rsid w:val="00780887"/>
    <w:rsid w:val="00780B82"/>
    <w:rsid w:val="00780FEC"/>
    <w:rsid w:val="007812A6"/>
    <w:rsid w:val="007813F9"/>
    <w:rsid w:val="007815FA"/>
    <w:rsid w:val="007823A2"/>
    <w:rsid w:val="00782809"/>
    <w:rsid w:val="00782C97"/>
    <w:rsid w:val="00782D9D"/>
    <w:rsid w:val="00783055"/>
    <w:rsid w:val="00783135"/>
    <w:rsid w:val="00783154"/>
    <w:rsid w:val="00783C45"/>
    <w:rsid w:val="0078400A"/>
    <w:rsid w:val="00784292"/>
    <w:rsid w:val="00784297"/>
    <w:rsid w:val="00784313"/>
    <w:rsid w:val="00784511"/>
    <w:rsid w:val="007846D1"/>
    <w:rsid w:val="0078476B"/>
    <w:rsid w:val="00784821"/>
    <w:rsid w:val="00784AF9"/>
    <w:rsid w:val="00784C2F"/>
    <w:rsid w:val="00784C4A"/>
    <w:rsid w:val="00784FE3"/>
    <w:rsid w:val="007853F6"/>
    <w:rsid w:val="00786756"/>
    <w:rsid w:val="00786FDF"/>
    <w:rsid w:val="00787413"/>
    <w:rsid w:val="0078765D"/>
    <w:rsid w:val="00787867"/>
    <w:rsid w:val="00787BE1"/>
    <w:rsid w:val="00787ED3"/>
    <w:rsid w:val="007904FF"/>
    <w:rsid w:val="00790B45"/>
    <w:rsid w:val="00790C10"/>
    <w:rsid w:val="00790C97"/>
    <w:rsid w:val="00792544"/>
    <w:rsid w:val="00792792"/>
    <w:rsid w:val="007928DA"/>
    <w:rsid w:val="007928E7"/>
    <w:rsid w:val="00792E0A"/>
    <w:rsid w:val="00793167"/>
    <w:rsid w:val="007932E1"/>
    <w:rsid w:val="00794039"/>
    <w:rsid w:val="00794595"/>
    <w:rsid w:val="007945A4"/>
    <w:rsid w:val="00794C71"/>
    <w:rsid w:val="007950D2"/>
    <w:rsid w:val="007953EE"/>
    <w:rsid w:val="00795A9E"/>
    <w:rsid w:val="007960DB"/>
    <w:rsid w:val="007960DE"/>
    <w:rsid w:val="007971C4"/>
    <w:rsid w:val="007974C1"/>
    <w:rsid w:val="007979BE"/>
    <w:rsid w:val="00797A44"/>
    <w:rsid w:val="00797E0C"/>
    <w:rsid w:val="007A02AF"/>
    <w:rsid w:val="007A0924"/>
    <w:rsid w:val="007A0A42"/>
    <w:rsid w:val="007A0B00"/>
    <w:rsid w:val="007A0C47"/>
    <w:rsid w:val="007A10B8"/>
    <w:rsid w:val="007A1110"/>
    <w:rsid w:val="007A1337"/>
    <w:rsid w:val="007A15D3"/>
    <w:rsid w:val="007A1712"/>
    <w:rsid w:val="007A1A9D"/>
    <w:rsid w:val="007A1E30"/>
    <w:rsid w:val="007A224B"/>
    <w:rsid w:val="007A28AF"/>
    <w:rsid w:val="007A37AE"/>
    <w:rsid w:val="007A3A27"/>
    <w:rsid w:val="007A3E0A"/>
    <w:rsid w:val="007A415F"/>
    <w:rsid w:val="007A4668"/>
    <w:rsid w:val="007A48C5"/>
    <w:rsid w:val="007A4EF9"/>
    <w:rsid w:val="007A51AC"/>
    <w:rsid w:val="007A51C5"/>
    <w:rsid w:val="007A5AB6"/>
    <w:rsid w:val="007A5D93"/>
    <w:rsid w:val="007A6114"/>
    <w:rsid w:val="007A6940"/>
    <w:rsid w:val="007A6EEF"/>
    <w:rsid w:val="007A7881"/>
    <w:rsid w:val="007B0A46"/>
    <w:rsid w:val="007B1037"/>
    <w:rsid w:val="007B1175"/>
    <w:rsid w:val="007B1975"/>
    <w:rsid w:val="007B198E"/>
    <w:rsid w:val="007B28C4"/>
    <w:rsid w:val="007B2E4F"/>
    <w:rsid w:val="007B2EFF"/>
    <w:rsid w:val="007B2F1D"/>
    <w:rsid w:val="007B2F22"/>
    <w:rsid w:val="007B30F5"/>
    <w:rsid w:val="007B338B"/>
    <w:rsid w:val="007B36C1"/>
    <w:rsid w:val="007B398A"/>
    <w:rsid w:val="007B42C3"/>
    <w:rsid w:val="007B4656"/>
    <w:rsid w:val="007B4676"/>
    <w:rsid w:val="007B4E95"/>
    <w:rsid w:val="007B56BB"/>
    <w:rsid w:val="007B59C8"/>
    <w:rsid w:val="007B5C15"/>
    <w:rsid w:val="007B5DFE"/>
    <w:rsid w:val="007B6711"/>
    <w:rsid w:val="007B6BFC"/>
    <w:rsid w:val="007B744D"/>
    <w:rsid w:val="007B7537"/>
    <w:rsid w:val="007B7AA0"/>
    <w:rsid w:val="007B7D6C"/>
    <w:rsid w:val="007B7F68"/>
    <w:rsid w:val="007C03E4"/>
    <w:rsid w:val="007C04B0"/>
    <w:rsid w:val="007C1513"/>
    <w:rsid w:val="007C1767"/>
    <w:rsid w:val="007C27E1"/>
    <w:rsid w:val="007C291A"/>
    <w:rsid w:val="007C2F82"/>
    <w:rsid w:val="007C3237"/>
    <w:rsid w:val="007C3239"/>
    <w:rsid w:val="007C364A"/>
    <w:rsid w:val="007C3D45"/>
    <w:rsid w:val="007C3DC9"/>
    <w:rsid w:val="007C406B"/>
    <w:rsid w:val="007C407F"/>
    <w:rsid w:val="007C40A9"/>
    <w:rsid w:val="007C412A"/>
    <w:rsid w:val="007C46FC"/>
    <w:rsid w:val="007C4804"/>
    <w:rsid w:val="007C511F"/>
    <w:rsid w:val="007C53B9"/>
    <w:rsid w:val="007C57C2"/>
    <w:rsid w:val="007C5F63"/>
    <w:rsid w:val="007C6471"/>
    <w:rsid w:val="007C6578"/>
    <w:rsid w:val="007C74B1"/>
    <w:rsid w:val="007C75BF"/>
    <w:rsid w:val="007C778D"/>
    <w:rsid w:val="007C7E56"/>
    <w:rsid w:val="007D07E4"/>
    <w:rsid w:val="007D0991"/>
    <w:rsid w:val="007D0BC2"/>
    <w:rsid w:val="007D0DC1"/>
    <w:rsid w:val="007D1523"/>
    <w:rsid w:val="007D17C8"/>
    <w:rsid w:val="007D17E5"/>
    <w:rsid w:val="007D1821"/>
    <w:rsid w:val="007D19CE"/>
    <w:rsid w:val="007D1F12"/>
    <w:rsid w:val="007D1F7F"/>
    <w:rsid w:val="007D218E"/>
    <w:rsid w:val="007D2222"/>
    <w:rsid w:val="007D2544"/>
    <w:rsid w:val="007D26EB"/>
    <w:rsid w:val="007D29AE"/>
    <w:rsid w:val="007D3308"/>
    <w:rsid w:val="007D37AB"/>
    <w:rsid w:val="007D3E36"/>
    <w:rsid w:val="007D3F5B"/>
    <w:rsid w:val="007D4555"/>
    <w:rsid w:val="007D4A09"/>
    <w:rsid w:val="007D4D89"/>
    <w:rsid w:val="007D4E4B"/>
    <w:rsid w:val="007D530E"/>
    <w:rsid w:val="007D5621"/>
    <w:rsid w:val="007D58B9"/>
    <w:rsid w:val="007D5ADA"/>
    <w:rsid w:val="007D5C4D"/>
    <w:rsid w:val="007D5E64"/>
    <w:rsid w:val="007D6233"/>
    <w:rsid w:val="007D6CD8"/>
    <w:rsid w:val="007D7192"/>
    <w:rsid w:val="007D7226"/>
    <w:rsid w:val="007D7412"/>
    <w:rsid w:val="007D7509"/>
    <w:rsid w:val="007D7C86"/>
    <w:rsid w:val="007E0660"/>
    <w:rsid w:val="007E0B7A"/>
    <w:rsid w:val="007E109B"/>
    <w:rsid w:val="007E1117"/>
    <w:rsid w:val="007E11BB"/>
    <w:rsid w:val="007E13CE"/>
    <w:rsid w:val="007E1526"/>
    <w:rsid w:val="007E1AB5"/>
    <w:rsid w:val="007E1BD8"/>
    <w:rsid w:val="007E1D2B"/>
    <w:rsid w:val="007E2074"/>
    <w:rsid w:val="007E24B5"/>
    <w:rsid w:val="007E2611"/>
    <w:rsid w:val="007E2612"/>
    <w:rsid w:val="007E26A4"/>
    <w:rsid w:val="007E27B6"/>
    <w:rsid w:val="007E2DA1"/>
    <w:rsid w:val="007E2FC9"/>
    <w:rsid w:val="007E3219"/>
    <w:rsid w:val="007E34E2"/>
    <w:rsid w:val="007E4E5E"/>
    <w:rsid w:val="007E4EBC"/>
    <w:rsid w:val="007E56C7"/>
    <w:rsid w:val="007E57C1"/>
    <w:rsid w:val="007E61F1"/>
    <w:rsid w:val="007E6346"/>
    <w:rsid w:val="007E6672"/>
    <w:rsid w:val="007E66F8"/>
    <w:rsid w:val="007E6B8B"/>
    <w:rsid w:val="007E6FFB"/>
    <w:rsid w:val="007E70E1"/>
    <w:rsid w:val="007E72EC"/>
    <w:rsid w:val="007E75F3"/>
    <w:rsid w:val="007E76BC"/>
    <w:rsid w:val="007E7997"/>
    <w:rsid w:val="007F0029"/>
    <w:rsid w:val="007F0700"/>
    <w:rsid w:val="007F0AB4"/>
    <w:rsid w:val="007F0DF1"/>
    <w:rsid w:val="007F12CE"/>
    <w:rsid w:val="007F14DF"/>
    <w:rsid w:val="007F156C"/>
    <w:rsid w:val="007F1A39"/>
    <w:rsid w:val="007F1C71"/>
    <w:rsid w:val="007F1CD3"/>
    <w:rsid w:val="007F1CDD"/>
    <w:rsid w:val="007F221A"/>
    <w:rsid w:val="007F2291"/>
    <w:rsid w:val="007F2AE6"/>
    <w:rsid w:val="007F2EDD"/>
    <w:rsid w:val="007F2FB8"/>
    <w:rsid w:val="007F314D"/>
    <w:rsid w:val="007F34D9"/>
    <w:rsid w:val="007F38B7"/>
    <w:rsid w:val="007F38FC"/>
    <w:rsid w:val="007F3966"/>
    <w:rsid w:val="007F3EDD"/>
    <w:rsid w:val="007F4A18"/>
    <w:rsid w:val="007F4E2A"/>
    <w:rsid w:val="007F4E73"/>
    <w:rsid w:val="007F5667"/>
    <w:rsid w:val="007F641F"/>
    <w:rsid w:val="007F67F4"/>
    <w:rsid w:val="007F7128"/>
    <w:rsid w:val="007F7316"/>
    <w:rsid w:val="007F752E"/>
    <w:rsid w:val="007F799D"/>
    <w:rsid w:val="007F7D36"/>
    <w:rsid w:val="008001AE"/>
    <w:rsid w:val="00800327"/>
    <w:rsid w:val="008008BA"/>
    <w:rsid w:val="008009A7"/>
    <w:rsid w:val="008009DB"/>
    <w:rsid w:val="00800FA8"/>
    <w:rsid w:val="0080131A"/>
    <w:rsid w:val="00801322"/>
    <w:rsid w:val="008015DA"/>
    <w:rsid w:val="008025F9"/>
    <w:rsid w:val="0080283E"/>
    <w:rsid w:val="0080290E"/>
    <w:rsid w:val="00802977"/>
    <w:rsid w:val="00803117"/>
    <w:rsid w:val="00803188"/>
    <w:rsid w:val="008032D7"/>
    <w:rsid w:val="00803502"/>
    <w:rsid w:val="0080379B"/>
    <w:rsid w:val="00804763"/>
    <w:rsid w:val="00805030"/>
    <w:rsid w:val="008051D7"/>
    <w:rsid w:val="008053EC"/>
    <w:rsid w:val="008054C6"/>
    <w:rsid w:val="00806632"/>
    <w:rsid w:val="00806858"/>
    <w:rsid w:val="00806C5A"/>
    <w:rsid w:val="00806C73"/>
    <w:rsid w:val="0080734D"/>
    <w:rsid w:val="008073AD"/>
    <w:rsid w:val="00807BF0"/>
    <w:rsid w:val="00807FEF"/>
    <w:rsid w:val="0081000C"/>
    <w:rsid w:val="00810238"/>
    <w:rsid w:val="0081086E"/>
    <w:rsid w:val="00810891"/>
    <w:rsid w:val="00810BDF"/>
    <w:rsid w:val="00810C3D"/>
    <w:rsid w:val="00810EF9"/>
    <w:rsid w:val="00811295"/>
    <w:rsid w:val="00811BC6"/>
    <w:rsid w:val="00811C0A"/>
    <w:rsid w:val="0081211E"/>
    <w:rsid w:val="0081225F"/>
    <w:rsid w:val="008128F4"/>
    <w:rsid w:val="00812BDB"/>
    <w:rsid w:val="0081382C"/>
    <w:rsid w:val="00813A7F"/>
    <w:rsid w:val="00813AE8"/>
    <w:rsid w:val="0081423D"/>
    <w:rsid w:val="00814D97"/>
    <w:rsid w:val="008150BD"/>
    <w:rsid w:val="008156D0"/>
    <w:rsid w:val="008158E9"/>
    <w:rsid w:val="00815910"/>
    <w:rsid w:val="00815C61"/>
    <w:rsid w:val="00816183"/>
    <w:rsid w:val="008163AA"/>
    <w:rsid w:val="00816921"/>
    <w:rsid w:val="0081699B"/>
    <w:rsid w:val="00816FAA"/>
    <w:rsid w:val="0081740D"/>
    <w:rsid w:val="00817516"/>
    <w:rsid w:val="0081768B"/>
    <w:rsid w:val="00817A77"/>
    <w:rsid w:val="008208ED"/>
    <w:rsid w:val="00820BEC"/>
    <w:rsid w:val="00820E0A"/>
    <w:rsid w:val="00820EA0"/>
    <w:rsid w:val="008215BF"/>
    <w:rsid w:val="008217AC"/>
    <w:rsid w:val="008219A9"/>
    <w:rsid w:val="00821B02"/>
    <w:rsid w:val="00821B55"/>
    <w:rsid w:val="00821D7C"/>
    <w:rsid w:val="00822BBD"/>
    <w:rsid w:val="00822F15"/>
    <w:rsid w:val="00824960"/>
    <w:rsid w:val="00824B97"/>
    <w:rsid w:val="00825162"/>
    <w:rsid w:val="008251B8"/>
    <w:rsid w:val="008256BC"/>
    <w:rsid w:val="00825C52"/>
    <w:rsid w:val="00825FC5"/>
    <w:rsid w:val="008263C0"/>
    <w:rsid w:val="00826C2E"/>
    <w:rsid w:val="0082700C"/>
    <w:rsid w:val="0082744A"/>
    <w:rsid w:val="0082792D"/>
    <w:rsid w:val="008279C0"/>
    <w:rsid w:val="00827B60"/>
    <w:rsid w:val="00827E04"/>
    <w:rsid w:val="00830842"/>
    <w:rsid w:val="0083092F"/>
    <w:rsid w:val="00830FB8"/>
    <w:rsid w:val="00831719"/>
    <w:rsid w:val="00831DA3"/>
    <w:rsid w:val="00831FC0"/>
    <w:rsid w:val="00832DD0"/>
    <w:rsid w:val="00833405"/>
    <w:rsid w:val="008334D4"/>
    <w:rsid w:val="00833E24"/>
    <w:rsid w:val="0083411D"/>
    <w:rsid w:val="00834649"/>
    <w:rsid w:val="0083488C"/>
    <w:rsid w:val="0083548F"/>
    <w:rsid w:val="00835949"/>
    <w:rsid w:val="00835A34"/>
    <w:rsid w:val="00836218"/>
    <w:rsid w:val="008362DC"/>
    <w:rsid w:val="00836A88"/>
    <w:rsid w:val="00836F20"/>
    <w:rsid w:val="00840278"/>
    <w:rsid w:val="0084040C"/>
    <w:rsid w:val="008405FB"/>
    <w:rsid w:val="00840658"/>
    <w:rsid w:val="00840EC8"/>
    <w:rsid w:val="00840ED9"/>
    <w:rsid w:val="00840F06"/>
    <w:rsid w:val="00840FBC"/>
    <w:rsid w:val="008416BF"/>
    <w:rsid w:val="008417A5"/>
    <w:rsid w:val="00841A54"/>
    <w:rsid w:val="00841CCB"/>
    <w:rsid w:val="00842AC5"/>
    <w:rsid w:val="00842D60"/>
    <w:rsid w:val="0084305D"/>
    <w:rsid w:val="00843982"/>
    <w:rsid w:val="008439AB"/>
    <w:rsid w:val="00843BB9"/>
    <w:rsid w:val="00843C16"/>
    <w:rsid w:val="008445CC"/>
    <w:rsid w:val="008446F9"/>
    <w:rsid w:val="00845348"/>
    <w:rsid w:val="0084562E"/>
    <w:rsid w:val="008459CC"/>
    <w:rsid w:val="00845B20"/>
    <w:rsid w:val="0084603F"/>
    <w:rsid w:val="008464A6"/>
    <w:rsid w:val="00846D0B"/>
    <w:rsid w:val="00846E89"/>
    <w:rsid w:val="00847021"/>
    <w:rsid w:val="00847D32"/>
    <w:rsid w:val="00847DB8"/>
    <w:rsid w:val="00847E67"/>
    <w:rsid w:val="00850546"/>
    <w:rsid w:val="00850F49"/>
    <w:rsid w:val="00851620"/>
    <w:rsid w:val="00851A97"/>
    <w:rsid w:val="00851ABE"/>
    <w:rsid w:val="008524C4"/>
    <w:rsid w:val="00852CC8"/>
    <w:rsid w:val="00852E76"/>
    <w:rsid w:val="008530DC"/>
    <w:rsid w:val="0085338D"/>
    <w:rsid w:val="00853572"/>
    <w:rsid w:val="008536EB"/>
    <w:rsid w:val="00853B1A"/>
    <w:rsid w:val="00853B56"/>
    <w:rsid w:val="00854AAE"/>
    <w:rsid w:val="00854CA0"/>
    <w:rsid w:val="0085559D"/>
    <w:rsid w:val="00855717"/>
    <w:rsid w:val="00855C9B"/>
    <w:rsid w:val="00855E72"/>
    <w:rsid w:val="00856BF1"/>
    <w:rsid w:val="00856DE1"/>
    <w:rsid w:val="008570A8"/>
    <w:rsid w:val="008571DD"/>
    <w:rsid w:val="0085754A"/>
    <w:rsid w:val="008576BE"/>
    <w:rsid w:val="0085782B"/>
    <w:rsid w:val="00857F7B"/>
    <w:rsid w:val="00860585"/>
    <w:rsid w:val="008605B6"/>
    <w:rsid w:val="008607A4"/>
    <w:rsid w:val="00860F58"/>
    <w:rsid w:val="00861825"/>
    <w:rsid w:val="00861F03"/>
    <w:rsid w:val="00862146"/>
    <w:rsid w:val="00862809"/>
    <w:rsid w:val="00862B15"/>
    <w:rsid w:val="00862D13"/>
    <w:rsid w:val="00863012"/>
    <w:rsid w:val="0086317F"/>
    <w:rsid w:val="0086332B"/>
    <w:rsid w:val="008634F3"/>
    <w:rsid w:val="00863708"/>
    <w:rsid w:val="00863879"/>
    <w:rsid w:val="008639EF"/>
    <w:rsid w:val="00863F1C"/>
    <w:rsid w:val="0086476C"/>
    <w:rsid w:val="00865852"/>
    <w:rsid w:val="0086587C"/>
    <w:rsid w:val="00865D34"/>
    <w:rsid w:val="00865DC6"/>
    <w:rsid w:val="0086668A"/>
    <w:rsid w:val="008673FA"/>
    <w:rsid w:val="00867707"/>
    <w:rsid w:val="00867794"/>
    <w:rsid w:val="00867919"/>
    <w:rsid w:val="00871562"/>
    <w:rsid w:val="00871720"/>
    <w:rsid w:val="0087190B"/>
    <w:rsid w:val="0087211B"/>
    <w:rsid w:val="00872884"/>
    <w:rsid w:val="00872B56"/>
    <w:rsid w:val="00872C63"/>
    <w:rsid w:val="008730ED"/>
    <w:rsid w:val="0087344C"/>
    <w:rsid w:val="008738C8"/>
    <w:rsid w:val="00873A06"/>
    <w:rsid w:val="00873D69"/>
    <w:rsid w:val="0087415A"/>
    <w:rsid w:val="0087469A"/>
    <w:rsid w:val="00874864"/>
    <w:rsid w:val="00874FF7"/>
    <w:rsid w:val="00875495"/>
    <w:rsid w:val="008755EE"/>
    <w:rsid w:val="00875795"/>
    <w:rsid w:val="008757F9"/>
    <w:rsid w:val="00877086"/>
    <w:rsid w:val="00877147"/>
    <w:rsid w:val="008776F1"/>
    <w:rsid w:val="0087782A"/>
    <w:rsid w:val="00877B8A"/>
    <w:rsid w:val="00877DE3"/>
    <w:rsid w:val="008803EB"/>
    <w:rsid w:val="008804FD"/>
    <w:rsid w:val="008808ED"/>
    <w:rsid w:val="0088120A"/>
    <w:rsid w:val="00881226"/>
    <w:rsid w:val="008812F6"/>
    <w:rsid w:val="008813CC"/>
    <w:rsid w:val="00881A7E"/>
    <w:rsid w:val="00881B5B"/>
    <w:rsid w:val="00881D7A"/>
    <w:rsid w:val="00882283"/>
    <w:rsid w:val="00882828"/>
    <w:rsid w:val="00882CAA"/>
    <w:rsid w:val="00882FF8"/>
    <w:rsid w:val="00883165"/>
    <w:rsid w:val="008833A1"/>
    <w:rsid w:val="00883A29"/>
    <w:rsid w:val="00883CEC"/>
    <w:rsid w:val="00884291"/>
    <w:rsid w:val="00884667"/>
    <w:rsid w:val="008846D7"/>
    <w:rsid w:val="008849C6"/>
    <w:rsid w:val="00884A20"/>
    <w:rsid w:val="00885582"/>
    <w:rsid w:val="00885700"/>
    <w:rsid w:val="008858FE"/>
    <w:rsid w:val="00885E31"/>
    <w:rsid w:val="00886163"/>
    <w:rsid w:val="00886450"/>
    <w:rsid w:val="008867EC"/>
    <w:rsid w:val="008869C2"/>
    <w:rsid w:val="00886E55"/>
    <w:rsid w:val="00886F8F"/>
    <w:rsid w:val="0088749B"/>
    <w:rsid w:val="0088758F"/>
    <w:rsid w:val="00890389"/>
    <w:rsid w:val="0089057D"/>
    <w:rsid w:val="0089075A"/>
    <w:rsid w:val="00890E73"/>
    <w:rsid w:val="00890FE2"/>
    <w:rsid w:val="008911C4"/>
    <w:rsid w:val="00891391"/>
    <w:rsid w:val="00891B8F"/>
    <w:rsid w:val="00891FE5"/>
    <w:rsid w:val="0089277A"/>
    <w:rsid w:val="00892A2C"/>
    <w:rsid w:val="00892DCB"/>
    <w:rsid w:val="008930C6"/>
    <w:rsid w:val="0089384F"/>
    <w:rsid w:val="00894515"/>
    <w:rsid w:val="008949C9"/>
    <w:rsid w:val="00894BC1"/>
    <w:rsid w:val="00895081"/>
    <w:rsid w:val="00895385"/>
    <w:rsid w:val="00895F4A"/>
    <w:rsid w:val="0089621C"/>
    <w:rsid w:val="0089636C"/>
    <w:rsid w:val="008964DA"/>
    <w:rsid w:val="00896B12"/>
    <w:rsid w:val="00897688"/>
    <w:rsid w:val="00897895"/>
    <w:rsid w:val="008979B0"/>
    <w:rsid w:val="00897EC7"/>
    <w:rsid w:val="00897F0F"/>
    <w:rsid w:val="008A0247"/>
    <w:rsid w:val="008A046F"/>
    <w:rsid w:val="008A09B1"/>
    <w:rsid w:val="008A0FB0"/>
    <w:rsid w:val="008A1115"/>
    <w:rsid w:val="008A17D8"/>
    <w:rsid w:val="008A1935"/>
    <w:rsid w:val="008A222A"/>
    <w:rsid w:val="008A28D0"/>
    <w:rsid w:val="008A29E6"/>
    <w:rsid w:val="008A2A45"/>
    <w:rsid w:val="008A391C"/>
    <w:rsid w:val="008A4053"/>
    <w:rsid w:val="008A4474"/>
    <w:rsid w:val="008A44F9"/>
    <w:rsid w:val="008A4D40"/>
    <w:rsid w:val="008A4F10"/>
    <w:rsid w:val="008A5324"/>
    <w:rsid w:val="008A5F92"/>
    <w:rsid w:val="008A623F"/>
    <w:rsid w:val="008A6DDE"/>
    <w:rsid w:val="008A6E9C"/>
    <w:rsid w:val="008A7EE3"/>
    <w:rsid w:val="008B0044"/>
    <w:rsid w:val="008B03F7"/>
    <w:rsid w:val="008B04E2"/>
    <w:rsid w:val="008B0AA5"/>
    <w:rsid w:val="008B0B02"/>
    <w:rsid w:val="008B0F46"/>
    <w:rsid w:val="008B0FBC"/>
    <w:rsid w:val="008B10FD"/>
    <w:rsid w:val="008B1EC4"/>
    <w:rsid w:val="008B202B"/>
    <w:rsid w:val="008B2871"/>
    <w:rsid w:val="008B2B5A"/>
    <w:rsid w:val="008B2F71"/>
    <w:rsid w:val="008B3977"/>
    <w:rsid w:val="008B3F9D"/>
    <w:rsid w:val="008B4234"/>
    <w:rsid w:val="008B47D3"/>
    <w:rsid w:val="008B4D80"/>
    <w:rsid w:val="008B4F8C"/>
    <w:rsid w:val="008B51EF"/>
    <w:rsid w:val="008B5250"/>
    <w:rsid w:val="008B5599"/>
    <w:rsid w:val="008B58CB"/>
    <w:rsid w:val="008B5E1C"/>
    <w:rsid w:val="008B5F45"/>
    <w:rsid w:val="008B6140"/>
    <w:rsid w:val="008B6338"/>
    <w:rsid w:val="008B65E8"/>
    <w:rsid w:val="008B66F8"/>
    <w:rsid w:val="008B6FDE"/>
    <w:rsid w:val="008B7490"/>
    <w:rsid w:val="008B7BE9"/>
    <w:rsid w:val="008B7D4C"/>
    <w:rsid w:val="008C0646"/>
    <w:rsid w:val="008C071F"/>
    <w:rsid w:val="008C0BF0"/>
    <w:rsid w:val="008C0CE8"/>
    <w:rsid w:val="008C0F5B"/>
    <w:rsid w:val="008C103B"/>
    <w:rsid w:val="008C141F"/>
    <w:rsid w:val="008C1856"/>
    <w:rsid w:val="008C197A"/>
    <w:rsid w:val="008C1C24"/>
    <w:rsid w:val="008C23B6"/>
    <w:rsid w:val="008C2785"/>
    <w:rsid w:val="008C3517"/>
    <w:rsid w:val="008C3A0B"/>
    <w:rsid w:val="008C3AE8"/>
    <w:rsid w:val="008C3B5F"/>
    <w:rsid w:val="008C3F10"/>
    <w:rsid w:val="008C3F94"/>
    <w:rsid w:val="008C4169"/>
    <w:rsid w:val="008C49EB"/>
    <w:rsid w:val="008C4C28"/>
    <w:rsid w:val="008C4D68"/>
    <w:rsid w:val="008C503A"/>
    <w:rsid w:val="008C5A41"/>
    <w:rsid w:val="008C6A59"/>
    <w:rsid w:val="008C6B22"/>
    <w:rsid w:val="008C767A"/>
    <w:rsid w:val="008C7BD3"/>
    <w:rsid w:val="008C7C6F"/>
    <w:rsid w:val="008D03BE"/>
    <w:rsid w:val="008D073F"/>
    <w:rsid w:val="008D0C5F"/>
    <w:rsid w:val="008D0E55"/>
    <w:rsid w:val="008D0E92"/>
    <w:rsid w:val="008D0EAE"/>
    <w:rsid w:val="008D127D"/>
    <w:rsid w:val="008D13EB"/>
    <w:rsid w:val="008D1A97"/>
    <w:rsid w:val="008D2642"/>
    <w:rsid w:val="008D3190"/>
    <w:rsid w:val="008D38E9"/>
    <w:rsid w:val="008D3FBB"/>
    <w:rsid w:val="008D402B"/>
    <w:rsid w:val="008D4142"/>
    <w:rsid w:val="008D4264"/>
    <w:rsid w:val="008D4358"/>
    <w:rsid w:val="008D4CDF"/>
    <w:rsid w:val="008D5790"/>
    <w:rsid w:val="008D5C28"/>
    <w:rsid w:val="008D60F2"/>
    <w:rsid w:val="008D6386"/>
    <w:rsid w:val="008D64D5"/>
    <w:rsid w:val="008D6716"/>
    <w:rsid w:val="008D7023"/>
    <w:rsid w:val="008D7161"/>
    <w:rsid w:val="008D71B6"/>
    <w:rsid w:val="008D7909"/>
    <w:rsid w:val="008E018E"/>
    <w:rsid w:val="008E03EF"/>
    <w:rsid w:val="008E0644"/>
    <w:rsid w:val="008E1371"/>
    <w:rsid w:val="008E1DB0"/>
    <w:rsid w:val="008E1F2B"/>
    <w:rsid w:val="008E2159"/>
    <w:rsid w:val="008E240F"/>
    <w:rsid w:val="008E2597"/>
    <w:rsid w:val="008E2890"/>
    <w:rsid w:val="008E2B78"/>
    <w:rsid w:val="008E32E8"/>
    <w:rsid w:val="008E35F6"/>
    <w:rsid w:val="008E376F"/>
    <w:rsid w:val="008E3B82"/>
    <w:rsid w:val="008E3BF2"/>
    <w:rsid w:val="008E3EC0"/>
    <w:rsid w:val="008E3F55"/>
    <w:rsid w:val="008E4A94"/>
    <w:rsid w:val="008E4F52"/>
    <w:rsid w:val="008E52DF"/>
    <w:rsid w:val="008E585D"/>
    <w:rsid w:val="008E5FFC"/>
    <w:rsid w:val="008E687B"/>
    <w:rsid w:val="008E6A8C"/>
    <w:rsid w:val="008E6AC0"/>
    <w:rsid w:val="008E6B8F"/>
    <w:rsid w:val="008E76C0"/>
    <w:rsid w:val="008E7DF7"/>
    <w:rsid w:val="008F05CB"/>
    <w:rsid w:val="008F076D"/>
    <w:rsid w:val="008F0D64"/>
    <w:rsid w:val="008F121A"/>
    <w:rsid w:val="008F19D7"/>
    <w:rsid w:val="008F29DA"/>
    <w:rsid w:val="008F2D5D"/>
    <w:rsid w:val="008F3010"/>
    <w:rsid w:val="008F3070"/>
    <w:rsid w:val="008F35EC"/>
    <w:rsid w:val="008F39FB"/>
    <w:rsid w:val="008F3D0D"/>
    <w:rsid w:val="008F3D56"/>
    <w:rsid w:val="008F4C8C"/>
    <w:rsid w:val="008F5403"/>
    <w:rsid w:val="008F54C4"/>
    <w:rsid w:val="008F591C"/>
    <w:rsid w:val="008F59AE"/>
    <w:rsid w:val="008F5C27"/>
    <w:rsid w:val="008F789B"/>
    <w:rsid w:val="00900377"/>
    <w:rsid w:val="009005DD"/>
    <w:rsid w:val="00900900"/>
    <w:rsid w:val="00900ABF"/>
    <w:rsid w:val="00901581"/>
    <w:rsid w:val="00901940"/>
    <w:rsid w:val="009020A8"/>
    <w:rsid w:val="00902FED"/>
    <w:rsid w:val="00903D72"/>
    <w:rsid w:val="009040B1"/>
    <w:rsid w:val="00904F85"/>
    <w:rsid w:val="009058E0"/>
    <w:rsid w:val="00905D92"/>
    <w:rsid w:val="00906383"/>
    <w:rsid w:val="009063F1"/>
    <w:rsid w:val="00906775"/>
    <w:rsid w:val="00906D18"/>
    <w:rsid w:val="00906DB4"/>
    <w:rsid w:val="00906EB5"/>
    <w:rsid w:val="00907153"/>
    <w:rsid w:val="00907C77"/>
    <w:rsid w:val="00907F26"/>
    <w:rsid w:val="009109D2"/>
    <w:rsid w:val="009112EF"/>
    <w:rsid w:val="00911732"/>
    <w:rsid w:val="00911828"/>
    <w:rsid w:val="00911AB0"/>
    <w:rsid w:val="00911AC6"/>
    <w:rsid w:val="00911F2E"/>
    <w:rsid w:val="0091204F"/>
    <w:rsid w:val="009121C2"/>
    <w:rsid w:val="00912A82"/>
    <w:rsid w:val="00913079"/>
    <w:rsid w:val="009134CE"/>
    <w:rsid w:val="009140E6"/>
    <w:rsid w:val="009141A8"/>
    <w:rsid w:val="009147E6"/>
    <w:rsid w:val="00914AD2"/>
    <w:rsid w:val="00914B40"/>
    <w:rsid w:val="00914BBA"/>
    <w:rsid w:val="00914E6C"/>
    <w:rsid w:val="009150C8"/>
    <w:rsid w:val="00915375"/>
    <w:rsid w:val="00916529"/>
    <w:rsid w:val="00916B98"/>
    <w:rsid w:val="00916E27"/>
    <w:rsid w:val="0091794C"/>
    <w:rsid w:val="00920086"/>
    <w:rsid w:val="00920B1C"/>
    <w:rsid w:val="009218FA"/>
    <w:rsid w:val="00921A82"/>
    <w:rsid w:val="00921AC7"/>
    <w:rsid w:val="00922423"/>
    <w:rsid w:val="00922C37"/>
    <w:rsid w:val="009231E2"/>
    <w:rsid w:val="0092328A"/>
    <w:rsid w:val="00923501"/>
    <w:rsid w:val="0092387A"/>
    <w:rsid w:val="009238CF"/>
    <w:rsid w:val="009240E4"/>
    <w:rsid w:val="009246E2"/>
    <w:rsid w:val="00925034"/>
    <w:rsid w:val="009250BC"/>
    <w:rsid w:val="009256B0"/>
    <w:rsid w:val="009259B1"/>
    <w:rsid w:val="00925E04"/>
    <w:rsid w:val="00925E8F"/>
    <w:rsid w:val="00927C2A"/>
    <w:rsid w:val="00927E87"/>
    <w:rsid w:val="009302F8"/>
    <w:rsid w:val="009306FE"/>
    <w:rsid w:val="00932787"/>
    <w:rsid w:val="00932A30"/>
    <w:rsid w:val="00932A63"/>
    <w:rsid w:val="0093345C"/>
    <w:rsid w:val="0093391C"/>
    <w:rsid w:val="00934587"/>
    <w:rsid w:val="00934C0B"/>
    <w:rsid w:val="00934DDB"/>
    <w:rsid w:val="00934E44"/>
    <w:rsid w:val="0093507B"/>
    <w:rsid w:val="0093555E"/>
    <w:rsid w:val="0093610A"/>
    <w:rsid w:val="00936BBF"/>
    <w:rsid w:val="00937290"/>
    <w:rsid w:val="00937301"/>
    <w:rsid w:val="00937342"/>
    <w:rsid w:val="009373BE"/>
    <w:rsid w:val="00937519"/>
    <w:rsid w:val="00937CA9"/>
    <w:rsid w:val="00937EE2"/>
    <w:rsid w:val="00940055"/>
    <w:rsid w:val="009402EC"/>
    <w:rsid w:val="0094081B"/>
    <w:rsid w:val="00940A60"/>
    <w:rsid w:val="00940F8E"/>
    <w:rsid w:val="00941681"/>
    <w:rsid w:val="00941D25"/>
    <w:rsid w:val="00941E0F"/>
    <w:rsid w:val="009420C1"/>
    <w:rsid w:val="00942634"/>
    <w:rsid w:val="00942CDA"/>
    <w:rsid w:val="00942E03"/>
    <w:rsid w:val="00943312"/>
    <w:rsid w:val="0094359F"/>
    <w:rsid w:val="00943704"/>
    <w:rsid w:val="00943CFC"/>
    <w:rsid w:val="009441D7"/>
    <w:rsid w:val="0094432B"/>
    <w:rsid w:val="00944516"/>
    <w:rsid w:val="00944F0E"/>
    <w:rsid w:val="00945AFC"/>
    <w:rsid w:val="0094601A"/>
    <w:rsid w:val="00946072"/>
    <w:rsid w:val="00946151"/>
    <w:rsid w:val="009463BB"/>
    <w:rsid w:val="00946489"/>
    <w:rsid w:val="00946559"/>
    <w:rsid w:val="009466F7"/>
    <w:rsid w:val="0094673B"/>
    <w:rsid w:val="00947A09"/>
    <w:rsid w:val="00947AF9"/>
    <w:rsid w:val="00950011"/>
    <w:rsid w:val="00950B2F"/>
    <w:rsid w:val="00950E68"/>
    <w:rsid w:val="00950F6E"/>
    <w:rsid w:val="009521F2"/>
    <w:rsid w:val="009523FC"/>
    <w:rsid w:val="00953951"/>
    <w:rsid w:val="00953FA6"/>
    <w:rsid w:val="009541EB"/>
    <w:rsid w:val="0095445E"/>
    <w:rsid w:val="00954598"/>
    <w:rsid w:val="009545F9"/>
    <w:rsid w:val="00954691"/>
    <w:rsid w:val="00954772"/>
    <w:rsid w:val="00954B8E"/>
    <w:rsid w:val="009550E0"/>
    <w:rsid w:val="0095511D"/>
    <w:rsid w:val="00955915"/>
    <w:rsid w:val="00955BEB"/>
    <w:rsid w:val="00955E3B"/>
    <w:rsid w:val="0095696D"/>
    <w:rsid w:val="00956A2D"/>
    <w:rsid w:val="00956AB7"/>
    <w:rsid w:val="00957D5F"/>
    <w:rsid w:val="009604E8"/>
    <w:rsid w:val="0096082D"/>
    <w:rsid w:val="00960F4A"/>
    <w:rsid w:val="00960F5C"/>
    <w:rsid w:val="0096153A"/>
    <w:rsid w:val="00961AB7"/>
    <w:rsid w:val="009621D9"/>
    <w:rsid w:val="00962649"/>
    <w:rsid w:val="00962C03"/>
    <w:rsid w:val="00962FF1"/>
    <w:rsid w:val="00963234"/>
    <w:rsid w:val="009633EF"/>
    <w:rsid w:val="00963428"/>
    <w:rsid w:val="00963456"/>
    <w:rsid w:val="009636B5"/>
    <w:rsid w:val="009637BC"/>
    <w:rsid w:val="00963BFD"/>
    <w:rsid w:val="00963D27"/>
    <w:rsid w:val="00963EE1"/>
    <w:rsid w:val="00964B7C"/>
    <w:rsid w:val="00965764"/>
    <w:rsid w:val="00966824"/>
    <w:rsid w:val="00966E46"/>
    <w:rsid w:val="00967052"/>
    <w:rsid w:val="00970041"/>
    <w:rsid w:val="0097029F"/>
    <w:rsid w:val="009707D9"/>
    <w:rsid w:val="009708B5"/>
    <w:rsid w:val="00971148"/>
    <w:rsid w:val="009712E5"/>
    <w:rsid w:val="00971581"/>
    <w:rsid w:val="00971667"/>
    <w:rsid w:val="00971815"/>
    <w:rsid w:val="0097183F"/>
    <w:rsid w:val="00972413"/>
    <w:rsid w:val="00972940"/>
    <w:rsid w:val="00972B99"/>
    <w:rsid w:val="00972D81"/>
    <w:rsid w:val="00972E4C"/>
    <w:rsid w:val="00973372"/>
    <w:rsid w:val="009739A1"/>
    <w:rsid w:val="00973CFF"/>
    <w:rsid w:val="00974B81"/>
    <w:rsid w:val="00974C56"/>
    <w:rsid w:val="009757FB"/>
    <w:rsid w:val="00975981"/>
    <w:rsid w:val="00975AB2"/>
    <w:rsid w:val="00975C75"/>
    <w:rsid w:val="00976526"/>
    <w:rsid w:val="009768B2"/>
    <w:rsid w:val="00976C8F"/>
    <w:rsid w:val="00976E83"/>
    <w:rsid w:val="00976F71"/>
    <w:rsid w:val="009770A3"/>
    <w:rsid w:val="009778F0"/>
    <w:rsid w:val="00977A54"/>
    <w:rsid w:val="00980251"/>
    <w:rsid w:val="00980DB0"/>
    <w:rsid w:val="00980E3A"/>
    <w:rsid w:val="00980E8B"/>
    <w:rsid w:val="009814A9"/>
    <w:rsid w:val="009817EE"/>
    <w:rsid w:val="00981B56"/>
    <w:rsid w:val="00981F6A"/>
    <w:rsid w:val="00982D0F"/>
    <w:rsid w:val="00983472"/>
    <w:rsid w:val="00983BDD"/>
    <w:rsid w:val="00983CF7"/>
    <w:rsid w:val="0098474A"/>
    <w:rsid w:val="00984EF2"/>
    <w:rsid w:val="00984F12"/>
    <w:rsid w:val="00984FBB"/>
    <w:rsid w:val="0098532F"/>
    <w:rsid w:val="009854B5"/>
    <w:rsid w:val="009856CE"/>
    <w:rsid w:val="009856CF"/>
    <w:rsid w:val="00985A5C"/>
    <w:rsid w:val="00985CE7"/>
    <w:rsid w:val="00985F7A"/>
    <w:rsid w:val="00986044"/>
    <w:rsid w:val="00986612"/>
    <w:rsid w:val="00986F0D"/>
    <w:rsid w:val="009870F1"/>
    <w:rsid w:val="00987657"/>
    <w:rsid w:val="00987B67"/>
    <w:rsid w:val="00987DD3"/>
    <w:rsid w:val="009909BB"/>
    <w:rsid w:val="00990BC2"/>
    <w:rsid w:val="00990CEB"/>
    <w:rsid w:val="00990E69"/>
    <w:rsid w:val="00991361"/>
    <w:rsid w:val="009913FC"/>
    <w:rsid w:val="009916E9"/>
    <w:rsid w:val="00991B6F"/>
    <w:rsid w:val="00992012"/>
    <w:rsid w:val="00992809"/>
    <w:rsid w:val="00992AA3"/>
    <w:rsid w:val="00992C75"/>
    <w:rsid w:val="009931CC"/>
    <w:rsid w:val="009936CD"/>
    <w:rsid w:val="00993732"/>
    <w:rsid w:val="00993754"/>
    <w:rsid w:val="0099398E"/>
    <w:rsid w:val="00993AAE"/>
    <w:rsid w:val="00993C5A"/>
    <w:rsid w:val="00993D7A"/>
    <w:rsid w:val="00994467"/>
    <w:rsid w:val="0099526D"/>
    <w:rsid w:val="00995354"/>
    <w:rsid w:val="009954AA"/>
    <w:rsid w:val="009959E3"/>
    <w:rsid w:val="00995D7F"/>
    <w:rsid w:val="00995DC1"/>
    <w:rsid w:val="0099632D"/>
    <w:rsid w:val="0099699E"/>
    <w:rsid w:val="0099702F"/>
    <w:rsid w:val="00997CAB"/>
    <w:rsid w:val="009A0166"/>
    <w:rsid w:val="009A082B"/>
    <w:rsid w:val="009A0F6E"/>
    <w:rsid w:val="009A16E5"/>
    <w:rsid w:val="009A1FD2"/>
    <w:rsid w:val="009A24D8"/>
    <w:rsid w:val="009A274A"/>
    <w:rsid w:val="009A27A3"/>
    <w:rsid w:val="009A27DB"/>
    <w:rsid w:val="009A27DE"/>
    <w:rsid w:val="009A2D10"/>
    <w:rsid w:val="009A30FC"/>
    <w:rsid w:val="009A3551"/>
    <w:rsid w:val="009A376C"/>
    <w:rsid w:val="009A3B8D"/>
    <w:rsid w:val="009A3DA7"/>
    <w:rsid w:val="009A4022"/>
    <w:rsid w:val="009A4225"/>
    <w:rsid w:val="009A43F2"/>
    <w:rsid w:val="009A4591"/>
    <w:rsid w:val="009A45AB"/>
    <w:rsid w:val="009A49C3"/>
    <w:rsid w:val="009A4A04"/>
    <w:rsid w:val="009A5134"/>
    <w:rsid w:val="009A5347"/>
    <w:rsid w:val="009A5671"/>
    <w:rsid w:val="009A64E8"/>
    <w:rsid w:val="009A6889"/>
    <w:rsid w:val="009A69DB"/>
    <w:rsid w:val="009A718C"/>
    <w:rsid w:val="009A7309"/>
    <w:rsid w:val="009A7807"/>
    <w:rsid w:val="009A79FD"/>
    <w:rsid w:val="009A7EE4"/>
    <w:rsid w:val="009A7F6B"/>
    <w:rsid w:val="009A7FFD"/>
    <w:rsid w:val="009B0333"/>
    <w:rsid w:val="009B0906"/>
    <w:rsid w:val="009B0B0F"/>
    <w:rsid w:val="009B0D53"/>
    <w:rsid w:val="009B1082"/>
    <w:rsid w:val="009B1617"/>
    <w:rsid w:val="009B1705"/>
    <w:rsid w:val="009B19E3"/>
    <w:rsid w:val="009B1BFE"/>
    <w:rsid w:val="009B1F19"/>
    <w:rsid w:val="009B23F5"/>
    <w:rsid w:val="009B240B"/>
    <w:rsid w:val="009B2BFF"/>
    <w:rsid w:val="009B2FD0"/>
    <w:rsid w:val="009B352E"/>
    <w:rsid w:val="009B353E"/>
    <w:rsid w:val="009B35F6"/>
    <w:rsid w:val="009B3F90"/>
    <w:rsid w:val="009B3FE6"/>
    <w:rsid w:val="009B4014"/>
    <w:rsid w:val="009B4398"/>
    <w:rsid w:val="009B47E3"/>
    <w:rsid w:val="009B4B7C"/>
    <w:rsid w:val="009B4CF5"/>
    <w:rsid w:val="009B549E"/>
    <w:rsid w:val="009B5553"/>
    <w:rsid w:val="009B5AB2"/>
    <w:rsid w:val="009B60DC"/>
    <w:rsid w:val="009B6352"/>
    <w:rsid w:val="009B67A6"/>
    <w:rsid w:val="009B69DE"/>
    <w:rsid w:val="009B6CC6"/>
    <w:rsid w:val="009B6EDC"/>
    <w:rsid w:val="009B7563"/>
    <w:rsid w:val="009B7753"/>
    <w:rsid w:val="009B7EEA"/>
    <w:rsid w:val="009C0D0A"/>
    <w:rsid w:val="009C0EB5"/>
    <w:rsid w:val="009C0F5C"/>
    <w:rsid w:val="009C1132"/>
    <w:rsid w:val="009C1A3D"/>
    <w:rsid w:val="009C1AFC"/>
    <w:rsid w:val="009C2046"/>
    <w:rsid w:val="009C2AA0"/>
    <w:rsid w:val="009C2AEA"/>
    <w:rsid w:val="009C2DAE"/>
    <w:rsid w:val="009C42C5"/>
    <w:rsid w:val="009C4305"/>
    <w:rsid w:val="009C44EB"/>
    <w:rsid w:val="009C4A3F"/>
    <w:rsid w:val="009C4AB2"/>
    <w:rsid w:val="009C58D4"/>
    <w:rsid w:val="009C62B8"/>
    <w:rsid w:val="009C66AD"/>
    <w:rsid w:val="009C66E0"/>
    <w:rsid w:val="009C6EBB"/>
    <w:rsid w:val="009C704F"/>
    <w:rsid w:val="009C70A1"/>
    <w:rsid w:val="009C7693"/>
    <w:rsid w:val="009C7694"/>
    <w:rsid w:val="009C794D"/>
    <w:rsid w:val="009C7E2D"/>
    <w:rsid w:val="009C7F08"/>
    <w:rsid w:val="009D010F"/>
    <w:rsid w:val="009D026F"/>
    <w:rsid w:val="009D05E2"/>
    <w:rsid w:val="009D0622"/>
    <w:rsid w:val="009D0652"/>
    <w:rsid w:val="009D0DC3"/>
    <w:rsid w:val="009D0E05"/>
    <w:rsid w:val="009D10D9"/>
    <w:rsid w:val="009D154C"/>
    <w:rsid w:val="009D19E7"/>
    <w:rsid w:val="009D1D84"/>
    <w:rsid w:val="009D2034"/>
    <w:rsid w:val="009D23AB"/>
    <w:rsid w:val="009D2592"/>
    <w:rsid w:val="009D26CF"/>
    <w:rsid w:val="009D2B6B"/>
    <w:rsid w:val="009D2D2F"/>
    <w:rsid w:val="009D2E02"/>
    <w:rsid w:val="009D33D2"/>
    <w:rsid w:val="009D39B8"/>
    <w:rsid w:val="009D3D73"/>
    <w:rsid w:val="009D43D3"/>
    <w:rsid w:val="009D46CC"/>
    <w:rsid w:val="009D5A46"/>
    <w:rsid w:val="009D5A8C"/>
    <w:rsid w:val="009D5AFF"/>
    <w:rsid w:val="009D6A2B"/>
    <w:rsid w:val="009D6C62"/>
    <w:rsid w:val="009D7294"/>
    <w:rsid w:val="009D7820"/>
    <w:rsid w:val="009D791D"/>
    <w:rsid w:val="009D7AE5"/>
    <w:rsid w:val="009D7FA4"/>
    <w:rsid w:val="009E020B"/>
    <w:rsid w:val="009E03BA"/>
    <w:rsid w:val="009E03E3"/>
    <w:rsid w:val="009E0A1A"/>
    <w:rsid w:val="009E0F47"/>
    <w:rsid w:val="009E129F"/>
    <w:rsid w:val="009E1425"/>
    <w:rsid w:val="009E15F3"/>
    <w:rsid w:val="009E176E"/>
    <w:rsid w:val="009E1DBD"/>
    <w:rsid w:val="009E1FDF"/>
    <w:rsid w:val="009E2BDE"/>
    <w:rsid w:val="009E3CFE"/>
    <w:rsid w:val="009E3E86"/>
    <w:rsid w:val="009E4454"/>
    <w:rsid w:val="009E4F1A"/>
    <w:rsid w:val="009E5096"/>
    <w:rsid w:val="009E56ED"/>
    <w:rsid w:val="009E59B1"/>
    <w:rsid w:val="009E60F4"/>
    <w:rsid w:val="009E6998"/>
    <w:rsid w:val="009E6D01"/>
    <w:rsid w:val="009E717F"/>
    <w:rsid w:val="009E7402"/>
    <w:rsid w:val="009E7A7B"/>
    <w:rsid w:val="009E7AD6"/>
    <w:rsid w:val="009E7AD8"/>
    <w:rsid w:val="009E7AF1"/>
    <w:rsid w:val="009E7C8F"/>
    <w:rsid w:val="009E7FA9"/>
    <w:rsid w:val="009F0B9D"/>
    <w:rsid w:val="009F1997"/>
    <w:rsid w:val="009F2098"/>
    <w:rsid w:val="009F26C1"/>
    <w:rsid w:val="009F2B45"/>
    <w:rsid w:val="009F34D6"/>
    <w:rsid w:val="009F3A1F"/>
    <w:rsid w:val="009F3C54"/>
    <w:rsid w:val="009F4246"/>
    <w:rsid w:val="009F43DB"/>
    <w:rsid w:val="009F43EE"/>
    <w:rsid w:val="009F4730"/>
    <w:rsid w:val="009F4ACC"/>
    <w:rsid w:val="009F4F0A"/>
    <w:rsid w:val="009F4FA0"/>
    <w:rsid w:val="009F5D1E"/>
    <w:rsid w:val="009F68D8"/>
    <w:rsid w:val="009F698E"/>
    <w:rsid w:val="009F6BF4"/>
    <w:rsid w:val="009F749F"/>
    <w:rsid w:val="009F756F"/>
    <w:rsid w:val="00A0047E"/>
    <w:rsid w:val="00A0054E"/>
    <w:rsid w:val="00A00B41"/>
    <w:rsid w:val="00A00B9D"/>
    <w:rsid w:val="00A00CED"/>
    <w:rsid w:val="00A01651"/>
    <w:rsid w:val="00A01BC4"/>
    <w:rsid w:val="00A01BEB"/>
    <w:rsid w:val="00A02060"/>
    <w:rsid w:val="00A020F8"/>
    <w:rsid w:val="00A026A4"/>
    <w:rsid w:val="00A0307C"/>
    <w:rsid w:val="00A03236"/>
    <w:rsid w:val="00A034BE"/>
    <w:rsid w:val="00A03835"/>
    <w:rsid w:val="00A03F0E"/>
    <w:rsid w:val="00A03F4B"/>
    <w:rsid w:val="00A04085"/>
    <w:rsid w:val="00A044EC"/>
    <w:rsid w:val="00A047E7"/>
    <w:rsid w:val="00A04B6B"/>
    <w:rsid w:val="00A04D01"/>
    <w:rsid w:val="00A052FF"/>
    <w:rsid w:val="00A06211"/>
    <w:rsid w:val="00A06C5E"/>
    <w:rsid w:val="00A06E38"/>
    <w:rsid w:val="00A06F50"/>
    <w:rsid w:val="00A06FEA"/>
    <w:rsid w:val="00A07028"/>
    <w:rsid w:val="00A07C02"/>
    <w:rsid w:val="00A07FB6"/>
    <w:rsid w:val="00A1031C"/>
    <w:rsid w:val="00A1061B"/>
    <w:rsid w:val="00A1083F"/>
    <w:rsid w:val="00A1091A"/>
    <w:rsid w:val="00A10968"/>
    <w:rsid w:val="00A10C11"/>
    <w:rsid w:val="00A11B2F"/>
    <w:rsid w:val="00A11B97"/>
    <w:rsid w:val="00A124C7"/>
    <w:rsid w:val="00A1325F"/>
    <w:rsid w:val="00A134A1"/>
    <w:rsid w:val="00A134CA"/>
    <w:rsid w:val="00A135D6"/>
    <w:rsid w:val="00A13E05"/>
    <w:rsid w:val="00A14402"/>
    <w:rsid w:val="00A15175"/>
    <w:rsid w:val="00A151C5"/>
    <w:rsid w:val="00A154E7"/>
    <w:rsid w:val="00A15821"/>
    <w:rsid w:val="00A16558"/>
    <w:rsid w:val="00A16772"/>
    <w:rsid w:val="00A1685B"/>
    <w:rsid w:val="00A16F9C"/>
    <w:rsid w:val="00A1734C"/>
    <w:rsid w:val="00A17580"/>
    <w:rsid w:val="00A176FF"/>
    <w:rsid w:val="00A17B73"/>
    <w:rsid w:val="00A17C3B"/>
    <w:rsid w:val="00A20182"/>
    <w:rsid w:val="00A2026C"/>
    <w:rsid w:val="00A20667"/>
    <w:rsid w:val="00A21B9F"/>
    <w:rsid w:val="00A221A4"/>
    <w:rsid w:val="00A232D6"/>
    <w:rsid w:val="00A234E3"/>
    <w:rsid w:val="00A238C8"/>
    <w:rsid w:val="00A250B4"/>
    <w:rsid w:val="00A2537E"/>
    <w:rsid w:val="00A255CC"/>
    <w:rsid w:val="00A25625"/>
    <w:rsid w:val="00A2573D"/>
    <w:rsid w:val="00A258F7"/>
    <w:rsid w:val="00A25EDC"/>
    <w:rsid w:val="00A25F3F"/>
    <w:rsid w:val="00A267C2"/>
    <w:rsid w:val="00A269F7"/>
    <w:rsid w:val="00A27AD9"/>
    <w:rsid w:val="00A27B86"/>
    <w:rsid w:val="00A27D22"/>
    <w:rsid w:val="00A27D7A"/>
    <w:rsid w:val="00A308E0"/>
    <w:rsid w:val="00A30B49"/>
    <w:rsid w:val="00A30BE4"/>
    <w:rsid w:val="00A30E0C"/>
    <w:rsid w:val="00A30F11"/>
    <w:rsid w:val="00A31618"/>
    <w:rsid w:val="00A316B4"/>
    <w:rsid w:val="00A317D6"/>
    <w:rsid w:val="00A326AD"/>
    <w:rsid w:val="00A33092"/>
    <w:rsid w:val="00A33263"/>
    <w:rsid w:val="00A3340B"/>
    <w:rsid w:val="00A33D53"/>
    <w:rsid w:val="00A351FC"/>
    <w:rsid w:val="00A352F0"/>
    <w:rsid w:val="00A35AA9"/>
    <w:rsid w:val="00A35F13"/>
    <w:rsid w:val="00A36067"/>
    <w:rsid w:val="00A36114"/>
    <w:rsid w:val="00A36247"/>
    <w:rsid w:val="00A36324"/>
    <w:rsid w:val="00A36497"/>
    <w:rsid w:val="00A365BA"/>
    <w:rsid w:val="00A36CD9"/>
    <w:rsid w:val="00A370C3"/>
    <w:rsid w:val="00A379B0"/>
    <w:rsid w:val="00A37E93"/>
    <w:rsid w:val="00A40419"/>
    <w:rsid w:val="00A404E2"/>
    <w:rsid w:val="00A405BB"/>
    <w:rsid w:val="00A408D7"/>
    <w:rsid w:val="00A410CC"/>
    <w:rsid w:val="00A4135F"/>
    <w:rsid w:val="00A413C0"/>
    <w:rsid w:val="00A41C79"/>
    <w:rsid w:val="00A42C6D"/>
    <w:rsid w:val="00A42D9D"/>
    <w:rsid w:val="00A43A35"/>
    <w:rsid w:val="00A43BD4"/>
    <w:rsid w:val="00A4401A"/>
    <w:rsid w:val="00A445C6"/>
    <w:rsid w:val="00A44D8D"/>
    <w:rsid w:val="00A45032"/>
    <w:rsid w:val="00A450A2"/>
    <w:rsid w:val="00A4652D"/>
    <w:rsid w:val="00A465A6"/>
    <w:rsid w:val="00A46B7A"/>
    <w:rsid w:val="00A475EB"/>
    <w:rsid w:val="00A47E81"/>
    <w:rsid w:val="00A506FE"/>
    <w:rsid w:val="00A50836"/>
    <w:rsid w:val="00A5091B"/>
    <w:rsid w:val="00A510C0"/>
    <w:rsid w:val="00A511BD"/>
    <w:rsid w:val="00A51210"/>
    <w:rsid w:val="00A5153A"/>
    <w:rsid w:val="00A51D32"/>
    <w:rsid w:val="00A520F5"/>
    <w:rsid w:val="00A52152"/>
    <w:rsid w:val="00A521EA"/>
    <w:rsid w:val="00A521ED"/>
    <w:rsid w:val="00A5279D"/>
    <w:rsid w:val="00A52832"/>
    <w:rsid w:val="00A5287A"/>
    <w:rsid w:val="00A528FC"/>
    <w:rsid w:val="00A5320D"/>
    <w:rsid w:val="00A53C71"/>
    <w:rsid w:val="00A53C72"/>
    <w:rsid w:val="00A544C9"/>
    <w:rsid w:val="00A54E76"/>
    <w:rsid w:val="00A551D1"/>
    <w:rsid w:val="00A551E3"/>
    <w:rsid w:val="00A55370"/>
    <w:rsid w:val="00A5545B"/>
    <w:rsid w:val="00A55483"/>
    <w:rsid w:val="00A55527"/>
    <w:rsid w:val="00A55F51"/>
    <w:rsid w:val="00A56A3A"/>
    <w:rsid w:val="00A570D8"/>
    <w:rsid w:val="00A5734F"/>
    <w:rsid w:val="00A5756A"/>
    <w:rsid w:val="00A575FC"/>
    <w:rsid w:val="00A577A7"/>
    <w:rsid w:val="00A57DE2"/>
    <w:rsid w:val="00A600B0"/>
    <w:rsid w:val="00A61821"/>
    <w:rsid w:val="00A61EBD"/>
    <w:rsid w:val="00A6218A"/>
    <w:rsid w:val="00A627F2"/>
    <w:rsid w:val="00A6295C"/>
    <w:rsid w:val="00A62DD6"/>
    <w:rsid w:val="00A631B5"/>
    <w:rsid w:val="00A63E7C"/>
    <w:rsid w:val="00A64026"/>
    <w:rsid w:val="00A64334"/>
    <w:rsid w:val="00A64F79"/>
    <w:rsid w:val="00A6558F"/>
    <w:rsid w:val="00A65E36"/>
    <w:rsid w:val="00A65E92"/>
    <w:rsid w:val="00A665EA"/>
    <w:rsid w:val="00A66677"/>
    <w:rsid w:val="00A66C5A"/>
    <w:rsid w:val="00A66D2C"/>
    <w:rsid w:val="00A66DB9"/>
    <w:rsid w:val="00A66DBF"/>
    <w:rsid w:val="00A66EE1"/>
    <w:rsid w:val="00A67451"/>
    <w:rsid w:val="00A674E9"/>
    <w:rsid w:val="00A6785E"/>
    <w:rsid w:val="00A67F30"/>
    <w:rsid w:val="00A67F82"/>
    <w:rsid w:val="00A70BA6"/>
    <w:rsid w:val="00A70F20"/>
    <w:rsid w:val="00A71171"/>
    <w:rsid w:val="00A712FC"/>
    <w:rsid w:val="00A71306"/>
    <w:rsid w:val="00A73D62"/>
    <w:rsid w:val="00A7505B"/>
    <w:rsid w:val="00A759D9"/>
    <w:rsid w:val="00A75A15"/>
    <w:rsid w:val="00A75C4C"/>
    <w:rsid w:val="00A76335"/>
    <w:rsid w:val="00A7664A"/>
    <w:rsid w:val="00A767FC"/>
    <w:rsid w:val="00A76A15"/>
    <w:rsid w:val="00A76A1B"/>
    <w:rsid w:val="00A76AD8"/>
    <w:rsid w:val="00A76EDB"/>
    <w:rsid w:val="00A772D0"/>
    <w:rsid w:val="00A773DC"/>
    <w:rsid w:val="00A778BC"/>
    <w:rsid w:val="00A80505"/>
    <w:rsid w:val="00A80BC1"/>
    <w:rsid w:val="00A80EA7"/>
    <w:rsid w:val="00A80FEE"/>
    <w:rsid w:val="00A81081"/>
    <w:rsid w:val="00A812E6"/>
    <w:rsid w:val="00A818EB"/>
    <w:rsid w:val="00A81BC7"/>
    <w:rsid w:val="00A82B7A"/>
    <w:rsid w:val="00A82CCD"/>
    <w:rsid w:val="00A82D4D"/>
    <w:rsid w:val="00A82D82"/>
    <w:rsid w:val="00A82E3A"/>
    <w:rsid w:val="00A82F9E"/>
    <w:rsid w:val="00A830B2"/>
    <w:rsid w:val="00A831E2"/>
    <w:rsid w:val="00A8372A"/>
    <w:rsid w:val="00A83AB2"/>
    <w:rsid w:val="00A83BE1"/>
    <w:rsid w:val="00A851A6"/>
    <w:rsid w:val="00A85852"/>
    <w:rsid w:val="00A85A25"/>
    <w:rsid w:val="00A85D90"/>
    <w:rsid w:val="00A85F12"/>
    <w:rsid w:val="00A8625E"/>
    <w:rsid w:val="00A8667F"/>
    <w:rsid w:val="00A86844"/>
    <w:rsid w:val="00A870B0"/>
    <w:rsid w:val="00A871F6"/>
    <w:rsid w:val="00A87480"/>
    <w:rsid w:val="00A87747"/>
    <w:rsid w:val="00A87B74"/>
    <w:rsid w:val="00A900C5"/>
    <w:rsid w:val="00A9038C"/>
    <w:rsid w:val="00A9065C"/>
    <w:rsid w:val="00A90F6B"/>
    <w:rsid w:val="00A911BA"/>
    <w:rsid w:val="00A915F2"/>
    <w:rsid w:val="00A91AFE"/>
    <w:rsid w:val="00A91B21"/>
    <w:rsid w:val="00A91C63"/>
    <w:rsid w:val="00A91D91"/>
    <w:rsid w:val="00A91E47"/>
    <w:rsid w:val="00A927E2"/>
    <w:rsid w:val="00A92ADB"/>
    <w:rsid w:val="00A9305F"/>
    <w:rsid w:val="00A93232"/>
    <w:rsid w:val="00A9352B"/>
    <w:rsid w:val="00A936D4"/>
    <w:rsid w:val="00A93AAE"/>
    <w:rsid w:val="00A9464B"/>
    <w:rsid w:val="00A9465B"/>
    <w:rsid w:val="00A95087"/>
    <w:rsid w:val="00A95B73"/>
    <w:rsid w:val="00A95B8B"/>
    <w:rsid w:val="00A95C66"/>
    <w:rsid w:val="00A95C75"/>
    <w:rsid w:val="00A95D36"/>
    <w:rsid w:val="00A96349"/>
    <w:rsid w:val="00A97546"/>
    <w:rsid w:val="00A9795A"/>
    <w:rsid w:val="00AA054E"/>
    <w:rsid w:val="00AA0780"/>
    <w:rsid w:val="00AA0CBF"/>
    <w:rsid w:val="00AA0E48"/>
    <w:rsid w:val="00AA0FC2"/>
    <w:rsid w:val="00AA1100"/>
    <w:rsid w:val="00AA11CC"/>
    <w:rsid w:val="00AA194B"/>
    <w:rsid w:val="00AA1A0D"/>
    <w:rsid w:val="00AA1CF7"/>
    <w:rsid w:val="00AA237B"/>
    <w:rsid w:val="00AA2938"/>
    <w:rsid w:val="00AA3F8F"/>
    <w:rsid w:val="00AA410B"/>
    <w:rsid w:val="00AA489F"/>
    <w:rsid w:val="00AA57EE"/>
    <w:rsid w:val="00AA5D9A"/>
    <w:rsid w:val="00AA5F41"/>
    <w:rsid w:val="00AA6057"/>
    <w:rsid w:val="00AA67E0"/>
    <w:rsid w:val="00AA6B8D"/>
    <w:rsid w:val="00AA6F01"/>
    <w:rsid w:val="00AA7281"/>
    <w:rsid w:val="00AA7615"/>
    <w:rsid w:val="00AA7FA7"/>
    <w:rsid w:val="00AB014D"/>
    <w:rsid w:val="00AB01CF"/>
    <w:rsid w:val="00AB02C7"/>
    <w:rsid w:val="00AB0432"/>
    <w:rsid w:val="00AB04D8"/>
    <w:rsid w:val="00AB16D7"/>
    <w:rsid w:val="00AB2227"/>
    <w:rsid w:val="00AB225F"/>
    <w:rsid w:val="00AB29B4"/>
    <w:rsid w:val="00AB2AC8"/>
    <w:rsid w:val="00AB2B0B"/>
    <w:rsid w:val="00AB2C34"/>
    <w:rsid w:val="00AB3628"/>
    <w:rsid w:val="00AB385A"/>
    <w:rsid w:val="00AB3D7D"/>
    <w:rsid w:val="00AB3DBE"/>
    <w:rsid w:val="00AB3E54"/>
    <w:rsid w:val="00AB3E9E"/>
    <w:rsid w:val="00AB3F7F"/>
    <w:rsid w:val="00AB411F"/>
    <w:rsid w:val="00AB51C0"/>
    <w:rsid w:val="00AB534C"/>
    <w:rsid w:val="00AB5D79"/>
    <w:rsid w:val="00AB64B1"/>
    <w:rsid w:val="00AB64DA"/>
    <w:rsid w:val="00AB6D02"/>
    <w:rsid w:val="00AB6F37"/>
    <w:rsid w:val="00AB6FFB"/>
    <w:rsid w:val="00AB7132"/>
    <w:rsid w:val="00AB7463"/>
    <w:rsid w:val="00AB7542"/>
    <w:rsid w:val="00AB769F"/>
    <w:rsid w:val="00AB76F8"/>
    <w:rsid w:val="00AB7785"/>
    <w:rsid w:val="00AB7897"/>
    <w:rsid w:val="00AB7AC8"/>
    <w:rsid w:val="00AB7E5B"/>
    <w:rsid w:val="00AC0B81"/>
    <w:rsid w:val="00AC0EFE"/>
    <w:rsid w:val="00AC12E0"/>
    <w:rsid w:val="00AC1A4A"/>
    <w:rsid w:val="00AC1BD9"/>
    <w:rsid w:val="00AC1F4F"/>
    <w:rsid w:val="00AC22EE"/>
    <w:rsid w:val="00AC26BB"/>
    <w:rsid w:val="00AC2758"/>
    <w:rsid w:val="00AC2D66"/>
    <w:rsid w:val="00AC2EC4"/>
    <w:rsid w:val="00AC3E22"/>
    <w:rsid w:val="00AC4A8E"/>
    <w:rsid w:val="00AC4B1C"/>
    <w:rsid w:val="00AC50E9"/>
    <w:rsid w:val="00AC50FD"/>
    <w:rsid w:val="00AC5949"/>
    <w:rsid w:val="00AC5AED"/>
    <w:rsid w:val="00AC5CCD"/>
    <w:rsid w:val="00AC5CED"/>
    <w:rsid w:val="00AC631D"/>
    <w:rsid w:val="00AC670D"/>
    <w:rsid w:val="00AC6738"/>
    <w:rsid w:val="00AC6BA0"/>
    <w:rsid w:val="00AC71B2"/>
    <w:rsid w:val="00AC7635"/>
    <w:rsid w:val="00AC774B"/>
    <w:rsid w:val="00AC7764"/>
    <w:rsid w:val="00AC77A8"/>
    <w:rsid w:val="00AC79E0"/>
    <w:rsid w:val="00AC7BCD"/>
    <w:rsid w:val="00AD0B10"/>
    <w:rsid w:val="00AD14F2"/>
    <w:rsid w:val="00AD150A"/>
    <w:rsid w:val="00AD17E2"/>
    <w:rsid w:val="00AD1AAC"/>
    <w:rsid w:val="00AD1E14"/>
    <w:rsid w:val="00AD202A"/>
    <w:rsid w:val="00AD2375"/>
    <w:rsid w:val="00AD239F"/>
    <w:rsid w:val="00AD28C9"/>
    <w:rsid w:val="00AD35AB"/>
    <w:rsid w:val="00AD3E97"/>
    <w:rsid w:val="00AD4153"/>
    <w:rsid w:val="00AD41CA"/>
    <w:rsid w:val="00AD4318"/>
    <w:rsid w:val="00AD4813"/>
    <w:rsid w:val="00AD4ADE"/>
    <w:rsid w:val="00AD4DD7"/>
    <w:rsid w:val="00AD4FE1"/>
    <w:rsid w:val="00AD5036"/>
    <w:rsid w:val="00AD54E6"/>
    <w:rsid w:val="00AD57F7"/>
    <w:rsid w:val="00AD5B71"/>
    <w:rsid w:val="00AD5F0D"/>
    <w:rsid w:val="00AD694C"/>
    <w:rsid w:val="00AD6CD5"/>
    <w:rsid w:val="00AE0E18"/>
    <w:rsid w:val="00AE0F32"/>
    <w:rsid w:val="00AE24F3"/>
    <w:rsid w:val="00AE2CC4"/>
    <w:rsid w:val="00AE2F10"/>
    <w:rsid w:val="00AE33F4"/>
    <w:rsid w:val="00AE3D96"/>
    <w:rsid w:val="00AE3FDC"/>
    <w:rsid w:val="00AE4FC7"/>
    <w:rsid w:val="00AE5271"/>
    <w:rsid w:val="00AE5433"/>
    <w:rsid w:val="00AE703A"/>
    <w:rsid w:val="00AE74C9"/>
    <w:rsid w:val="00AF0116"/>
    <w:rsid w:val="00AF0498"/>
    <w:rsid w:val="00AF0D15"/>
    <w:rsid w:val="00AF0ECE"/>
    <w:rsid w:val="00AF0F6F"/>
    <w:rsid w:val="00AF14D5"/>
    <w:rsid w:val="00AF172D"/>
    <w:rsid w:val="00AF18A1"/>
    <w:rsid w:val="00AF1E9D"/>
    <w:rsid w:val="00AF1FC7"/>
    <w:rsid w:val="00AF2260"/>
    <w:rsid w:val="00AF2994"/>
    <w:rsid w:val="00AF2B95"/>
    <w:rsid w:val="00AF2D5B"/>
    <w:rsid w:val="00AF3F1D"/>
    <w:rsid w:val="00AF4048"/>
    <w:rsid w:val="00AF43B1"/>
    <w:rsid w:val="00AF4529"/>
    <w:rsid w:val="00AF45D5"/>
    <w:rsid w:val="00AF465C"/>
    <w:rsid w:val="00AF4703"/>
    <w:rsid w:val="00AF4840"/>
    <w:rsid w:val="00AF4AAA"/>
    <w:rsid w:val="00AF4DD6"/>
    <w:rsid w:val="00AF4F1B"/>
    <w:rsid w:val="00AF4FD8"/>
    <w:rsid w:val="00AF4FDC"/>
    <w:rsid w:val="00AF592B"/>
    <w:rsid w:val="00AF6356"/>
    <w:rsid w:val="00AF639E"/>
    <w:rsid w:val="00AF6B1E"/>
    <w:rsid w:val="00AF6F08"/>
    <w:rsid w:val="00AF71CA"/>
    <w:rsid w:val="00AF761C"/>
    <w:rsid w:val="00AF781B"/>
    <w:rsid w:val="00AF7C11"/>
    <w:rsid w:val="00AF7E24"/>
    <w:rsid w:val="00AF7E46"/>
    <w:rsid w:val="00B00BEC"/>
    <w:rsid w:val="00B00DF5"/>
    <w:rsid w:val="00B016C1"/>
    <w:rsid w:val="00B01DB3"/>
    <w:rsid w:val="00B01DCC"/>
    <w:rsid w:val="00B028CB"/>
    <w:rsid w:val="00B036D5"/>
    <w:rsid w:val="00B03969"/>
    <w:rsid w:val="00B040F3"/>
    <w:rsid w:val="00B04279"/>
    <w:rsid w:val="00B04283"/>
    <w:rsid w:val="00B05096"/>
    <w:rsid w:val="00B05427"/>
    <w:rsid w:val="00B05441"/>
    <w:rsid w:val="00B05B62"/>
    <w:rsid w:val="00B05C99"/>
    <w:rsid w:val="00B07101"/>
    <w:rsid w:val="00B07463"/>
    <w:rsid w:val="00B07994"/>
    <w:rsid w:val="00B103D7"/>
    <w:rsid w:val="00B10921"/>
    <w:rsid w:val="00B114F0"/>
    <w:rsid w:val="00B11AC2"/>
    <w:rsid w:val="00B11EFB"/>
    <w:rsid w:val="00B123ED"/>
    <w:rsid w:val="00B13011"/>
    <w:rsid w:val="00B1309C"/>
    <w:rsid w:val="00B13118"/>
    <w:rsid w:val="00B13428"/>
    <w:rsid w:val="00B141CE"/>
    <w:rsid w:val="00B14CC4"/>
    <w:rsid w:val="00B14D0D"/>
    <w:rsid w:val="00B14DFF"/>
    <w:rsid w:val="00B154E6"/>
    <w:rsid w:val="00B15766"/>
    <w:rsid w:val="00B15C0B"/>
    <w:rsid w:val="00B16A01"/>
    <w:rsid w:val="00B16B3C"/>
    <w:rsid w:val="00B1790D"/>
    <w:rsid w:val="00B17AF3"/>
    <w:rsid w:val="00B17D5F"/>
    <w:rsid w:val="00B17D87"/>
    <w:rsid w:val="00B2035F"/>
    <w:rsid w:val="00B203DC"/>
    <w:rsid w:val="00B208FE"/>
    <w:rsid w:val="00B21274"/>
    <w:rsid w:val="00B21548"/>
    <w:rsid w:val="00B22006"/>
    <w:rsid w:val="00B22030"/>
    <w:rsid w:val="00B222F2"/>
    <w:rsid w:val="00B2286F"/>
    <w:rsid w:val="00B23047"/>
    <w:rsid w:val="00B23DDF"/>
    <w:rsid w:val="00B23DE6"/>
    <w:rsid w:val="00B243CB"/>
    <w:rsid w:val="00B25327"/>
    <w:rsid w:val="00B25399"/>
    <w:rsid w:val="00B25C8A"/>
    <w:rsid w:val="00B26198"/>
    <w:rsid w:val="00B27499"/>
    <w:rsid w:val="00B275D7"/>
    <w:rsid w:val="00B2764F"/>
    <w:rsid w:val="00B27EDD"/>
    <w:rsid w:val="00B303A1"/>
    <w:rsid w:val="00B30933"/>
    <w:rsid w:val="00B30BCC"/>
    <w:rsid w:val="00B31386"/>
    <w:rsid w:val="00B314F3"/>
    <w:rsid w:val="00B31666"/>
    <w:rsid w:val="00B31A88"/>
    <w:rsid w:val="00B31B09"/>
    <w:rsid w:val="00B3222D"/>
    <w:rsid w:val="00B32A46"/>
    <w:rsid w:val="00B33214"/>
    <w:rsid w:val="00B33761"/>
    <w:rsid w:val="00B3384F"/>
    <w:rsid w:val="00B33BC3"/>
    <w:rsid w:val="00B33C3F"/>
    <w:rsid w:val="00B33D10"/>
    <w:rsid w:val="00B33EB5"/>
    <w:rsid w:val="00B34748"/>
    <w:rsid w:val="00B34BFB"/>
    <w:rsid w:val="00B353DD"/>
    <w:rsid w:val="00B35640"/>
    <w:rsid w:val="00B35F06"/>
    <w:rsid w:val="00B36F57"/>
    <w:rsid w:val="00B3711F"/>
    <w:rsid w:val="00B3712E"/>
    <w:rsid w:val="00B37185"/>
    <w:rsid w:val="00B37295"/>
    <w:rsid w:val="00B37830"/>
    <w:rsid w:val="00B3786F"/>
    <w:rsid w:val="00B40B74"/>
    <w:rsid w:val="00B40D81"/>
    <w:rsid w:val="00B4130E"/>
    <w:rsid w:val="00B417D4"/>
    <w:rsid w:val="00B425CC"/>
    <w:rsid w:val="00B42BD1"/>
    <w:rsid w:val="00B42FB6"/>
    <w:rsid w:val="00B4325C"/>
    <w:rsid w:val="00B43388"/>
    <w:rsid w:val="00B44AFC"/>
    <w:rsid w:val="00B44F2A"/>
    <w:rsid w:val="00B450E6"/>
    <w:rsid w:val="00B46251"/>
    <w:rsid w:val="00B462B8"/>
    <w:rsid w:val="00B46422"/>
    <w:rsid w:val="00B46EF0"/>
    <w:rsid w:val="00B47807"/>
    <w:rsid w:val="00B47C39"/>
    <w:rsid w:val="00B50534"/>
    <w:rsid w:val="00B507E1"/>
    <w:rsid w:val="00B50CC8"/>
    <w:rsid w:val="00B510B3"/>
    <w:rsid w:val="00B51722"/>
    <w:rsid w:val="00B51C6C"/>
    <w:rsid w:val="00B51D00"/>
    <w:rsid w:val="00B524DE"/>
    <w:rsid w:val="00B52E10"/>
    <w:rsid w:val="00B55282"/>
    <w:rsid w:val="00B5534F"/>
    <w:rsid w:val="00B55ABB"/>
    <w:rsid w:val="00B55E00"/>
    <w:rsid w:val="00B55F41"/>
    <w:rsid w:val="00B561F9"/>
    <w:rsid w:val="00B56B6C"/>
    <w:rsid w:val="00B56C44"/>
    <w:rsid w:val="00B60E6D"/>
    <w:rsid w:val="00B60F50"/>
    <w:rsid w:val="00B61765"/>
    <w:rsid w:val="00B61CF8"/>
    <w:rsid w:val="00B62298"/>
    <w:rsid w:val="00B624DC"/>
    <w:rsid w:val="00B6266F"/>
    <w:rsid w:val="00B62AD5"/>
    <w:rsid w:val="00B62B82"/>
    <w:rsid w:val="00B62BD8"/>
    <w:rsid w:val="00B6312D"/>
    <w:rsid w:val="00B63785"/>
    <w:rsid w:val="00B63F4B"/>
    <w:rsid w:val="00B63FEA"/>
    <w:rsid w:val="00B6441A"/>
    <w:rsid w:val="00B644A5"/>
    <w:rsid w:val="00B64A07"/>
    <w:rsid w:val="00B64EE5"/>
    <w:rsid w:val="00B65259"/>
    <w:rsid w:val="00B653F0"/>
    <w:rsid w:val="00B655D1"/>
    <w:rsid w:val="00B667DB"/>
    <w:rsid w:val="00B66BAC"/>
    <w:rsid w:val="00B67AC1"/>
    <w:rsid w:val="00B705C4"/>
    <w:rsid w:val="00B70C7F"/>
    <w:rsid w:val="00B70F28"/>
    <w:rsid w:val="00B7125A"/>
    <w:rsid w:val="00B714BD"/>
    <w:rsid w:val="00B714FC"/>
    <w:rsid w:val="00B71EF3"/>
    <w:rsid w:val="00B72041"/>
    <w:rsid w:val="00B720FB"/>
    <w:rsid w:val="00B72138"/>
    <w:rsid w:val="00B722C7"/>
    <w:rsid w:val="00B7247A"/>
    <w:rsid w:val="00B72643"/>
    <w:rsid w:val="00B73281"/>
    <w:rsid w:val="00B735C5"/>
    <w:rsid w:val="00B73BD4"/>
    <w:rsid w:val="00B73D82"/>
    <w:rsid w:val="00B741C6"/>
    <w:rsid w:val="00B741E3"/>
    <w:rsid w:val="00B74FA7"/>
    <w:rsid w:val="00B750FE"/>
    <w:rsid w:val="00B7550D"/>
    <w:rsid w:val="00B75D5C"/>
    <w:rsid w:val="00B767E0"/>
    <w:rsid w:val="00B773A7"/>
    <w:rsid w:val="00B7765E"/>
    <w:rsid w:val="00B77662"/>
    <w:rsid w:val="00B777E2"/>
    <w:rsid w:val="00B779AE"/>
    <w:rsid w:val="00B80369"/>
    <w:rsid w:val="00B8053F"/>
    <w:rsid w:val="00B80879"/>
    <w:rsid w:val="00B8171F"/>
    <w:rsid w:val="00B824C7"/>
    <w:rsid w:val="00B82724"/>
    <w:rsid w:val="00B833DB"/>
    <w:rsid w:val="00B8356A"/>
    <w:rsid w:val="00B83B6C"/>
    <w:rsid w:val="00B83B90"/>
    <w:rsid w:val="00B83BE8"/>
    <w:rsid w:val="00B846DF"/>
    <w:rsid w:val="00B848A3"/>
    <w:rsid w:val="00B85001"/>
    <w:rsid w:val="00B85345"/>
    <w:rsid w:val="00B85764"/>
    <w:rsid w:val="00B857B7"/>
    <w:rsid w:val="00B85BAE"/>
    <w:rsid w:val="00B85C15"/>
    <w:rsid w:val="00B85C5B"/>
    <w:rsid w:val="00B85D0A"/>
    <w:rsid w:val="00B85DC6"/>
    <w:rsid w:val="00B85DDA"/>
    <w:rsid w:val="00B86274"/>
    <w:rsid w:val="00B86FD7"/>
    <w:rsid w:val="00B8709F"/>
    <w:rsid w:val="00B87124"/>
    <w:rsid w:val="00B8784E"/>
    <w:rsid w:val="00B90DAF"/>
    <w:rsid w:val="00B919AB"/>
    <w:rsid w:val="00B91A63"/>
    <w:rsid w:val="00B91B6E"/>
    <w:rsid w:val="00B91D44"/>
    <w:rsid w:val="00B925DE"/>
    <w:rsid w:val="00B929EB"/>
    <w:rsid w:val="00B92A6C"/>
    <w:rsid w:val="00B92B26"/>
    <w:rsid w:val="00B92B32"/>
    <w:rsid w:val="00B93F96"/>
    <w:rsid w:val="00B94380"/>
    <w:rsid w:val="00B947F8"/>
    <w:rsid w:val="00B94E13"/>
    <w:rsid w:val="00B94F5C"/>
    <w:rsid w:val="00B95298"/>
    <w:rsid w:val="00B9534D"/>
    <w:rsid w:val="00B95418"/>
    <w:rsid w:val="00B9580D"/>
    <w:rsid w:val="00B960C3"/>
    <w:rsid w:val="00B966FC"/>
    <w:rsid w:val="00B966FE"/>
    <w:rsid w:val="00B96738"/>
    <w:rsid w:val="00B96AE1"/>
    <w:rsid w:val="00B96B54"/>
    <w:rsid w:val="00B96D24"/>
    <w:rsid w:val="00B970E3"/>
    <w:rsid w:val="00B97689"/>
    <w:rsid w:val="00B97B64"/>
    <w:rsid w:val="00BA0855"/>
    <w:rsid w:val="00BA08E7"/>
    <w:rsid w:val="00BA166B"/>
    <w:rsid w:val="00BA1A26"/>
    <w:rsid w:val="00BA1BC7"/>
    <w:rsid w:val="00BA204B"/>
    <w:rsid w:val="00BA2576"/>
    <w:rsid w:val="00BA2CFD"/>
    <w:rsid w:val="00BA358D"/>
    <w:rsid w:val="00BA3748"/>
    <w:rsid w:val="00BA3840"/>
    <w:rsid w:val="00BA3BD6"/>
    <w:rsid w:val="00BA427D"/>
    <w:rsid w:val="00BA46CA"/>
    <w:rsid w:val="00BA474C"/>
    <w:rsid w:val="00BA480F"/>
    <w:rsid w:val="00BA4CDD"/>
    <w:rsid w:val="00BA4D38"/>
    <w:rsid w:val="00BA4D44"/>
    <w:rsid w:val="00BA538D"/>
    <w:rsid w:val="00BA54E9"/>
    <w:rsid w:val="00BA5E68"/>
    <w:rsid w:val="00BA62BD"/>
    <w:rsid w:val="00BA6689"/>
    <w:rsid w:val="00BA66F2"/>
    <w:rsid w:val="00BA6AFD"/>
    <w:rsid w:val="00BA6B57"/>
    <w:rsid w:val="00BA6EA2"/>
    <w:rsid w:val="00BA70FA"/>
    <w:rsid w:val="00BA71FA"/>
    <w:rsid w:val="00BA7433"/>
    <w:rsid w:val="00BB02DB"/>
    <w:rsid w:val="00BB0B6E"/>
    <w:rsid w:val="00BB14D4"/>
    <w:rsid w:val="00BB153A"/>
    <w:rsid w:val="00BB187D"/>
    <w:rsid w:val="00BB2004"/>
    <w:rsid w:val="00BB21F2"/>
    <w:rsid w:val="00BB2F6D"/>
    <w:rsid w:val="00BB351D"/>
    <w:rsid w:val="00BB3D70"/>
    <w:rsid w:val="00BB41F5"/>
    <w:rsid w:val="00BB449C"/>
    <w:rsid w:val="00BB4635"/>
    <w:rsid w:val="00BB4AE3"/>
    <w:rsid w:val="00BB4F3E"/>
    <w:rsid w:val="00BB4FA4"/>
    <w:rsid w:val="00BB5603"/>
    <w:rsid w:val="00BB56A6"/>
    <w:rsid w:val="00BB591C"/>
    <w:rsid w:val="00BB5E8C"/>
    <w:rsid w:val="00BB6CD7"/>
    <w:rsid w:val="00BB705C"/>
    <w:rsid w:val="00BB77BA"/>
    <w:rsid w:val="00BC0B46"/>
    <w:rsid w:val="00BC1085"/>
    <w:rsid w:val="00BC1340"/>
    <w:rsid w:val="00BC151A"/>
    <w:rsid w:val="00BC1625"/>
    <w:rsid w:val="00BC1798"/>
    <w:rsid w:val="00BC1E22"/>
    <w:rsid w:val="00BC2561"/>
    <w:rsid w:val="00BC2647"/>
    <w:rsid w:val="00BC27AA"/>
    <w:rsid w:val="00BC2B58"/>
    <w:rsid w:val="00BC313A"/>
    <w:rsid w:val="00BC323F"/>
    <w:rsid w:val="00BC33D0"/>
    <w:rsid w:val="00BC3ADB"/>
    <w:rsid w:val="00BC3B72"/>
    <w:rsid w:val="00BC3CC2"/>
    <w:rsid w:val="00BC3EED"/>
    <w:rsid w:val="00BC422A"/>
    <w:rsid w:val="00BC4AAB"/>
    <w:rsid w:val="00BC4B80"/>
    <w:rsid w:val="00BC4D20"/>
    <w:rsid w:val="00BC517F"/>
    <w:rsid w:val="00BC5213"/>
    <w:rsid w:val="00BC5384"/>
    <w:rsid w:val="00BC588F"/>
    <w:rsid w:val="00BC5C8E"/>
    <w:rsid w:val="00BC6004"/>
    <w:rsid w:val="00BC62B2"/>
    <w:rsid w:val="00BC7002"/>
    <w:rsid w:val="00BC7095"/>
    <w:rsid w:val="00BC70D2"/>
    <w:rsid w:val="00BC77DF"/>
    <w:rsid w:val="00BC79D3"/>
    <w:rsid w:val="00BD03AA"/>
    <w:rsid w:val="00BD0A04"/>
    <w:rsid w:val="00BD0F8C"/>
    <w:rsid w:val="00BD115D"/>
    <w:rsid w:val="00BD11D5"/>
    <w:rsid w:val="00BD11F4"/>
    <w:rsid w:val="00BD164D"/>
    <w:rsid w:val="00BD2013"/>
    <w:rsid w:val="00BD20AC"/>
    <w:rsid w:val="00BD25D2"/>
    <w:rsid w:val="00BD2E2E"/>
    <w:rsid w:val="00BD31B3"/>
    <w:rsid w:val="00BD332D"/>
    <w:rsid w:val="00BD39E2"/>
    <w:rsid w:val="00BD3B0E"/>
    <w:rsid w:val="00BD41C7"/>
    <w:rsid w:val="00BD4302"/>
    <w:rsid w:val="00BD469B"/>
    <w:rsid w:val="00BD4C05"/>
    <w:rsid w:val="00BD52B6"/>
    <w:rsid w:val="00BD5300"/>
    <w:rsid w:val="00BD5310"/>
    <w:rsid w:val="00BD5A62"/>
    <w:rsid w:val="00BD6123"/>
    <w:rsid w:val="00BD65A6"/>
    <w:rsid w:val="00BD6B42"/>
    <w:rsid w:val="00BD6B45"/>
    <w:rsid w:val="00BD6F53"/>
    <w:rsid w:val="00BD7CB3"/>
    <w:rsid w:val="00BE0853"/>
    <w:rsid w:val="00BE1AE6"/>
    <w:rsid w:val="00BE225E"/>
    <w:rsid w:val="00BE240C"/>
    <w:rsid w:val="00BE24DA"/>
    <w:rsid w:val="00BE283D"/>
    <w:rsid w:val="00BE2B4F"/>
    <w:rsid w:val="00BE2B9C"/>
    <w:rsid w:val="00BE2DB7"/>
    <w:rsid w:val="00BE3092"/>
    <w:rsid w:val="00BE3258"/>
    <w:rsid w:val="00BE32FB"/>
    <w:rsid w:val="00BE330A"/>
    <w:rsid w:val="00BE35F4"/>
    <w:rsid w:val="00BE37E4"/>
    <w:rsid w:val="00BE3BC5"/>
    <w:rsid w:val="00BE3C46"/>
    <w:rsid w:val="00BE452A"/>
    <w:rsid w:val="00BE4CBC"/>
    <w:rsid w:val="00BE5C0C"/>
    <w:rsid w:val="00BE5C1D"/>
    <w:rsid w:val="00BE5EFB"/>
    <w:rsid w:val="00BE5FAD"/>
    <w:rsid w:val="00BE7272"/>
    <w:rsid w:val="00BE74CB"/>
    <w:rsid w:val="00BE7531"/>
    <w:rsid w:val="00BE77F5"/>
    <w:rsid w:val="00BF03DD"/>
    <w:rsid w:val="00BF0971"/>
    <w:rsid w:val="00BF0B0A"/>
    <w:rsid w:val="00BF0B18"/>
    <w:rsid w:val="00BF106B"/>
    <w:rsid w:val="00BF121B"/>
    <w:rsid w:val="00BF13FE"/>
    <w:rsid w:val="00BF15EB"/>
    <w:rsid w:val="00BF179E"/>
    <w:rsid w:val="00BF1F1A"/>
    <w:rsid w:val="00BF2581"/>
    <w:rsid w:val="00BF25A5"/>
    <w:rsid w:val="00BF25CD"/>
    <w:rsid w:val="00BF2619"/>
    <w:rsid w:val="00BF39CB"/>
    <w:rsid w:val="00BF3BED"/>
    <w:rsid w:val="00BF4010"/>
    <w:rsid w:val="00BF40BE"/>
    <w:rsid w:val="00BF413E"/>
    <w:rsid w:val="00BF4871"/>
    <w:rsid w:val="00BF497A"/>
    <w:rsid w:val="00BF4D96"/>
    <w:rsid w:val="00BF4FF9"/>
    <w:rsid w:val="00BF5503"/>
    <w:rsid w:val="00BF583A"/>
    <w:rsid w:val="00BF5EA9"/>
    <w:rsid w:val="00BF63CE"/>
    <w:rsid w:val="00BF6547"/>
    <w:rsid w:val="00BF6D7F"/>
    <w:rsid w:val="00BF72FF"/>
    <w:rsid w:val="00BF759B"/>
    <w:rsid w:val="00C0019B"/>
    <w:rsid w:val="00C016FD"/>
    <w:rsid w:val="00C018E0"/>
    <w:rsid w:val="00C01EFF"/>
    <w:rsid w:val="00C024F5"/>
    <w:rsid w:val="00C02BE1"/>
    <w:rsid w:val="00C02D5D"/>
    <w:rsid w:val="00C0370A"/>
    <w:rsid w:val="00C03872"/>
    <w:rsid w:val="00C038E5"/>
    <w:rsid w:val="00C054D9"/>
    <w:rsid w:val="00C05671"/>
    <w:rsid w:val="00C058DC"/>
    <w:rsid w:val="00C065A4"/>
    <w:rsid w:val="00C068E0"/>
    <w:rsid w:val="00C0696A"/>
    <w:rsid w:val="00C06A65"/>
    <w:rsid w:val="00C06B7B"/>
    <w:rsid w:val="00C06D56"/>
    <w:rsid w:val="00C07601"/>
    <w:rsid w:val="00C07624"/>
    <w:rsid w:val="00C07C80"/>
    <w:rsid w:val="00C07C86"/>
    <w:rsid w:val="00C100C9"/>
    <w:rsid w:val="00C1064A"/>
    <w:rsid w:val="00C10F2E"/>
    <w:rsid w:val="00C116FD"/>
    <w:rsid w:val="00C118E0"/>
    <w:rsid w:val="00C11A46"/>
    <w:rsid w:val="00C11BC0"/>
    <w:rsid w:val="00C11FF5"/>
    <w:rsid w:val="00C12097"/>
    <w:rsid w:val="00C123AA"/>
    <w:rsid w:val="00C1298A"/>
    <w:rsid w:val="00C12D47"/>
    <w:rsid w:val="00C12E29"/>
    <w:rsid w:val="00C1316E"/>
    <w:rsid w:val="00C138DD"/>
    <w:rsid w:val="00C13A27"/>
    <w:rsid w:val="00C151E5"/>
    <w:rsid w:val="00C1524F"/>
    <w:rsid w:val="00C15373"/>
    <w:rsid w:val="00C15756"/>
    <w:rsid w:val="00C15817"/>
    <w:rsid w:val="00C158ED"/>
    <w:rsid w:val="00C15D1B"/>
    <w:rsid w:val="00C15DFD"/>
    <w:rsid w:val="00C167BE"/>
    <w:rsid w:val="00C167E5"/>
    <w:rsid w:val="00C16DBE"/>
    <w:rsid w:val="00C16F0B"/>
    <w:rsid w:val="00C16FB2"/>
    <w:rsid w:val="00C17606"/>
    <w:rsid w:val="00C17A40"/>
    <w:rsid w:val="00C17BE0"/>
    <w:rsid w:val="00C17C83"/>
    <w:rsid w:val="00C206BD"/>
    <w:rsid w:val="00C209CC"/>
    <w:rsid w:val="00C21578"/>
    <w:rsid w:val="00C217C3"/>
    <w:rsid w:val="00C21AD3"/>
    <w:rsid w:val="00C21B50"/>
    <w:rsid w:val="00C21C03"/>
    <w:rsid w:val="00C2257E"/>
    <w:rsid w:val="00C22A7B"/>
    <w:rsid w:val="00C23C1D"/>
    <w:rsid w:val="00C23D9E"/>
    <w:rsid w:val="00C247FE"/>
    <w:rsid w:val="00C24801"/>
    <w:rsid w:val="00C261F8"/>
    <w:rsid w:val="00C27242"/>
    <w:rsid w:val="00C27B8F"/>
    <w:rsid w:val="00C3067F"/>
    <w:rsid w:val="00C30898"/>
    <w:rsid w:val="00C309FC"/>
    <w:rsid w:val="00C312CF"/>
    <w:rsid w:val="00C31635"/>
    <w:rsid w:val="00C31674"/>
    <w:rsid w:val="00C31839"/>
    <w:rsid w:val="00C320FB"/>
    <w:rsid w:val="00C321CD"/>
    <w:rsid w:val="00C321F7"/>
    <w:rsid w:val="00C32664"/>
    <w:rsid w:val="00C3276F"/>
    <w:rsid w:val="00C32A4B"/>
    <w:rsid w:val="00C32A8B"/>
    <w:rsid w:val="00C32BE6"/>
    <w:rsid w:val="00C32C62"/>
    <w:rsid w:val="00C32D27"/>
    <w:rsid w:val="00C332B6"/>
    <w:rsid w:val="00C33319"/>
    <w:rsid w:val="00C33885"/>
    <w:rsid w:val="00C33C05"/>
    <w:rsid w:val="00C340DD"/>
    <w:rsid w:val="00C345D7"/>
    <w:rsid w:val="00C34E41"/>
    <w:rsid w:val="00C34F99"/>
    <w:rsid w:val="00C350DE"/>
    <w:rsid w:val="00C351CA"/>
    <w:rsid w:val="00C3630B"/>
    <w:rsid w:val="00C367BD"/>
    <w:rsid w:val="00C36B53"/>
    <w:rsid w:val="00C36F63"/>
    <w:rsid w:val="00C37966"/>
    <w:rsid w:val="00C37AE9"/>
    <w:rsid w:val="00C37AF2"/>
    <w:rsid w:val="00C37C70"/>
    <w:rsid w:val="00C37CC0"/>
    <w:rsid w:val="00C40219"/>
    <w:rsid w:val="00C40504"/>
    <w:rsid w:val="00C40992"/>
    <w:rsid w:val="00C40A9C"/>
    <w:rsid w:val="00C40CD9"/>
    <w:rsid w:val="00C41921"/>
    <w:rsid w:val="00C41EC9"/>
    <w:rsid w:val="00C41F8A"/>
    <w:rsid w:val="00C4346A"/>
    <w:rsid w:val="00C43C9E"/>
    <w:rsid w:val="00C43D49"/>
    <w:rsid w:val="00C449A5"/>
    <w:rsid w:val="00C4503A"/>
    <w:rsid w:val="00C465B5"/>
    <w:rsid w:val="00C465C5"/>
    <w:rsid w:val="00C469CF"/>
    <w:rsid w:val="00C46AA2"/>
    <w:rsid w:val="00C476FB"/>
    <w:rsid w:val="00C47D18"/>
    <w:rsid w:val="00C47D21"/>
    <w:rsid w:val="00C50EFB"/>
    <w:rsid w:val="00C520B9"/>
    <w:rsid w:val="00C52C64"/>
    <w:rsid w:val="00C52D0E"/>
    <w:rsid w:val="00C52E26"/>
    <w:rsid w:val="00C52FFC"/>
    <w:rsid w:val="00C53656"/>
    <w:rsid w:val="00C537F4"/>
    <w:rsid w:val="00C53E27"/>
    <w:rsid w:val="00C54278"/>
    <w:rsid w:val="00C5469A"/>
    <w:rsid w:val="00C554B4"/>
    <w:rsid w:val="00C5552D"/>
    <w:rsid w:val="00C55B06"/>
    <w:rsid w:val="00C56158"/>
    <w:rsid w:val="00C56311"/>
    <w:rsid w:val="00C56525"/>
    <w:rsid w:val="00C56CA8"/>
    <w:rsid w:val="00C570F9"/>
    <w:rsid w:val="00C571B0"/>
    <w:rsid w:val="00C600A2"/>
    <w:rsid w:val="00C603E4"/>
    <w:rsid w:val="00C60425"/>
    <w:rsid w:val="00C60620"/>
    <w:rsid w:val="00C6063C"/>
    <w:rsid w:val="00C60778"/>
    <w:rsid w:val="00C60B79"/>
    <w:rsid w:val="00C61B3B"/>
    <w:rsid w:val="00C62014"/>
    <w:rsid w:val="00C62999"/>
    <w:rsid w:val="00C629A9"/>
    <w:rsid w:val="00C638E3"/>
    <w:rsid w:val="00C63E3B"/>
    <w:rsid w:val="00C63FD7"/>
    <w:rsid w:val="00C64929"/>
    <w:rsid w:val="00C64E25"/>
    <w:rsid w:val="00C65438"/>
    <w:rsid w:val="00C6639C"/>
    <w:rsid w:val="00C6660D"/>
    <w:rsid w:val="00C6665B"/>
    <w:rsid w:val="00C668F5"/>
    <w:rsid w:val="00C67A23"/>
    <w:rsid w:val="00C67E40"/>
    <w:rsid w:val="00C7017B"/>
    <w:rsid w:val="00C702A3"/>
    <w:rsid w:val="00C71855"/>
    <w:rsid w:val="00C71B41"/>
    <w:rsid w:val="00C71F8B"/>
    <w:rsid w:val="00C72837"/>
    <w:rsid w:val="00C72ACF"/>
    <w:rsid w:val="00C72E8C"/>
    <w:rsid w:val="00C730E2"/>
    <w:rsid w:val="00C7334B"/>
    <w:rsid w:val="00C7367B"/>
    <w:rsid w:val="00C73789"/>
    <w:rsid w:val="00C73DBB"/>
    <w:rsid w:val="00C73EAC"/>
    <w:rsid w:val="00C74093"/>
    <w:rsid w:val="00C744A9"/>
    <w:rsid w:val="00C7477F"/>
    <w:rsid w:val="00C748E1"/>
    <w:rsid w:val="00C74D50"/>
    <w:rsid w:val="00C762CA"/>
    <w:rsid w:val="00C76347"/>
    <w:rsid w:val="00C76449"/>
    <w:rsid w:val="00C76DAC"/>
    <w:rsid w:val="00C76F8B"/>
    <w:rsid w:val="00C77394"/>
    <w:rsid w:val="00C775F7"/>
    <w:rsid w:val="00C77E5F"/>
    <w:rsid w:val="00C77F8C"/>
    <w:rsid w:val="00C80DDB"/>
    <w:rsid w:val="00C81029"/>
    <w:rsid w:val="00C81169"/>
    <w:rsid w:val="00C8126F"/>
    <w:rsid w:val="00C8292C"/>
    <w:rsid w:val="00C82D5C"/>
    <w:rsid w:val="00C83F8E"/>
    <w:rsid w:val="00C84820"/>
    <w:rsid w:val="00C84A0F"/>
    <w:rsid w:val="00C84BC2"/>
    <w:rsid w:val="00C84FA0"/>
    <w:rsid w:val="00C85513"/>
    <w:rsid w:val="00C8591A"/>
    <w:rsid w:val="00C859F9"/>
    <w:rsid w:val="00C85E79"/>
    <w:rsid w:val="00C85F26"/>
    <w:rsid w:val="00C860B7"/>
    <w:rsid w:val="00C87077"/>
    <w:rsid w:val="00C8748F"/>
    <w:rsid w:val="00C8761A"/>
    <w:rsid w:val="00C8789F"/>
    <w:rsid w:val="00C87FB7"/>
    <w:rsid w:val="00C90566"/>
    <w:rsid w:val="00C9061F"/>
    <w:rsid w:val="00C90638"/>
    <w:rsid w:val="00C90882"/>
    <w:rsid w:val="00C90E77"/>
    <w:rsid w:val="00C90F54"/>
    <w:rsid w:val="00C912C0"/>
    <w:rsid w:val="00C91472"/>
    <w:rsid w:val="00C91859"/>
    <w:rsid w:val="00C918AF"/>
    <w:rsid w:val="00C919C8"/>
    <w:rsid w:val="00C91C11"/>
    <w:rsid w:val="00C920FE"/>
    <w:rsid w:val="00C921DC"/>
    <w:rsid w:val="00C92A72"/>
    <w:rsid w:val="00C92FB0"/>
    <w:rsid w:val="00C93525"/>
    <w:rsid w:val="00C9460F"/>
    <w:rsid w:val="00C949B5"/>
    <w:rsid w:val="00C94EA9"/>
    <w:rsid w:val="00C9560A"/>
    <w:rsid w:val="00C95806"/>
    <w:rsid w:val="00C96385"/>
    <w:rsid w:val="00C96468"/>
    <w:rsid w:val="00C9693D"/>
    <w:rsid w:val="00C96B99"/>
    <w:rsid w:val="00C96D26"/>
    <w:rsid w:val="00C96EBD"/>
    <w:rsid w:val="00C97198"/>
    <w:rsid w:val="00C9781B"/>
    <w:rsid w:val="00C97F26"/>
    <w:rsid w:val="00C97F55"/>
    <w:rsid w:val="00CA003E"/>
    <w:rsid w:val="00CA0451"/>
    <w:rsid w:val="00CA048D"/>
    <w:rsid w:val="00CA04B9"/>
    <w:rsid w:val="00CA06B3"/>
    <w:rsid w:val="00CA0A1F"/>
    <w:rsid w:val="00CA162D"/>
    <w:rsid w:val="00CA322F"/>
    <w:rsid w:val="00CA3536"/>
    <w:rsid w:val="00CA3737"/>
    <w:rsid w:val="00CA391E"/>
    <w:rsid w:val="00CA42B1"/>
    <w:rsid w:val="00CA49C0"/>
    <w:rsid w:val="00CA49CA"/>
    <w:rsid w:val="00CA49D4"/>
    <w:rsid w:val="00CA4B60"/>
    <w:rsid w:val="00CA4E75"/>
    <w:rsid w:val="00CA52A3"/>
    <w:rsid w:val="00CA5589"/>
    <w:rsid w:val="00CA565A"/>
    <w:rsid w:val="00CA679E"/>
    <w:rsid w:val="00CA719F"/>
    <w:rsid w:val="00CA75B1"/>
    <w:rsid w:val="00CA7F1A"/>
    <w:rsid w:val="00CB0120"/>
    <w:rsid w:val="00CB058B"/>
    <w:rsid w:val="00CB0ADE"/>
    <w:rsid w:val="00CB2255"/>
    <w:rsid w:val="00CB2288"/>
    <w:rsid w:val="00CB23A7"/>
    <w:rsid w:val="00CB254A"/>
    <w:rsid w:val="00CB2D7F"/>
    <w:rsid w:val="00CB3571"/>
    <w:rsid w:val="00CB41F2"/>
    <w:rsid w:val="00CB436E"/>
    <w:rsid w:val="00CB463B"/>
    <w:rsid w:val="00CB4927"/>
    <w:rsid w:val="00CB498B"/>
    <w:rsid w:val="00CB50EF"/>
    <w:rsid w:val="00CB52B8"/>
    <w:rsid w:val="00CB532C"/>
    <w:rsid w:val="00CB54C6"/>
    <w:rsid w:val="00CB6248"/>
    <w:rsid w:val="00CB63D9"/>
    <w:rsid w:val="00CB64EB"/>
    <w:rsid w:val="00CB6518"/>
    <w:rsid w:val="00CB65B1"/>
    <w:rsid w:val="00CB6EBE"/>
    <w:rsid w:val="00CB7450"/>
    <w:rsid w:val="00CB75C7"/>
    <w:rsid w:val="00CB7611"/>
    <w:rsid w:val="00CB791A"/>
    <w:rsid w:val="00CB7A24"/>
    <w:rsid w:val="00CB7D71"/>
    <w:rsid w:val="00CC0CD1"/>
    <w:rsid w:val="00CC11D1"/>
    <w:rsid w:val="00CC1FA4"/>
    <w:rsid w:val="00CC2547"/>
    <w:rsid w:val="00CC2E6D"/>
    <w:rsid w:val="00CC2FE7"/>
    <w:rsid w:val="00CC309D"/>
    <w:rsid w:val="00CC3711"/>
    <w:rsid w:val="00CC412F"/>
    <w:rsid w:val="00CC452C"/>
    <w:rsid w:val="00CC4D20"/>
    <w:rsid w:val="00CC5174"/>
    <w:rsid w:val="00CC563E"/>
    <w:rsid w:val="00CC5C5E"/>
    <w:rsid w:val="00CC5F43"/>
    <w:rsid w:val="00CC60C3"/>
    <w:rsid w:val="00CC666A"/>
    <w:rsid w:val="00CC6BD6"/>
    <w:rsid w:val="00CC6D74"/>
    <w:rsid w:val="00CC7117"/>
    <w:rsid w:val="00CC71F2"/>
    <w:rsid w:val="00CC7C5C"/>
    <w:rsid w:val="00CD04DC"/>
    <w:rsid w:val="00CD0789"/>
    <w:rsid w:val="00CD0D42"/>
    <w:rsid w:val="00CD1538"/>
    <w:rsid w:val="00CD2066"/>
    <w:rsid w:val="00CD4080"/>
    <w:rsid w:val="00CD47B2"/>
    <w:rsid w:val="00CD522E"/>
    <w:rsid w:val="00CD55CD"/>
    <w:rsid w:val="00CD587D"/>
    <w:rsid w:val="00CD5BC5"/>
    <w:rsid w:val="00CD5D7E"/>
    <w:rsid w:val="00CD5DE9"/>
    <w:rsid w:val="00CD5ED8"/>
    <w:rsid w:val="00CD627A"/>
    <w:rsid w:val="00CD6631"/>
    <w:rsid w:val="00CD676B"/>
    <w:rsid w:val="00CD6975"/>
    <w:rsid w:val="00CD7404"/>
    <w:rsid w:val="00CD7659"/>
    <w:rsid w:val="00CE0085"/>
    <w:rsid w:val="00CE01B6"/>
    <w:rsid w:val="00CE0AEB"/>
    <w:rsid w:val="00CE0F54"/>
    <w:rsid w:val="00CE12F5"/>
    <w:rsid w:val="00CE134B"/>
    <w:rsid w:val="00CE13A9"/>
    <w:rsid w:val="00CE1B4C"/>
    <w:rsid w:val="00CE1BA0"/>
    <w:rsid w:val="00CE2435"/>
    <w:rsid w:val="00CE2A08"/>
    <w:rsid w:val="00CE2F1E"/>
    <w:rsid w:val="00CE301B"/>
    <w:rsid w:val="00CE31C5"/>
    <w:rsid w:val="00CE36C1"/>
    <w:rsid w:val="00CE3CA8"/>
    <w:rsid w:val="00CE49F8"/>
    <w:rsid w:val="00CE50F2"/>
    <w:rsid w:val="00CE53AD"/>
    <w:rsid w:val="00CE55C4"/>
    <w:rsid w:val="00CE5B06"/>
    <w:rsid w:val="00CE5DA9"/>
    <w:rsid w:val="00CE605F"/>
    <w:rsid w:val="00CE6274"/>
    <w:rsid w:val="00CE6ED6"/>
    <w:rsid w:val="00CE749A"/>
    <w:rsid w:val="00CF01DC"/>
    <w:rsid w:val="00CF0480"/>
    <w:rsid w:val="00CF0BAC"/>
    <w:rsid w:val="00CF14B6"/>
    <w:rsid w:val="00CF1B8C"/>
    <w:rsid w:val="00CF23A4"/>
    <w:rsid w:val="00CF253E"/>
    <w:rsid w:val="00CF36F9"/>
    <w:rsid w:val="00CF374D"/>
    <w:rsid w:val="00CF3F92"/>
    <w:rsid w:val="00CF423C"/>
    <w:rsid w:val="00CF44C5"/>
    <w:rsid w:val="00CF523D"/>
    <w:rsid w:val="00CF5295"/>
    <w:rsid w:val="00CF5348"/>
    <w:rsid w:val="00CF55E8"/>
    <w:rsid w:val="00CF5DEC"/>
    <w:rsid w:val="00CF6490"/>
    <w:rsid w:val="00CF6C91"/>
    <w:rsid w:val="00CF7178"/>
    <w:rsid w:val="00CF731F"/>
    <w:rsid w:val="00CF73A2"/>
    <w:rsid w:val="00CF7838"/>
    <w:rsid w:val="00CF7851"/>
    <w:rsid w:val="00CF7A06"/>
    <w:rsid w:val="00CF7BE0"/>
    <w:rsid w:val="00D000D8"/>
    <w:rsid w:val="00D0022C"/>
    <w:rsid w:val="00D01A3E"/>
    <w:rsid w:val="00D029E1"/>
    <w:rsid w:val="00D02D3F"/>
    <w:rsid w:val="00D03281"/>
    <w:rsid w:val="00D0373D"/>
    <w:rsid w:val="00D0375D"/>
    <w:rsid w:val="00D03770"/>
    <w:rsid w:val="00D03EA0"/>
    <w:rsid w:val="00D03F84"/>
    <w:rsid w:val="00D04052"/>
    <w:rsid w:val="00D0426F"/>
    <w:rsid w:val="00D04358"/>
    <w:rsid w:val="00D04412"/>
    <w:rsid w:val="00D05051"/>
    <w:rsid w:val="00D0539D"/>
    <w:rsid w:val="00D060F3"/>
    <w:rsid w:val="00D06825"/>
    <w:rsid w:val="00D06CFF"/>
    <w:rsid w:val="00D07458"/>
    <w:rsid w:val="00D07790"/>
    <w:rsid w:val="00D07A2B"/>
    <w:rsid w:val="00D07D08"/>
    <w:rsid w:val="00D07D6E"/>
    <w:rsid w:val="00D10323"/>
    <w:rsid w:val="00D10665"/>
    <w:rsid w:val="00D1077E"/>
    <w:rsid w:val="00D10916"/>
    <w:rsid w:val="00D10939"/>
    <w:rsid w:val="00D10C64"/>
    <w:rsid w:val="00D1106C"/>
    <w:rsid w:val="00D11367"/>
    <w:rsid w:val="00D11E3A"/>
    <w:rsid w:val="00D1225E"/>
    <w:rsid w:val="00D127FF"/>
    <w:rsid w:val="00D128F5"/>
    <w:rsid w:val="00D12EB4"/>
    <w:rsid w:val="00D1314A"/>
    <w:rsid w:val="00D13354"/>
    <w:rsid w:val="00D13BEA"/>
    <w:rsid w:val="00D1409C"/>
    <w:rsid w:val="00D14115"/>
    <w:rsid w:val="00D14211"/>
    <w:rsid w:val="00D14235"/>
    <w:rsid w:val="00D14AFF"/>
    <w:rsid w:val="00D14D77"/>
    <w:rsid w:val="00D15374"/>
    <w:rsid w:val="00D162F7"/>
    <w:rsid w:val="00D1679C"/>
    <w:rsid w:val="00D16D25"/>
    <w:rsid w:val="00D17302"/>
    <w:rsid w:val="00D177EC"/>
    <w:rsid w:val="00D203BF"/>
    <w:rsid w:val="00D206B3"/>
    <w:rsid w:val="00D209FF"/>
    <w:rsid w:val="00D21195"/>
    <w:rsid w:val="00D211D0"/>
    <w:rsid w:val="00D21C35"/>
    <w:rsid w:val="00D21C75"/>
    <w:rsid w:val="00D220E2"/>
    <w:rsid w:val="00D2297E"/>
    <w:rsid w:val="00D22F2F"/>
    <w:rsid w:val="00D231DE"/>
    <w:rsid w:val="00D23606"/>
    <w:rsid w:val="00D237FC"/>
    <w:rsid w:val="00D23820"/>
    <w:rsid w:val="00D23A01"/>
    <w:rsid w:val="00D24983"/>
    <w:rsid w:val="00D252D6"/>
    <w:rsid w:val="00D2564A"/>
    <w:rsid w:val="00D25A5A"/>
    <w:rsid w:val="00D26156"/>
    <w:rsid w:val="00D26821"/>
    <w:rsid w:val="00D26CA1"/>
    <w:rsid w:val="00D27723"/>
    <w:rsid w:val="00D27F24"/>
    <w:rsid w:val="00D309B2"/>
    <w:rsid w:val="00D30B8A"/>
    <w:rsid w:val="00D31030"/>
    <w:rsid w:val="00D31DC7"/>
    <w:rsid w:val="00D32AF3"/>
    <w:rsid w:val="00D32F2F"/>
    <w:rsid w:val="00D32F68"/>
    <w:rsid w:val="00D330D5"/>
    <w:rsid w:val="00D335C2"/>
    <w:rsid w:val="00D339B2"/>
    <w:rsid w:val="00D33C31"/>
    <w:rsid w:val="00D34457"/>
    <w:rsid w:val="00D348FF"/>
    <w:rsid w:val="00D34DC5"/>
    <w:rsid w:val="00D35257"/>
    <w:rsid w:val="00D354CE"/>
    <w:rsid w:val="00D355CD"/>
    <w:rsid w:val="00D35A2C"/>
    <w:rsid w:val="00D360E6"/>
    <w:rsid w:val="00D36254"/>
    <w:rsid w:val="00D367CF"/>
    <w:rsid w:val="00D36D6C"/>
    <w:rsid w:val="00D3727B"/>
    <w:rsid w:val="00D37312"/>
    <w:rsid w:val="00D37508"/>
    <w:rsid w:val="00D3767D"/>
    <w:rsid w:val="00D37D3A"/>
    <w:rsid w:val="00D401DF"/>
    <w:rsid w:val="00D409EC"/>
    <w:rsid w:val="00D40C5D"/>
    <w:rsid w:val="00D414B9"/>
    <w:rsid w:val="00D4188A"/>
    <w:rsid w:val="00D41B1B"/>
    <w:rsid w:val="00D41FA4"/>
    <w:rsid w:val="00D4220C"/>
    <w:rsid w:val="00D42806"/>
    <w:rsid w:val="00D42884"/>
    <w:rsid w:val="00D4298E"/>
    <w:rsid w:val="00D42B56"/>
    <w:rsid w:val="00D43276"/>
    <w:rsid w:val="00D43368"/>
    <w:rsid w:val="00D43391"/>
    <w:rsid w:val="00D43BCB"/>
    <w:rsid w:val="00D441E8"/>
    <w:rsid w:val="00D44BA0"/>
    <w:rsid w:val="00D452DE"/>
    <w:rsid w:val="00D455BC"/>
    <w:rsid w:val="00D4581A"/>
    <w:rsid w:val="00D459C5"/>
    <w:rsid w:val="00D45E51"/>
    <w:rsid w:val="00D461ED"/>
    <w:rsid w:val="00D46275"/>
    <w:rsid w:val="00D46972"/>
    <w:rsid w:val="00D46BCA"/>
    <w:rsid w:val="00D46D76"/>
    <w:rsid w:val="00D4758C"/>
    <w:rsid w:val="00D477AC"/>
    <w:rsid w:val="00D47CCF"/>
    <w:rsid w:val="00D47E56"/>
    <w:rsid w:val="00D47FBF"/>
    <w:rsid w:val="00D50C23"/>
    <w:rsid w:val="00D50D0C"/>
    <w:rsid w:val="00D52095"/>
    <w:rsid w:val="00D52334"/>
    <w:rsid w:val="00D5278C"/>
    <w:rsid w:val="00D528E5"/>
    <w:rsid w:val="00D52A1C"/>
    <w:rsid w:val="00D52A55"/>
    <w:rsid w:val="00D5317D"/>
    <w:rsid w:val="00D53558"/>
    <w:rsid w:val="00D539C6"/>
    <w:rsid w:val="00D53B15"/>
    <w:rsid w:val="00D546C1"/>
    <w:rsid w:val="00D547A1"/>
    <w:rsid w:val="00D55AD4"/>
    <w:rsid w:val="00D55B3D"/>
    <w:rsid w:val="00D55E35"/>
    <w:rsid w:val="00D562F5"/>
    <w:rsid w:val="00D56688"/>
    <w:rsid w:val="00D56895"/>
    <w:rsid w:val="00D569CD"/>
    <w:rsid w:val="00D569D2"/>
    <w:rsid w:val="00D56F0F"/>
    <w:rsid w:val="00D57841"/>
    <w:rsid w:val="00D57E90"/>
    <w:rsid w:val="00D60201"/>
    <w:rsid w:val="00D604F0"/>
    <w:rsid w:val="00D604F9"/>
    <w:rsid w:val="00D60551"/>
    <w:rsid w:val="00D60A0F"/>
    <w:rsid w:val="00D60B8A"/>
    <w:rsid w:val="00D60C99"/>
    <w:rsid w:val="00D60D42"/>
    <w:rsid w:val="00D60E06"/>
    <w:rsid w:val="00D60F43"/>
    <w:rsid w:val="00D615D1"/>
    <w:rsid w:val="00D6211B"/>
    <w:rsid w:val="00D62547"/>
    <w:rsid w:val="00D62641"/>
    <w:rsid w:val="00D633E7"/>
    <w:rsid w:val="00D646B4"/>
    <w:rsid w:val="00D64D06"/>
    <w:rsid w:val="00D65020"/>
    <w:rsid w:val="00D657B7"/>
    <w:rsid w:val="00D66499"/>
    <w:rsid w:val="00D66561"/>
    <w:rsid w:val="00D668E2"/>
    <w:rsid w:val="00D67136"/>
    <w:rsid w:val="00D67BB2"/>
    <w:rsid w:val="00D67D72"/>
    <w:rsid w:val="00D70685"/>
    <w:rsid w:val="00D70800"/>
    <w:rsid w:val="00D7103E"/>
    <w:rsid w:val="00D7155B"/>
    <w:rsid w:val="00D71CAA"/>
    <w:rsid w:val="00D72940"/>
    <w:rsid w:val="00D72A37"/>
    <w:rsid w:val="00D72D48"/>
    <w:rsid w:val="00D73338"/>
    <w:rsid w:val="00D73444"/>
    <w:rsid w:val="00D735E8"/>
    <w:rsid w:val="00D73604"/>
    <w:rsid w:val="00D73F37"/>
    <w:rsid w:val="00D740B5"/>
    <w:rsid w:val="00D7452C"/>
    <w:rsid w:val="00D74ADB"/>
    <w:rsid w:val="00D7536A"/>
    <w:rsid w:val="00D75650"/>
    <w:rsid w:val="00D75788"/>
    <w:rsid w:val="00D75852"/>
    <w:rsid w:val="00D75B84"/>
    <w:rsid w:val="00D75EC7"/>
    <w:rsid w:val="00D7649C"/>
    <w:rsid w:val="00D7676B"/>
    <w:rsid w:val="00D768A3"/>
    <w:rsid w:val="00D76F7F"/>
    <w:rsid w:val="00D76F90"/>
    <w:rsid w:val="00D77369"/>
    <w:rsid w:val="00D77EBA"/>
    <w:rsid w:val="00D80318"/>
    <w:rsid w:val="00D8075D"/>
    <w:rsid w:val="00D80A8A"/>
    <w:rsid w:val="00D80B68"/>
    <w:rsid w:val="00D812CB"/>
    <w:rsid w:val="00D8173A"/>
    <w:rsid w:val="00D81D03"/>
    <w:rsid w:val="00D82141"/>
    <w:rsid w:val="00D822EB"/>
    <w:rsid w:val="00D82863"/>
    <w:rsid w:val="00D83546"/>
    <w:rsid w:val="00D836E2"/>
    <w:rsid w:val="00D8452F"/>
    <w:rsid w:val="00D84531"/>
    <w:rsid w:val="00D846AC"/>
    <w:rsid w:val="00D84C40"/>
    <w:rsid w:val="00D84EA2"/>
    <w:rsid w:val="00D84F8D"/>
    <w:rsid w:val="00D86389"/>
    <w:rsid w:val="00D8734F"/>
    <w:rsid w:val="00D874FE"/>
    <w:rsid w:val="00D879BF"/>
    <w:rsid w:val="00D904E4"/>
    <w:rsid w:val="00D90B33"/>
    <w:rsid w:val="00D90C51"/>
    <w:rsid w:val="00D91799"/>
    <w:rsid w:val="00D918C4"/>
    <w:rsid w:val="00D91DC2"/>
    <w:rsid w:val="00D9216C"/>
    <w:rsid w:val="00D92701"/>
    <w:rsid w:val="00D931D3"/>
    <w:rsid w:val="00D93972"/>
    <w:rsid w:val="00D93DCC"/>
    <w:rsid w:val="00D94180"/>
    <w:rsid w:val="00D9448F"/>
    <w:rsid w:val="00D9492C"/>
    <w:rsid w:val="00D94B1C"/>
    <w:rsid w:val="00D94C95"/>
    <w:rsid w:val="00D94E85"/>
    <w:rsid w:val="00D95897"/>
    <w:rsid w:val="00D959D6"/>
    <w:rsid w:val="00D95C5B"/>
    <w:rsid w:val="00D96154"/>
    <w:rsid w:val="00D96243"/>
    <w:rsid w:val="00D964FE"/>
    <w:rsid w:val="00D968BA"/>
    <w:rsid w:val="00D97B69"/>
    <w:rsid w:val="00DA08C6"/>
    <w:rsid w:val="00DA095A"/>
    <w:rsid w:val="00DA09C2"/>
    <w:rsid w:val="00DA0A84"/>
    <w:rsid w:val="00DA0AE5"/>
    <w:rsid w:val="00DA14AE"/>
    <w:rsid w:val="00DA1676"/>
    <w:rsid w:val="00DA259E"/>
    <w:rsid w:val="00DA2BFB"/>
    <w:rsid w:val="00DA3587"/>
    <w:rsid w:val="00DA38F5"/>
    <w:rsid w:val="00DA3B83"/>
    <w:rsid w:val="00DA3CCD"/>
    <w:rsid w:val="00DA3CF5"/>
    <w:rsid w:val="00DA4178"/>
    <w:rsid w:val="00DA46E2"/>
    <w:rsid w:val="00DA4919"/>
    <w:rsid w:val="00DA4963"/>
    <w:rsid w:val="00DA4DBE"/>
    <w:rsid w:val="00DA4F15"/>
    <w:rsid w:val="00DA522C"/>
    <w:rsid w:val="00DA59AF"/>
    <w:rsid w:val="00DA5CA1"/>
    <w:rsid w:val="00DA6248"/>
    <w:rsid w:val="00DA6711"/>
    <w:rsid w:val="00DA74C1"/>
    <w:rsid w:val="00DA76EF"/>
    <w:rsid w:val="00DA79FF"/>
    <w:rsid w:val="00DB060B"/>
    <w:rsid w:val="00DB0FD9"/>
    <w:rsid w:val="00DB1C6C"/>
    <w:rsid w:val="00DB1E1E"/>
    <w:rsid w:val="00DB1F5D"/>
    <w:rsid w:val="00DB209B"/>
    <w:rsid w:val="00DB2D68"/>
    <w:rsid w:val="00DB3FA3"/>
    <w:rsid w:val="00DB40AB"/>
    <w:rsid w:val="00DB481F"/>
    <w:rsid w:val="00DB4AFA"/>
    <w:rsid w:val="00DB4BDA"/>
    <w:rsid w:val="00DB4DCA"/>
    <w:rsid w:val="00DB52C3"/>
    <w:rsid w:val="00DB55E6"/>
    <w:rsid w:val="00DB568E"/>
    <w:rsid w:val="00DB56AF"/>
    <w:rsid w:val="00DB5851"/>
    <w:rsid w:val="00DB5D9D"/>
    <w:rsid w:val="00DB686B"/>
    <w:rsid w:val="00DB766B"/>
    <w:rsid w:val="00DB7745"/>
    <w:rsid w:val="00DB77CE"/>
    <w:rsid w:val="00DB7A97"/>
    <w:rsid w:val="00DC02C4"/>
    <w:rsid w:val="00DC057B"/>
    <w:rsid w:val="00DC0F3B"/>
    <w:rsid w:val="00DC1034"/>
    <w:rsid w:val="00DC1A66"/>
    <w:rsid w:val="00DC2B9C"/>
    <w:rsid w:val="00DC3338"/>
    <w:rsid w:val="00DC3667"/>
    <w:rsid w:val="00DC40F8"/>
    <w:rsid w:val="00DC46D5"/>
    <w:rsid w:val="00DC46FD"/>
    <w:rsid w:val="00DC481D"/>
    <w:rsid w:val="00DC5733"/>
    <w:rsid w:val="00DC5B2E"/>
    <w:rsid w:val="00DC5FFA"/>
    <w:rsid w:val="00DC64C4"/>
    <w:rsid w:val="00DC6BEF"/>
    <w:rsid w:val="00DC789D"/>
    <w:rsid w:val="00DC7F18"/>
    <w:rsid w:val="00DD06DC"/>
    <w:rsid w:val="00DD08E9"/>
    <w:rsid w:val="00DD0D7B"/>
    <w:rsid w:val="00DD0F79"/>
    <w:rsid w:val="00DD1485"/>
    <w:rsid w:val="00DD2181"/>
    <w:rsid w:val="00DD21C3"/>
    <w:rsid w:val="00DD24BF"/>
    <w:rsid w:val="00DD2AB4"/>
    <w:rsid w:val="00DD2E65"/>
    <w:rsid w:val="00DD2EEE"/>
    <w:rsid w:val="00DD2FCE"/>
    <w:rsid w:val="00DD3013"/>
    <w:rsid w:val="00DD30BE"/>
    <w:rsid w:val="00DD3302"/>
    <w:rsid w:val="00DD3CF8"/>
    <w:rsid w:val="00DD5466"/>
    <w:rsid w:val="00DD57BA"/>
    <w:rsid w:val="00DD586F"/>
    <w:rsid w:val="00DD5AA5"/>
    <w:rsid w:val="00DD5C35"/>
    <w:rsid w:val="00DD5CD3"/>
    <w:rsid w:val="00DD682A"/>
    <w:rsid w:val="00DD6999"/>
    <w:rsid w:val="00DD704F"/>
    <w:rsid w:val="00DD7A15"/>
    <w:rsid w:val="00DE05CF"/>
    <w:rsid w:val="00DE0869"/>
    <w:rsid w:val="00DE0952"/>
    <w:rsid w:val="00DE192A"/>
    <w:rsid w:val="00DE1BC8"/>
    <w:rsid w:val="00DE1D07"/>
    <w:rsid w:val="00DE28E0"/>
    <w:rsid w:val="00DE330F"/>
    <w:rsid w:val="00DE3318"/>
    <w:rsid w:val="00DE338A"/>
    <w:rsid w:val="00DE3473"/>
    <w:rsid w:val="00DE3474"/>
    <w:rsid w:val="00DE3498"/>
    <w:rsid w:val="00DE3930"/>
    <w:rsid w:val="00DE393F"/>
    <w:rsid w:val="00DE50C8"/>
    <w:rsid w:val="00DE5434"/>
    <w:rsid w:val="00DE59A8"/>
    <w:rsid w:val="00DE6478"/>
    <w:rsid w:val="00DE650F"/>
    <w:rsid w:val="00DE66AB"/>
    <w:rsid w:val="00DE6EEA"/>
    <w:rsid w:val="00DE7069"/>
    <w:rsid w:val="00DE7A0D"/>
    <w:rsid w:val="00DF0197"/>
    <w:rsid w:val="00DF0667"/>
    <w:rsid w:val="00DF0A66"/>
    <w:rsid w:val="00DF0B9A"/>
    <w:rsid w:val="00DF0DF7"/>
    <w:rsid w:val="00DF1706"/>
    <w:rsid w:val="00DF1982"/>
    <w:rsid w:val="00DF1A5D"/>
    <w:rsid w:val="00DF230E"/>
    <w:rsid w:val="00DF2F4A"/>
    <w:rsid w:val="00DF315D"/>
    <w:rsid w:val="00DF32CE"/>
    <w:rsid w:val="00DF3362"/>
    <w:rsid w:val="00DF3785"/>
    <w:rsid w:val="00DF3A52"/>
    <w:rsid w:val="00DF4119"/>
    <w:rsid w:val="00DF45D3"/>
    <w:rsid w:val="00DF4AD3"/>
    <w:rsid w:val="00DF4DDD"/>
    <w:rsid w:val="00DF52AB"/>
    <w:rsid w:val="00DF53CC"/>
    <w:rsid w:val="00DF58DB"/>
    <w:rsid w:val="00DF5A4C"/>
    <w:rsid w:val="00DF5D2D"/>
    <w:rsid w:val="00DF68FB"/>
    <w:rsid w:val="00DF694E"/>
    <w:rsid w:val="00DF6C2E"/>
    <w:rsid w:val="00E0043E"/>
    <w:rsid w:val="00E00AEA"/>
    <w:rsid w:val="00E00F7A"/>
    <w:rsid w:val="00E01025"/>
    <w:rsid w:val="00E011C5"/>
    <w:rsid w:val="00E013D6"/>
    <w:rsid w:val="00E01A3D"/>
    <w:rsid w:val="00E02098"/>
    <w:rsid w:val="00E0221B"/>
    <w:rsid w:val="00E02534"/>
    <w:rsid w:val="00E02FC9"/>
    <w:rsid w:val="00E034A3"/>
    <w:rsid w:val="00E03793"/>
    <w:rsid w:val="00E04282"/>
    <w:rsid w:val="00E04C42"/>
    <w:rsid w:val="00E04CD1"/>
    <w:rsid w:val="00E04F36"/>
    <w:rsid w:val="00E05459"/>
    <w:rsid w:val="00E0559A"/>
    <w:rsid w:val="00E0696E"/>
    <w:rsid w:val="00E06C4B"/>
    <w:rsid w:val="00E06E20"/>
    <w:rsid w:val="00E0777E"/>
    <w:rsid w:val="00E0798B"/>
    <w:rsid w:val="00E07C32"/>
    <w:rsid w:val="00E100D7"/>
    <w:rsid w:val="00E11057"/>
    <w:rsid w:val="00E1105F"/>
    <w:rsid w:val="00E1169A"/>
    <w:rsid w:val="00E116E6"/>
    <w:rsid w:val="00E122D4"/>
    <w:rsid w:val="00E12822"/>
    <w:rsid w:val="00E13074"/>
    <w:rsid w:val="00E130EB"/>
    <w:rsid w:val="00E13448"/>
    <w:rsid w:val="00E13809"/>
    <w:rsid w:val="00E13D25"/>
    <w:rsid w:val="00E14613"/>
    <w:rsid w:val="00E14A7D"/>
    <w:rsid w:val="00E14B9F"/>
    <w:rsid w:val="00E15153"/>
    <w:rsid w:val="00E15AC4"/>
    <w:rsid w:val="00E15EDD"/>
    <w:rsid w:val="00E15F4B"/>
    <w:rsid w:val="00E15FFD"/>
    <w:rsid w:val="00E1673E"/>
    <w:rsid w:val="00E16C91"/>
    <w:rsid w:val="00E203AD"/>
    <w:rsid w:val="00E2046D"/>
    <w:rsid w:val="00E205E7"/>
    <w:rsid w:val="00E211F0"/>
    <w:rsid w:val="00E21617"/>
    <w:rsid w:val="00E21E5A"/>
    <w:rsid w:val="00E22561"/>
    <w:rsid w:val="00E2298F"/>
    <w:rsid w:val="00E22AD2"/>
    <w:rsid w:val="00E2321A"/>
    <w:rsid w:val="00E23712"/>
    <w:rsid w:val="00E2423D"/>
    <w:rsid w:val="00E24500"/>
    <w:rsid w:val="00E24894"/>
    <w:rsid w:val="00E24A24"/>
    <w:rsid w:val="00E24A46"/>
    <w:rsid w:val="00E24F18"/>
    <w:rsid w:val="00E2575F"/>
    <w:rsid w:val="00E2586C"/>
    <w:rsid w:val="00E267FA"/>
    <w:rsid w:val="00E26931"/>
    <w:rsid w:val="00E27036"/>
    <w:rsid w:val="00E270A9"/>
    <w:rsid w:val="00E2796D"/>
    <w:rsid w:val="00E2796F"/>
    <w:rsid w:val="00E27B64"/>
    <w:rsid w:val="00E27FB7"/>
    <w:rsid w:val="00E303FA"/>
    <w:rsid w:val="00E30663"/>
    <w:rsid w:val="00E30C17"/>
    <w:rsid w:val="00E30F6A"/>
    <w:rsid w:val="00E31122"/>
    <w:rsid w:val="00E31329"/>
    <w:rsid w:val="00E313A8"/>
    <w:rsid w:val="00E31C78"/>
    <w:rsid w:val="00E31C8D"/>
    <w:rsid w:val="00E32777"/>
    <w:rsid w:val="00E32EB2"/>
    <w:rsid w:val="00E33A79"/>
    <w:rsid w:val="00E33B6C"/>
    <w:rsid w:val="00E33B86"/>
    <w:rsid w:val="00E33C03"/>
    <w:rsid w:val="00E33D2D"/>
    <w:rsid w:val="00E341E9"/>
    <w:rsid w:val="00E3456B"/>
    <w:rsid w:val="00E34731"/>
    <w:rsid w:val="00E34803"/>
    <w:rsid w:val="00E34F5E"/>
    <w:rsid w:val="00E3532C"/>
    <w:rsid w:val="00E35DB3"/>
    <w:rsid w:val="00E36415"/>
    <w:rsid w:val="00E366E2"/>
    <w:rsid w:val="00E368D4"/>
    <w:rsid w:val="00E36EE9"/>
    <w:rsid w:val="00E37244"/>
    <w:rsid w:val="00E3778F"/>
    <w:rsid w:val="00E37F6A"/>
    <w:rsid w:val="00E40274"/>
    <w:rsid w:val="00E40300"/>
    <w:rsid w:val="00E4047A"/>
    <w:rsid w:val="00E40497"/>
    <w:rsid w:val="00E4058E"/>
    <w:rsid w:val="00E40D9D"/>
    <w:rsid w:val="00E4101D"/>
    <w:rsid w:val="00E41188"/>
    <w:rsid w:val="00E425DC"/>
    <w:rsid w:val="00E42696"/>
    <w:rsid w:val="00E4287B"/>
    <w:rsid w:val="00E42E97"/>
    <w:rsid w:val="00E43112"/>
    <w:rsid w:val="00E43749"/>
    <w:rsid w:val="00E43B0B"/>
    <w:rsid w:val="00E43B7E"/>
    <w:rsid w:val="00E44068"/>
    <w:rsid w:val="00E44284"/>
    <w:rsid w:val="00E442B0"/>
    <w:rsid w:val="00E44355"/>
    <w:rsid w:val="00E4445B"/>
    <w:rsid w:val="00E4449E"/>
    <w:rsid w:val="00E457E8"/>
    <w:rsid w:val="00E45938"/>
    <w:rsid w:val="00E45A41"/>
    <w:rsid w:val="00E45B17"/>
    <w:rsid w:val="00E45FFD"/>
    <w:rsid w:val="00E4629C"/>
    <w:rsid w:val="00E463AC"/>
    <w:rsid w:val="00E470E3"/>
    <w:rsid w:val="00E4789C"/>
    <w:rsid w:val="00E50044"/>
    <w:rsid w:val="00E50057"/>
    <w:rsid w:val="00E500AC"/>
    <w:rsid w:val="00E5029C"/>
    <w:rsid w:val="00E50A3F"/>
    <w:rsid w:val="00E50B88"/>
    <w:rsid w:val="00E50E24"/>
    <w:rsid w:val="00E51E54"/>
    <w:rsid w:val="00E51EE2"/>
    <w:rsid w:val="00E52995"/>
    <w:rsid w:val="00E52BA5"/>
    <w:rsid w:val="00E52EEA"/>
    <w:rsid w:val="00E530A5"/>
    <w:rsid w:val="00E534E3"/>
    <w:rsid w:val="00E536A8"/>
    <w:rsid w:val="00E53EFF"/>
    <w:rsid w:val="00E54A3A"/>
    <w:rsid w:val="00E54B51"/>
    <w:rsid w:val="00E550F2"/>
    <w:rsid w:val="00E55700"/>
    <w:rsid w:val="00E558E9"/>
    <w:rsid w:val="00E55BB9"/>
    <w:rsid w:val="00E55E8A"/>
    <w:rsid w:val="00E56968"/>
    <w:rsid w:val="00E56E36"/>
    <w:rsid w:val="00E571C5"/>
    <w:rsid w:val="00E57810"/>
    <w:rsid w:val="00E578D4"/>
    <w:rsid w:val="00E57E2D"/>
    <w:rsid w:val="00E60185"/>
    <w:rsid w:val="00E60BA2"/>
    <w:rsid w:val="00E61047"/>
    <w:rsid w:val="00E618E2"/>
    <w:rsid w:val="00E61CF5"/>
    <w:rsid w:val="00E62329"/>
    <w:rsid w:val="00E62BAD"/>
    <w:rsid w:val="00E62FCE"/>
    <w:rsid w:val="00E630D8"/>
    <w:rsid w:val="00E6315A"/>
    <w:rsid w:val="00E63917"/>
    <w:rsid w:val="00E63A18"/>
    <w:rsid w:val="00E63A25"/>
    <w:rsid w:val="00E64BCC"/>
    <w:rsid w:val="00E6508D"/>
    <w:rsid w:val="00E65975"/>
    <w:rsid w:val="00E65F35"/>
    <w:rsid w:val="00E65F61"/>
    <w:rsid w:val="00E6714E"/>
    <w:rsid w:val="00E67610"/>
    <w:rsid w:val="00E67E44"/>
    <w:rsid w:val="00E7090A"/>
    <w:rsid w:val="00E712F7"/>
    <w:rsid w:val="00E71BBF"/>
    <w:rsid w:val="00E71BD4"/>
    <w:rsid w:val="00E71EF8"/>
    <w:rsid w:val="00E7218A"/>
    <w:rsid w:val="00E72A1B"/>
    <w:rsid w:val="00E72E2F"/>
    <w:rsid w:val="00E72F6E"/>
    <w:rsid w:val="00E733A6"/>
    <w:rsid w:val="00E73A09"/>
    <w:rsid w:val="00E73A0E"/>
    <w:rsid w:val="00E73B9F"/>
    <w:rsid w:val="00E741D2"/>
    <w:rsid w:val="00E743CF"/>
    <w:rsid w:val="00E74804"/>
    <w:rsid w:val="00E74D2A"/>
    <w:rsid w:val="00E74E7D"/>
    <w:rsid w:val="00E74E8C"/>
    <w:rsid w:val="00E759C3"/>
    <w:rsid w:val="00E75AE4"/>
    <w:rsid w:val="00E76053"/>
    <w:rsid w:val="00E76298"/>
    <w:rsid w:val="00E76986"/>
    <w:rsid w:val="00E775AE"/>
    <w:rsid w:val="00E77E04"/>
    <w:rsid w:val="00E810C3"/>
    <w:rsid w:val="00E810CB"/>
    <w:rsid w:val="00E814EB"/>
    <w:rsid w:val="00E81C78"/>
    <w:rsid w:val="00E827D6"/>
    <w:rsid w:val="00E82872"/>
    <w:rsid w:val="00E82CFF"/>
    <w:rsid w:val="00E82DFF"/>
    <w:rsid w:val="00E82FDB"/>
    <w:rsid w:val="00E83394"/>
    <w:rsid w:val="00E83910"/>
    <w:rsid w:val="00E83D73"/>
    <w:rsid w:val="00E84950"/>
    <w:rsid w:val="00E85519"/>
    <w:rsid w:val="00E855A3"/>
    <w:rsid w:val="00E855B7"/>
    <w:rsid w:val="00E85705"/>
    <w:rsid w:val="00E857A7"/>
    <w:rsid w:val="00E85F3B"/>
    <w:rsid w:val="00E862DF"/>
    <w:rsid w:val="00E863D5"/>
    <w:rsid w:val="00E86A20"/>
    <w:rsid w:val="00E86B8B"/>
    <w:rsid w:val="00E86C29"/>
    <w:rsid w:val="00E86F32"/>
    <w:rsid w:val="00E9004E"/>
    <w:rsid w:val="00E90252"/>
    <w:rsid w:val="00E90685"/>
    <w:rsid w:val="00E90E61"/>
    <w:rsid w:val="00E9162E"/>
    <w:rsid w:val="00E91632"/>
    <w:rsid w:val="00E93392"/>
    <w:rsid w:val="00E93460"/>
    <w:rsid w:val="00E938F2"/>
    <w:rsid w:val="00E940E9"/>
    <w:rsid w:val="00E9432A"/>
    <w:rsid w:val="00E94E34"/>
    <w:rsid w:val="00E94F94"/>
    <w:rsid w:val="00E95A5A"/>
    <w:rsid w:val="00E95DA0"/>
    <w:rsid w:val="00E95F9D"/>
    <w:rsid w:val="00E966DB"/>
    <w:rsid w:val="00E96AC5"/>
    <w:rsid w:val="00E96BF5"/>
    <w:rsid w:val="00E979C6"/>
    <w:rsid w:val="00E97B72"/>
    <w:rsid w:val="00EA0306"/>
    <w:rsid w:val="00EA03D7"/>
    <w:rsid w:val="00EA0777"/>
    <w:rsid w:val="00EA0950"/>
    <w:rsid w:val="00EA0A63"/>
    <w:rsid w:val="00EA0B01"/>
    <w:rsid w:val="00EA15EF"/>
    <w:rsid w:val="00EA1769"/>
    <w:rsid w:val="00EA247C"/>
    <w:rsid w:val="00EA2743"/>
    <w:rsid w:val="00EA2833"/>
    <w:rsid w:val="00EA2865"/>
    <w:rsid w:val="00EA31CE"/>
    <w:rsid w:val="00EA3DDC"/>
    <w:rsid w:val="00EA423A"/>
    <w:rsid w:val="00EA44CB"/>
    <w:rsid w:val="00EA4B1E"/>
    <w:rsid w:val="00EA4F72"/>
    <w:rsid w:val="00EA520D"/>
    <w:rsid w:val="00EA5527"/>
    <w:rsid w:val="00EA5762"/>
    <w:rsid w:val="00EA5A37"/>
    <w:rsid w:val="00EA5B8D"/>
    <w:rsid w:val="00EA5CF2"/>
    <w:rsid w:val="00EA6FCF"/>
    <w:rsid w:val="00EA7023"/>
    <w:rsid w:val="00EA7104"/>
    <w:rsid w:val="00EA71D8"/>
    <w:rsid w:val="00EA7304"/>
    <w:rsid w:val="00EA7355"/>
    <w:rsid w:val="00EA7406"/>
    <w:rsid w:val="00EA789D"/>
    <w:rsid w:val="00EA7974"/>
    <w:rsid w:val="00EA7A24"/>
    <w:rsid w:val="00EA7BF3"/>
    <w:rsid w:val="00EB017E"/>
    <w:rsid w:val="00EB04CA"/>
    <w:rsid w:val="00EB08E2"/>
    <w:rsid w:val="00EB127D"/>
    <w:rsid w:val="00EB2264"/>
    <w:rsid w:val="00EB237F"/>
    <w:rsid w:val="00EB241C"/>
    <w:rsid w:val="00EB3260"/>
    <w:rsid w:val="00EB348A"/>
    <w:rsid w:val="00EB34B8"/>
    <w:rsid w:val="00EB382D"/>
    <w:rsid w:val="00EB3C63"/>
    <w:rsid w:val="00EB3C96"/>
    <w:rsid w:val="00EB3E52"/>
    <w:rsid w:val="00EB432C"/>
    <w:rsid w:val="00EB469B"/>
    <w:rsid w:val="00EB47A0"/>
    <w:rsid w:val="00EB4A63"/>
    <w:rsid w:val="00EB504F"/>
    <w:rsid w:val="00EB5275"/>
    <w:rsid w:val="00EB5599"/>
    <w:rsid w:val="00EB55B7"/>
    <w:rsid w:val="00EB60A1"/>
    <w:rsid w:val="00EB6182"/>
    <w:rsid w:val="00EB6225"/>
    <w:rsid w:val="00EB6539"/>
    <w:rsid w:val="00EB6937"/>
    <w:rsid w:val="00EB70BA"/>
    <w:rsid w:val="00EB7151"/>
    <w:rsid w:val="00EB74F4"/>
    <w:rsid w:val="00EB75BF"/>
    <w:rsid w:val="00EB75F3"/>
    <w:rsid w:val="00EB7609"/>
    <w:rsid w:val="00EC075C"/>
    <w:rsid w:val="00EC0F10"/>
    <w:rsid w:val="00EC13FE"/>
    <w:rsid w:val="00EC16EF"/>
    <w:rsid w:val="00EC1E30"/>
    <w:rsid w:val="00EC1F31"/>
    <w:rsid w:val="00EC2402"/>
    <w:rsid w:val="00EC2BE8"/>
    <w:rsid w:val="00EC3223"/>
    <w:rsid w:val="00EC3B9E"/>
    <w:rsid w:val="00EC4137"/>
    <w:rsid w:val="00EC4362"/>
    <w:rsid w:val="00EC4AC9"/>
    <w:rsid w:val="00EC4D3E"/>
    <w:rsid w:val="00EC51E6"/>
    <w:rsid w:val="00EC54E2"/>
    <w:rsid w:val="00EC5D39"/>
    <w:rsid w:val="00EC5EEE"/>
    <w:rsid w:val="00EC6066"/>
    <w:rsid w:val="00EC6BAD"/>
    <w:rsid w:val="00EC6BD8"/>
    <w:rsid w:val="00EC6C23"/>
    <w:rsid w:val="00EC705F"/>
    <w:rsid w:val="00EC7106"/>
    <w:rsid w:val="00EC73B0"/>
    <w:rsid w:val="00EC78ED"/>
    <w:rsid w:val="00EC7DCA"/>
    <w:rsid w:val="00ED05E5"/>
    <w:rsid w:val="00ED1271"/>
    <w:rsid w:val="00ED14E7"/>
    <w:rsid w:val="00ED1A7B"/>
    <w:rsid w:val="00ED1C96"/>
    <w:rsid w:val="00ED1F42"/>
    <w:rsid w:val="00ED2A57"/>
    <w:rsid w:val="00ED2E20"/>
    <w:rsid w:val="00ED2E3B"/>
    <w:rsid w:val="00ED397D"/>
    <w:rsid w:val="00ED3D9B"/>
    <w:rsid w:val="00ED41E4"/>
    <w:rsid w:val="00ED4213"/>
    <w:rsid w:val="00ED4858"/>
    <w:rsid w:val="00ED4950"/>
    <w:rsid w:val="00ED65A6"/>
    <w:rsid w:val="00ED6B63"/>
    <w:rsid w:val="00ED6CB5"/>
    <w:rsid w:val="00ED6E0C"/>
    <w:rsid w:val="00ED6EBD"/>
    <w:rsid w:val="00ED7149"/>
    <w:rsid w:val="00ED7358"/>
    <w:rsid w:val="00ED7364"/>
    <w:rsid w:val="00ED74D7"/>
    <w:rsid w:val="00ED7E48"/>
    <w:rsid w:val="00EE0009"/>
    <w:rsid w:val="00EE0983"/>
    <w:rsid w:val="00EE1A96"/>
    <w:rsid w:val="00EE1B99"/>
    <w:rsid w:val="00EE1C5E"/>
    <w:rsid w:val="00EE1DEE"/>
    <w:rsid w:val="00EE219C"/>
    <w:rsid w:val="00EE232B"/>
    <w:rsid w:val="00EE236B"/>
    <w:rsid w:val="00EE29A9"/>
    <w:rsid w:val="00EE2CC4"/>
    <w:rsid w:val="00EE3254"/>
    <w:rsid w:val="00EE40A4"/>
    <w:rsid w:val="00EE41B4"/>
    <w:rsid w:val="00EE48DD"/>
    <w:rsid w:val="00EE4906"/>
    <w:rsid w:val="00EE4C62"/>
    <w:rsid w:val="00EE4D16"/>
    <w:rsid w:val="00EE5DD9"/>
    <w:rsid w:val="00EE5ED8"/>
    <w:rsid w:val="00EE67D8"/>
    <w:rsid w:val="00EE6A77"/>
    <w:rsid w:val="00EE6DF1"/>
    <w:rsid w:val="00EE7646"/>
    <w:rsid w:val="00EE7779"/>
    <w:rsid w:val="00EE7DF9"/>
    <w:rsid w:val="00EE7F14"/>
    <w:rsid w:val="00EF0051"/>
    <w:rsid w:val="00EF0314"/>
    <w:rsid w:val="00EF089C"/>
    <w:rsid w:val="00EF0A37"/>
    <w:rsid w:val="00EF0CB4"/>
    <w:rsid w:val="00EF0F6E"/>
    <w:rsid w:val="00EF129C"/>
    <w:rsid w:val="00EF15DA"/>
    <w:rsid w:val="00EF1A8C"/>
    <w:rsid w:val="00EF1B10"/>
    <w:rsid w:val="00EF1C31"/>
    <w:rsid w:val="00EF1C42"/>
    <w:rsid w:val="00EF1DDA"/>
    <w:rsid w:val="00EF27FA"/>
    <w:rsid w:val="00EF34F9"/>
    <w:rsid w:val="00EF3A76"/>
    <w:rsid w:val="00EF3B2B"/>
    <w:rsid w:val="00EF3C58"/>
    <w:rsid w:val="00EF44BC"/>
    <w:rsid w:val="00EF4829"/>
    <w:rsid w:val="00EF4CD7"/>
    <w:rsid w:val="00EF510E"/>
    <w:rsid w:val="00EF534C"/>
    <w:rsid w:val="00EF5E8F"/>
    <w:rsid w:val="00EF5F94"/>
    <w:rsid w:val="00EF62A0"/>
    <w:rsid w:val="00EF6787"/>
    <w:rsid w:val="00EF6E2A"/>
    <w:rsid w:val="00EF75F0"/>
    <w:rsid w:val="00F002A0"/>
    <w:rsid w:val="00F006C5"/>
    <w:rsid w:val="00F00731"/>
    <w:rsid w:val="00F00A7D"/>
    <w:rsid w:val="00F01831"/>
    <w:rsid w:val="00F01A32"/>
    <w:rsid w:val="00F01F41"/>
    <w:rsid w:val="00F02325"/>
    <w:rsid w:val="00F02392"/>
    <w:rsid w:val="00F02F11"/>
    <w:rsid w:val="00F03481"/>
    <w:rsid w:val="00F035A2"/>
    <w:rsid w:val="00F03DE4"/>
    <w:rsid w:val="00F0418C"/>
    <w:rsid w:val="00F041E6"/>
    <w:rsid w:val="00F04665"/>
    <w:rsid w:val="00F04AAC"/>
    <w:rsid w:val="00F05228"/>
    <w:rsid w:val="00F05D8B"/>
    <w:rsid w:val="00F06455"/>
    <w:rsid w:val="00F06948"/>
    <w:rsid w:val="00F06B25"/>
    <w:rsid w:val="00F06B7D"/>
    <w:rsid w:val="00F07237"/>
    <w:rsid w:val="00F0727B"/>
    <w:rsid w:val="00F079D4"/>
    <w:rsid w:val="00F07B71"/>
    <w:rsid w:val="00F07C34"/>
    <w:rsid w:val="00F10049"/>
    <w:rsid w:val="00F1049F"/>
    <w:rsid w:val="00F108D4"/>
    <w:rsid w:val="00F11564"/>
    <w:rsid w:val="00F11B63"/>
    <w:rsid w:val="00F11FB1"/>
    <w:rsid w:val="00F123D7"/>
    <w:rsid w:val="00F12EC9"/>
    <w:rsid w:val="00F13439"/>
    <w:rsid w:val="00F141D6"/>
    <w:rsid w:val="00F14539"/>
    <w:rsid w:val="00F14E67"/>
    <w:rsid w:val="00F15217"/>
    <w:rsid w:val="00F1571D"/>
    <w:rsid w:val="00F15A34"/>
    <w:rsid w:val="00F1604B"/>
    <w:rsid w:val="00F166A5"/>
    <w:rsid w:val="00F1749D"/>
    <w:rsid w:val="00F205B9"/>
    <w:rsid w:val="00F2079A"/>
    <w:rsid w:val="00F20BF3"/>
    <w:rsid w:val="00F20C06"/>
    <w:rsid w:val="00F2136E"/>
    <w:rsid w:val="00F219DE"/>
    <w:rsid w:val="00F21E8B"/>
    <w:rsid w:val="00F226E0"/>
    <w:rsid w:val="00F22B59"/>
    <w:rsid w:val="00F23055"/>
    <w:rsid w:val="00F2338B"/>
    <w:rsid w:val="00F2403C"/>
    <w:rsid w:val="00F24231"/>
    <w:rsid w:val="00F244EC"/>
    <w:rsid w:val="00F248FA"/>
    <w:rsid w:val="00F26539"/>
    <w:rsid w:val="00F269E9"/>
    <w:rsid w:val="00F26BDC"/>
    <w:rsid w:val="00F27063"/>
    <w:rsid w:val="00F27589"/>
    <w:rsid w:val="00F2769E"/>
    <w:rsid w:val="00F276BE"/>
    <w:rsid w:val="00F278AE"/>
    <w:rsid w:val="00F301C5"/>
    <w:rsid w:val="00F30C61"/>
    <w:rsid w:val="00F30D54"/>
    <w:rsid w:val="00F30E36"/>
    <w:rsid w:val="00F312C6"/>
    <w:rsid w:val="00F31BC4"/>
    <w:rsid w:val="00F3206F"/>
    <w:rsid w:val="00F32423"/>
    <w:rsid w:val="00F32631"/>
    <w:rsid w:val="00F32E77"/>
    <w:rsid w:val="00F331C3"/>
    <w:rsid w:val="00F33207"/>
    <w:rsid w:val="00F33255"/>
    <w:rsid w:val="00F33606"/>
    <w:rsid w:val="00F33681"/>
    <w:rsid w:val="00F346F9"/>
    <w:rsid w:val="00F34887"/>
    <w:rsid w:val="00F357F3"/>
    <w:rsid w:val="00F35831"/>
    <w:rsid w:val="00F35971"/>
    <w:rsid w:val="00F35C3F"/>
    <w:rsid w:val="00F36015"/>
    <w:rsid w:val="00F361D6"/>
    <w:rsid w:val="00F3621E"/>
    <w:rsid w:val="00F36730"/>
    <w:rsid w:val="00F36DAD"/>
    <w:rsid w:val="00F37135"/>
    <w:rsid w:val="00F37686"/>
    <w:rsid w:val="00F37D5E"/>
    <w:rsid w:val="00F401E8"/>
    <w:rsid w:val="00F4028F"/>
    <w:rsid w:val="00F40363"/>
    <w:rsid w:val="00F41049"/>
    <w:rsid w:val="00F4113A"/>
    <w:rsid w:val="00F41558"/>
    <w:rsid w:val="00F418AA"/>
    <w:rsid w:val="00F41964"/>
    <w:rsid w:val="00F41B5B"/>
    <w:rsid w:val="00F41E54"/>
    <w:rsid w:val="00F424FB"/>
    <w:rsid w:val="00F42553"/>
    <w:rsid w:val="00F42D9B"/>
    <w:rsid w:val="00F431F6"/>
    <w:rsid w:val="00F432E6"/>
    <w:rsid w:val="00F43670"/>
    <w:rsid w:val="00F437BC"/>
    <w:rsid w:val="00F45314"/>
    <w:rsid w:val="00F453C1"/>
    <w:rsid w:val="00F45410"/>
    <w:rsid w:val="00F45C8D"/>
    <w:rsid w:val="00F466FA"/>
    <w:rsid w:val="00F46CD1"/>
    <w:rsid w:val="00F46E7B"/>
    <w:rsid w:val="00F472A3"/>
    <w:rsid w:val="00F47402"/>
    <w:rsid w:val="00F47697"/>
    <w:rsid w:val="00F479AB"/>
    <w:rsid w:val="00F503C2"/>
    <w:rsid w:val="00F50D66"/>
    <w:rsid w:val="00F51EFB"/>
    <w:rsid w:val="00F51F9A"/>
    <w:rsid w:val="00F52098"/>
    <w:rsid w:val="00F5225B"/>
    <w:rsid w:val="00F52CC0"/>
    <w:rsid w:val="00F52E42"/>
    <w:rsid w:val="00F52FDD"/>
    <w:rsid w:val="00F53304"/>
    <w:rsid w:val="00F53535"/>
    <w:rsid w:val="00F53576"/>
    <w:rsid w:val="00F537FA"/>
    <w:rsid w:val="00F53985"/>
    <w:rsid w:val="00F539D9"/>
    <w:rsid w:val="00F53AE9"/>
    <w:rsid w:val="00F53BCB"/>
    <w:rsid w:val="00F53CE4"/>
    <w:rsid w:val="00F53F33"/>
    <w:rsid w:val="00F53FE8"/>
    <w:rsid w:val="00F541D9"/>
    <w:rsid w:val="00F54647"/>
    <w:rsid w:val="00F54D98"/>
    <w:rsid w:val="00F55736"/>
    <w:rsid w:val="00F55D8C"/>
    <w:rsid w:val="00F57154"/>
    <w:rsid w:val="00F5742C"/>
    <w:rsid w:val="00F5745D"/>
    <w:rsid w:val="00F57730"/>
    <w:rsid w:val="00F5777C"/>
    <w:rsid w:val="00F57888"/>
    <w:rsid w:val="00F57D1C"/>
    <w:rsid w:val="00F57D30"/>
    <w:rsid w:val="00F57EC0"/>
    <w:rsid w:val="00F60620"/>
    <w:rsid w:val="00F609CF"/>
    <w:rsid w:val="00F615DC"/>
    <w:rsid w:val="00F617D8"/>
    <w:rsid w:val="00F61C39"/>
    <w:rsid w:val="00F61FB0"/>
    <w:rsid w:val="00F6217B"/>
    <w:rsid w:val="00F62923"/>
    <w:rsid w:val="00F62A02"/>
    <w:rsid w:val="00F633BC"/>
    <w:rsid w:val="00F6424A"/>
    <w:rsid w:val="00F64476"/>
    <w:rsid w:val="00F64991"/>
    <w:rsid w:val="00F64A65"/>
    <w:rsid w:val="00F65E43"/>
    <w:rsid w:val="00F66041"/>
    <w:rsid w:val="00F66537"/>
    <w:rsid w:val="00F66C81"/>
    <w:rsid w:val="00F66CA3"/>
    <w:rsid w:val="00F66F90"/>
    <w:rsid w:val="00F67A2A"/>
    <w:rsid w:val="00F67EBD"/>
    <w:rsid w:val="00F70478"/>
    <w:rsid w:val="00F705CF"/>
    <w:rsid w:val="00F70BA2"/>
    <w:rsid w:val="00F70CB3"/>
    <w:rsid w:val="00F7103B"/>
    <w:rsid w:val="00F71157"/>
    <w:rsid w:val="00F71A32"/>
    <w:rsid w:val="00F71B05"/>
    <w:rsid w:val="00F721EF"/>
    <w:rsid w:val="00F72548"/>
    <w:rsid w:val="00F72CFC"/>
    <w:rsid w:val="00F72D28"/>
    <w:rsid w:val="00F7313C"/>
    <w:rsid w:val="00F732C1"/>
    <w:rsid w:val="00F73382"/>
    <w:rsid w:val="00F738EE"/>
    <w:rsid w:val="00F73DEC"/>
    <w:rsid w:val="00F74C4E"/>
    <w:rsid w:val="00F75351"/>
    <w:rsid w:val="00F75407"/>
    <w:rsid w:val="00F76801"/>
    <w:rsid w:val="00F76B8E"/>
    <w:rsid w:val="00F76F09"/>
    <w:rsid w:val="00F76F93"/>
    <w:rsid w:val="00F76FA4"/>
    <w:rsid w:val="00F76FEF"/>
    <w:rsid w:val="00F76FFA"/>
    <w:rsid w:val="00F77392"/>
    <w:rsid w:val="00F775C7"/>
    <w:rsid w:val="00F77D99"/>
    <w:rsid w:val="00F80158"/>
    <w:rsid w:val="00F801A1"/>
    <w:rsid w:val="00F8036F"/>
    <w:rsid w:val="00F80815"/>
    <w:rsid w:val="00F8093D"/>
    <w:rsid w:val="00F80AC2"/>
    <w:rsid w:val="00F80CD8"/>
    <w:rsid w:val="00F80FAB"/>
    <w:rsid w:val="00F81076"/>
    <w:rsid w:val="00F813C7"/>
    <w:rsid w:val="00F8149E"/>
    <w:rsid w:val="00F819A0"/>
    <w:rsid w:val="00F81ABB"/>
    <w:rsid w:val="00F81C79"/>
    <w:rsid w:val="00F81C8A"/>
    <w:rsid w:val="00F81D5B"/>
    <w:rsid w:val="00F81D9E"/>
    <w:rsid w:val="00F82262"/>
    <w:rsid w:val="00F82EE4"/>
    <w:rsid w:val="00F842B4"/>
    <w:rsid w:val="00F8472B"/>
    <w:rsid w:val="00F84870"/>
    <w:rsid w:val="00F84AFA"/>
    <w:rsid w:val="00F84BC8"/>
    <w:rsid w:val="00F84CBC"/>
    <w:rsid w:val="00F84D46"/>
    <w:rsid w:val="00F85101"/>
    <w:rsid w:val="00F85326"/>
    <w:rsid w:val="00F85424"/>
    <w:rsid w:val="00F8555C"/>
    <w:rsid w:val="00F85660"/>
    <w:rsid w:val="00F85707"/>
    <w:rsid w:val="00F85C22"/>
    <w:rsid w:val="00F85EFD"/>
    <w:rsid w:val="00F85F30"/>
    <w:rsid w:val="00F862AF"/>
    <w:rsid w:val="00F864FC"/>
    <w:rsid w:val="00F87261"/>
    <w:rsid w:val="00F87C05"/>
    <w:rsid w:val="00F87C1E"/>
    <w:rsid w:val="00F87CE8"/>
    <w:rsid w:val="00F87EB9"/>
    <w:rsid w:val="00F900BF"/>
    <w:rsid w:val="00F908CB"/>
    <w:rsid w:val="00F90BD9"/>
    <w:rsid w:val="00F91669"/>
    <w:rsid w:val="00F9175E"/>
    <w:rsid w:val="00F9189F"/>
    <w:rsid w:val="00F91FAF"/>
    <w:rsid w:val="00F91FEE"/>
    <w:rsid w:val="00F92FB8"/>
    <w:rsid w:val="00F9350F"/>
    <w:rsid w:val="00F935EF"/>
    <w:rsid w:val="00F93D06"/>
    <w:rsid w:val="00F93D1A"/>
    <w:rsid w:val="00F9413E"/>
    <w:rsid w:val="00F94351"/>
    <w:rsid w:val="00F945FF"/>
    <w:rsid w:val="00F9495A"/>
    <w:rsid w:val="00F94DCF"/>
    <w:rsid w:val="00F9565D"/>
    <w:rsid w:val="00F956E3"/>
    <w:rsid w:val="00F95A07"/>
    <w:rsid w:val="00F95C15"/>
    <w:rsid w:val="00F95DE9"/>
    <w:rsid w:val="00F95F1A"/>
    <w:rsid w:val="00F9611B"/>
    <w:rsid w:val="00F96139"/>
    <w:rsid w:val="00F9665F"/>
    <w:rsid w:val="00F96973"/>
    <w:rsid w:val="00F96A6B"/>
    <w:rsid w:val="00F96ACC"/>
    <w:rsid w:val="00F96D9D"/>
    <w:rsid w:val="00F97465"/>
    <w:rsid w:val="00F974E5"/>
    <w:rsid w:val="00F97A98"/>
    <w:rsid w:val="00FA00DB"/>
    <w:rsid w:val="00FA02E6"/>
    <w:rsid w:val="00FA02FB"/>
    <w:rsid w:val="00FA0D39"/>
    <w:rsid w:val="00FA0D71"/>
    <w:rsid w:val="00FA1852"/>
    <w:rsid w:val="00FA2266"/>
    <w:rsid w:val="00FA229C"/>
    <w:rsid w:val="00FA22C9"/>
    <w:rsid w:val="00FA24DB"/>
    <w:rsid w:val="00FA2D03"/>
    <w:rsid w:val="00FA3570"/>
    <w:rsid w:val="00FA389D"/>
    <w:rsid w:val="00FA3A80"/>
    <w:rsid w:val="00FA4E66"/>
    <w:rsid w:val="00FA5067"/>
    <w:rsid w:val="00FA5192"/>
    <w:rsid w:val="00FA53B0"/>
    <w:rsid w:val="00FA5756"/>
    <w:rsid w:val="00FA57B3"/>
    <w:rsid w:val="00FA64C0"/>
    <w:rsid w:val="00FA6A88"/>
    <w:rsid w:val="00FB0A01"/>
    <w:rsid w:val="00FB0C7C"/>
    <w:rsid w:val="00FB0DD1"/>
    <w:rsid w:val="00FB2318"/>
    <w:rsid w:val="00FB293B"/>
    <w:rsid w:val="00FB2CFA"/>
    <w:rsid w:val="00FB2FEC"/>
    <w:rsid w:val="00FB3051"/>
    <w:rsid w:val="00FB326E"/>
    <w:rsid w:val="00FB3626"/>
    <w:rsid w:val="00FB3A04"/>
    <w:rsid w:val="00FB3B3B"/>
    <w:rsid w:val="00FB442C"/>
    <w:rsid w:val="00FB456A"/>
    <w:rsid w:val="00FB4A19"/>
    <w:rsid w:val="00FB4E50"/>
    <w:rsid w:val="00FB4EAE"/>
    <w:rsid w:val="00FB5035"/>
    <w:rsid w:val="00FB65CC"/>
    <w:rsid w:val="00FB6B7C"/>
    <w:rsid w:val="00FB6E09"/>
    <w:rsid w:val="00FB71BB"/>
    <w:rsid w:val="00FB76DD"/>
    <w:rsid w:val="00FB79F9"/>
    <w:rsid w:val="00FC0663"/>
    <w:rsid w:val="00FC0AD6"/>
    <w:rsid w:val="00FC0BDF"/>
    <w:rsid w:val="00FC141D"/>
    <w:rsid w:val="00FC14B6"/>
    <w:rsid w:val="00FC173A"/>
    <w:rsid w:val="00FC18B4"/>
    <w:rsid w:val="00FC18B5"/>
    <w:rsid w:val="00FC1CE0"/>
    <w:rsid w:val="00FC1FA2"/>
    <w:rsid w:val="00FC228C"/>
    <w:rsid w:val="00FC28D1"/>
    <w:rsid w:val="00FC298C"/>
    <w:rsid w:val="00FC2B97"/>
    <w:rsid w:val="00FC2CDF"/>
    <w:rsid w:val="00FC31FC"/>
    <w:rsid w:val="00FC3778"/>
    <w:rsid w:val="00FC37C7"/>
    <w:rsid w:val="00FC3993"/>
    <w:rsid w:val="00FC3A48"/>
    <w:rsid w:val="00FC4ACE"/>
    <w:rsid w:val="00FC505B"/>
    <w:rsid w:val="00FC52E5"/>
    <w:rsid w:val="00FC574B"/>
    <w:rsid w:val="00FC5986"/>
    <w:rsid w:val="00FC5A30"/>
    <w:rsid w:val="00FC5E51"/>
    <w:rsid w:val="00FC6043"/>
    <w:rsid w:val="00FC6872"/>
    <w:rsid w:val="00FC68F7"/>
    <w:rsid w:val="00FC6C45"/>
    <w:rsid w:val="00FC73F0"/>
    <w:rsid w:val="00FC763B"/>
    <w:rsid w:val="00FC76B3"/>
    <w:rsid w:val="00FC7851"/>
    <w:rsid w:val="00FD0060"/>
    <w:rsid w:val="00FD038D"/>
    <w:rsid w:val="00FD0465"/>
    <w:rsid w:val="00FD0F83"/>
    <w:rsid w:val="00FD1F52"/>
    <w:rsid w:val="00FD241D"/>
    <w:rsid w:val="00FD2720"/>
    <w:rsid w:val="00FD2F8E"/>
    <w:rsid w:val="00FD2FE9"/>
    <w:rsid w:val="00FD3547"/>
    <w:rsid w:val="00FD38D8"/>
    <w:rsid w:val="00FD414B"/>
    <w:rsid w:val="00FD4910"/>
    <w:rsid w:val="00FD4E39"/>
    <w:rsid w:val="00FD5262"/>
    <w:rsid w:val="00FD52E8"/>
    <w:rsid w:val="00FD567F"/>
    <w:rsid w:val="00FD6398"/>
    <w:rsid w:val="00FD66C4"/>
    <w:rsid w:val="00FD68EA"/>
    <w:rsid w:val="00FD7328"/>
    <w:rsid w:val="00FD772F"/>
    <w:rsid w:val="00FD77AF"/>
    <w:rsid w:val="00FE0364"/>
    <w:rsid w:val="00FE06F2"/>
    <w:rsid w:val="00FE0EB1"/>
    <w:rsid w:val="00FE1327"/>
    <w:rsid w:val="00FE17F0"/>
    <w:rsid w:val="00FE1DDC"/>
    <w:rsid w:val="00FE2071"/>
    <w:rsid w:val="00FE2356"/>
    <w:rsid w:val="00FE3C32"/>
    <w:rsid w:val="00FE4207"/>
    <w:rsid w:val="00FE4306"/>
    <w:rsid w:val="00FE4A62"/>
    <w:rsid w:val="00FE4BCA"/>
    <w:rsid w:val="00FE526A"/>
    <w:rsid w:val="00FE55B5"/>
    <w:rsid w:val="00FE5E65"/>
    <w:rsid w:val="00FE5EDF"/>
    <w:rsid w:val="00FE6973"/>
    <w:rsid w:val="00FE7651"/>
    <w:rsid w:val="00FE7728"/>
    <w:rsid w:val="00FE796C"/>
    <w:rsid w:val="00FE7B7B"/>
    <w:rsid w:val="00FE7D2C"/>
    <w:rsid w:val="00FE7D93"/>
    <w:rsid w:val="00FF0074"/>
    <w:rsid w:val="00FF0186"/>
    <w:rsid w:val="00FF0573"/>
    <w:rsid w:val="00FF0B8B"/>
    <w:rsid w:val="00FF155D"/>
    <w:rsid w:val="00FF16F8"/>
    <w:rsid w:val="00FF2055"/>
    <w:rsid w:val="00FF215C"/>
    <w:rsid w:val="00FF28D1"/>
    <w:rsid w:val="00FF2B59"/>
    <w:rsid w:val="00FF2EEF"/>
    <w:rsid w:val="00FF351E"/>
    <w:rsid w:val="00FF37DD"/>
    <w:rsid w:val="00FF39C1"/>
    <w:rsid w:val="00FF48B1"/>
    <w:rsid w:val="00FF5283"/>
    <w:rsid w:val="00FF54D6"/>
    <w:rsid w:val="00FF54DF"/>
    <w:rsid w:val="00FF563F"/>
    <w:rsid w:val="00FF5EED"/>
    <w:rsid w:val="00FF5F60"/>
    <w:rsid w:val="00FF6169"/>
    <w:rsid w:val="00FF61E7"/>
    <w:rsid w:val="00FF647B"/>
    <w:rsid w:val="00FF66FF"/>
    <w:rsid w:val="00FF6827"/>
    <w:rsid w:val="00FF6C07"/>
    <w:rsid w:val="00FF75E5"/>
    <w:rsid w:val="071777D9"/>
    <w:rsid w:val="09279C31"/>
    <w:rsid w:val="0D6D60D0"/>
    <w:rsid w:val="1009D8DD"/>
    <w:rsid w:val="10BEA99E"/>
    <w:rsid w:val="12265BF5"/>
    <w:rsid w:val="12A05C79"/>
    <w:rsid w:val="1492C4EF"/>
    <w:rsid w:val="15B41B58"/>
    <w:rsid w:val="173974A0"/>
    <w:rsid w:val="1A6C9CF2"/>
    <w:rsid w:val="1B0D7B0F"/>
    <w:rsid w:val="1B10D94D"/>
    <w:rsid w:val="1E866ACB"/>
    <w:rsid w:val="24DF315D"/>
    <w:rsid w:val="267D91F1"/>
    <w:rsid w:val="26D23CDC"/>
    <w:rsid w:val="2746BE62"/>
    <w:rsid w:val="2B1A5111"/>
    <w:rsid w:val="2E2D1427"/>
    <w:rsid w:val="2E320E92"/>
    <w:rsid w:val="2F0F3738"/>
    <w:rsid w:val="31556F2A"/>
    <w:rsid w:val="32911453"/>
    <w:rsid w:val="38EE295F"/>
    <w:rsid w:val="3CF683E9"/>
    <w:rsid w:val="3FF7589E"/>
    <w:rsid w:val="41E91E40"/>
    <w:rsid w:val="439A7B03"/>
    <w:rsid w:val="463198DC"/>
    <w:rsid w:val="489AE9A8"/>
    <w:rsid w:val="4A8D5317"/>
    <w:rsid w:val="4B7EB2E9"/>
    <w:rsid w:val="4BB2E5D4"/>
    <w:rsid w:val="4CE26CB8"/>
    <w:rsid w:val="4E238264"/>
    <w:rsid w:val="4EE84FC7"/>
    <w:rsid w:val="50A9FD72"/>
    <w:rsid w:val="51A403BF"/>
    <w:rsid w:val="5222B786"/>
    <w:rsid w:val="5323BF33"/>
    <w:rsid w:val="53A6EE7B"/>
    <w:rsid w:val="5788A89C"/>
    <w:rsid w:val="5DBB31AB"/>
    <w:rsid w:val="5EE44466"/>
    <w:rsid w:val="659CA804"/>
    <w:rsid w:val="671075B2"/>
    <w:rsid w:val="6993BDF7"/>
    <w:rsid w:val="6FDA5F82"/>
    <w:rsid w:val="750978C6"/>
    <w:rsid w:val="7662D4CF"/>
    <w:rsid w:val="7B29C50C"/>
    <w:rsid w:val="7E48978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7E00F"/>
  <w15:docId w15:val="{9457A6FA-4589-4254-B4C1-3638BD471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448"/>
    <w:pPr>
      <w:spacing w:after="250" w:line="276" w:lineRule="auto"/>
      <w:jc w:val="both"/>
    </w:pPr>
    <w:rPr>
      <w:color w:val="181818" w:themeColor="background1" w:themeShade="1A"/>
      <w:sz w:val="22"/>
      <w:lang w:val="en-GB"/>
    </w:rPr>
  </w:style>
  <w:style w:type="paragraph" w:styleId="Heading1">
    <w:name w:val="heading 1"/>
    <w:basedOn w:val="Normal"/>
    <w:next w:val="Normal"/>
    <w:link w:val="Heading1Char"/>
    <w:uiPriority w:val="9"/>
    <w:qFormat/>
    <w:rsid w:val="0082744A"/>
    <w:pPr>
      <w:keepNext/>
      <w:keepLines/>
      <w:numPr>
        <w:numId w:val="1"/>
      </w:numPr>
      <w:spacing w:before="320"/>
      <w:ind w:left="431" w:hanging="431"/>
      <w:outlineLvl w:val="0"/>
    </w:pPr>
    <w:rPr>
      <w:rFonts w:asciiTheme="majorHAnsi" w:eastAsiaTheme="majorEastAsia" w:hAnsiTheme="majorHAnsi" w:cstheme="majorBidi"/>
      <w:b/>
      <w:color w:val="00379F" w:themeColor="text1"/>
      <w:sz w:val="32"/>
      <w:szCs w:val="32"/>
    </w:rPr>
  </w:style>
  <w:style w:type="paragraph" w:styleId="Heading2">
    <w:name w:val="heading 2"/>
    <w:basedOn w:val="Normal"/>
    <w:next w:val="Normal"/>
    <w:link w:val="Heading2Char"/>
    <w:uiPriority w:val="9"/>
    <w:unhideWhenUsed/>
    <w:qFormat/>
    <w:rsid w:val="0082744A"/>
    <w:pPr>
      <w:keepNext/>
      <w:keepLines/>
      <w:numPr>
        <w:ilvl w:val="1"/>
        <w:numId w:val="1"/>
      </w:numPr>
      <w:spacing w:before="320"/>
      <w:outlineLvl w:val="1"/>
    </w:pPr>
    <w:rPr>
      <w:rFonts w:asciiTheme="majorHAnsi" w:eastAsiaTheme="majorEastAsia" w:hAnsiTheme="majorHAnsi" w:cstheme="majorBidi"/>
      <w:b/>
      <w:color w:val="00379F" w:themeColor="text1"/>
      <w:sz w:val="28"/>
      <w:szCs w:val="28"/>
    </w:rPr>
  </w:style>
  <w:style w:type="paragraph" w:styleId="Heading3">
    <w:name w:val="heading 3"/>
    <w:basedOn w:val="Normal"/>
    <w:next w:val="Normal"/>
    <w:link w:val="Heading3Char"/>
    <w:uiPriority w:val="9"/>
    <w:unhideWhenUsed/>
    <w:qFormat/>
    <w:rsid w:val="00020300"/>
    <w:pPr>
      <w:keepNext/>
      <w:keepLines/>
      <w:numPr>
        <w:ilvl w:val="2"/>
        <w:numId w:val="1"/>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1"/>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2"/>
      </w:numPr>
      <w:spacing w:before="40" w:after="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1"/>
      </w:numPr>
      <w:spacing w:before="40" w:after="0"/>
      <w:outlineLvl w:val="5"/>
    </w:pPr>
    <w:rPr>
      <w:rFonts w:asciiTheme="majorHAnsi" w:eastAsiaTheme="majorEastAsia" w:hAnsiTheme="majorHAnsi" w:cstheme="majorBidi"/>
      <w:i/>
      <w:iCs/>
      <w:color w:val="007EFF"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1"/>
      </w:numPr>
      <w:spacing w:before="40" w:after="0"/>
      <w:outlineLvl w:val="6"/>
    </w:pPr>
    <w:rPr>
      <w:rFonts w:asciiTheme="majorHAnsi" w:eastAsiaTheme="majorEastAsia" w:hAnsiTheme="majorHAnsi" w:cstheme="majorBidi"/>
      <w:i/>
      <w:iCs/>
      <w:color w:val="19004F"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1"/>
      </w:numPr>
      <w:spacing w:before="40" w:after="0"/>
      <w:outlineLvl w:val="7"/>
    </w:pPr>
    <w:rPr>
      <w:rFonts w:asciiTheme="majorHAnsi" w:eastAsiaTheme="majorEastAsia" w:hAnsiTheme="majorHAnsi" w:cstheme="majorBidi"/>
      <w:b/>
      <w:bCs/>
      <w:color w:val="007EFF" w:themeColor="text2"/>
    </w:rPr>
  </w:style>
  <w:style w:type="paragraph" w:styleId="Heading9">
    <w:name w:val="heading 9"/>
    <w:basedOn w:val="Normal"/>
    <w:next w:val="Normal"/>
    <w:link w:val="Heading9Char"/>
    <w:uiPriority w:val="9"/>
    <w:semiHidden/>
    <w:unhideWhenUsed/>
    <w:qFormat/>
    <w:rsid w:val="00AA054E"/>
    <w:pPr>
      <w:keepNext/>
      <w:keepLines/>
      <w:numPr>
        <w:ilvl w:val="8"/>
        <w:numId w:val="1"/>
      </w:numPr>
      <w:spacing w:before="40" w:after="0"/>
      <w:outlineLvl w:val="8"/>
    </w:pPr>
    <w:rPr>
      <w:rFonts w:asciiTheme="majorHAnsi" w:eastAsiaTheme="majorEastAsia" w:hAnsiTheme="majorHAnsi" w:cstheme="majorBidi"/>
      <w:b/>
      <w:bCs/>
      <w:i/>
      <w:iCs/>
      <w:color w:val="007EF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color w:val="181818" w:themeColor="background1" w:themeShade="1A"/>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color w:val="181818" w:themeColor="background1" w:themeShade="1A"/>
      <w:sz w:val="24"/>
      <w:szCs w:val="24"/>
      <w:lang w:val="en-GB"/>
    </w:rPr>
  </w:style>
  <w:style w:type="character" w:customStyle="1" w:styleId="Heading1Char">
    <w:name w:val="Heading 1 Char"/>
    <w:basedOn w:val="DefaultParagraphFont"/>
    <w:link w:val="Heading1"/>
    <w:uiPriority w:val="9"/>
    <w:rsid w:val="0082744A"/>
    <w:rPr>
      <w:rFonts w:asciiTheme="majorHAnsi" w:eastAsiaTheme="majorEastAsia" w:hAnsiTheme="majorHAnsi" w:cstheme="majorBidi"/>
      <w:b/>
      <w:color w:val="00379F" w:themeColor="text1"/>
      <w:sz w:val="32"/>
      <w:szCs w:val="32"/>
      <w:lang w:val="en-GB"/>
    </w:rPr>
  </w:style>
  <w:style w:type="character" w:customStyle="1" w:styleId="Heading2Char">
    <w:name w:val="Heading 2 Char"/>
    <w:basedOn w:val="DefaultParagraphFont"/>
    <w:link w:val="Heading2"/>
    <w:uiPriority w:val="9"/>
    <w:rsid w:val="0082744A"/>
    <w:rPr>
      <w:rFonts w:asciiTheme="majorHAnsi" w:eastAsiaTheme="majorEastAsia" w:hAnsiTheme="majorHAnsi" w:cstheme="majorBidi"/>
      <w:b/>
      <w:color w:val="00379F" w:themeColor="text1"/>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qFormat/>
    <w:rsid w:val="00F205B9"/>
    <w:pPr>
      <w:numPr>
        <w:numId w:val="0"/>
      </w:numPr>
      <w:ind w:left="792" w:hanging="432"/>
    </w:pPr>
    <w:rPr>
      <w:b/>
      <w:color w:val="00379F" w:themeColor="text1"/>
      <w:sz w:val="28"/>
    </w:rPr>
  </w:style>
  <w:style w:type="character" w:customStyle="1" w:styleId="Title1Char">
    <w:name w:val="Title 1 Char"/>
    <w:basedOn w:val="DefaultParagraphFont"/>
    <w:link w:val="Title1"/>
    <w:rsid w:val="00F205B9"/>
    <w:rPr>
      <w:rFonts w:asciiTheme="majorHAnsi" w:hAnsiTheme="majorHAnsi" w:cstheme="majorHAnsi"/>
      <w:b/>
      <w:color w:val="00379F" w:themeColor="text1"/>
      <w:sz w:val="28"/>
      <w:szCs w:val="22"/>
      <w:lang w:val="pt-PT"/>
    </w:rPr>
  </w:style>
  <w:style w:type="paragraph" w:styleId="ListParagraph">
    <w:name w:val="List Paragraph"/>
    <w:aliases w:val="Paragraphe EI,Paragraphe de liste1,EC"/>
    <w:basedOn w:val="Normal"/>
    <w:link w:val="ListParagraphChar"/>
    <w:autoRedefine/>
    <w:uiPriority w:val="34"/>
    <w:qFormat/>
    <w:rsid w:val="00EC6066"/>
    <w:pPr>
      <w:numPr>
        <w:numId w:val="11"/>
      </w:numPr>
    </w:pPr>
    <w:rPr>
      <w:rFonts w:asciiTheme="majorHAnsi" w:hAnsiTheme="majorHAnsi" w:cstheme="majorHAnsi"/>
      <w:szCs w:val="22"/>
      <w:lang w:val="pt-PT"/>
    </w:rPr>
  </w:style>
  <w:style w:type="paragraph" w:customStyle="1" w:styleId="Title3">
    <w:name w:val="Title 3"/>
    <w:basedOn w:val="ListParagraph"/>
    <w:link w:val="Title3Char"/>
    <w:autoRedefine/>
    <w:rsid w:val="00F205B9"/>
    <w:pPr>
      <w:numPr>
        <w:ilvl w:val="3"/>
        <w:numId w:val="4"/>
      </w:numPr>
    </w:pPr>
  </w:style>
  <w:style w:type="character" w:customStyle="1" w:styleId="Title3Char">
    <w:name w:val="Title 3 Char"/>
    <w:basedOn w:val="DefaultParagraphFont"/>
    <w:link w:val="Title3"/>
    <w:rsid w:val="003C4EB5"/>
    <w:rPr>
      <w:rFonts w:asciiTheme="majorHAnsi" w:hAnsiTheme="majorHAnsi" w:cstheme="majorHAnsi"/>
      <w:color w:val="181818" w:themeColor="background1" w:themeShade="1A"/>
      <w:sz w:val="22"/>
      <w:szCs w:val="22"/>
      <w:lang w:val="pt-PT"/>
    </w:rPr>
  </w:style>
  <w:style w:type="paragraph" w:customStyle="1" w:styleId="Title2">
    <w:name w:val="Title 2"/>
    <w:basedOn w:val="Title1"/>
    <w:link w:val="Title2Char"/>
    <w:autoRedefine/>
    <w:rsid w:val="00F205B9"/>
    <w:pPr>
      <w:spacing w:after="0"/>
    </w:pPr>
  </w:style>
  <w:style w:type="character" w:customStyle="1" w:styleId="Title2Char">
    <w:name w:val="Title 2 Char"/>
    <w:basedOn w:val="Title1Char"/>
    <w:link w:val="Title2"/>
    <w:rsid w:val="002574D1"/>
    <w:rPr>
      <w:rFonts w:asciiTheme="majorHAnsi" w:hAnsiTheme="majorHAnsi" w:cstheme="majorHAnsi"/>
      <w:b/>
      <w:color w:val="00379F" w:themeColor="text1"/>
      <w:sz w:val="28"/>
      <w:szCs w:val="22"/>
      <w:lang w:val="pt-PT"/>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hAnsiTheme="majorHAnsi" w:cstheme="majorHAnsi"/>
      <w:color w:val="181818" w:themeColor="background1" w:themeShade="1A"/>
      <w:sz w:val="22"/>
      <w:szCs w:val="22"/>
      <w:lang w:val="fr-BE"/>
    </w:rPr>
  </w:style>
  <w:style w:type="paragraph" w:customStyle="1" w:styleId="DocumentTitle">
    <w:name w:val="Document Title"/>
    <w:basedOn w:val="Normal"/>
    <w:link w:val="DocumentTitleChar"/>
    <w:qFormat/>
    <w:rsid w:val="00563C1F"/>
    <w:pPr>
      <w:framePr w:hSpace="8505" w:wrap="around" w:vAnchor="page" w:hAnchor="page" w:x="1248" w:y="4401"/>
      <w:spacing w:line="240" w:lineRule="auto"/>
    </w:pPr>
    <w:rPr>
      <w:rFonts w:asciiTheme="majorHAnsi" w:hAnsiTheme="majorHAnsi"/>
      <w:b/>
      <w:color w:val="2D4190"/>
      <w:sz w:val="48"/>
    </w:rPr>
  </w:style>
  <w:style w:type="character" w:customStyle="1" w:styleId="DocumentTitleChar">
    <w:name w:val="Document Title Char"/>
    <w:basedOn w:val="DefaultParagraphFont"/>
    <w:link w:val="DocumentTitle"/>
    <w:rsid w:val="00563C1F"/>
    <w:rPr>
      <w:rFonts w:asciiTheme="majorHAnsi" w:hAnsiTheme="majorHAnsi"/>
      <w:b/>
      <w:color w:val="2D4190"/>
      <w:sz w:val="48"/>
      <w:lang w:val="en-GB"/>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color w:val="181818" w:themeColor="background1" w:themeShade="1A"/>
      <w:sz w:val="22"/>
      <w:szCs w:val="22"/>
      <w:lang w:val="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spacing w:after="0"/>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007EFF" w:themeColor="text2"/>
      <w:sz w:val="21"/>
      <w:szCs w:val="21"/>
      <w:lang w:val="en-GB"/>
    </w:rPr>
  </w:style>
  <w:style w:type="paragraph" w:styleId="Title">
    <w:name w:val="Title"/>
    <w:basedOn w:val="Normal"/>
    <w:next w:val="Normal"/>
    <w:link w:val="TitleChar"/>
    <w:uiPriority w:val="10"/>
    <w:qFormat/>
    <w:rsid w:val="00516CBA"/>
    <w:pPr>
      <w:spacing w:after="240" w:line="240" w:lineRule="auto"/>
      <w:contextualSpacing/>
    </w:pPr>
    <w:rPr>
      <w:rFonts w:asciiTheme="majorHAnsi" w:eastAsiaTheme="majorEastAsia" w:hAnsiTheme="majorHAnsi" w:cstheme="majorBidi"/>
      <w:b/>
      <w:color w:val="00379F" w:themeColor="text1"/>
      <w:spacing w:val="-10"/>
      <w:sz w:val="56"/>
      <w:szCs w:val="56"/>
    </w:rPr>
  </w:style>
  <w:style w:type="character" w:customStyle="1" w:styleId="TitleChar">
    <w:name w:val="Title Char"/>
    <w:basedOn w:val="DefaultParagraphFont"/>
    <w:link w:val="Title"/>
    <w:uiPriority w:val="10"/>
    <w:rsid w:val="00516CBA"/>
    <w:rPr>
      <w:rFonts w:asciiTheme="majorHAnsi" w:eastAsiaTheme="majorEastAsia" w:hAnsiTheme="majorHAnsi" w:cstheme="majorBidi"/>
      <w:b/>
      <w:color w:val="00379F" w:themeColor="text1"/>
      <w:spacing w:val="-10"/>
      <w:sz w:val="56"/>
      <w:szCs w:val="56"/>
      <w:lang w:val="en-GB"/>
    </w:rPr>
  </w:style>
  <w:style w:type="paragraph" w:styleId="Subtitle">
    <w:name w:val="Subtitle"/>
    <w:basedOn w:val="Normal"/>
    <w:next w:val="Normal"/>
    <w:link w:val="SubtitleChar"/>
    <w:uiPriority w:val="11"/>
    <w:qFormat/>
    <w:rsid w:val="0082744A"/>
    <w:pPr>
      <w:numPr>
        <w:ilvl w:val="1"/>
      </w:numPr>
      <w:spacing w:line="240" w:lineRule="auto"/>
    </w:pPr>
    <w:rPr>
      <w:rFonts w:asciiTheme="majorHAnsi" w:eastAsiaTheme="majorEastAsia" w:hAnsiTheme="majorHAnsi" w:cstheme="majorBidi"/>
      <w:sz w:val="28"/>
      <w:szCs w:val="24"/>
    </w:rPr>
  </w:style>
  <w:style w:type="character" w:customStyle="1" w:styleId="SubtitleChar">
    <w:name w:val="Subtitle Char"/>
    <w:basedOn w:val="DefaultParagraphFont"/>
    <w:link w:val="Subtitle"/>
    <w:uiPriority w:val="11"/>
    <w:rsid w:val="0082744A"/>
    <w:rPr>
      <w:rFonts w:asciiTheme="majorHAnsi" w:eastAsiaTheme="majorEastAsia" w:hAnsiTheme="majorHAnsi" w:cstheme="majorBidi"/>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9004F"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007EFF"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007EFF"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1A69FF"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0055F7" w:themeColor="text1" w:themeTint="BF"/>
    </w:rPr>
  </w:style>
  <w:style w:type="character" w:customStyle="1" w:styleId="QuoteChar">
    <w:name w:val="Quote Char"/>
    <w:basedOn w:val="DefaultParagraphFont"/>
    <w:link w:val="Quote"/>
    <w:uiPriority w:val="29"/>
    <w:rsid w:val="00AA054E"/>
    <w:rPr>
      <w:i/>
      <w:iCs/>
      <w:color w:val="0055F7" w:themeColor="text1" w:themeTint="BF"/>
    </w:rPr>
  </w:style>
  <w:style w:type="paragraph" w:styleId="IntenseQuote">
    <w:name w:val="Intense Quote"/>
    <w:basedOn w:val="Normal"/>
    <w:next w:val="Normal"/>
    <w:link w:val="IntenseQuoteChar"/>
    <w:uiPriority w:val="30"/>
    <w:qFormat/>
    <w:rsid w:val="00AA054E"/>
    <w:pPr>
      <w:pBdr>
        <w:left w:val="single" w:sz="18" w:space="12" w:color="34009F" w:themeColor="accent1"/>
      </w:pBdr>
      <w:spacing w:before="100" w:beforeAutospacing="1" w:line="300" w:lineRule="auto"/>
      <w:ind w:left="1224" w:right="1224"/>
    </w:pPr>
    <w:rPr>
      <w:rFonts w:asciiTheme="majorHAnsi" w:eastAsiaTheme="majorEastAsia" w:hAnsiTheme="majorHAnsi" w:cstheme="majorBidi"/>
      <w:color w:val="34009F"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34009F" w:themeColor="accent1"/>
      <w:sz w:val="28"/>
      <w:szCs w:val="28"/>
    </w:rPr>
  </w:style>
  <w:style w:type="character" w:styleId="SubtleEmphasis">
    <w:name w:val="Subtle Emphasis"/>
    <w:basedOn w:val="DefaultParagraphFont"/>
    <w:uiPriority w:val="19"/>
    <w:qFormat/>
    <w:rsid w:val="00AA054E"/>
    <w:rPr>
      <w:i/>
      <w:iCs/>
      <w:color w:val="0055F7" w:themeColor="text1" w:themeTint="BF"/>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0055F7" w:themeColor="text1" w:themeTint="BF"/>
      <w:u w:val="single" w:color="4E8BF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F205B9"/>
    <w:pPr>
      <w:numPr>
        <w:numId w:val="0"/>
      </w:num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qFormat/>
    <w:rsid w:val="00AF6B1E"/>
    <w:pPr>
      <w:tabs>
        <w:tab w:val="center" w:pos="4513"/>
        <w:tab w:val="right" w:pos="9026"/>
      </w:tabs>
      <w:spacing w:after="0" w:line="240" w:lineRule="auto"/>
      <w:jc w:val="right"/>
    </w:pPr>
    <w:rPr>
      <w:color w:val="001B4F" w:themeColor="text1" w:themeShade="80"/>
      <w:sz w:val="16"/>
    </w:rPr>
  </w:style>
  <w:style w:type="character" w:customStyle="1" w:styleId="HeaderChar">
    <w:name w:val="Header Char"/>
    <w:basedOn w:val="DefaultParagraphFont"/>
    <w:link w:val="Header"/>
    <w:rsid w:val="00AF6B1E"/>
    <w:rPr>
      <w:color w:val="001B4F" w:themeColor="text1" w:themeShade="80"/>
      <w:sz w:val="16"/>
      <w:lang w:val="en-GB"/>
    </w:rPr>
  </w:style>
  <w:style w:type="paragraph" w:styleId="Footer">
    <w:name w:val="footer"/>
    <w:basedOn w:val="Normal"/>
    <w:link w:val="FooterChar"/>
    <w:uiPriority w:val="99"/>
    <w:unhideWhenUsed/>
    <w:qFormat/>
    <w:rsid w:val="004E5FF8"/>
    <w:pPr>
      <w:tabs>
        <w:tab w:val="center" w:pos="4536"/>
        <w:tab w:val="right" w:pos="9072"/>
      </w:tabs>
      <w:spacing w:line="240" w:lineRule="auto"/>
      <w:jc w:val="left"/>
    </w:pPr>
    <w:rPr>
      <w:color w:val="001B4F" w:themeColor="text1" w:themeShade="80"/>
      <w:sz w:val="16"/>
    </w:rPr>
  </w:style>
  <w:style w:type="character" w:customStyle="1" w:styleId="FooterChar">
    <w:name w:val="Footer Char"/>
    <w:basedOn w:val="DefaultParagraphFont"/>
    <w:link w:val="Footer"/>
    <w:uiPriority w:val="99"/>
    <w:rsid w:val="004E5FF8"/>
    <w:rPr>
      <w:color w:val="001B4F" w:themeColor="text1" w:themeShade="80"/>
      <w:sz w:val="16"/>
      <w:lang w:val="en-GB"/>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qFormat/>
    <w:rsid w:val="00D77369"/>
    <w:pPr>
      <w:spacing w:after="0" w:line="220" w:lineRule="exact"/>
      <w:jc w:val="right"/>
    </w:pPr>
    <w:rPr>
      <w:rFonts w:eastAsia="Times New Roman" w:cs="Times New Roman"/>
      <w:color w:val="001B4F" w:themeColor="text1" w:themeShade="80"/>
      <w:sz w:val="17"/>
      <w:szCs w:val="24"/>
      <w:lang w:eastAsia="de-DE"/>
    </w:rPr>
  </w:style>
  <w:style w:type="paragraph" w:styleId="TOC1">
    <w:name w:val="toc 1"/>
    <w:basedOn w:val="Normal"/>
    <w:next w:val="Normal"/>
    <w:uiPriority w:val="39"/>
    <w:unhideWhenUsed/>
    <w:qFormat/>
    <w:rsid w:val="00F205B9"/>
    <w:pPr>
      <w:framePr w:hSpace="180" w:wrap="around" w:vAnchor="text" w:hAnchor="margin" w:y="115"/>
      <w:tabs>
        <w:tab w:val="left" w:pos="440"/>
        <w:tab w:val="right" w:leader="dot" w:pos="9062"/>
      </w:tabs>
      <w:spacing w:after="100"/>
    </w:pPr>
  </w:style>
  <w:style w:type="paragraph" w:styleId="TOC2">
    <w:name w:val="toc 2"/>
    <w:basedOn w:val="TOC1"/>
    <w:next w:val="Normal"/>
    <w:uiPriority w:val="39"/>
    <w:unhideWhenUsed/>
    <w:qFormat/>
    <w:rsid w:val="00F205B9"/>
    <w:pPr>
      <w:framePr w:wrap="around"/>
      <w:tabs>
        <w:tab w:val="right" w:leader="dot" w:pos="440"/>
      </w:tabs>
      <w:ind w:left="220"/>
    </w:pPr>
  </w:style>
  <w:style w:type="paragraph" w:styleId="TOC3">
    <w:name w:val="toc 3"/>
    <w:basedOn w:val="TOC1"/>
    <w:next w:val="Normal"/>
    <w:uiPriority w:val="39"/>
    <w:unhideWhenUsed/>
    <w:qFormat/>
    <w:rsid w:val="00AD0B10"/>
    <w:pPr>
      <w:framePr w:wrap="around"/>
      <w:ind w:left="442"/>
    </w:pPr>
  </w:style>
  <w:style w:type="character" w:styleId="Hyperlink">
    <w:name w:val="Hyperlink"/>
    <w:basedOn w:val="DefaultParagraphFont"/>
    <w:uiPriority w:val="99"/>
    <w:unhideWhenUsed/>
    <w:qFormat/>
    <w:rsid w:val="000C1E78"/>
    <w:rPr>
      <w:color w:val="005EBF" w:themeColor="text2" w:themeShade="BF"/>
      <w:u w:val="single"/>
    </w:rPr>
  </w:style>
  <w:style w:type="paragraph" w:customStyle="1" w:styleId="Questionstyle">
    <w:name w:val="Question style"/>
    <w:basedOn w:val="Normal"/>
    <w:next w:val="Normal"/>
    <w:link w:val="QuestionstyleChar"/>
    <w:autoRedefine/>
    <w:qFormat/>
    <w:rsid w:val="00DB686B"/>
    <w:pPr>
      <w:tabs>
        <w:tab w:val="left" w:pos="567"/>
      </w:tabs>
      <w:ind w:left="720" w:hanging="360"/>
      <w:contextualSpacing/>
    </w:pPr>
    <w:rPr>
      <w:b/>
    </w:rPr>
  </w:style>
  <w:style w:type="character" w:customStyle="1" w:styleId="QuestionstyleChar">
    <w:name w:val="Question style Char"/>
    <w:basedOn w:val="DefaultParagraphFont"/>
    <w:link w:val="Questionstyle"/>
    <w:rsid w:val="00DB686B"/>
    <w:rPr>
      <w:b/>
      <w:color w:val="181818" w:themeColor="background1" w:themeShade="1A"/>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after="0"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unhideWhenUsed/>
    <w:qFormat/>
    <w:rsid w:val="007A1A9D"/>
    <w:pPr>
      <w:spacing w:after="0" w:line="240" w:lineRule="auto"/>
    </w:pPr>
    <w:rPr>
      <w:sz w:val="16"/>
    </w:rPr>
  </w:style>
  <w:style w:type="character" w:customStyle="1" w:styleId="FootnoteTextChar">
    <w:name w:val="Footnote Text Char"/>
    <w:basedOn w:val="DefaultParagraphFont"/>
    <w:link w:val="FootnoteText"/>
    <w:uiPriority w:val="99"/>
    <w:rsid w:val="007A1A9D"/>
    <w:rPr>
      <w:color w:val="181818" w:themeColor="background1" w:themeShade="1A"/>
      <w:sz w:val="16"/>
      <w:lang w:val="en-GB"/>
    </w:rPr>
  </w:style>
  <w:style w:type="character" w:styleId="FootnoteReference">
    <w:name w:val="footnote reference"/>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qFormat/>
    <w:rsid w:val="00672C04"/>
    <w:pPr>
      <w:ind w:left="454" w:hanging="454"/>
    </w:pPr>
    <w:rPr>
      <w:lang w:val="nl-BE"/>
    </w:rPr>
  </w:style>
  <w:style w:type="character" w:customStyle="1" w:styleId="FootnoteChar">
    <w:name w:val="Footnote Char"/>
    <w:basedOn w:val="FootnoteTextChar"/>
    <w:link w:val="Footnote"/>
    <w:rsid w:val="00672C04"/>
    <w:rPr>
      <w:color w:val="181818" w:themeColor="background1" w:themeShade="1A"/>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702CFF" w:themeColor="accent1" w:themeTint="99"/>
        <w:left w:val="single" w:sz="4" w:space="0" w:color="702CFF" w:themeColor="accent1" w:themeTint="99"/>
        <w:bottom w:val="single" w:sz="4" w:space="0" w:color="702CFF" w:themeColor="accent1" w:themeTint="99"/>
        <w:right w:val="single" w:sz="4" w:space="0" w:color="702CFF" w:themeColor="accent1" w:themeTint="99"/>
        <w:insideH w:val="single" w:sz="4" w:space="0" w:color="702CFF" w:themeColor="accent1" w:themeTint="99"/>
        <w:insideV w:val="single" w:sz="4" w:space="0" w:color="702CFF" w:themeColor="accent1" w:themeTint="99"/>
      </w:tblBorders>
    </w:tblPr>
    <w:tblStylePr w:type="firstRow">
      <w:rPr>
        <w:b/>
        <w:bCs/>
        <w:color w:val="F0F0F0" w:themeColor="background1"/>
      </w:rPr>
      <w:tblPr/>
      <w:tcPr>
        <w:tcBorders>
          <w:top w:val="single" w:sz="4" w:space="0" w:color="34009F" w:themeColor="accent1"/>
          <w:left w:val="single" w:sz="4" w:space="0" w:color="34009F" w:themeColor="accent1"/>
          <w:bottom w:val="single" w:sz="4" w:space="0" w:color="34009F" w:themeColor="accent1"/>
          <w:right w:val="single" w:sz="4" w:space="0" w:color="34009F" w:themeColor="accent1"/>
          <w:insideH w:val="nil"/>
          <w:insideV w:val="nil"/>
        </w:tcBorders>
        <w:shd w:val="clear" w:color="auto" w:fill="34009F" w:themeFill="accent1"/>
      </w:tcPr>
    </w:tblStylePr>
    <w:tblStylePr w:type="lastRow">
      <w:rPr>
        <w:b/>
        <w:bCs/>
      </w:rPr>
      <w:tblPr/>
      <w:tcPr>
        <w:tcBorders>
          <w:top w:val="double" w:sz="4" w:space="0" w:color="34009F" w:themeColor="accent1"/>
        </w:tcBorders>
      </w:tcPr>
    </w:tblStylePr>
    <w:tblStylePr w:type="firstCol">
      <w:rPr>
        <w:b/>
        <w:bCs/>
      </w:rPr>
    </w:tblStylePr>
    <w:tblStylePr w:type="lastCol">
      <w:rPr>
        <w:b/>
        <w:bCs/>
      </w:rPr>
    </w:tblStylePr>
    <w:tblStylePr w:type="band1Vert">
      <w:tblPr/>
      <w:tcPr>
        <w:shd w:val="clear" w:color="auto" w:fill="CFB8FF" w:themeFill="accent1" w:themeFillTint="33"/>
      </w:tcPr>
    </w:tblStylePr>
    <w:tblStylePr w:type="band1Horz">
      <w:tblPr/>
      <w:tcPr>
        <w:shd w:val="clear" w:color="auto" w:fill="CFB8FF" w:themeFill="accent1" w:themeFillTint="33"/>
      </w:tcPr>
    </w:tblStylePr>
  </w:style>
  <w:style w:type="paragraph" w:styleId="BalloonText">
    <w:name w:val="Balloon Text"/>
    <w:basedOn w:val="Normal"/>
    <w:link w:val="BalloonTextChar"/>
    <w:uiPriority w:val="99"/>
    <w:semiHidden/>
    <w:unhideWhenUsed/>
    <w:rsid w:val="00715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1BF"/>
    <w:rPr>
      <w:rFonts w:ascii="Tahoma" w:hAnsi="Tahoma" w:cs="Tahoma"/>
      <w:sz w:val="16"/>
      <w:szCs w:val="16"/>
      <w:lang w:val="en-GB"/>
    </w:rPr>
  </w:style>
  <w:style w:type="paragraph" w:styleId="TOC4">
    <w:name w:val="toc 4"/>
    <w:basedOn w:val="TOC1"/>
    <w:next w:val="Normal"/>
    <w:uiPriority w:val="39"/>
    <w:unhideWhenUsed/>
    <w:qFormat/>
    <w:rsid w:val="00F205B9"/>
    <w:pPr>
      <w:framePr w:wrap="around"/>
      <w:ind w:left="660"/>
    </w:pPr>
  </w:style>
  <w:style w:type="character" w:styleId="CommentReference">
    <w:name w:val="annotation reference"/>
    <w:basedOn w:val="DefaultParagraphFont"/>
    <w:uiPriority w:val="99"/>
    <w:semiHidden/>
    <w:unhideWhenUsed/>
    <w:rsid w:val="00D33C31"/>
    <w:rPr>
      <w:sz w:val="16"/>
      <w:szCs w:val="16"/>
    </w:rPr>
  </w:style>
  <w:style w:type="paragraph" w:styleId="CommentText">
    <w:name w:val="annotation text"/>
    <w:basedOn w:val="Normal"/>
    <w:link w:val="CommentTextChar"/>
    <w:uiPriority w:val="99"/>
    <w:unhideWhenUsed/>
    <w:rsid w:val="00D33C31"/>
    <w:pPr>
      <w:spacing w:line="240" w:lineRule="auto"/>
    </w:pPr>
    <w:rPr>
      <w:sz w:val="20"/>
    </w:rPr>
  </w:style>
  <w:style w:type="character" w:customStyle="1" w:styleId="CommentTextChar">
    <w:name w:val="Comment Text Char"/>
    <w:basedOn w:val="DefaultParagraphFont"/>
    <w:link w:val="CommentText"/>
    <w:uiPriority w:val="99"/>
    <w:rsid w:val="00D33C31"/>
    <w:rPr>
      <w:lang w:val="en-GB"/>
    </w:rPr>
  </w:style>
  <w:style w:type="paragraph" w:styleId="CommentSubject">
    <w:name w:val="annotation subject"/>
    <w:basedOn w:val="CommentText"/>
    <w:next w:val="CommentText"/>
    <w:link w:val="CommentSubjectChar"/>
    <w:uiPriority w:val="99"/>
    <w:semiHidden/>
    <w:unhideWhenUsed/>
    <w:rsid w:val="00D33C31"/>
    <w:rPr>
      <w:b/>
      <w:bCs/>
    </w:rPr>
  </w:style>
  <w:style w:type="character" w:customStyle="1" w:styleId="CommentSubjectChar">
    <w:name w:val="Comment Subject Char"/>
    <w:basedOn w:val="CommentTextChar"/>
    <w:link w:val="CommentSubject"/>
    <w:uiPriority w:val="99"/>
    <w:semiHidden/>
    <w:rsid w:val="00D33C31"/>
    <w:rPr>
      <w:b/>
      <w:bCs/>
      <w:lang w:val="en-GB"/>
    </w:rPr>
  </w:style>
  <w:style w:type="character" w:styleId="UnresolvedMention">
    <w:name w:val="Unresolved Mention"/>
    <w:basedOn w:val="DefaultParagraphFont"/>
    <w:uiPriority w:val="99"/>
    <w:semiHidden/>
    <w:unhideWhenUsed/>
    <w:rsid w:val="004E5FF8"/>
    <w:rPr>
      <w:color w:val="605E5C"/>
      <w:shd w:val="clear" w:color="auto" w:fill="E1DFDD"/>
    </w:rPr>
  </w:style>
  <w:style w:type="numbering" w:customStyle="1" w:styleId="CurrentList1">
    <w:name w:val="Current List1"/>
    <w:uiPriority w:val="99"/>
    <w:rsid w:val="00672010"/>
    <w:pPr>
      <w:numPr>
        <w:numId w:val="3"/>
      </w:numPr>
    </w:pPr>
  </w:style>
  <w:style w:type="character" w:customStyle="1" w:styleId="ESMAConfidentialRestricted">
    <w:name w:val="ESMA Confidential/Restricted"/>
    <w:basedOn w:val="Strong"/>
    <w:uiPriority w:val="1"/>
    <w:qFormat/>
    <w:rsid w:val="008858FE"/>
    <w:rPr>
      <w:b w:val="0"/>
      <w:bCs/>
      <w:caps/>
      <w:smallCaps w:val="0"/>
      <w:color w:val="FF0000" w:themeColor="accent6"/>
      <w:sz w:val="22"/>
    </w:rPr>
  </w:style>
  <w:style w:type="paragraph" w:customStyle="1" w:styleId="Disclaimer">
    <w:name w:val="Disclaimer"/>
    <w:basedOn w:val="Normal"/>
    <w:qFormat/>
    <w:rsid w:val="00906D18"/>
    <w:rPr>
      <w:i/>
      <w:iCs/>
      <w:sz w:val="18"/>
      <w:szCs w:val="18"/>
    </w:rPr>
  </w:style>
  <w:style w:type="paragraph" w:customStyle="1" w:styleId="ESMAHeader">
    <w:name w:val="ESMA Header"/>
    <w:basedOn w:val="Header"/>
    <w:qFormat/>
    <w:rsid w:val="00AF6B1E"/>
  </w:style>
  <w:style w:type="paragraph" w:customStyle="1" w:styleId="Pageheader">
    <w:name w:val="Page header"/>
    <w:basedOn w:val="Header"/>
    <w:next w:val="Header"/>
    <w:qFormat/>
    <w:rsid w:val="00AF6B1E"/>
  </w:style>
  <w:style w:type="character" w:customStyle="1" w:styleId="ESMARegularuse">
    <w:name w:val="ESMA Regular use"/>
    <w:basedOn w:val="ESMAConfidentialRestricted"/>
    <w:uiPriority w:val="1"/>
    <w:qFormat/>
    <w:rsid w:val="002A0C3C"/>
    <w:rPr>
      <w:b w:val="0"/>
      <w:bCs/>
      <w:caps/>
      <w:smallCaps w:val="0"/>
      <w:color w:val="007EFF" w:themeColor="text2"/>
      <w:sz w:val="22"/>
    </w:rPr>
  </w:style>
  <w:style w:type="paragraph" w:customStyle="1" w:styleId="References">
    <w:name w:val="References"/>
    <w:basedOn w:val="Normal"/>
    <w:qFormat/>
    <w:rsid w:val="00F205B9"/>
    <w:rPr>
      <w:rFonts w:ascii="Arial" w:eastAsia="Times New Roman" w:hAnsi="Arial" w:cs="Arial"/>
      <w:sz w:val="18"/>
      <w:szCs w:val="18"/>
      <w:lang w:eastAsia="de-DE"/>
    </w:rPr>
  </w:style>
  <w:style w:type="paragraph" w:styleId="TOC5">
    <w:name w:val="toc 5"/>
    <w:basedOn w:val="Normal"/>
    <w:next w:val="Normal"/>
    <w:uiPriority w:val="39"/>
    <w:semiHidden/>
    <w:unhideWhenUsed/>
    <w:qFormat/>
    <w:rsid w:val="00F205B9"/>
    <w:pPr>
      <w:spacing w:after="100"/>
      <w:ind w:left="880"/>
    </w:pPr>
  </w:style>
  <w:style w:type="paragraph" w:styleId="TOC6">
    <w:name w:val="toc 6"/>
    <w:basedOn w:val="Normal"/>
    <w:next w:val="Normal"/>
    <w:uiPriority w:val="39"/>
    <w:semiHidden/>
    <w:unhideWhenUsed/>
    <w:qFormat/>
    <w:rsid w:val="00F205B9"/>
    <w:pPr>
      <w:spacing w:after="100"/>
      <w:ind w:left="1100"/>
    </w:pPr>
  </w:style>
  <w:style w:type="paragraph" w:styleId="TOC7">
    <w:name w:val="toc 7"/>
    <w:basedOn w:val="Normal"/>
    <w:next w:val="Normal"/>
    <w:uiPriority w:val="39"/>
    <w:semiHidden/>
    <w:unhideWhenUsed/>
    <w:qFormat/>
    <w:rsid w:val="00F205B9"/>
    <w:pPr>
      <w:spacing w:after="100"/>
      <w:ind w:left="1320"/>
    </w:pPr>
  </w:style>
  <w:style w:type="paragraph" w:styleId="TOC8">
    <w:name w:val="toc 8"/>
    <w:basedOn w:val="Normal"/>
    <w:next w:val="Normal"/>
    <w:uiPriority w:val="39"/>
    <w:semiHidden/>
    <w:unhideWhenUsed/>
    <w:qFormat/>
    <w:rsid w:val="00F205B9"/>
    <w:pPr>
      <w:spacing w:after="100"/>
      <w:ind w:left="1540"/>
    </w:pPr>
  </w:style>
  <w:style w:type="paragraph" w:styleId="TOC9">
    <w:name w:val="toc 9"/>
    <w:basedOn w:val="Normal"/>
    <w:next w:val="Normal"/>
    <w:uiPriority w:val="39"/>
    <w:semiHidden/>
    <w:unhideWhenUsed/>
    <w:qFormat/>
    <w:rsid w:val="00F205B9"/>
    <w:pPr>
      <w:spacing w:after="100"/>
      <w:ind w:left="1760"/>
    </w:pPr>
  </w:style>
  <w:style w:type="character" w:styleId="FollowedHyperlink">
    <w:name w:val="FollowedHyperlink"/>
    <w:basedOn w:val="DefaultParagraphFont"/>
    <w:uiPriority w:val="99"/>
    <w:semiHidden/>
    <w:unhideWhenUsed/>
    <w:rsid w:val="0043139E"/>
    <w:rPr>
      <w:color w:val="0174AF" w:themeColor="followedHyperlink"/>
      <w:u w:val="single"/>
    </w:rPr>
  </w:style>
  <w:style w:type="character" w:customStyle="1" w:styleId="ListParagraphChar">
    <w:name w:val="List Paragraph Char"/>
    <w:aliases w:val="Paragraphe EI Char,Paragraphe de liste1 Char,EC Char"/>
    <w:link w:val="ListParagraph"/>
    <w:uiPriority w:val="34"/>
    <w:locked/>
    <w:rsid w:val="00EC6066"/>
    <w:rPr>
      <w:rFonts w:asciiTheme="majorHAnsi" w:hAnsiTheme="majorHAnsi" w:cstheme="majorHAnsi"/>
      <w:color w:val="181818" w:themeColor="background1" w:themeShade="1A"/>
      <w:sz w:val="22"/>
      <w:szCs w:val="22"/>
      <w:lang w:val="pt-PT"/>
    </w:rPr>
  </w:style>
  <w:style w:type="paragraph" w:styleId="Revision">
    <w:name w:val="Revision"/>
    <w:hidden/>
    <w:uiPriority w:val="99"/>
    <w:semiHidden/>
    <w:rsid w:val="004D5513"/>
    <w:pPr>
      <w:spacing w:after="0" w:line="240" w:lineRule="auto"/>
    </w:pPr>
    <w:rPr>
      <w:color w:val="181818" w:themeColor="background1" w:themeShade="1A"/>
      <w:sz w:val="22"/>
      <w:lang w:val="en-GB"/>
    </w:rPr>
  </w:style>
  <w:style w:type="paragraph" w:customStyle="1" w:styleId="pf0">
    <w:name w:val="pf0"/>
    <w:basedOn w:val="Normal"/>
    <w:rsid w:val="00061F32"/>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cf01">
    <w:name w:val="cf01"/>
    <w:basedOn w:val="DefaultParagraphFont"/>
    <w:rsid w:val="00061F32"/>
    <w:rPr>
      <w:rFonts w:ascii="Segoe UI" w:hAnsi="Segoe UI" w:cs="Segoe UI" w:hint="default"/>
      <w:sz w:val="18"/>
      <w:szCs w:val="18"/>
    </w:rPr>
  </w:style>
  <w:style w:type="character" w:customStyle="1" w:styleId="cf11">
    <w:name w:val="cf11"/>
    <w:basedOn w:val="DefaultParagraphFont"/>
    <w:rsid w:val="00061F32"/>
    <w:rPr>
      <w:rFonts w:ascii="Segoe UI" w:hAnsi="Segoe UI" w:cs="Segoe UI" w:hint="default"/>
      <w:color w:val="333333"/>
      <w:sz w:val="18"/>
      <w:szCs w:val="18"/>
      <w:shd w:val="clear" w:color="auto" w:fill="FFFFFF"/>
    </w:rPr>
  </w:style>
  <w:style w:type="character" w:styleId="Mention">
    <w:name w:val="Mention"/>
    <w:basedOn w:val="DefaultParagraphFont"/>
    <w:uiPriority w:val="99"/>
    <w:unhideWhenUsed/>
    <w:rsid w:val="00251F26"/>
    <w:rPr>
      <w:color w:val="2B579A"/>
      <w:shd w:val="clear" w:color="auto" w:fill="E1DFDD"/>
    </w:rPr>
  </w:style>
  <w:style w:type="character" w:styleId="PlaceholderText">
    <w:name w:val="Placeholder Text"/>
    <w:basedOn w:val="DefaultParagraphFont"/>
    <w:uiPriority w:val="99"/>
    <w:semiHidden/>
    <w:rsid w:val="00635B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850870">
      <w:bodyDiv w:val="1"/>
      <w:marLeft w:val="0"/>
      <w:marRight w:val="0"/>
      <w:marTop w:val="0"/>
      <w:marBottom w:val="0"/>
      <w:divBdr>
        <w:top w:val="none" w:sz="0" w:space="0" w:color="auto"/>
        <w:left w:val="none" w:sz="0" w:space="0" w:color="auto"/>
        <w:bottom w:val="none" w:sz="0" w:space="0" w:color="auto"/>
        <w:right w:val="none" w:sz="0" w:space="0" w:color="auto"/>
      </w:divBdr>
    </w:div>
    <w:div w:id="133721471">
      <w:bodyDiv w:val="1"/>
      <w:marLeft w:val="0"/>
      <w:marRight w:val="0"/>
      <w:marTop w:val="0"/>
      <w:marBottom w:val="0"/>
      <w:divBdr>
        <w:top w:val="none" w:sz="0" w:space="0" w:color="auto"/>
        <w:left w:val="none" w:sz="0" w:space="0" w:color="auto"/>
        <w:bottom w:val="none" w:sz="0" w:space="0" w:color="auto"/>
        <w:right w:val="none" w:sz="0" w:space="0" w:color="auto"/>
      </w:divBdr>
    </w:div>
    <w:div w:id="290206457">
      <w:bodyDiv w:val="1"/>
      <w:marLeft w:val="0"/>
      <w:marRight w:val="0"/>
      <w:marTop w:val="0"/>
      <w:marBottom w:val="0"/>
      <w:divBdr>
        <w:top w:val="none" w:sz="0" w:space="0" w:color="auto"/>
        <w:left w:val="none" w:sz="0" w:space="0" w:color="auto"/>
        <w:bottom w:val="none" w:sz="0" w:space="0" w:color="auto"/>
        <w:right w:val="none" w:sz="0" w:space="0" w:color="auto"/>
      </w:divBdr>
    </w:div>
    <w:div w:id="325936776">
      <w:bodyDiv w:val="1"/>
      <w:marLeft w:val="0"/>
      <w:marRight w:val="0"/>
      <w:marTop w:val="0"/>
      <w:marBottom w:val="0"/>
      <w:divBdr>
        <w:top w:val="none" w:sz="0" w:space="0" w:color="auto"/>
        <w:left w:val="none" w:sz="0" w:space="0" w:color="auto"/>
        <w:bottom w:val="none" w:sz="0" w:space="0" w:color="auto"/>
        <w:right w:val="none" w:sz="0" w:space="0" w:color="auto"/>
      </w:divBdr>
    </w:div>
    <w:div w:id="381683110">
      <w:bodyDiv w:val="1"/>
      <w:marLeft w:val="0"/>
      <w:marRight w:val="0"/>
      <w:marTop w:val="0"/>
      <w:marBottom w:val="0"/>
      <w:divBdr>
        <w:top w:val="none" w:sz="0" w:space="0" w:color="auto"/>
        <w:left w:val="none" w:sz="0" w:space="0" w:color="auto"/>
        <w:bottom w:val="none" w:sz="0" w:space="0" w:color="auto"/>
        <w:right w:val="none" w:sz="0" w:space="0" w:color="auto"/>
      </w:divBdr>
      <w:divsChild>
        <w:div w:id="331496546">
          <w:marLeft w:val="0"/>
          <w:marRight w:val="0"/>
          <w:marTop w:val="0"/>
          <w:marBottom w:val="0"/>
          <w:divBdr>
            <w:top w:val="none" w:sz="0" w:space="0" w:color="auto"/>
            <w:left w:val="none" w:sz="0" w:space="0" w:color="auto"/>
            <w:bottom w:val="none" w:sz="0" w:space="0" w:color="auto"/>
            <w:right w:val="none" w:sz="0" w:space="0" w:color="auto"/>
          </w:divBdr>
        </w:div>
        <w:div w:id="1396322328">
          <w:marLeft w:val="0"/>
          <w:marRight w:val="0"/>
          <w:marTop w:val="0"/>
          <w:marBottom w:val="0"/>
          <w:divBdr>
            <w:top w:val="none" w:sz="0" w:space="0" w:color="auto"/>
            <w:left w:val="none" w:sz="0" w:space="0" w:color="auto"/>
            <w:bottom w:val="none" w:sz="0" w:space="0" w:color="auto"/>
            <w:right w:val="none" w:sz="0" w:space="0" w:color="auto"/>
          </w:divBdr>
        </w:div>
      </w:divsChild>
    </w:div>
    <w:div w:id="429936613">
      <w:bodyDiv w:val="1"/>
      <w:marLeft w:val="0"/>
      <w:marRight w:val="0"/>
      <w:marTop w:val="0"/>
      <w:marBottom w:val="0"/>
      <w:divBdr>
        <w:top w:val="none" w:sz="0" w:space="0" w:color="auto"/>
        <w:left w:val="none" w:sz="0" w:space="0" w:color="auto"/>
        <w:bottom w:val="none" w:sz="0" w:space="0" w:color="auto"/>
        <w:right w:val="none" w:sz="0" w:space="0" w:color="auto"/>
      </w:divBdr>
    </w:div>
    <w:div w:id="438109127">
      <w:bodyDiv w:val="1"/>
      <w:marLeft w:val="0"/>
      <w:marRight w:val="0"/>
      <w:marTop w:val="0"/>
      <w:marBottom w:val="0"/>
      <w:divBdr>
        <w:top w:val="none" w:sz="0" w:space="0" w:color="auto"/>
        <w:left w:val="none" w:sz="0" w:space="0" w:color="auto"/>
        <w:bottom w:val="none" w:sz="0" w:space="0" w:color="auto"/>
        <w:right w:val="none" w:sz="0" w:space="0" w:color="auto"/>
      </w:divBdr>
    </w:div>
    <w:div w:id="512767110">
      <w:bodyDiv w:val="1"/>
      <w:marLeft w:val="0"/>
      <w:marRight w:val="0"/>
      <w:marTop w:val="0"/>
      <w:marBottom w:val="0"/>
      <w:divBdr>
        <w:top w:val="none" w:sz="0" w:space="0" w:color="auto"/>
        <w:left w:val="none" w:sz="0" w:space="0" w:color="auto"/>
        <w:bottom w:val="none" w:sz="0" w:space="0" w:color="auto"/>
        <w:right w:val="none" w:sz="0" w:space="0" w:color="auto"/>
      </w:divBdr>
    </w:div>
    <w:div w:id="590047956">
      <w:bodyDiv w:val="1"/>
      <w:marLeft w:val="0"/>
      <w:marRight w:val="0"/>
      <w:marTop w:val="0"/>
      <w:marBottom w:val="0"/>
      <w:divBdr>
        <w:top w:val="none" w:sz="0" w:space="0" w:color="auto"/>
        <w:left w:val="none" w:sz="0" w:space="0" w:color="auto"/>
        <w:bottom w:val="none" w:sz="0" w:space="0" w:color="auto"/>
        <w:right w:val="none" w:sz="0" w:space="0" w:color="auto"/>
      </w:divBdr>
    </w:div>
    <w:div w:id="667440317">
      <w:bodyDiv w:val="1"/>
      <w:marLeft w:val="0"/>
      <w:marRight w:val="0"/>
      <w:marTop w:val="0"/>
      <w:marBottom w:val="0"/>
      <w:divBdr>
        <w:top w:val="none" w:sz="0" w:space="0" w:color="auto"/>
        <w:left w:val="none" w:sz="0" w:space="0" w:color="auto"/>
        <w:bottom w:val="none" w:sz="0" w:space="0" w:color="auto"/>
        <w:right w:val="none" w:sz="0" w:space="0" w:color="auto"/>
      </w:divBdr>
    </w:div>
    <w:div w:id="742341519">
      <w:bodyDiv w:val="1"/>
      <w:marLeft w:val="0"/>
      <w:marRight w:val="0"/>
      <w:marTop w:val="0"/>
      <w:marBottom w:val="0"/>
      <w:divBdr>
        <w:top w:val="none" w:sz="0" w:space="0" w:color="auto"/>
        <w:left w:val="none" w:sz="0" w:space="0" w:color="auto"/>
        <w:bottom w:val="none" w:sz="0" w:space="0" w:color="auto"/>
        <w:right w:val="none" w:sz="0" w:space="0" w:color="auto"/>
      </w:divBdr>
    </w:div>
    <w:div w:id="752361583">
      <w:bodyDiv w:val="1"/>
      <w:marLeft w:val="0"/>
      <w:marRight w:val="0"/>
      <w:marTop w:val="0"/>
      <w:marBottom w:val="0"/>
      <w:divBdr>
        <w:top w:val="none" w:sz="0" w:space="0" w:color="auto"/>
        <w:left w:val="none" w:sz="0" w:space="0" w:color="auto"/>
        <w:bottom w:val="none" w:sz="0" w:space="0" w:color="auto"/>
        <w:right w:val="none" w:sz="0" w:space="0" w:color="auto"/>
      </w:divBdr>
    </w:div>
    <w:div w:id="807629099">
      <w:bodyDiv w:val="1"/>
      <w:marLeft w:val="0"/>
      <w:marRight w:val="0"/>
      <w:marTop w:val="0"/>
      <w:marBottom w:val="0"/>
      <w:divBdr>
        <w:top w:val="none" w:sz="0" w:space="0" w:color="auto"/>
        <w:left w:val="none" w:sz="0" w:space="0" w:color="auto"/>
        <w:bottom w:val="none" w:sz="0" w:space="0" w:color="auto"/>
        <w:right w:val="none" w:sz="0" w:space="0" w:color="auto"/>
      </w:divBdr>
    </w:div>
    <w:div w:id="865211900">
      <w:bodyDiv w:val="1"/>
      <w:marLeft w:val="0"/>
      <w:marRight w:val="0"/>
      <w:marTop w:val="0"/>
      <w:marBottom w:val="0"/>
      <w:divBdr>
        <w:top w:val="none" w:sz="0" w:space="0" w:color="auto"/>
        <w:left w:val="none" w:sz="0" w:space="0" w:color="auto"/>
        <w:bottom w:val="none" w:sz="0" w:space="0" w:color="auto"/>
        <w:right w:val="none" w:sz="0" w:space="0" w:color="auto"/>
      </w:divBdr>
    </w:div>
    <w:div w:id="985351573">
      <w:bodyDiv w:val="1"/>
      <w:marLeft w:val="0"/>
      <w:marRight w:val="0"/>
      <w:marTop w:val="0"/>
      <w:marBottom w:val="0"/>
      <w:divBdr>
        <w:top w:val="none" w:sz="0" w:space="0" w:color="auto"/>
        <w:left w:val="none" w:sz="0" w:space="0" w:color="auto"/>
        <w:bottom w:val="none" w:sz="0" w:space="0" w:color="auto"/>
        <w:right w:val="none" w:sz="0" w:space="0" w:color="auto"/>
      </w:divBdr>
    </w:div>
    <w:div w:id="1034310398">
      <w:bodyDiv w:val="1"/>
      <w:marLeft w:val="0"/>
      <w:marRight w:val="0"/>
      <w:marTop w:val="0"/>
      <w:marBottom w:val="0"/>
      <w:divBdr>
        <w:top w:val="none" w:sz="0" w:space="0" w:color="auto"/>
        <w:left w:val="none" w:sz="0" w:space="0" w:color="auto"/>
        <w:bottom w:val="none" w:sz="0" w:space="0" w:color="auto"/>
        <w:right w:val="none" w:sz="0" w:space="0" w:color="auto"/>
      </w:divBdr>
    </w:div>
    <w:div w:id="1192916529">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426878366">
      <w:bodyDiv w:val="1"/>
      <w:marLeft w:val="0"/>
      <w:marRight w:val="0"/>
      <w:marTop w:val="0"/>
      <w:marBottom w:val="0"/>
      <w:divBdr>
        <w:top w:val="none" w:sz="0" w:space="0" w:color="auto"/>
        <w:left w:val="none" w:sz="0" w:space="0" w:color="auto"/>
        <w:bottom w:val="none" w:sz="0" w:space="0" w:color="auto"/>
        <w:right w:val="none" w:sz="0" w:space="0" w:color="auto"/>
      </w:divBdr>
    </w:div>
    <w:div w:id="1565680347">
      <w:bodyDiv w:val="1"/>
      <w:marLeft w:val="0"/>
      <w:marRight w:val="0"/>
      <w:marTop w:val="0"/>
      <w:marBottom w:val="0"/>
      <w:divBdr>
        <w:top w:val="none" w:sz="0" w:space="0" w:color="auto"/>
        <w:left w:val="none" w:sz="0" w:space="0" w:color="auto"/>
        <w:bottom w:val="none" w:sz="0" w:space="0" w:color="auto"/>
        <w:right w:val="none" w:sz="0" w:space="0" w:color="auto"/>
      </w:divBdr>
    </w:div>
    <w:div w:id="1635792617">
      <w:bodyDiv w:val="1"/>
      <w:marLeft w:val="0"/>
      <w:marRight w:val="0"/>
      <w:marTop w:val="0"/>
      <w:marBottom w:val="0"/>
      <w:divBdr>
        <w:top w:val="none" w:sz="0" w:space="0" w:color="auto"/>
        <w:left w:val="none" w:sz="0" w:space="0" w:color="auto"/>
        <w:bottom w:val="none" w:sz="0" w:space="0" w:color="auto"/>
        <w:right w:val="none" w:sz="0" w:space="0" w:color="auto"/>
      </w:divBdr>
    </w:div>
    <w:div w:id="1688021496">
      <w:bodyDiv w:val="1"/>
      <w:marLeft w:val="0"/>
      <w:marRight w:val="0"/>
      <w:marTop w:val="0"/>
      <w:marBottom w:val="0"/>
      <w:divBdr>
        <w:top w:val="none" w:sz="0" w:space="0" w:color="auto"/>
        <w:left w:val="none" w:sz="0" w:space="0" w:color="auto"/>
        <w:bottom w:val="none" w:sz="0" w:space="0" w:color="auto"/>
        <w:right w:val="none" w:sz="0" w:space="0" w:color="auto"/>
      </w:divBdr>
    </w:div>
    <w:div w:id="1895846366">
      <w:bodyDiv w:val="1"/>
      <w:marLeft w:val="0"/>
      <w:marRight w:val="0"/>
      <w:marTop w:val="0"/>
      <w:marBottom w:val="0"/>
      <w:divBdr>
        <w:top w:val="none" w:sz="0" w:space="0" w:color="auto"/>
        <w:left w:val="none" w:sz="0" w:space="0" w:color="auto"/>
        <w:bottom w:val="none" w:sz="0" w:space="0" w:color="auto"/>
        <w:right w:val="none" w:sz="0" w:space="0" w:color="auto"/>
      </w:divBdr>
    </w:div>
    <w:div w:id="194441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esma.europa.eu/about-esma/data-protectio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esma.europa.eu/press-news/consultations/consultation-liquidity-management-tools-fund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ma.europa.eu"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osco.org/library/pubdocs/pdf/IOSCOPD733.pdf" TargetMode="External"/><Relationship Id="rId2" Type="http://schemas.openxmlformats.org/officeDocument/2006/relationships/hyperlink" Target="https://www.iosco.org/library/pubdocs/pdf/IOSCOPD756.pdf" TargetMode="External"/><Relationship Id="rId1" Type="http://schemas.openxmlformats.org/officeDocument/2006/relationships/hyperlink" Target="https://www.fsb.org/uploads/P201223-1.pdf" TargetMode="External"/><Relationship Id="rId6" Type="http://schemas.openxmlformats.org/officeDocument/2006/relationships/hyperlink" Target="https://www.centralbank.ie/docs/default-source/regulation/industry-market-sectors/funds/industry-communications/notice-of-intention-ucits-side-pocket-arrangements.pdf" TargetMode="External"/><Relationship Id="rId5" Type="http://schemas.openxmlformats.org/officeDocument/2006/relationships/hyperlink" Target="https://www.centralbank.ie/docs/default-source/regulation/industry-market-sectors/funds/industry-communications/notice-of-intention-ucits-side-pocket-arrangements.pdf" TargetMode="External"/><Relationship Id="rId4" Type="http://schemas.openxmlformats.org/officeDocument/2006/relationships/hyperlink" Target="https://www.iosco.org/library/pubdocs/pdf/IOSCOPD73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B0FF21738C1433DBAFB661809AC1F87"/>
        <w:category>
          <w:name w:val="General"/>
          <w:gallery w:val="placeholder"/>
        </w:category>
        <w:types>
          <w:type w:val="bbPlcHdr"/>
        </w:types>
        <w:behaviors>
          <w:behavior w:val="content"/>
        </w:behaviors>
        <w:guid w:val="{BB6B11A5-903E-4592-B246-560AA99ABD93}"/>
      </w:docPartPr>
      <w:docPartBody>
        <w:p w:rsidR="009B6B9C" w:rsidRDefault="00B22006" w:rsidP="00B22006">
          <w:pPr>
            <w:pStyle w:val="2B0FF21738C1433DBAFB661809AC1F87"/>
          </w:pPr>
          <w:r w:rsidRPr="00DA1A90">
            <w:rPr>
              <w:rStyle w:val="PlaceholderText"/>
            </w:rPr>
            <w:t>Click or tap here to enter text.</w:t>
          </w:r>
        </w:p>
      </w:docPartBody>
    </w:docPart>
    <w:docPart>
      <w:docPartPr>
        <w:name w:val="9CC931E39FC74FAF9E2DD0BCDDF3C57E"/>
        <w:category>
          <w:name w:val="General"/>
          <w:gallery w:val="placeholder"/>
        </w:category>
        <w:types>
          <w:type w:val="bbPlcHdr"/>
        </w:types>
        <w:behaviors>
          <w:behavior w:val="content"/>
        </w:behaviors>
        <w:guid w:val="{717BAD26-F38A-44D4-9E3D-11CE2A826DB6}"/>
      </w:docPartPr>
      <w:docPartBody>
        <w:p w:rsidR="009B6B9C" w:rsidRDefault="00B22006" w:rsidP="00B22006">
          <w:pPr>
            <w:pStyle w:val="9CC931E39FC74FAF9E2DD0BCDDF3C57E"/>
          </w:pPr>
          <w:r w:rsidRPr="00DA1A90">
            <w:rPr>
              <w:rStyle w:val="PlaceholderText"/>
            </w:rPr>
            <w:t>Choose an item.</w:t>
          </w:r>
        </w:p>
      </w:docPartBody>
    </w:docPart>
    <w:docPart>
      <w:docPartPr>
        <w:name w:val="A63132AB50BF4DFF968146A9E1FDD0A7"/>
        <w:category>
          <w:name w:val="General"/>
          <w:gallery w:val="placeholder"/>
        </w:category>
        <w:types>
          <w:type w:val="bbPlcHdr"/>
        </w:types>
        <w:behaviors>
          <w:behavior w:val="content"/>
        </w:behaviors>
        <w:guid w:val="{EAEF2547-2BB7-42FD-8964-B23EA4B66A93}"/>
      </w:docPartPr>
      <w:docPartBody>
        <w:p w:rsidR="00AC6273" w:rsidRDefault="009C794D" w:rsidP="009C794D">
          <w:pPr>
            <w:pStyle w:val="A63132AB50BF4DFF968146A9E1FDD0A7"/>
          </w:pPr>
          <w:r w:rsidRPr="00DA1A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006"/>
    <w:rsid w:val="00002C50"/>
    <w:rsid w:val="000343DB"/>
    <w:rsid w:val="000D3BDB"/>
    <w:rsid w:val="00171343"/>
    <w:rsid w:val="002011E1"/>
    <w:rsid w:val="00272498"/>
    <w:rsid w:val="002826FB"/>
    <w:rsid w:val="002F71C9"/>
    <w:rsid w:val="003B60C4"/>
    <w:rsid w:val="003C3A27"/>
    <w:rsid w:val="003E2607"/>
    <w:rsid w:val="004E4CF9"/>
    <w:rsid w:val="005849D1"/>
    <w:rsid w:val="00586BE6"/>
    <w:rsid w:val="00604905"/>
    <w:rsid w:val="00747575"/>
    <w:rsid w:val="00775480"/>
    <w:rsid w:val="00782F18"/>
    <w:rsid w:val="00813189"/>
    <w:rsid w:val="008222A0"/>
    <w:rsid w:val="00836D47"/>
    <w:rsid w:val="0087748B"/>
    <w:rsid w:val="00924DBE"/>
    <w:rsid w:val="00966E46"/>
    <w:rsid w:val="00967557"/>
    <w:rsid w:val="00993561"/>
    <w:rsid w:val="00996016"/>
    <w:rsid w:val="009B6B9C"/>
    <w:rsid w:val="009C794D"/>
    <w:rsid w:val="00A408D7"/>
    <w:rsid w:val="00AB6D02"/>
    <w:rsid w:val="00AC6273"/>
    <w:rsid w:val="00B22006"/>
    <w:rsid w:val="00C336E8"/>
    <w:rsid w:val="00C70A53"/>
    <w:rsid w:val="00D1482A"/>
    <w:rsid w:val="00D175D7"/>
    <w:rsid w:val="00D7103E"/>
    <w:rsid w:val="00DE650F"/>
    <w:rsid w:val="00F01F95"/>
    <w:rsid w:val="00F40780"/>
    <w:rsid w:val="00FC37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794D"/>
    <w:rPr>
      <w:color w:val="808080"/>
    </w:rPr>
  </w:style>
  <w:style w:type="paragraph" w:customStyle="1" w:styleId="2B0FF21738C1433DBAFB661809AC1F87">
    <w:name w:val="2B0FF21738C1433DBAFB661809AC1F87"/>
    <w:rsid w:val="00B22006"/>
  </w:style>
  <w:style w:type="paragraph" w:customStyle="1" w:styleId="9CC931E39FC74FAF9E2DD0BCDDF3C57E">
    <w:name w:val="9CC931E39FC74FAF9E2DD0BCDDF3C57E"/>
    <w:rsid w:val="00B22006"/>
  </w:style>
  <w:style w:type="paragraph" w:customStyle="1" w:styleId="A63132AB50BF4DFF968146A9E1FDD0A7">
    <w:name w:val="A63132AB50BF4DFF968146A9E1FDD0A7"/>
    <w:rsid w:val="009C79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SMA DEF">
      <a:dk1>
        <a:srgbClr val="00379F"/>
      </a:dk1>
      <a:lt1>
        <a:srgbClr val="F0F0F0"/>
      </a:lt1>
      <a:dk2>
        <a:srgbClr val="007EFF"/>
      </a:dk2>
      <a:lt2>
        <a:srgbClr val="7BD200"/>
      </a:lt2>
      <a:accent1>
        <a:srgbClr val="34009F"/>
      </a:accent1>
      <a:accent2>
        <a:srgbClr val="DB5700"/>
      </a:accent2>
      <a:accent3>
        <a:srgbClr val="C1C1DE"/>
      </a:accent3>
      <a:accent4>
        <a:srgbClr val="BBD649"/>
      </a:accent4>
      <a:accent5>
        <a:srgbClr val="0174AF"/>
      </a:accent5>
      <a:accent6>
        <a:srgbClr val="FF0000"/>
      </a:accent6>
      <a:hlink>
        <a:srgbClr val="34009F"/>
      </a:hlink>
      <a:folHlink>
        <a:srgbClr val="0174A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0C561C05845147AC40363A94C49AB8" ma:contentTypeVersion="13" ma:contentTypeDescription="Create a new document." ma:contentTypeScope="" ma:versionID="f6e24cc01c73a6fa259779169267b2e7">
  <xsd:schema xmlns:xsd="http://www.w3.org/2001/XMLSchema" xmlns:xs="http://www.w3.org/2001/XMLSchema" xmlns:p="http://schemas.microsoft.com/office/2006/metadata/properties" xmlns:ns2="9758c697-e2fd-42b1-88b5-b95aa719e8d7" xmlns:ns3="40073f28-3ec3-48ff-a3be-5e87a6a28f55" targetNamespace="http://schemas.microsoft.com/office/2006/metadata/properties" ma:root="true" ma:fieldsID="71fd30952eb668d9e6df94bfa4c9357f" ns2:_="" ns3:_="">
    <xsd:import namespace="9758c697-e2fd-42b1-88b5-b95aa719e8d7"/>
    <xsd:import namespace="40073f28-3ec3-48ff-a3be-5e87a6a28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58c697-e2fd-42b1-88b5-b95aa719e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d5532a8-6571-43d4-a6f0-14f75bc52df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73f28-3ec3-48ff-a3be-5e87a6a28f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57504a2-6473-4912-bccd-a6eb3f7ba7e9}" ma:internalName="TaxCatchAll" ma:showField="CatchAllData" ma:web="40073f28-3ec3-48ff-a3be-5e87a6a28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0073f28-3ec3-48ff-a3be-5e87a6a28f55" xsi:nil="true"/>
    <SharedWithUsers xmlns="40073f28-3ec3-48ff-a3be-5e87a6a28f55">
      <UserInfo>
        <DisplayName/>
        <AccountId xsi:nil="true"/>
        <AccountType/>
      </UserInfo>
    </SharedWithUsers>
    <lcf76f155ced4ddcb4097134ff3c332f xmlns="9758c697-e2fd-42b1-88b5-b95aa719e8d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569381-3332-4678-AB60-3EE5777D6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58c697-e2fd-42b1-88b5-b95aa719e8d7"/>
    <ds:schemaRef ds:uri="40073f28-3ec3-48ff-a3be-5e87a6a28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2DDBC-7410-4C00-A591-AB732378515E}">
  <ds:schemaRefs>
    <ds:schemaRef ds:uri="http://schemas.openxmlformats.org/officeDocument/2006/bibliography"/>
  </ds:schemaRefs>
</ds:datastoreItem>
</file>

<file path=customXml/itemProps3.xml><?xml version="1.0" encoding="utf-8"?>
<ds:datastoreItem xmlns:ds="http://schemas.openxmlformats.org/officeDocument/2006/customXml" ds:itemID="{4AE7858C-3128-45EF-AE36-4A7D702B3BF5}">
  <ds:schemaRefs>
    <ds:schemaRef ds:uri="http://schemas.microsoft.com/office/2006/documentManagement/types"/>
    <ds:schemaRef ds:uri="9758c697-e2fd-42b1-88b5-b95aa719e8d7"/>
    <ds:schemaRef ds:uri="http://purl.org/dc/dcmitype/"/>
    <ds:schemaRef ds:uri="40073f28-3ec3-48ff-a3be-5e87a6a28f55"/>
    <ds:schemaRef ds:uri="http://schemas.openxmlformats.org/package/2006/metadata/core-properties"/>
    <ds:schemaRef ds:uri="http://purl.org/dc/elements/1.1/"/>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146212F-5043-4D90-84A4-4A69539C86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7562</Words>
  <Characters>43105</Characters>
  <Application>Microsoft Office Word</Application>
  <DocSecurity>0</DocSecurity>
  <Lines>359</Lines>
  <Paragraphs>101</Paragraphs>
  <ScaleCrop>false</ScaleCrop>
  <Company/>
  <LinksUpToDate>false</LinksUpToDate>
  <CharactersWithSpaces>50566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dc:creator>
  <cp:keywords/>
  <cp:lastModifiedBy>Conor Kilroy</cp:lastModifiedBy>
  <cp:revision>2</cp:revision>
  <cp:lastPrinted>2024-10-08T11:26:00Z</cp:lastPrinted>
  <dcterms:created xsi:type="dcterms:W3CDTF">2024-10-08T13:51:00Z</dcterms:created>
  <dcterms:modified xsi:type="dcterms:W3CDTF">2024-10-08T13:51:00Z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0x010100BA0C561C05845147AC40363A94C49AB8</vt:lpwstr>
  </property>
  <property fmtid="{D5CDD505-2E9C-101B-9397-08002B2CF9AE}" pid="3" name="mf50acab3f6949599688191e8740e810">
    <vt:lpwstr>Regular|07f1e362-856b-423d-bea6-a14079762141</vt:lpwstr>
  </property>
  <property fmtid="{D5CDD505-2E9C-101B-9397-08002B2CF9AE}" pid="4" name="n84bf37b4eaf4fd99e887816221de8a8">
    <vt:lpwstr>EN|f7e7f686-dfa7-4032-a218-a5881e990598</vt:lpwstr>
  </property>
  <property fmtid="{D5CDD505-2E9C-101B-9397-08002B2CF9AE}" pid="5" name="ESMATemplatesConfidentialityLevel">
    <vt:lpwstr>17;#Public|a0c619ff-bd46-48f0-b213-6b7c03fe156d</vt:lpwstr>
  </property>
  <property fmtid="{D5CDD505-2E9C-101B-9397-08002B2CF9AE}" pid="6" name="ESMATemplatesTopic">
    <vt:lpwstr>58;#Report|066a9501-23d0-4103-814a-86d99d41b931</vt:lpwstr>
  </property>
  <property fmtid="{D5CDD505-2E9C-101B-9397-08002B2CF9AE}" pid="7" name="_dlc_DocIdItemGuid">
    <vt:lpwstr>b5e79c59-29ba-45df-a9b9-20819a1df62f</vt:lpwstr>
  </property>
  <property fmtid="{D5CDD505-2E9C-101B-9397-08002B2CF9AE}" pid="8" name="EsmaAudience">
    <vt:lpwstr>345;#Post-Trading Standing Committee|b4466ad1-2610-4bb4-b77e-13cd08e75663</vt:lpwstr>
  </property>
  <property fmtid="{D5CDD505-2E9C-101B-9397-08002B2CF9AE}" pid="9" name="ConfidentialityLevel">
    <vt:lpwstr>6;#Regular|07f1e362-856b-423d-bea6-a14079762141</vt:lpwstr>
  </property>
  <property fmtid="{D5CDD505-2E9C-101B-9397-08002B2CF9AE}" pid="10" name="DocumentType">
    <vt:lpwstr>54;#Call for Evidence|4dd13041-d074-4513-b0c9-9d450ea451f0</vt:lpwstr>
  </property>
  <property fmtid="{D5CDD505-2E9C-101B-9397-08002B2CF9AE}" pid="11" name="Order">
    <vt:r8>52000</vt:r8>
  </property>
  <property fmtid="{D5CDD505-2E9C-101B-9397-08002B2CF9AE}" pid="12" name="DocumentSetDescription">
    <vt:lpwstr/>
  </property>
  <property fmtid="{D5CDD505-2E9C-101B-9397-08002B2CF9AE}" pid="13" name="TeamName">
    <vt:lpwstr>5</vt:lpwstr>
  </property>
  <property fmtid="{D5CDD505-2E9C-101B-9397-08002B2CF9AE}" pid="14" name="SubTopic">
    <vt:lpwstr>323;#CSDR General - T + 1|a5a376d4-84eb-4354-ab81-b0766b380093</vt:lpwstr>
  </property>
  <property fmtid="{D5CDD505-2E9C-101B-9397-08002B2CF9AE}" pid="15" name="TeamTopic">
    <vt:lpwstr>17;#AIFMD|f2960fc6-3634-417f-bcec-215a90e7dd4c</vt:lpwstr>
  </property>
  <property fmtid="{D5CDD505-2E9C-101B-9397-08002B2CF9AE}" pid="16" name="xd_Signature">
    <vt:bool>false</vt:bool>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MediaServiceImageTags">
    <vt:lpwstr/>
  </property>
</Properties>
</file>