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2C45020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0485"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 xml:space="preserve">On the </w:t>
          </w:r>
          <w:r w:rsidR="00BD39E2" w:rsidRPr="00BD39E2">
            <w:rPr>
              <w:rFonts w:cs="Arial"/>
              <w:b/>
              <w:bCs/>
            </w:rPr>
            <w:t>Guidelines on Liquidity Management Tools of UCITS and open-ended AIFs</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6960EFD9"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w:t>
          </w:r>
          <w:r w:rsidR="00BC6882">
            <w:rPr>
              <w:bCs/>
            </w:rPr>
            <w:t>No comment on this question.</w:t>
          </w:r>
          <w:r w:rsidRPr="00C5469A">
            <w:rPr>
              <w:bCs/>
            </w:rPr>
            <w:t>”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4FFFCBE0" w:rsidR="00EC6066" w:rsidRPr="0026459D" w:rsidRDefault="51A403BF" w:rsidP="00157BBE">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A20396">
            <w:t xml:space="preserve"> </w:t>
          </w:r>
          <w:hyperlink r:id="rId21" w:history="1">
            <w:r w:rsidR="00A20396" w:rsidRPr="00510C4A">
              <w:rPr>
                <w:rStyle w:val="Hyperlink"/>
              </w:rPr>
              <w:t>https://www.esma.europa.eu/press-news/consultations/consultation-liquidity-management-tools-funds</w:t>
            </w:r>
          </w:hyperlink>
          <w:r w:rsidR="00A20396">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2" w:history="1">
            <w:r w:rsidRPr="005B6B12">
              <w:rPr>
                <w:rStyle w:val="Hyperlink"/>
              </w:rPr>
              <w:t>www.esma.europa.eu</w:t>
            </w:r>
          </w:hyperlink>
          <w:r w:rsidRPr="005B6B12">
            <w:t xml:space="preserve"> under the heading </w:t>
          </w:r>
          <w:r w:rsidRPr="00025A7F">
            <w:rPr>
              <w:rStyle w:val="Hyperlink"/>
            </w:rPr>
            <w:t>‘</w:t>
          </w:r>
          <w:hyperlink r:id="rId23"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7717E65B" w14:textId="77777777" w:rsidR="00BD39E2" w:rsidRDefault="00BD39E2" w:rsidP="00BD39E2">
      <w:r w:rsidRPr="00452697">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4"/>
          <w:footerReference w:type="default" r:id="rId25"/>
          <w:headerReference w:type="first" r:id="rId26"/>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558845A2" w:rsidR="00635BCA" w:rsidRPr="00557BD2" w:rsidRDefault="00705B87" w:rsidP="00D21C35">
                <w:r>
                  <w:t>BETTER FINANCE</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5415CE44" w:rsidR="00635BCA" w:rsidRPr="00557BD2" w:rsidRDefault="003E1941" w:rsidP="00D21C35">
                <w:r>
                  <w:t>Representation of consumers’ interests</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282923D0" w:rsidR="00635BCA" w:rsidRPr="00557BD2" w:rsidRDefault="003E1941" w:rsidP="00D21C35">
                <w:r>
                  <w:t>Europe</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2F3DE625" w14:textId="77777777" w:rsidR="00BD39E2" w:rsidRDefault="00BD39E2" w:rsidP="00BD39E2">
      <w:pPr>
        <w:spacing w:after="240"/>
        <w:ind w:left="851" w:hanging="851"/>
        <w:rPr>
          <w:color w:val="auto"/>
        </w:rPr>
      </w:pPr>
    </w:p>
    <w:p w14:paraId="74B2E4BE"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Default="00BD39E2" w:rsidP="00BD39E2">
      <w:r>
        <w:t>&lt;ESMA_QUESTION_GLMT_1&gt;</w:t>
      </w:r>
    </w:p>
    <w:p w14:paraId="6D4D799D" w14:textId="77547084" w:rsidR="00BD39E2" w:rsidRDefault="009B2005" w:rsidP="00BD39E2">
      <w:permStart w:id="1957719533" w:edGrp="everyone"/>
      <w:r>
        <w:t xml:space="preserve">The list mentions “the characteristics of its </w:t>
      </w:r>
      <w:r w:rsidR="00377045">
        <w:t xml:space="preserve">[the fund’s] investor base”: This is a crucial aspect to consider and should be developed further. The </w:t>
      </w:r>
      <w:r w:rsidR="001649E8">
        <w:t>potential impact of the listed liquidity management tools</w:t>
      </w:r>
      <w:r w:rsidR="00B82E7F">
        <w:t xml:space="preserve"> (LMTs)</w:t>
      </w:r>
      <w:r w:rsidR="001649E8">
        <w:t xml:space="preserve"> on the cost of investing </w:t>
      </w:r>
      <w:r w:rsidR="005C43CA">
        <w:t xml:space="preserve">for retail investors can be significant; it is, therefore, essential that the manager of a fund that is marketed to retail investors take </w:t>
      </w:r>
      <w:r w:rsidR="00B82E7F">
        <w:t>into account the specific needs of that investor base in selecting the LMTs they will implement</w:t>
      </w:r>
      <w:r w:rsidR="002C11B8">
        <w:t xml:space="preserve">, calibrate these LMTs </w:t>
      </w:r>
      <w:r w:rsidR="005F266E">
        <w:t>to ensure a fair treatment of all investors</w:t>
      </w:r>
      <w:r w:rsidR="002C11B8">
        <w:t xml:space="preserve"> and develop</w:t>
      </w:r>
      <w:r w:rsidR="002933AF">
        <w:t xml:space="preserve"> plain-language explanations of the selected mechanisms and their consequences for retail investors.</w:t>
      </w:r>
    </w:p>
    <w:permEnd w:id="1957719533"/>
    <w:p w14:paraId="503F74AB" w14:textId="77777777" w:rsidR="00BD39E2" w:rsidRDefault="00BD39E2" w:rsidP="00BD39E2">
      <w:r>
        <w:t>&lt;ESMA_QUESTION_GLMT_1&gt;</w:t>
      </w:r>
    </w:p>
    <w:p w14:paraId="2D6BAF0C" w14:textId="77777777" w:rsidR="00BD39E2" w:rsidRDefault="00BD39E2" w:rsidP="00BD39E2"/>
    <w:p w14:paraId="17271A8E" w14:textId="77777777" w:rsidR="00BD39E2" w:rsidRDefault="00BD39E2" w:rsidP="00BD39E2">
      <w:pPr>
        <w:pStyle w:val="Questionstyle"/>
        <w:numPr>
          <w:ilvl w:val="0"/>
          <w:numId w:val="14"/>
        </w:numPr>
        <w:tabs>
          <w:tab w:val="clear" w:pos="567"/>
        </w:tabs>
        <w:spacing w:after="240" w:line="256" w:lineRule="auto"/>
        <w:ind w:left="851" w:hanging="851"/>
      </w:pPr>
      <w:r>
        <w:t>Should the distribution policy of the fund be considered in the selection of the LMTs? What are the current practices in relation to the application of anti-dilution levies by third party distributors (e.g.: whether the third party corrects the price by adding the anti-dilution levy to the fund NAV)?</w:t>
      </w:r>
    </w:p>
    <w:p w14:paraId="52328018" w14:textId="77777777" w:rsidR="00BD39E2" w:rsidRDefault="00BD39E2" w:rsidP="00BD39E2">
      <w:r>
        <w:t>&lt;ESMA_QUESTION_GLMT_2&gt;</w:t>
      </w:r>
    </w:p>
    <w:p w14:paraId="7668EFA2" w14:textId="7558ED1D" w:rsidR="00BD39E2" w:rsidRDefault="00EA292E" w:rsidP="00BD39E2">
      <w:permStart w:id="241847961" w:edGrp="everyone"/>
      <w:r>
        <w:t xml:space="preserve">See our comment on Q1. The </w:t>
      </w:r>
      <w:r w:rsidR="002174C1">
        <w:t>distribution policy of the fund is an essential element of the selection of the LMTs</w:t>
      </w:r>
      <w:r w:rsidR="00D812A4">
        <w:t xml:space="preserve"> in that they entail very different </w:t>
      </w:r>
      <w:r w:rsidR="0011517E">
        <w:t xml:space="preserve">risks for retail investors and should come with appropriate requirements for </w:t>
      </w:r>
      <w:r w:rsidR="007C0B47">
        <w:t xml:space="preserve">intelligible information provided in a timely manner. </w:t>
      </w:r>
      <w:r w:rsidR="00266183">
        <w:t>A</w:t>
      </w:r>
      <w:r w:rsidR="00BC4068" w:rsidRPr="00BC4068">
        <w:t>nti-</w:t>
      </w:r>
      <w:r w:rsidR="00BC4068" w:rsidRPr="00BC4068">
        <w:lastRenderedPageBreak/>
        <w:t>dilution tools, in particular, have some obvious pitfalls</w:t>
      </w:r>
      <w:r w:rsidR="00266183">
        <w:t xml:space="preserve"> from a retail investor perspective; funds that are distributed to retail investors </w:t>
      </w:r>
      <w:r w:rsidR="00EF0722">
        <w:t>should have strong policies in place to implement such tools without damaging investors’ interest.</w:t>
      </w:r>
      <w:r w:rsidR="005839F0">
        <w:t xml:space="preserve"> Quantitative LMTs, too, present significant challenges of their own in terms of </w:t>
      </w:r>
      <w:r w:rsidR="00931FBD">
        <w:t xml:space="preserve">providing clear and timely information so that retail investors are not at a disadvantage compared to institutional investors. </w:t>
      </w:r>
      <w:r w:rsidR="00DF7895">
        <w:t>Whether or not the fund is made available to retail investors should, therefore, be the first item on the list of elements to consider when selecting LMTs.</w:t>
      </w:r>
    </w:p>
    <w:permEnd w:id="241847961"/>
    <w:p w14:paraId="32BE0EAA" w14:textId="77777777" w:rsidR="00BD39E2" w:rsidRDefault="00BD39E2" w:rsidP="00BD39E2">
      <w:r>
        <w:t>&lt;ESMA_QUESTION_GLMT_2&gt;</w:t>
      </w:r>
    </w:p>
    <w:p w14:paraId="4045707E" w14:textId="77777777" w:rsidR="00BD39E2" w:rsidRDefault="00BD39E2" w:rsidP="00BD39E2"/>
    <w:p w14:paraId="42F9585B" w14:textId="77777777" w:rsidR="00BD39E2" w:rsidRDefault="00BD39E2" w:rsidP="00BD39E2">
      <w:pPr>
        <w:pStyle w:val="Questionstyle"/>
        <w:numPr>
          <w:ilvl w:val="0"/>
          <w:numId w:val="14"/>
        </w:numPr>
        <w:tabs>
          <w:tab w:val="clear" w:pos="567"/>
        </w:tabs>
        <w:spacing w:after="240" w:line="256" w:lineRule="auto"/>
        <w:ind w:left="851" w:hanging="851"/>
      </w:pPr>
      <w:r>
        <w:t>Do you agree that among the two minimum LMTs managers should consider the merit of selecting of at least one quantitative LMT and at least one ADT, in light of the investment strategy, redemption policy and liquidity profile of the fund?</w:t>
      </w:r>
    </w:p>
    <w:p w14:paraId="72BF78F1" w14:textId="77777777" w:rsidR="00BD39E2" w:rsidRDefault="00BD39E2" w:rsidP="00BD39E2">
      <w:r>
        <w:t>&lt;ESMA_QUESTION_GLMT_3&gt;</w:t>
      </w:r>
    </w:p>
    <w:p w14:paraId="3BDAEA1C" w14:textId="77777777" w:rsidR="00DA6453" w:rsidRDefault="0028310A" w:rsidP="00BD39E2">
      <w:permStart w:id="1958424978" w:edGrp="everyone"/>
      <w:r>
        <w:t xml:space="preserve">We disagree with that suggestion. </w:t>
      </w:r>
    </w:p>
    <w:p w14:paraId="368FA63E" w14:textId="110304C6" w:rsidR="00BD39E2" w:rsidRDefault="00D853F0" w:rsidP="00BD39E2">
      <w:r>
        <w:t xml:space="preserve">As stated in our response to the consultation paper on the draft RTS on LMTs under AIFMD and UCITS Directive, </w:t>
      </w:r>
      <w:r w:rsidR="00B10CBD">
        <w:t xml:space="preserve">the </w:t>
      </w:r>
      <w:r w:rsidR="00316BCF">
        <w:t>anti-dilution tools all rely on the fund manager</w:t>
      </w:r>
      <w:r w:rsidR="00BD46CE">
        <w:t>’s ability to accurately assess the actual costs of liquidity for the fund on a given dealing date</w:t>
      </w:r>
      <w:r w:rsidR="00A74394">
        <w:t xml:space="preserve"> and sort which part of these costs can be ascribed to </w:t>
      </w:r>
      <w:r w:rsidR="00525382">
        <w:t xml:space="preserve">subscriptions and redemptions. Without this accurate assessment, there is a significant risk that investors are overcharged </w:t>
      </w:r>
      <w:r w:rsidR="002F34BC">
        <w:t xml:space="preserve">for </w:t>
      </w:r>
      <w:r w:rsidR="00A557DD">
        <w:t>liquidity costs for a given date.</w:t>
      </w:r>
    </w:p>
    <w:p w14:paraId="2AA7A667" w14:textId="163EAD59" w:rsidR="00DA6453" w:rsidRDefault="00937EF7" w:rsidP="00BD39E2">
      <w:r>
        <w:t xml:space="preserve">Also as stated in our response to the consultation paper on the draft RTS, we consider that redemption fees </w:t>
      </w:r>
      <w:r w:rsidR="002A562C">
        <w:t>do not constitute an appropriate liquidity management tool and should not be part of the list.</w:t>
      </w:r>
      <w:r w:rsidR="007A1931">
        <w:t xml:space="preserve"> Indeed, </w:t>
      </w:r>
      <w:r w:rsidR="00531AC2">
        <w:t xml:space="preserve">we believe there is no scenario where managers could be able to demonstrate </w:t>
      </w:r>
      <w:r w:rsidR="00A25B2A">
        <w:t xml:space="preserve">that redemption fees are “in the best interest of all investors and are appropriate and effective for the prevailing market conditions, be that normal or stresses” (consultation paper on guidelines for </w:t>
      </w:r>
      <w:r w:rsidR="002939A3">
        <w:t>LMTs).</w:t>
      </w:r>
    </w:p>
    <w:permEnd w:id="1958424978"/>
    <w:p w14:paraId="3FE9798E" w14:textId="77777777" w:rsidR="00BD39E2" w:rsidRDefault="00BD39E2" w:rsidP="00BD39E2">
      <w:r>
        <w:t>&lt;ESMA_QUESTION_GLMT_3&gt;</w:t>
      </w:r>
    </w:p>
    <w:p w14:paraId="7AE91F0A" w14:textId="77777777" w:rsidR="00BD39E2" w:rsidRDefault="00BD39E2" w:rsidP="00BD39E2"/>
    <w:p w14:paraId="5C58B66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see merit in developing further specific guidance on the depositaries’ duties, including on verification procedures, with regards to LMTs? </w:t>
      </w:r>
    </w:p>
    <w:p w14:paraId="525A32F5" w14:textId="77777777" w:rsidR="00BD39E2" w:rsidRDefault="00BD39E2" w:rsidP="00BD39E2">
      <w:r>
        <w:t>&lt;ESMA_QUESTION_GLMT_4&gt;</w:t>
      </w:r>
    </w:p>
    <w:p w14:paraId="6961BAEA" w14:textId="2CF4CEAD" w:rsidR="00BD39E2" w:rsidRDefault="004936EC" w:rsidP="00BD39E2">
      <w:permStart w:id="872678984" w:edGrp="everyone"/>
      <w:r>
        <w:lastRenderedPageBreak/>
        <w:t xml:space="preserve">Yes, we do see merit in </w:t>
      </w:r>
      <w:r w:rsidR="002C5A5F">
        <w:t>developing further specific guidance on the depositaries’ duties with regards to LMTs.</w:t>
      </w:r>
    </w:p>
    <w:permEnd w:id="872678984"/>
    <w:p w14:paraId="654CA202" w14:textId="77777777" w:rsidR="00BD39E2" w:rsidRDefault="00BD39E2" w:rsidP="00BD39E2">
      <w:r>
        <w:t>&lt;ESMA_QUESTION_GLMT_4&gt;</w:t>
      </w:r>
    </w:p>
    <w:p w14:paraId="47F0225C" w14:textId="77777777" w:rsidR="00BD39E2" w:rsidRDefault="00BD39E2" w:rsidP="00BD39E2"/>
    <w:p w14:paraId="6262F205"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Default="00BD39E2" w:rsidP="00BD39E2">
      <w:r>
        <w:t>&lt;ESMA_QUESTION_GLMT_5&gt;</w:t>
      </w:r>
    </w:p>
    <w:p w14:paraId="5142D1E1" w14:textId="56E328EF" w:rsidR="00BD39E2" w:rsidRDefault="00C4304E" w:rsidP="00BD39E2">
      <w:permStart w:id="2015248334" w:edGrp="everyone"/>
      <w:r>
        <w:t xml:space="preserve">We generally agree with the list of elements, and insist on the importance of point (p) on </w:t>
      </w:r>
      <w:r w:rsidR="00DA0B56">
        <w:t xml:space="preserve">“procedures for effective and efficient communication to investors and other stakeholders”. Nevertheless, we believe that this point should further specific the need for managers of funds that are distributed to retail investors to </w:t>
      </w:r>
      <w:r w:rsidR="004E0A2B">
        <w:t xml:space="preserve">develop specific communication towards these investors, including plain-language explanations of </w:t>
      </w:r>
      <w:r w:rsidR="00650A11">
        <w:t>each LMT, their sequencing, interactions and consequences on retail investors</w:t>
      </w:r>
      <w:r w:rsidR="006E540F">
        <w:t>. The procedures for retail investors should also take into account the diverse channels through which the investment is made (investment advisor,</w:t>
      </w:r>
      <w:r w:rsidR="00337D59">
        <w:t xml:space="preserve"> execution-only trading platform, unit-link wrapper) and, relatedly, how individual investors ought to be contacted </w:t>
      </w:r>
      <w:r w:rsidR="00DD7CD6">
        <w:t>when LMTs are activated/deactivated.</w:t>
      </w:r>
    </w:p>
    <w:permEnd w:id="2015248334"/>
    <w:p w14:paraId="0B7A877F" w14:textId="77777777" w:rsidR="00BD39E2" w:rsidRDefault="00BD39E2" w:rsidP="00BD39E2">
      <w:r>
        <w:t>&lt;ESMA_QUESTION_GLMT_5&gt;</w:t>
      </w:r>
    </w:p>
    <w:p w14:paraId="76ACD60B" w14:textId="77777777" w:rsidR="00BD39E2" w:rsidRDefault="00BD39E2" w:rsidP="00BD39E2"/>
    <w:p w14:paraId="5F9C6C1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what are the elements of the LMT policy that should be disclosed to investors and what are the ones that should not be disclosed? Please provide reasons for your answer. </w:t>
      </w:r>
    </w:p>
    <w:p w14:paraId="0EEA9CA0" w14:textId="77777777" w:rsidR="00BD39E2" w:rsidRDefault="00BD39E2" w:rsidP="00BD39E2">
      <w:r>
        <w:t>&lt;ESMA_QUESTION_GLMT_6&gt;</w:t>
      </w:r>
    </w:p>
    <w:p w14:paraId="595C3194" w14:textId="294961F9" w:rsidR="00D10CA1" w:rsidRDefault="00B33AE0" w:rsidP="00BD39E2">
      <w:permStart w:id="1460691662" w:edGrp="everyone"/>
      <w:r>
        <w:t xml:space="preserve">The LMT policy </w:t>
      </w:r>
      <w:r w:rsidR="00CD422B">
        <w:t xml:space="preserve">has major implications for the </w:t>
      </w:r>
      <w:r w:rsidR="00BF33D4">
        <w:t>exercise of shareholder rights. As such, it should be fully disclosed to</w:t>
      </w:r>
      <w:r w:rsidR="00940271">
        <w:t xml:space="preserve"> all</w:t>
      </w:r>
      <w:r w:rsidR="00BF33D4">
        <w:t xml:space="preserve"> investors. For retail investors, it should be disclosed </w:t>
      </w:r>
      <w:r w:rsidR="00C11BC1">
        <w:t>in a language and manner that makes it intelligible to the average retail investor</w:t>
      </w:r>
      <w:r w:rsidR="00D10CA1">
        <w:t>.</w:t>
      </w:r>
    </w:p>
    <w:permEnd w:id="1460691662"/>
    <w:p w14:paraId="36D8EDE3" w14:textId="32FAC4C9" w:rsidR="00BD39E2" w:rsidRDefault="00BD39E2" w:rsidP="00BD39E2">
      <w:r>
        <w:t>&lt;ESMA_QUESTION_GLMT_6&gt;</w:t>
      </w:r>
    </w:p>
    <w:p w14:paraId="3B2AF714" w14:textId="77777777" w:rsidR="00BD39E2" w:rsidRDefault="00BD39E2" w:rsidP="00BD39E2"/>
    <w:p w14:paraId="7A559D6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definition of “exceptional circumstances”? Can you provide examples of additional exceptional circumstances, not included </w:t>
      </w:r>
      <w:r>
        <w:lastRenderedPageBreak/>
        <w:t xml:space="preserve">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Default="00BD39E2" w:rsidP="00BD39E2">
      <w:r>
        <w:t>&lt;ESMA_QUESTION_GLMT_7&gt;</w:t>
      </w:r>
    </w:p>
    <w:p w14:paraId="029E0FAB" w14:textId="25D26C5E" w:rsidR="00BD39E2" w:rsidRDefault="002B652F" w:rsidP="00BD39E2">
      <w:permStart w:id="767841069" w:edGrp="everyone"/>
      <w:r>
        <w:t xml:space="preserve">We generally agree </w:t>
      </w:r>
      <w:r w:rsidR="000F4905">
        <w:t xml:space="preserve">with the definition of “exceptional circumstances” and with the list provided. </w:t>
      </w:r>
      <w:r w:rsidR="00202BB8">
        <w:t xml:space="preserve">We nevertheless note that of the examples suggested in the list, </w:t>
      </w:r>
      <w:r w:rsidR="004B2C61">
        <w:t xml:space="preserve">some remain too vague: “asset valuation difficulties” for instance, should be </w:t>
      </w:r>
      <w:r w:rsidR="00437EED">
        <w:t>further specified, as these “difficulties” may differ in nature for UCITS and AIFs</w:t>
      </w:r>
      <w:r w:rsidR="006C4F1D">
        <w:t>; similarly “trading restrictions” may encompass a wide range of things, some may warrant a suspension of subscriptions, repurchases and redemptions, while others may not; finally</w:t>
      </w:r>
      <w:r w:rsidR="0093098E">
        <w:t xml:space="preserve">, “severe political crisis” and “natural disaster” </w:t>
      </w:r>
      <w:r w:rsidR="00D50978">
        <w:t xml:space="preserve">are not market events per se, fund managers who decide to </w:t>
      </w:r>
      <w:r w:rsidR="00DF3AC4">
        <w:t xml:space="preserve">temporarily </w:t>
      </w:r>
      <w:r w:rsidR="00963DCE">
        <w:t>u</w:t>
      </w:r>
      <w:r w:rsidR="00DF3AC4">
        <w:t xml:space="preserve">pend investors’ rights should be able to demonstrate how these </w:t>
      </w:r>
      <w:r w:rsidR="00330372">
        <w:t>non-financial events endanger the stability of the fund and that the suspension is in the best interest of investors.</w:t>
      </w:r>
    </w:p>
    <w:permEnd w:id="767841069"/>
    <w:p w14:paraId="04CBD104" w14:textId="77777777" w:rsidR="00BD39E2" w:rsidRDefault="00BD39E2" w:rsidP="00BD39E2">
      <w:r>
        <w:t>&lt;ESMA_QUESTION_GLMT_7&gt;</w:t>
      </w:r>
    </w:p>
    <w:p w14:paraId="1A1E3B48" w14:textId="77777777" w:rsidR="00BD39E2" w:rsidRDefault="00BD39E2" w:rsidP="00BD39E2"/>
    <w:p w14:paraId="14D505CD" w14:textId="77777777" w:rsidR="00BD39E2" w:rsidRDefault="00BD39E2" w:rsidP="00BD39E2">
      <w:pPr>
        <w:pStyle w:val="Questionstyle"/>
        <w:numPr>
          <w:ilvl w:val="0"/>
          <w:numId w:val="14"/>
        </w:numPr>
        <w:tabs>
          <w:tab w:val="clear" w:pos="567"/>
        </w:tabs>
        <w:spacing w:after="240" w:line="256" w:lineRule="auto"/>
        <w:ind w:left="851" w:hanging="851"/>
      </w:pPr>
      <w:r>
        <w:t>Do you agree with the elements of the LMT plan included under paragraph 32 of Section 6.5.3.1 of the draft guidelines to be included in the LMT plan? Is there any other element that should be considered?</w:t>
      </w:r>
    </w:p>
    <w:p w14:paraId="4B4C4D18" w14:textId="77777777" w:rsidR="00BD39E2" w:rsidRDefault="00BD39E2" w:rsidP="00BD39E2">
      <w:r>
        <w:t>&lt;ESMA_QUESTION_GLMT_8&gt;</w:t>
      </w:r>
    </w:p>
    <w:p w14:paraId="49367C14" w14:textId="45FA57AC" w:rsidR="00BD39E2" w:rsidRDefault="00F4190F" w:rsidP="00BD39E2">
      <w:permStart w:id="891256207" w:edGrp="everyone"/>
      <w:r>
        <w:t xml:space="preserve">We generally agree with the elements of the </w:t>
      </w:r>
      <w:r w:rsidR="005218C1">
        <w:t xml:space="preserve">LMT plan included under paragraph 32 of Section 6.5.3.1, with </w:t>
      </w:r>
      <w:r w:rsidR="00031198">
        <w:t>three</w:t>
      </w:r>
      <w:r w:rsidR="005218C1">
        <w:t xml:space="preserve"> caveats:</w:t>
      </w:r>
    </w:p>
    <w:p w14:paraId="69498BEA" w14:textId="46455DBE" w:rsidR="009F3FF6" w:rsidRDefault="009F3FF6" w:rsidP="00F2275D">
      <w:pPr>
        <w:pStyle w:val="ListParagraph"/>
        <w:numPr>
          <w:ilvl w:val="0"/>
          <w:numId w:val="16"/>
        </w:numPr>
      </w:pPr>
      <w:r>
        <w:t xml:space="preserve">The description of the exceptional circumstances behind the activation should include a detailed explanation of how these circumstances </w:t>
      </w:r>
      <w:r w:rsidR="009E7A46">
        <w:t>threatened the interest of investors and how the activation was the course of action that best served these interest.</w:t>
      </w:r>
    </w:p>
    <w:p w14:paraId="2FB23DC9" w14:textId="1CE71CD3" w:rsidR="00F2275D" w:rsidRDefault="00F2275D" w:rsidP="00F2275D">
      <w:pPr>
        <w:pStyle w:val="ListParagraph"/>
        <w:numPr>
          <w:ilvl w:val="0"/>
          <w:numId w:val="16"/>
        </w:numPr>
      </w:pPr>
      <w:r>
        <w:t>The assessment of the impact on investors in point (e) must take into account the impact on all retail investors, both those invested directly in the fund and those investing through a unit-linked wrapper, and it must consider not only the direct impact on their investment in the fund, but also the potential indirect consequences for redeeming investors who may face difficulties due to the impossibility to withdraw their moneys from the fund.</w:t>
      </w:r>
    </w:p>
    <w:p w14:paraId="36A6A8B1" w14:textId="3C980986" w:rsidR="005218C1" w:rsidRDefault="005218C1" w:rsidP="005218C1">
      <w:pPr>
        <w:pStyle w:val="ListParagraph"/>
        <w:numPr>
          <w:ilvl w:val="0"/>
          <w:numId w:val="16"/>
        </w:numPr>
      </w:pPr>
      <w:r>
        <w:t>We believe that point (f)</w:t>
      </w:r>
      <w:r w:rsidR="007630F8">
        <w:t xml:space="preserve"> on a communication plan for investors, stakeholders, etc. should not be left to </w:t>
      </w:r>
      <w:r w:rsidR="00B00994">
        <w:t>“prior to or immediately after the activation” of the LMT</w:t>
      </w:r>
      <w:r w:rsidR="00CF6B5D">
        <w:t xml:space="preserve">. </w:t>
      </w:r>
      <w:r w:rsidR="00E214E3">
        <w:t xml:space="preserve">A fund </w:t>
      </w:r>
      <w:r w:rsidR="00E214E3">
        <w:lastRenderedPageBreak/>
        <w:t xml:space="preserve">manager should prepare such a communication plan </w:t>
      </w:r>
      <w:r w:rsidR="00496F28">
        <w:t xml:space="preserve">when selecting the LMT and drafting their LMT policy: </w:t>
      </w:r>
      <w:r w:rsidR="00FC6660">
        <w:t xml:space="preserve">the selection of a LMT should not be possible where the fund manager has not already sorted out how </w:t>
      </w:r>
      <w:r w:rsidR="00BD234E">
        <w:t>they will contact investors in case of activation and what information they will provide. Only the final details of this communication should be left for the time of activation.</w:t>
      </w:r>
    </w:p>
    <w:permEnd w:id="891256207"/>
    <w:p w14:paraId="4A42F211" w14:textId="77777777" w:rsidR="00BD39E2" w:rsidRDefault="00BD39E2" w:rsidP="00BD39E2">
      <w:r>
        <w:t>&lt;ESMA_QUESTION_GLMT_8&gt;</w:t>
      </w:r>
    </w:p>
    <w:p w14:paraId="054D581C" w14:textId="77777777" w:rsidR="00BD39E2" w:rsidRDefault="00BD39E2" w:rsidP="00BD39E2"/>
    <w:p w14:paraId="0339ED2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list of elements to calibrate the suspensions of subscriptions, repurchases and redemptions? Is there any other element that should be considered?</w:t>
      </w:r>
    </w:p>
    <w:p w14:paraId="604C0034" w14:textId="77777777" w:rsidR="00BD39E2" w:rsidRDefault="00BD39E2" w:rsidP="00BD39E2">
      <w:r>
        <w:t>&lt;ESMA_QUESTION_GLMT_9&gt;</w:t>
      </w:r>
    </w:p>
    <w:p w14:paraId="5EB0C194" w14:textId="65264976" w:rsidR="00BD39E2" w:rsidRDefault="006267FE" w:rsidP="00BD39E2">
      <w:permStart w:id="542183972" w:edGrp="everyone"/>
      <w:r>
        <w:t>We generally agree with the proposed criteria. Nevertheles</w:t>
      </w:r>
      <w:r w:rsidR="002F5393">
        <w:t xml:space="preserve">s, point (b) regarding the criteria should specifically mention that among those criteria must always be </w:t>
      </w:r>
      <w:r w:rsidR="00F33481">
        <w:t>whether the conditions threaten the interests of investors more than does the suspension of subscriptions, repurchases and redemptions.</w:t>
      </w:r>
    </w:p>
    <w:permEnd w:id="542183972"/>
    <w:p w14:paraId="3DFF30D2" w14:textId="77777777" w:rsidR="00BD39E2" w:rsidRDefault="00BD39E2" w:rsidP="00BD39E2">
      <w:r>
        <w:t>&lt;ESMA_QUESTION_GLMT_9&gt;</w:t>
      </w:r>
    </w:p>
    <w:p w14:paraId="0200AAE8" w14:textId="77777777" w:rsidR="00BD39E2" w:rsidRDefault="00BD39E2" w:rsidP="00BD39E2"/>
    <w:p w14:paraId="6EA925C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redemption gates? Is there any other criteria that should be considered? </w:t>
      </w:r>
    </w:p>
    <w:p w14:paraId="6A1A1BAE" w14:textId="77777777" w:rsidR="00BD39E2" w:rsidRDefault="00BD39E2" w:rsidP="00BD39E2">
      <w:r>
        <w:t>&lt;ESMA_QUESTION_GLMT_10&gt;</w:t>
      </w:r>
    </w:p>
    <w:p w14:paraId="06A4C665" w14:textId="58186324" w:rsidR="00BD39E2" w:rsidRDefault="00BC6882" w:rsidP="00BD39E2">
      <w:permStart w:id="52692444" w:edGrp="everyone"/>
      <w:r>
        <w:t>No comment on this question.</w:t>
      </w:r>
    </w:p>
    <w:permEnd w:id="52692444"/>
    <w:p w14:paraId="7A5BBE8B" w14:textId="77777777" w:rsidR="00BD39E2" w:rsidRDefault="00BD39E2" w:rsidP="00BD39E2">
      <w:r>
        <w:t>&lt;ESMA_QUESTION_GLMT_10&gt;</w:t>
      </w:r>
    </w:p>
    <w:p w14:paraId="2CA9E0FE" w14:textId="77777777" w:rsidR="00BD39E2" w:rsidRDefault="00BD39E2" w:rsidP="00BD39E2"/>
    <w:p w14:paraId="0C294BEA" w14:textId="77777777" w:rsidR="00BD39E2" w:rsidRDefault="00BD39E2" w:rsidP="00BD39E2">
      <w:pPr>
        <w:pStyle w:val="Questionstyle"/>
        <w:numPr>
          <w:ilvl w:val="0"/>
          <w:numId w:val="14"/>
        </w:numPr>
        <w:tabs>
          <w:tab w:val="clear" w:pos="567"/>
        </w:tabs>
        <w:spacing w:after="240" w:line="256" w:lineRule="auto"/>
        <w:ind w:left="851" w:hanging="851"/>
      </w:pPr>
      <w:r>
        <w:t xml:space="preserve">What methodology should be used and which elements should be taken into account when setting the activation threshold of redemption gates?           </w:t>
      </w:r>
    </w:p>
    <w:p w14:paraId="2752091B" w14:textId="77777777" w:rsidR="00BD39E2" w:rsidRDefault="00BD39E2" w:rsidP="00BD39E2">
      <w:r>
        <w:t>&lt;ESMA_QUESTION_GLMT_11&gt;</w:t>
      </w:r>
    </w:p>
    <w:p w14:paraId="11341406" w14:textId="259C8228" w:rsidR="00BD39E2" w:rsidRDefault="00FE75C8" w:rsidP="00BD39E2">
      <w:permStart w:id="445524321" w:edGrp="everyone"/>
      <w:r>
        <w:t xml:space="preserve">We welcome the explicit mention that “for funds marketed to retail investors, redemption gates should not be activated to manage the fund’s liquidity on a day-to-day basis”. Redemption gates, </w:t>
      </w:r>
      <w:r w:rsidR="00EA6053">
        <w:t xml:space="preserve">like the other quantitative LMTs, constitute a major deviation from investor rights and </w:t>
      </w:r>
      <w:r w:rsidR="00EA6053">
        <w:lastRenderedPageBreak/>
        <w:t xml:space="preserve">should therefore be reserved to truly exceptional circumstances. </w:t>
      </w:r>
      <w:r w:rsidR="00F26432">
        <w:t xml:space="preserve">Consequently, we argue that the methodology for </w:t>
      </w:r>
      <w:r w:rsidR="00FB3191">
        <w:t xml:space="preserve">redemption gates in funds marketed to retail investors should be offer a greater level of </w:t>
      </w:r>
      <w:r w:rsidR="006359E5">
        <w:t xml:space="preserve">specification and fund managers should </w:t>
      </w:r>
      <w:r w:rsidR="00330F7D">
        <w:t>clearly demonstrate that said methodology prevents as much as possible harming retail investors’ interests.</w:t>
      </w:r>
    </w:p>
    <w:permEnd w:id="445524321"/>
    <w:p w14:paraId="15F0DB09" w14:textId="77777777" w:rsidR="00BD39E2" w:rsidRDefault="00BD39E2" w:rsidP="00BD39E2">
      <w:r>
        <w:t>&lt;ESMA_QUESTION_GLMT_11&gt;</w:t>
      </w:r>
    </w:p>
    <w:p w14:paraId="540FAC3B" w14:textId="77777777" w:rsidR="00BD39E2" w:rsidRDefault="00BD39E2" w:rsidP="00BD39E2"/>
    <w:p w14:paraId="784F239B" w14:textId="77777777" w:rsidR="00BD39E2" w:rsidRDefault="00BD39E2" w:rsidP="00BD39E2">
      <w:pPr>
        <w:pStyle w:val="Questionstyle"/>
        <w:numPr>
          <w:ilvl w:val="0"/>
          <w:numId w:val="14"/>
        </w:numPr>
        <w:tabs>
          <w:tab w:val="clear" w:pos="567"/>
        </w:tabs>
        <w:spacing w:after="240" w:line="256" w:lineRule="auto"/>
        <w:ind w:left="851" w:hanging="851"/>
      </w:pPr>
      <w: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Default="00BD39E2" w:rsidP="00BD39E2">
      <w:r>
        <w:t>&lt;ESMA_QUESTION_GLMT_12&gt;</w:t>
      </w:r>
    </w:p>
    <w:p w14:paraId="542A6B03" w14:textId="5E449C30" w:rsidR="00BD39E2" w:rsidRDefault="00D6204D" w:rsidP="00BD39E2">
      <w:permStart w:id="759785286" w:edGrp="everyone"/>
      <w:r>
        <w:t>We disagr</w:t>
      </w:r>
      <w:r w:rsidR="00F5440E">
        <w:t xml:space="preserve">ee: there is an inherent contradiction between </w:t>
      </w:r>
      <w:r w:rsidR="00E46BBB">
        <w:t xml:space="preserve">indicating that redemption gates should not be restricted in terms of the maximum period over which they can be use and </w:t>
      </w:r>
      <w:r w:rsidR="00430E31">
        <w:t xml:space="preserve">requiring that it remains temporary in nature. </w:t>
      </w:r>
      <w:r w:rsidR="00673925">
        <w:t xml:space="preserve">The activation of redemption gates should be </w:t>
      </w:r>
      <w:r w:rsidR="00152EC5">
        <w:t>as limited as possible in time, and longer periods of activation should be the exception</w:t>
      </w:r>
      <w:r w:rsidR="002A61D1">
        <w:t xml:space="preserve">. That exception then needs to be justified, based on an assessment of the </w:t>
      </w:r>
      <w:r w:rsidR="008B06CC">
        <w:t>duration of the circumstances</w:t>
      </w:r>
      <w:r w:rsidR="00E07EE1">
        <w:t xml:space="preserve"> (“stressed market conditions”)</w:t>
      </w:r>
      <w:r w:rsidR="008B06CC">
        <w:t xml:space="preserve"> that lead the fund’s manager to</w:t>
      </w:r>
      <w:r w:rsidR="000109B3">
        <w:t xml:space="preserve"> activate the redemption gates.</w:t>
      </w:r>
    </w:p>
    <w:permEnd w:id="759785286"/>
    <w:p w14:paraId="7A5843AE" w14:textId="77777777" w:rsidR="00BD39E2" w:rsidRDefault="00BD39E2" w:rsidP="00BD39E2">
      <w:r>
        <w:t>&lt;ESMA_QUESTION_GLMT_12&gt;</w:t>
      </w:r>
    </w:p>
    <w:p w14:paraId="27295223" w14:textId="77777777" w:rsidR="00BD39E2" w:rsidRDefault="00BD39E2" w:rsidP="00BD39E2"/>
    <w:p w14:paraId="7740E027" w14:textId="77777777" w:rsidR="00BD39E2" w:rsidRDefault="00BD39E2" w:rsidP="00BD39E2">
      <w:pPr>
        <w:pStyle w:val="Questionstyle"/>
        <w:numPr>
          <w:ilvl w:val="0"/>
          <w:numId w:val="14"/>
        </w:numPr>
        <w:tabs>
          <w:tab w:val="clear" w:pos="567"/>
        </w:tabs>
        <w:spacing w:after="240" w:line="256" w:lineRule="auto"/>
        <w:ind w:left="851" w:hanging="851"/>
      </w:pPr>
      <w:r>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Default="00BD39E2" w:rsidP="00BD39E2">
      <w:r>
        <w:t>&lt;ESMA_QUESTION_GLMT_13&gt;</w:t>
      </w:r>
    </w:p>
    <w:p w14:paraId="642E0803" w14:textId="337CF94A" w:rsidR="00BD39E2" w:rsidRDefault="00BC6882" w:rsidP="00BD39E2">
      <w:permStart w:id="1037698676" w:edGrp="everyone"/>
      <w:r>
        <w:t>No comment on this question.</w:t>
      </w:r>
    </w:p>
    <w:permEnd w:id="1037698676"/>
    <w:p w14:paraId="54F651A0" w14:textId="77777777" w:rsidR="00BD39E2" w:rsidRDefault="00BD39E2" w:rsidP="00BD39E2">
      <w:r>
        <w:t>&lt;ESMA_QUESTION_GLMT_13&gt;</w:t>
      </w:r>
    </w:p>
    <w:p w14:paraId="08A64E9B" w14:textId="77777777" w:rsidR="00BD39E2" w:rsidRDefault="00BD39E2" w:rsidP="00BD39E2"/>
    <w:p w14:paraId="6F223DDD"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In order to ensure more harmonisation on the use of redemption gates, a fixed minimum activation threshold, above which managers could have the option to activate the redemption gate, could be recommended. Do you think that a fixed minimum threshold would be appropriate, or do you think that this choice should be left to the manager? </w:t>
      </w:r>
    </w:p>
    <w:p w14:paraId="0FAC31E9" w14:textId="77777777" w:rsidR="00BD39E2" w:rsidRDefault="00BD39E2" w:rsidP="00BD39E2">
      <w:r>
        <w:t>&lt;ESMA_QUESTION_GLMT_14&gt;</w:t>
      </w:r>
    </w:p>
    <w:p w14:paraId="5C037D67" w14:textId="7BD1C758" w:rsidR="00BD39E2" w:rsidRDefault="004A1E92" w:rsidP="00BD39E2">
      <w:permStart w:id="233511427" w:edGrp="everyone"/>
      <w:r>
        <w:t xml:space="preserve">This </w:t>
      </w:r>
      <w:r w:rsidR="00A250C9">
        <w:t>choice should be left to the manager. The proposed guidelines are intended to be applied to a wide and diverse range of investment funds</w:t>
      </w:r>
      <w:r w:rsidR="00BC5990">
        <w:t>. A fixed minimum activation threshold, whatever its level, will necessarily be too low for some funds and too high for other</w:t>
      </w:r>
      <w:r w:rsidR="00AF7984">
        <w:t xml:space="preserve">s, and even though that threshold would not imply an automatic activation of redemption gates, its mere existence would be performative, as market participants may </w:t>
      </w:r>
      <w:r w:rsidR="00C73FD1">
        <w:t>start expecting a fund manager to activate redemption gates whenever redemptions overcome the threshold.</w:t>
      </w:r>
    </w:p>
    <w:permEnd w:id="233511427"/>
    <w:p w14:paraId="0CEEB662" w14:textId="77777777" w:rsidR="00BD39E2" w:rsidRDefault="00BD39E2" w:rsidP="00BD39E2">
      <w:r>
        <w:t>&lt;ESMA_QUESTION_GLMT_14&gt;</w:t>
      </w:r>
    </w:p>
    <w:p w14:paraId="3CD77889" w14:textId="77777777" w:rsidR="00BD39E2" w:rsidRDefault="00BD39E2" w:rsidP="00BD39E2"/>
    <w:p w14:paraId="3137FCAF" w14:textId="77777777" w:rsidR="00BD39E2" w:rsidRDefault="00BD39E2" w:rsidP="00BD39E2">
      <w:pPr>
        <w:pStyle w:val="Questionstyle"/>
        <w:numPr>
          <w:ilvl w:val="0"/>
          <w:numId w:val="14"/>
        </w:numPr>
        <w:tabs>
          <w:tab w:val="clear" w:pos="567"/>
        </w:tabs>
        <w:spacing w:after="240" w:line="256" w:lineRule="auto"/>
        <w:ind w:left="851" w:hanging="851"/>
      </w:pPr>
      <w:r>
        <w:t>If you think that a fixed minimum threshold should be recommended, do you agree that for daily dealing funds (except ETFs and MMFs) it should be set as follows:</w:t>
      </w:r>
    </w:p>
    <w:p w14:paraId="4BE5820A" w14:textId="77777777" w:rsidR="00BD39E2" w:rsidRDefault="00BD39E2" w:rsidP="00BD39E2">
      <w:r>
        <w:t>&lt;ESMA_QUESTION_GLMT_15&gt;</w:t>
      </w:r>
    </w:p>
    <w:p w14:paraId="3EBAA9E0" w14:textId="7580FDA1" w:rsidR="00BD39E2" w:rsidRDefault="00BC6882" w:rsidP="00BD39E2">
      <w:permStart w:id="1630933502" w:edGrp="everyone"/>
      <w:r>
        <w:t>No comment on this question.</w:t>
      </w:r>
    </w:p>
    <w:permEnd w:id="1630933502"/>
    <w:p w14:paraId="1A13D3F7" w14:textId="77777777" w:rsidR="00BD39E2" w:rsidRDefault="00BD39E2" w:rsidP="00BD39E2">
      <w:r>
        <w:t>&lt;ESMA_QUESTION_GLMT_15&gt;</w:t>
      </w:r>
    </w:p>
    <w:p w14:paraId="05B75931" w14:textId="77777777" w:rsidR="00BD39E2" w:rsidRDefault="00BD39E2" w:rsidP="00BD39E2"/>
    <w:p w14:paraId="65E55197" w14:textId="77777777" w:rsidR="00BD39E2" w:rsidRDefault="00BD39E2" w:rsidP="00BD39E2">
      <w:pPr>
        <w:pStyle w:val="Questionstyle"/>
        <w:spacing w:after="240" w:line="256" w:lineRule="auto"/>
        <w:ind w:left="851" w:firstLine="0"/>
      </w:pPr>
      <w:r>
        <w:t>a) at 5% for daily net redemptions; and</w:t>
      </w:r>
    </w:p>
    <w:p w14:paraId="2977EED0" w14:textId="77777777" w:rsidR="00BD39E2" w:rsidRDefault="00BD39E2" w:rsidP="00BD39E2">
      <w:r>
        <w:t>&lt;ESMA_QUESTION_GLMT_0&gt;</w:t>
      </w:r>
    </w:p>
    <w:p w14:paraId="79117D0C" w14:textId="3A98FB4B" w:rsidR="00BD39E2" w:rsidRDefault="00BC6882" w:rsidP="00BD39E2">
      <w:permStart w:id="1567235642" w:edGrp="everyone"/>
      <w:r>
        <w:t>No comment on this question.</w:t>
      </w:r>
    </w:p>
    <w:permEnd w:id="1567235642"/>
    <w:p w14:paraId="2EF72D3F" w14:textId="77777777" w:rsidR="00BD39E2" w:rsidRDefault="00BD39E2" w:rsidP="00BD39E2">
      <w:r>
        <w:t>&lt;ESMA_QUESTION_GLMT_0&gt;</w:t>
      </w:r>
    </w:p>
    <w:p w14:paraId="5B8F9557" w14:textId="77777777" w:rsidR="00BD39E2" w:rsidRDefault="00BD39E2" w:rsidP="00BD39E2"/>
    <w:p w14:paraId="2E610113" w14:textId="77777777" w:rsidR="00BD39E2" w:rsidRDefault="00BD39E2" w:rsidP="00BD39E2">
      <w:pPr>
        <w:pStyle w:val="Questionstyle"/>
        <w:spacing w:after="240" w:line="256" w:lineRule="auto"/>
        <w:ind w:left="851" w:firstLine="0"/>
      </w:pPr>
      <w:r>
        <w:t>b) at 10% for cumulative net redemptions received during a week?</w:t>
      </w:r>
    </w:p>
    <w:p w14:paraId="5A7300E7" w14:textId="77777777" w:rsidR="00BD39E2" w:rsidRDefault="00BD39E2" w:rsidP="00BD39E2">
      <w:r>
        <w:t>&lt;ESMA_QUESTION_GLMT_0&gt;</w:t>
      </w:r>
    </w:p>
    <w:p w14:paraId="08F6974E" w14:textId="3C50A690" w:rsidR="00BD39E2" w:rsidRDefault="00BC6882" w:rsidP="00BD39E2">
      <w:permStart w:id="1668447316" w:edGrp="everyone"/>
      <w:r>
        <w:lastRenderedPageBreak/>
        <w:t>No comment on this question.</w:t>
      </w:r>
    </w:p>
    <w:permEnd w:id="1668447316"/>
    <w:p w14:paraId="771748B3" w14:textId="77777777" w:rsidR="00BD39E2" w:rsidRDefault="00BD39E2" w:rsidP="00BD39E2">
      <w:r>
        <w:t>&lt;ESMA_QUESTION_GLMT_0&gt;</w:t>
      </w:r>
    </w:p>
    <w:p w14:paraId="534CF22A" w14:textId="77777777" w:rsidR="00BD39E2" w:rsidRDefault="00BD39E2" w:rsidP="00BD39E2"/>
    <w:p w14:paraId="49F307E7"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the extension of notice period? Are there any other criteria that should be considered? </w:t>
      </w:r>
    </w:p>
    <w:p w14:paraId="0B83102C" w14:textId="77777777" w:rsidR="00BD39E2" w:rsidRDefault="00BD39E2" w:rsidP="00BD39E2">
      <w:r>
        <w:t>&lt;ESMA_QUESTION_GLMT_16&gt;</w:t>
      </w:r>
    </w:p>
    <w:p w14:paraId="3E102700" w14:textId="26A173C8" w:rsidR="00BD39E2" w:rsidRPr="00D000C1" w:rsidRDefault="00B01418" w:rsidP="00BD39E2">
      <w:permStart w:id="1718965709" w:edGrp="everyone"/>
      <w:r>
        <w:t xml:space="preserve">We generally agree that extensions of notice periods are </w:t>
      </w:r>
      <w:r w:rsidR="007D3640">
        <w:t xml:space="preserve">rather more adapted to funds with less liquid assets. We would welcome a mention that </w:t>
      </w:r>
      <w:r w:rsidR="00AD0662">
        <w:t xml:space="preserve">funds with strict requirements in terms of asset liquidity, such as UCITS funds, </w:t>
      </w:r>
      <w:r w:rsidR="00CA2D51">
        <w:t>are</w:t>
      </w:r>
      <w:r w:rsidR="00FA0DAD">
        <w:t xml:space="preserve"> generally</w:t>
      </w:r>
      <w:r w:rsidR="00CA2D51">
        <w:t xml:space="preserve"> advised </w:t>
      </w:r>
      <w:r w:rsidR="00D000C1">
        <w:rPr>
          <w:i/>
          <w:iCs/>
        </w:rPr>
        <w:t xml:space="preserve">not </w:t>
      </w:r>
      <w:r w:rsidR="00D000C1">
        <w:t>to use extended notice periods</w:t>
      </w:r>
      <w:r w:rsidR="00E9711C">
        <w:t xml:space="preserve">, except under very stressed market conditions where even normally highly liquid markets </w:t>
      </w:r>
      <w:r w:rsidR="00B81736">
        <w:t xml:space="preserve">may come to a halt (a financial crisis similar to </w:t>
      </w:r>
      <w:r w:rsidR="00BC6210">
        <w:t>September 2008, for instance)</w:t>
      </w:r>
      <w:r w:rsidR="00FA0DAD">
        <w:t>.</w:t>
      </w:r>
      <w:r w:rsidR="00BC6210">
        <w:t xml:space="preserve"> The rationale is that UCITS funds are subject to </w:t>
      </w:r>
      <w:r w:rsidR="00501828">
        <w:t xml:space="preserve">rules limiting their investments to assets with a </w:t>
      </w:r>
      <w:r w:rsidR="00D22EE4">
        <w:t>proven degree of liquidity precisely so that they can remain able to redeem shares at all time</w:t>
      </w:r>
      <w:r w:rsidR="00087BE9">
        <w:t xml:space="preserve">. A UCITS fund </w:t>
      </w:r>
      <w:r w:rsidR="008C0CFB">
        <w:t>manager activating</w:t>
      </w:r>
      <w:r w:rsidR="00087BE9">
        <w:t xml:space="preserve"> an extended notice period would reveal </w:t>
      </w:r>
      <w:r w:rsidR="008C0CFB">
        <w:t xml:space="preserve">their failure to implement an investment policy </w:t>
      </w:r>
      <w:r w:rsidR="00A50DEA">
        <w:t>in line with this fundamental requirement of the UCITS Directive.</w:t>
      </w:r>
    </w:p>
    <w:permEnd w:id="1718965709"/>
    <w:p w14:paraId="0CB4FBA0" w14:textId="77777777" w:rsidR="00BD39E2" w:rsidRDefault="00BD39E2" w:rsidP="00BD39E2">
      <w:r>
        <w:t>&lt;ESMA_QUESTION_GLMT_16&gt;</w:t>
      </w:r>
    </w:p>
    <w:p w14:paraId="1625EDB0" w14:textId="77777777" w:rsidR="00BD39E2" w:rsidRDefault="00BD39E2" w:rsidP="00BD39E2"/>
    <w:p w14:paraId="481C3421" w14:textId="77777777" w:rsidR="00BD39E2" w:rsidRDefault="00BD39E2" w:rsidP="00BD39E2">
      <w:pPr>
        <w:pStyle w:val="Questionstyle"/>
        <w:numPr>
          <w:ilvl w:val="0"/>
          <w:numId w:val="14"/>
        </w:numPr>
        <w:tabs>
          <w:tab w:val="clear" w:pos="567"/>
        </w:tabs>
        <w:spacing w:after="240" w:line="256" w:lineRule="auto"/>
        <w:ind w:left="851" w:hanging="851"/>
      </w:pPr>
      <w:r>
        <w:t>According to the revised AIFMD and UCITS Directive, the extension of notice periods means extending the period of notice that unit-holders or shareholders must give to fund managers, beyond a minimum period which is appropriate to the fund. In your view, for RE and PE funds: i) what would be an appropriate minimum notice period; and ii) would the extension of notice period be an appropriate LMT to select?</w:t>
      </w:r>
    </w:p>
    <w:p w14:paraId="7D08C2DB" w14:textId="77777777" w:rsidR="00BD39E2" w:rsidRDefault="00BD39E2" w:rsidP="00BD39E2">
      <w:r>
        <w:t>&lt;ESMA_QUESTION_GLMT_17&gt;</w:t>
      </w:r>
    </w:p>
    <w:p w14:paraId="542848D6" w14:textId="54B19FDA" w:rsidR="00BD39E2" w:rsidRDefault="00BC6882" w:rsidP="00BD39E2">
      <w:permStart w:id="68113032" w:edGrp="everyone"/>
      <w:r>
        <w:t>No comment on this question.</w:t>
      </w:r>
    </w:p>
    <w:permEnd w:id="68113032"/>
    <w:p w14:paraId="287F2E8F" w14:textId="77777777" w:rsidR="00BD39E2" w:rsidRDefault="00BD39E2" w:rsidP="00BD39E2">
      <w:r>
        <w:t>&lt;ESMA_QUESTION_GLMT_17&gt;</w:t>
      </w:r>
    </w:p>
    <w:p w14:paraId="3229DE3F" w14:textId="77777777" w:rsidR="00BD39E2" w:rsidRDefault="00BD39E2" w:rsidP="00BD39E2"/>
    <w:p w14:paraId="0B3FD681" w14:textId="77777777" w:rsidR="00BD39E2" w:rsidRDefault="00BD39E2" w:rsidP="00BD39E2">
      <w:pPr>
        <w:pStyle w:val="Questionstyle"/>
        <w:numPr>
          <w:ilvl w:val="0"/>
          <w:numId w:val="14"/>
        </w:numPr>
        <w:tabs>
          <w:tab w:val="clear" w:pos="567"/>
        </w:tabs>
        <w:spacing w:after="240" w:line="256" w:lineRule="auto"/>
        <w:ind w:left="851" w:hanging="851"/>
      </w:pPr>
      <w:r>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Default="00BD39E2" w:rsidP="00BD39E2">
      <w:r>
        <w:lastRenderedPageBreak/>
        <w:t>&lt;ESMA_QUESTION_GLMT_18&gt;</w:t>
      </w:r>
    </w:p>
    <w:p w14:paraId="58431B2E" w14:textId="68118EEC" w:rsidR="00BD39E2" w:rsidRDefault="00AE389F" w:rsidP="00BD39E2">
      <w:permStart w:id="1366652013" w:edGrp="everyone"/>
      <w:r>
        <w:t xml:space="preserve">In line with our comments on Q16, </w:t>
      </w:r>
      <w:r w:rsidR="00B732FF">
        <w:t>we believe that the use of extended notice periods by UCITS funds should be as limited as possible</w:t>
      </w:r>
      <w:r w:rsidR="003F0D3A">
        <w:t xml:space="preserve"> and would, therefore, welcome</w:t>
      </w:r>
      <w:r w:rsidR="00406AD1">
        <w:t xml:space="preserve"> the setting of a maximum extended notice period for these funds.</w:t>
      </w:r>
    </w:p>
    <w:permEnd w:id="1366652013"/>
    <w:p w14:paraId="21769844" w14:textId="77777777" w:rsidR="00BD39E2" w:rsidRDefault="00BD39E2" w:rsidP="00BD39E2">
      <w:r>
        <w:t>&lt;ESMA_QUESTION_GLMT_18&gt;</w:t>
      </w:r>
    </w:p>
    <w:p w14:paraId="5DBC3966" w14:textId="77777777" w:rsidR="00BD39E2" w:rsidRDefault="00BD39E2" w:rsidP="00BD39E2"/>
    <w:p w14:paraId="18F2EFF3"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the extension of notice period? Are there any other criteria that should be considered?</w:t>
      </w:r>
    </w:p>
    <w:p w14:paraId="3AEBF45A" w14:textId="77777777" w:rsidR="00BD39E2" w:rsidRDefault="00BD39E2" w:rsidP="00BD39E2">
      <w:r>
        <w:t>&lt;ESMA_QUESTION_GLMT_19&gt;</w:t>
      </w:r>
    </w:p>
    <w:p w14:paraId="0909E795" w14:textId="3BDE429C" w:rsidR="00BD39E2" w:rsidRPr="009B7CC8" w:rsidRDefault="00AB0020" w:rsidP="00BD39E2">
      <w:permStart w:id="1055798413" w:edGrp="everyone"/>
      <w:r>
        <w:t xml:space="preserve">In line with our comments on Q16, we believe that, for UCITS funds and other </w:t>
      </w:r>
      <w:r w:rsidR="00EA5CC6">
        <w:t xml:space="preserve">funds marketed to retail investors that are subject to regulatory requirements to invest </w:t>
      </w:r>
      <w:r w:rsidR="00241131">
        <w:t>in assets with a proven high degree of liquidity,</w:t>
      </w:r>
      <w:r w:rsidR="009B7CC8">
        <w:t xml:space="preserve"> the activation of extension of notice periods should </w:t>
      </w:r>
      <w:r w:rsidR="009B7CC8">
        <w:rPr>
          <w:i/>
          <w:iCs/>
        </w:rPr>
        <w:t>not</w:t>
      </w:r>
      <w:r w:rsidR="009B7CC8">
        <w:t xml:space="preserve"> be considered under normal market conditions. </w:t>
      </w:r>
      <w:r w:rsidR="001C63B1">
        <w:t>For these funds, the activation criteria should include the existence of stressed market conditions</w:t>
      </w:r>
      <w:r w:rsidR="00111A0E">
        <w:t xml:space="preserve"> and the fund manager’s ability to demonstrate that these stressed market conditions</w:t>
      </w:r>
      <w:r w:rsidR="00791145">
        <w:t xml:space="preserve"> justify the extension of the notice period.</w:t>
      </w:r>
    </w:p>
    <w:permEnd w:id="1055798413"/>
    <w:p w14:paraId="5C05EC29" w14:textId="77777777" w:rsidR="00BD39E2" w:rsidRDefault="00BD39E2" w:rsidP="00BD39E2">
      <w:r>
        <w:t>&lt;ESMA_QUESTION_GLMT_19&gt;</w:t>
      </w:r>
    </w:p>
    <w:p w14:paraId="6A41C11A" w14:textId="77777777" w:rsidR="00BD39E2" w:rsidRDefault="00BD39E2" w:rsidP="00BD39E2"/>
    <w:p w14:paraId="7799E4F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on the guidance on the calibration of the extension of notice periods? </w:t>
      </w:r>
    </w:p>
    <w:p w14:paraId="65F21F30" w14:textId="77777777" w:rsidR="00BD39E2" w:rsidRDefault="00BD39E2" w:rsidP="00BD39E2">
      <w:r>
        <w:t>&lt;ESMA_QUESTION_GLMT_20&gt;</w:t>
      </w:r>
    </w:p>
    <w:p w14:paraId="14A362A9" w14:textId="7DD99C37" w:rsidR="00BD39E2" w:rsidRDefault="00F75A72" w:rsidP="00BD39E2">
      <w:permStart w:id="459040218" w:edGrp="everyone"/>
      <w:r>
        <w:t xml:space="preserve">We believe that this </w:t>
      </w:r>
      <w:r w:rsidR="00D6701B">
        <w:t xml:space="preserve">guidance should be further specified as regards the “time to announce and activate”: where a fund is marketed </w:t>
      </w:r>
      <w:r w:rsidR="00B805D8">
        <w:t xml:space="preserve">to both retail and institutional investors, the timing of announcement and activation needs to take duly into account that retail investors are unlikely to receive </w:t>
      </w:r>
      <w:r w:rsidR="00020D80">
        <w:t>the announcement and react to it immediately. Managers of funds that are marketed to retail investors, therefore, need to provide sufficient time for retail investors to receive the information and act on it should they wish to.</w:t>
      </w:r>
    </w:p>
    <w:permEnd w:id="459040218"/>
    <w:p w14:paraId="5B0CA849" w14:textId="77777777" w:rsidR="00BD39E2" w:rsidRDefault="00BD39E2" w:rsidP="00BD39E2">
      <w:r>
        <w:t>&lt;ESMA_QUESTION_GLMT_20&gt;</w:t>
      </w:r>
    </w:p>
    <w:p w14:paraId="0FA0EFE2" w14:textId="77777777" w:rsidR="00BD39E2" w:rsidRDefault="00BD39E2" w:rsidP="00BD39E2"/>
    <w:p w14:paraId="2C1F7224"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Do you agree with the above criteria for the selection of redemptions in kind? Are there any other criteria that should be considered? </w:t>
      </w:r>
    </w:p>
    <w:p w14:paraId="4D6A9C07" w14:textId="77777777" w:rsidR="00BD39E2" w:rsidRDefault="00BD39E2" w:rsidP="00BD39E2">
      <w:r>
        <w:t>&lt;ESMA_QUESTION_GLMT_21&gt;</w:t>
      </w:r>
    </w:p>
    <w:p w14:paraId="0DF0A74A" w14:textId="035BA2D6" w:rsidR="00BD39E2" w:rsidRDefault="00BC6882" w:rsidP="00BD39E2">
      <w:permStart w:id="192435235" w:edGrp="everyone"/>
      <w:r>
        <w:t>No comment on this question.</w:t>
      </w:r>
    </w:p>
    <w:permEnd w:id="192435235"/>
    <w:p w14:paraId="644E8731" w14:textId="77777777" w:rsidR="00BD39E2" w:rsidRDefault="00BD39E2" w:rsidP="00BD39E2">
      <w:r>
        <w:t>&lt;ESMA_QUESTION_GLMT_21&gt;</w:t>
      </w:r>
    </w:p>
    <w:p w14:paraId="33A53D51" w14:textId="77777777" w:rsidR="00BD39E2" w:rsidRDefault="00BD39E2" w:rsidP="00BD39E2"/>
    <w:p w14:paraId="652E1016"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activation of redemptions in kind? Are there any other criteria that should be considered? </w:t>
      </w:r>
    </w:p>
    <w:p w14:paraId="332BF6A8" w14:textId="77777777" w:rsidR="00BD39E2" w:rsidRDefault="00BD39E2" w:rsidP="00BD39E2">
      <w:r>
        <w:t>&lt;ESMA_QUESTION_GLMT_22&gt;</w:t>
      </w:r>
    </w:p>
    <w:p w14:paraId="38A25CA1" w14:textId="474B3734" w:rsidR="00BD39E2" w:rsidRDefault="00BC6882" w:rsidP="00BD39E2">
      <w:permStart w:id="1580282805" w:edGrp="everyone"/>
      <w:r>
        <w:t>No comment on this question.</w:t>
      </w:r>
    </w:p>
    <w:permEnd w:id="1580282805"/>
    <w:p w14:paraId="47C85EE9" w14:textId="77777777" w:rsidR="00BD39E2" w:rsidRDefault="00BD39E2" w:rsidP="00BD39E2">
      <w:r>
        <w:t>&lt;ESMA_QUESTION_GLMT_22&gt;</w:t>
      </w:r>
    </w:p>
    <w:p w14:paraId="6CEDE2FD" w14:textId="77777777" w:rsidR="00BD39E2" w:rsidRDefault="00BD39E2" w:rsidP="00BD39E2"/>
    <w:p w14:paraId="7D29F5A6" w14:textId="77777777" w:rsidR="00BD39E2" w:rsidRDefault="00BD39E2" w:rsidP="00BD39E2">
      <w:pPr>
        <w:pStyle w:val="Questionstyle"/>
        <w:numPr>
          <w:ilvl w:val="0"/>
          <w:numId w:val="14"/>
        </w:numPr>
        <w:tabs>
          <w:tab w:val="clear" w:pos="567"/>
        </w:tabs>
        <w:spacing w:after="240" w:line="256" w:lineRule="auto"/>
        <w:ind w:left="851" w:hanging="851"/>
      </w:pPr>
      <w:r>
        <w:t>Do you think that redemptions in kind should only be activated on the NAV calculation dates?</w:t>
      </w:r>
    </w:p>
    <w:p w14:paraId="4DC1D751" w14:textId="77777777" w:rsidR="00BD39E2" w:rsidRDefault="00BD39E2" w:rsidP="00BD39E2">
      <w:r>
        <w:t>&lt;ESMA_QUESTION_GLMT_23&gt;</w:t>
      </w:r>
    </w:p>
    <w:p w14:paraId="206E1B90" w14:textId="0F727A89" w:rsidR="00BD39E2" w:rsidRDefault="00BC6882" w:rsidP="00BD39E2">
      <w:permStart w:id="615528582" w:edGrp="everyone"/>
      <w:r>
        <w:t>No comment on this question.</w:t>
      </w:r>
    </w:p>
    <w:permEnd w:id="615528582"/>
    <w:p w14:paraId="3B2434AF" w14:textId="77777777" w:rsidR="00BD39E2" w:rsidRDefault="00BD39E2" w:rsidP="00BD39E2">
      <w:r>
        <w:t>&lt;ESMA_QUESTION_GLMT_23&gt;</w:t>
      </w:r>
    </w:p>
    <w:p w14:paraId="77060173" w14:textId="77777777" w:rsidR="00BD39E2" w:rsidRDefault="00BD39E2" w:rsidP="00BD39E2"/>
    <w:p w14:paraId="3C729DDA" w14:textId="77777777" w:rsidR="00BD39E2" w:rsidRDefault="00BD39E2" w:rsidP="00BD39E2">
      <w:pPr>
        <w:pStyle w:val="Questionstyle"/>
        <w:numPr>
          <w:ilvl w:val="0"/>
          <w:numId w:val="14"/>
        </w:numPr>
        <w:tabs>
          <w:tab w:val="clear" w:pos="567"/>
        </w:tabs>
        <w:spacing w:after="240" w:line="256" w:lineRule="auto"/>
        <w:ind w:left="851" w:hanging="851"/>
      </w:pPr>
      <w:r>
        <w:t xml:space="preserve">What are the criteria to be followed by the managers for the selection of the assets to be redeemed in kind in order to ensure fair treatment of investors? </w:t>
      </w:r>
    </w:p>
    <w:p w14:paraId="141E7E74" w14:textId="77777777" w:rsidR="00BD39E2" w:rsidRDefault="00BD39E2" w:rsidP="00BD39E2">
      <w:r>
        <w:t>&lt;ESMA_QUESTION_GLMT_24&gt;</w:t>
      </w:r>
    </w:p>
    <w:p w14:paraId="70E5DBD7" w14:textId="11DE248B" w:rsidR="00BD39E2" w:rsidRDefault="00BC6882" w:rsidP="00BD39E2">
      <w:permStart w:id="694886365" w:edGrp="everyone"/>
      <w:r>
        <w:t>No comment on this question.</w:t>
      </w:r>
    </w:p>
    <w:permEnd w:id="694886365"/>
    <w:p w14:paraId="3D2FADAF" w14:textId="77777777" w:rsidR="00BD39E2" w:rsidRDefault="00BD39E2" w:rsidP="00BD39E2">
      <w:r>
        <w:t>&lt;ESMA_QUESTION_GLMT_24&gt;</w:t>
      </w:r>
    </w:p>
    <w:p w14:paraId="6926DFAC" w14:textId="77777777" w:rsidR="00BD39E2" w:rsidRDefault="00BD39E2" w:rsidP="00BD39E2"/>
    <w:p w14:paraId="135FC62B" w14:textId="77777777" w:rsidR="00BD39E2" w:rsidRDefault="00BD39E2" w:rsidP="00BD39E2">
      <w:pPr>
        <w:pStyle w:val="Questionstyle"/>
        <w:numPr>
          <w:ilvl w:val="0"/>
          <w:numId w:val="14"/>
        </w:numPr>
        <w:tabs>
          <w:tab w:val="clear" w:pos="567"/>
        </w:tabs>
        <w:spacing w:after="240" w:line="256" w:lineRule="auto"/>
        <w:ind w:left="851" w:hanging="851"/>
      </w:pPr>
      <w:r>
        <w:lastRenderedPageBreak/>
        <w:t>How should redemptions in kind be calibrated?</w:t>
      </w:r>
    </w:p>
    <w:p w14:paraId="5C421CB0" w14:textId="77777777" w:rsidR="00BD39E2" w:rsidRDefault="00BD39E2" w:rsidP="00BD39E2">
      <w:r>
        <w:t>&lt;ESMA_QUESTION_GLMT_25&gt;</w:t>
      </w:r>
    </w:p>
    <w:p w14:paraId="6F536733" w14:textId="53A4F9EC" w:rsidR="00BD39E2" w:rsidRDefault="00BC6882" w:rsidP="00BD39E2">
      <w:permStart w:id="1729633647" w:edGrp="everyone"/>
      <w:r>
        <w:t>No comment on this question.</w:t>
      </w:r>
    </w:p>
    <w:permEnd w:id="1729633647"/>
    <w:p w14:paraId="6DAAF281" w14:textId="77777777" w:rsidR="00BD39E2" w:rsidRDefault="00BD39E2" w:rsidP="00BD39E2">
      <w:r>
        <w:t>&lt;ESMA_QUESTION_GLMT_25&gt;</w:t>
      </w:r>
    </w:p>
    <w:p w14:paraId="52263D1E" w14:textId="77777777" w:rsidR="00BD39E2" w:rsidRDefault="00BD39E2" w:rsidP="00BD39E2"/>
    <w:p w14:paraId="2003844A" w14:textId="77777777" w:rsidR="00BD39E2" w:rsidRDefault="00BD39E2" w:rsidP="00BD39E2">
      <w:pPr>
        <w:pStyle w:val="Questionstyle"/>
        <w:numPr>
          <w:ilvl w:val="0"/>
          <w:numId w:val="14"/>
        </w:numPr>
        <w:tabs>
          <w:tab w:val="clear" w:pos="567"/>
        </w:tabs>
        <w:spacing w:after="240" w:line="256" w:lineRule="auto"/>
        <w:ind w:left="851" w:hanging="851"/>
      </w:pPr>
      <w:r>
        <w:t>Do you agree that managers should consider the merit of avoiding the simultaneous activation of certain ADTs (e.g.: swing pricing and anti-dilution levies)? Please provide examples when illustrating your answer.</w:t>
      </w:r>
    </w:p>
    <w:p w14:paraId="41F6BCEF" w14:textId="77777777" w:rsidR="00BD39E2" w:rsidRDefault="00BD39E2" w:rsidP="00BD39E2">
      <w:r>
        <w:t>&lt;ESMA_QUESTION_GLMT_26&gt;</w:t>
      </w:r>
    </w:p>
    <w:p w14:paraId="31BB038D" w14:textId="00EA684B" w:rsidR="00BD39E2" w:rsidRPr="009B444C" w:rsidRDefault="009B444C" w:rsidP="00BD39E2">
      <w:pPr>
        <w:rPr>
          <w:i/>
          <w:iCs/>
        </w:rPr>
      </w:pPr>
      <w:permStart w:id="1738162893" w:edGrp="everyone"/>
      <w:r>
        <w:t xml:space="preserve">We believe that not only should they “consider the merit of avoiding” it, but they should be explicitly forbidden from </w:t>
      </w:r>
      <w:r w:rsidR="00FE7E11">
        <w:t xml:space="preserve">activating two anti-dilution tools simultaneously. All these tools share the same objective of “pass on the estimated costs of liquidity associated with fund subscriptions / redemptions to the subscribing / redeeming investors </w:t>
      </w:r>
      <w:r w:rsidR="00FC6C50">
        <w:t xml:space="preserve">by adjusting the NAV of the OEF or the price at which they transact.” Assuming fund managers </w:t>
      </w:r>
      <w:r w:rsidR="00F40380">
        <w:t>manage to calibrate these tools properly, each of these tools individually would make investors bear the full cost of liquidity associated with their transactions</w:t>
      </w:r>
      <w:r w:rsidR="004A4DF9">
        <w:t>; activating two or more of these tools simultaneously would amount to charging the investor twice (or more) for the same cost</w:t>
      </w:r>
      <w:r w:rsidR="007E2B2E">
        <w:t>, an outcome that we certainly cannot begin to contemplate.</w:t>
      </w:r>
    </w:p>
    <w:permEnd w:id="1738162893"/>
    <w:p w14:paraId="6E84132F" w14:textId="77777777" w:rsidR="00BD39E2" w:rsidRDefault="00BD39E2" w:rsidP="00BD39E2">
      <w:r>
        <w:t>&lt;ESMA_QUESTION_GLMT_26&gt;</w:t>
      </w:r>
    </w:p>
    <w:p w14:paraId="5BE0DF8B" w14:textId="77777777" w:rsidR="00BD39E2" w:rsidRDefault="00BD39E2" w:rsidP="00BD39E2"/>
    <w:p w14:paraId="5CECBFDF"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provided under paragraph 56 of Section 6.5.4 of the draft guidelines? Is there any other element that should be included in the estimated cost of liquidity?</w:t>
      </w:r>
    </w:p>
    <w:p w14:paraId="0189A8D4" w14:textId="77777777" w:rsidR="00BD39E2" w:rsidRDefault="00BD39E2" w:rsidP="00BD39E2">
      <w:r>
        <w:t>&lt;ESMA_QUESTION_GLMT_27&gt;</w:t>
      </w:r>
    </w:p>
    <w:p w14:paraId="191E8630" w14:textId="6FDF259C" w:rsidR="00BD39E2" w:rsidRDefault="001F7C2D" w:rsidP="00BD39E2">
      <w:permStart w:id="1096374195" w:edGrp="everyone"/>
      <w:r>
        <w:t xml:space="preserve">We generally agree </w:t>
      </w:r>
      <w:r w:rsidR="00CE0271">
        <w:t xml:space="preserve">with the list and would like to stress the importance of </w:t>
      </w:r>
      <w:r w:rsidR="004E27AA">
        <w:t xml:space="preserve">basing the estimation on justifiable data, sophisticated (but above all, sound) methodologies, and of documenting </w:t>
      </w:r>
      <w:r w:rsidR="00E837CF">
        <w:t xml:space="preserve">this estimation. We would also stress the importance of foreseeing </w:t>
      </w:r>
      <w:r w:rsidR="003A0585">
        <w:t xml:space="preserve">a supervision of these estimations and the possibility for </w:t>
      </w:r>
      <w:r w:rsidR="005A5372">
        <w:t xml:space="preserve">investors to review and challenge the estimations of the costs they may have been charged </w:t>
      </w:r>
      <w:r w:rsidR="00117F0E">
        <w:t>through an ADT.</w:t>
      </w:r>
      <w:r w:rsidR="001E6A32">
        <w:t xml:space="preserve"> </w:t>
      </w:r>
    </w:p>
    <w:permEnd w:id="1096374195"/>
    <w:p w14:paraId="430EA99E" w14:textId="77777777" w:rsidR="00BD39E2" w:rsidRDefault="00BD39E2" w:rsidP="00BD39E2">
      <w:r>
        <w:t>&lt;ESMA_QUESTION_GLMT_27&gt;</w:t>
      </w:r>
    </w:p>
    <w:p w14:paraId="248DF0FF" w14:textId="77777777" w:rsidR="00BD39E2" w:rsidRDefault="00BD39E2" w:rsidP="00BD39E2"/>
    <w:p w14:paraId="746339A8" w14:textId="77777777" w:rsidR="00BD39E2" w:rsidRDefault="00BD39E2" w:rsidP="00BD39E2">
      <w:pPr>
        <w:pStyle w:val="Questionstyle"/>
        <w:numPr>
          <w:ilvl w:val="0"/>
          <w:numId w:val="14"/>
        </w:numPr>
        <w:tabs>
          <w:tab w:val="clear" w:pos="567"/>
        </w:tabs>
        <w:spacing w:after="240" w:line="256" w:lineRule="auto"/>
        <w:ind w:left="851" w:hanging="851"/>
      </w:pPr>
      <w:r>
        <w:t>Do you have any other comments on the proposed general guidance on ADTs?</w:t>
      </w:r>
    </w:p>
    <w:p w14:paraId="1DA7C5C3" w14:textId="77777777" w:rsidR="00BD39E2" w:rsidRDefault="00BD39E2" w:rsidP="00BD39E2">
      <w:r>
        <w:t>&lt;ESMA_QUESTION_GLMT_28&gt;</w:t>
      </w:r>
    </w:p>
    <w:p w14:paraId="485A9AB0" w14:textId="2AA5E19C" w:rsidR="00BD39E2" w:rsidRDefault="00545CD7" w:rsidP="00BD39E2">
      <w:permStart w:id="549530497" w:edGrp="everyone"/>
      <w:r>
        <w:t>To be clear, we see a major risk that fund managers may use ADTs to increase revenues by overcharging investors for the cost of liquidity; we, therefore, call for a tight supervision of the use of these tools, and their limitations to cases where funds invest in less liquid assets or very exceptional circumstances in which normally liquid markets dry up</w:t>
      </w:r>
      <w:r>
        <w:t xml:space="preserve">. Funds marketed to retail investors are generally required to invest in assets </w:t>
      </w:r>
      <w:r w:rsidR="00C94DC3">
        <w:t>that enjoy a high level of liquidity under normal circumstances; these funds should, therefore,</w:t>
      </w:r>
      <w:r w:rsidR="00FF1B82">
        <w:t xml:space="preserve"> not be using ADTs except under very exceptional circumstances of stressed market conditions.</w:t>
      </w:r>
    </w:p>
    <w:permEnd w:id="549530497"/>
    <w:p w14:paraId="56ED2B67" w14:textId="77777777" w:rsidR="00BD39E2" w:rsidRDefault="00BD39E2" w:rsidP="00BD39E2">
      <w:r>
        <w:t>&lt;ESMA_QUESTION_GLMT_28&gt;</w:t>
      </w:r>
    </w:p>
    <w:p w14:paraId="63A6E39C" w14:textId="77777777" w:rsidR="00BD39E2" w:rsidRDefault="00BD39E2" w:rsidP="00BD39E2"/>
    <w:p w14:paraId="1476C5AB"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redemption fees?  Is there any other criteria that should be considered?</w:t>
      </w:r>
    </w:p>
    <w:p w14:paraId="2B89FD79" w14:textId="77777777" w:rsidR="00BD39E2" w:rsidRDefault="00BD39E2" w:rsidP="00BD39E2">
      <w:r>
        <w:t>&lt;ESMA_QUESTION_GLMT_29&gt;</w:t>
      </w:r>
    </w:p>
    <w:p w14:paraId="67CDE851" w14:textId="71C3597C" w:rsidR="00BD39E2" w:rsidRDefault="00263C0C" w:rsidP="00BD39E2">
      <w:permStart w:id="94258307" w:edGrp="everyone"/>
      <w:r>
        <w:t xml:space="preserve">We generally agree with the selection criteria and would argue that these </w:t>
      </w:r>
      <w:r w:rsidR="00A723A5">
        <w:t xml:space="preserve">criteria point to an exclusion of the use of redemption fees by </w:t>
      </w:r>
      <w:r w:rsidR="002447FA">
        <w:t xml:space="preserve">managers of </w:t>
      </w:r>
      <w:r w:rsidR="002D38ED">
        <w:t xml:space="preserve">funds that are distributed to retail investors, as these are </w:t>
      </w:r>
      <w:r w:rsidR="006F1CE4">
        <w:t>mostly invested in assets that do not fit th</w:t>
      </w:r>
      <w:r w:rsidR="0077011F">
        <w:t>is description of paragraph 61 of Section 6.5.4.1 of the proposed guidelines.</w:t>
      </w:r>
    </w:p>
    <w:permEnd w:id="94258307"/>
    <w:p w14:paraId="615651B4" w14:textId="77777777" w:rsidR="00BD39E2" w:rsidRDefault="00BD39E2" w:rsidP="00BD39E2">
      <w:r>
        <w:t>&lt;ESMA_QUESTION_GLMT_29&gt;</w:t>
      </w:r>
    </w:p>
    <w:p w14:paraId="47893DE8" w14:textId="77777777" w:rsidR="00BD39E2" w:rsidRDefault="00BD39E2" w:rsidP="00BD39E2"/>
    <w:p w14:paraId="7718CD1D" w14:textId="77777777" w:rsidR="00BD39E2" w:rsidRDefault="00BD39E2" w:rsidP="00BD39E2">
      <w:pPr>
        <w:pStyle w:val="Questionstyle"/>
        <w:numPr>
          <w:ilvl w:val="0"/>
          <w:numId w:val="14"/>
        </w:numPr>
        <w:tabs>
          <w:tab w:val="clear" w:pos="567"/>
        </w:tabs>
        <w:spacing w:after="240" w:line="256" w:lineRule="auto"/>
        <w:ind w:left="851" w:hanging="851"/>
      </w:pPr>
      <w:r>
        <w:t>Do you have any views on how to set the activation thresholds for redemption fees?</w:t>
      </w:r>
    </w:p>
    <w:p w14:paraId="0D81B797" w14:textId="77777777" w:rsidR="00BD39E2" w:rsidRDefault="00BD39E2" w:rsidP="00BD39E2">
      <w:r>
        <w:t>&lt;ESMA_QUESTION_GLMT_30&gt;</w:t>
      </w:r>
    </w:p>
    <w:p w14:paraId="446CDE9E" w14:textId="7FE6DFD5" w:rsidR="00BD39E2" w:rsidRDefault="001541CF" w:rsidP="00BD39E2">
      <w:permStart w:id="1389831081" w:edGrp="everyone"/>
      <w:r>
        <w:t>The activation thresholds must be set in a way that impose</w:t>
      </w:r>
      <w:r w:rsidR="00CC2810">
        <w:t>s</w:t>
      </w:r>
      <w:r>
        <w:t xml:space="preserve"> this sanction only to </w:t>
      </w:r>
      <w:r w:rsidR="002154C3">
        <w:t>exceptional redeeming orders of such a size as to significantly increase the funds’ cost of liquidity</w:t>
      </w:r>
      <w:r w:rsidR="00A54045">
        <w:t xml:space="preserve"> for a particular dealing date. In other words, the threshold should be sufficiently high so that regular</w:t>
      </w:r>
      <w:r w:rsidR="00915C0C">
        <w:t xml:space="preserve"> redeeming orders—those that can be reasonably expected and, therefore, anticipated, by the fund manager—</w:t>
      </w:r>
      <w:r w:rsidR="00866D91">
        <w:t>are exempt.</w:t>
      </w:r>
    </w:p>
    <w:permEnd w:id="1389831081"/>
    <w:p w14:paraId="1FA5272C" w14:textId="77777777" w:rsidR="00BD39E2" w:rsidRDefault="00BD39E2" w:rsidP="00BD39E2">
      <w:r>
        <w:lastRenderedPageBreak/>
        <w:t>&lt;ESMA_QUESTION_GLMT_30&gt;</w:t>
      </w:r>
    </w:p>
    <w:p w14:paraId="1DDC794F" w14:textId="77777777" w:rsidR="00BD39E2" w:rsidRDefault="00BD39E2" w:rsidP="00BD39E2"/>
    <w:p w14:paraId="2E2699A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the calibration of redemption fees? </w:t>
      </w:r>
    </w:p>
    <w:p w14:paraId="19E0655F" w14:textId="77777777" w:rsidR="00BD39E2" w:rsidRDefault="00BD39E2" w:rsidP="00BD39E2">
      <w:r>
        <w:t>&lt;ESMA_QUESTION_GLMT_31&gt;</w:t>
      </w:r>
    </w:p>
    <w:p w14:paraId="509DA39C" w14:textId="4C478FCC" w:rsidR="00BD39E2" w:rsidRPr="00DC50D6" w:rsidRDefault="00D60C9D" w:rsidP="00BD39E2">
      <w:permStart w:id="424892755" w:edGrp="everyone"/>
      <w:r>
        <w:t xml:space="preserve">We fundamentally disagree with the principle of a </w:t>
      </w:r>
      <w:r w:rsidR="00AA2FE8">
        <w:t xml:space="preserve">generally static fee supposed to cover the cost of liquidity arising from particular </w:t>
      </w:r>
      <w:r w:rsidR="003F0DE9">
        <w:t xml:space="preserve">redemption orders, a cost that is, as a general rule </w:t>
      </w:r>
      <w:r w:rsidR="00DC50D6">
        <w:rPr>
          <w:i/>
          <w:iCs/>
        </w:rPr>
        <w:t>not</w:t>
      </w:r>
      <w:r w:rsidR="00DC50D6">
        <w:t xml:space="preserve"> static. Therefore, as already stated, we </w:t>
      </w:r>
      <w:r w:rsidR="00E87286">
        <w:t>call for a</w:t>
      </w:r>
      <w:r w:rsidR="00EC14E2">
        <w:t>n explicit</w:t>
      </w:r>
      <w:r w:rsidR="00E87286">
        <w:t xml:space="preserve"> restriction of the use of redemption fees to those particular cases where a fund invests primarily in assets </w:t>
      </w:r>
      <w:r w:rsidR="00EC14E2">
        <w:t>that have low-variation transaction costs (e.g., real estate).</w:t>
      </w:r>
    </w:p>
    <w:permEnd w:id="424892755"/>
    <w:p w14:paraId="4A9A770E" w14:textId="77777777" w:rsidR="00BD39E2" w:rsidRDefault="00BD39E2" w:rsidP="00BD39E2">
      <w:r>
        <w:t>&lt;ESMA_QUESTION_GLMT_31&gt;</w:t>
      </w:r>
    </w:p>
    <w:p w14:paraId="22D636B2" w14:textId="77777777" w:rsidR="00BD39E2" w:rsidRDefault="00BD39E2" w:rsidP="00BD39E2"/>
    <w:p w14:paraId="0EFCFFA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swing pricing? Is there any other criteria that should be considered?</w:t>
      </w:r>
    </w:p>
    <w:p w14:paraId="1AE7FA2B" w14:textId="77777777" w:rsidR="00BD39E2" w:rsidRDefault="00BD39E2" w:rsidP="00BD39E2">
      <w:r>
        <w:t>&lt;ESMA_QUESTION_GLMT_32&gt;</w:t>
      </w:r>
    </w:p>
    <w:p w14:paraId="5074F0F4" w14:textId="4953A354" w:rsidR="00BD39E2" w:rsidRDefault="00A8534A" w:rsidP="00BD39E2">
      <w:permStart w:id="516769787" w:edGrp="everyone"/>
      <w:r>
        <w:t xml:space="preserve">We agree with the proposed selection criteria. We would like to add </w:t>
      </w:r>
      <w:r w:rsidR="003418CE">
        <w:t xml:space="preserve">an additional criterion relating to the fund manager’s ability to accurately estimate the </w:t>
      </w:r>
      <w:r w:rsidR="00CF7EAD">
        <w:t xml:space="preserve">cost of liquidity arising from subscription and redemption orders on any given dealing date: swing pricing should be available only to those managers that have a proven track record in this </w:t>
      </w:r>
      <w:r w:rsidR="007D2EF4">
        <w:t>domain.</w:t>
      </w:r>
    </w:p>
    <w:permEnd w:id="516769787"/>
    <w:p w14:paraId="314C965C" w14:textId="77777777" w:rsidR="00BD39E2" w:rsidRDefault="00BD39E2" w:rsidP="00BD39E2">
      <w:r>
        <w:t>&lt;ESMA_QUESTION_GLMT_32&gt;</w:t>
      </w:r>
    </w:p>
    <w:p w14:paraId="62311977" w14:textId="77777777" w:rsidR="00BD39E2" w:rsidRDefault="00BD39E2" w:rsidP="00BD39E2"/>
    <w:p w14:paraId="10AAE677" w14:textId="77777777" w:rsidR="00BD39E2" w:rsidRDefault="00BD39E2" w:rsidP="00BD39E2">
      <w:pPr>
        <w:pStyle w:val="Questionstyle"/>
        <w:numPr>
          <w:ilvl w:val="0"/>
          <w:numId w:val="14"/>
        </w:numPr>
        <w:tabs>
          <w:tab w:val="clear" w:pos="567"/>
        </w:tabs>
        <w:spacing w:after="240" w:line="256" w:lineRule="auto"/>
        <w:ind w:left="851" w:hanging="851"/>
      </w:pPr>
      <w:r>
        <w:t>Under which circumstances should the manager consider the activation of swing pricing?</w:t>
      </w:r>
    </w:p>
    <w:p w14:paraId="07581CDB" w14:textId="77777777" w:rsidR="00BD39E2" w:rsidRDefault="00BD39E2" w:rsidP="00BD39E2">
      <w:r>
        <w:t>&lt;ESMA_QUESTION_GLMT_33&gt;</w:t>
      </w:r>
    </w:p>
    <w:p w14:paraId="5A57A4D2" w14:textId="345F7BAA" w:rsidR="00BD39E2" w:rsidRDefault="00054DA2" w:rsidP="00BD39E2">
      <w:permStart w:id="1116297390" w:edGrp="everyone"/>
      <w:r>
        <w:t xml:space="preserve">We would like to add to these guidelines, as regards communication of the </w:t>
      </w:r>
      <w:r w:rsidR="007D47A4">
        <w:t>disclosure to investors, that managers</w:t>
      </w:r>
      <w:r w:rsidR="00222028">
        <w:t xml:space="preserve"> of funds distributed to retail investors who wish to</w:t>
      </w:r>
      <w:r w:rsidR="007D47A4">
        <w:t xml:space="preserve"> implement swing pricing should </w:t>
      </w:r>
      <w:r w:rsidR="00222028">
        <w:t xml:space="preserve">develop a specific </w:t>
      </w:r>
      <w:r w:rsidR="00491BD5">
        <w:t xml:space="preserve">disclosure policy towards retail investors, provided in a manner and language that ensures </w:t>
      </w:r>
      <w:r w:rsidR="000A0B45">
        <w:t>the investor’s understanding of the mechanism and its impact on their investment.</w:t>
      </w:r>
    </w:p>
    <w:permEnd w:id="1116297390"/>
    <w:p w14:paraId="6F5AED05" w14:textId="77777777" w:rsidR="00BD39E2" w:rsidRDefault="00BD39E2" w:rsidP="00BD39E2">
      <w:r>
        <w:lastRenderedPageBreak/>
        <w:t>&lt;ESMA_QUESTION_GLMT_33&gt;</w:t>
      </w:r>
    </w:p>
    <w:p w14:paraId="0E43C5C4" w14:textId="77777777" w:rsidR="00BD39E2" w:rsidRDefault="00BD39E2" w:rsidP="00BD39E2"/>
    <w:p w14:paraId="5906A7E0"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principles that a manager should follow in order to recalibrate the swing factor? Is there any other criteria that should be considered?</w:t>
      </w:r>
    </w:p>
    <w:p w14:paraId="6F6314A3" w14:textId="77777777" w:rsidR="00BD39E2" w:rsidRDefault="00BD39E2" w:rsidP="00BD39E2">
      <w:r>
        <w:t>&lt;ESMA_QUESTION_GLMT_34&gt;</w:t>
      </w:r>
    </w:p>
    <w:p w14:paraId="471BB05E" w14:textId="687DD861" w:rsidR="00BD39E2" w:rsidRDefault="00404568" w:rsidP="00BD39E2">
      <w:permStart w:id="783825814" w:edGrp="everyone"/>
      <w:r>
        <w:t>Besides our abovementioned misgivings about ADTs in general, we note that</w:t>
      </w:r>
      <w:r w:rsidR="009F6F0E">
        <w:t xml:space="preserve">, considering the length and general complexity of the average prospectus, </w:t>
      </w:r>
      <w:r w:rsidR="003B0C0A">
        <w:t xml:space="preserve">we hardly consider it to be the most appropriate medium to convey a clear description of the </w:t>
      </w:r>
      <w:r w:rsidR="0001448B">
        <w:t>recalibration framework to investors. A description of the recalibration framework obviously needs to be included in the prospectus, but</w:t>
      </w:r>
      <w:r w:rsidR="0048736B">
        <w:t>, at least where a fund is distributed to retail investors, we</w:t>
      </w:r>
      <w:r w:rsidR="00231FA3">
        <w:t xml:space="preserve"> argue that a </w:t>
      </w:r>
      <w:r w:rsidR="00F0776F">
        <w:t>clear and concise description</w:t>
      </w:r>
      <w:r w:rsidR="00231FA3">
        <w:t xml:space="preserve"> of the whole swing pricing system implemented by the fund manage</w:t>
      </w:r>
      <w:r w:rsidR="00F0776F">
        <w:t xml:space="preserve">r, written in plain language and using </w:t>
      </w:r>
      <w:r w:rsidR="00DB5878">
        <w:t xml:space="preserve">appropriate visuals should be made available </w:t>
      </w:r>
      <w:r w:rsidR="0079510F">
        <w:t xml:space="preserve">to retail investors. </w:t>
      </w:r>
      <w:r w:rsidR="00201162">
        <w:t xml:space="preserve">Considering how ADTs constitute additional costs for the investor, we argue that </w:t>
      </w:r>
      <w:r w:rsidR="00E92BA1">
        <w:t xml:space="preserve">such a description of their concrete implementations and likely impact for the retail investor should be provided </w:t>
      </w:r>
      <w:r w:rsidR="006108E8">
        <w:t xml:space="preserve">on the fund </w:t>
      </w:r>
      <w:r w:rsidR="00041ED3">
        <w:t>manager’s website, and a link to that information included in the cost and charges section of the Key Information Document of the fund.</w:t>
      </w:r>
    </w:p>
    <w:permEnd w:id="783825814"/>
    <w:p w14:paraId="0C49E96F" w14:textId="77777777" w:rsidR="00BD39E2" w:rsidRDefault="00BD39E2" w:rsidP="00BD39E2">
      <w:r>
        <w:t>&lt;ESMA_QUESTION_GLMT_34&gt;</w:t>
      </w:r>
    </w:p>
    <w:p w14:paraId="0A8CEE4A" w14:textId="77777777" w:rsidR="00BD39E2" w:rsidRDefault="00BD39E2" w:rsidP="00BD39E2"/>
    <w:p w14:paraId="5B9E51BE"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proposed guidance on the calibration of swing pricing?</w:t>
      </w:r>
    </w:p>
    <w:p w14:paraId="63B2BD17" w14:textId="77777777" w:rsidR="00BD39E2" w:rsidRDefault="00BD39E2" w:rsidP="00BD39E2">
      <w:r>
        <w:t>&lt;ESMA_QUESTION_GLMT_35&gt;</w:t>
      </w:r>
    </w:p>
    <w:p w14:paraId="015ED850" w14:textId="64423AD3" w:rsidR="00F40746" w:rsidRDefault="005E6FFE" w:rsidP="00BD39E2">
      <w:permStart w:id="1171290131" w:edGrp="everyone"/>
      <w:r>
        <w:t xml:space="preserve">Where a fund </w:t>
      </w:r>
      <w:r w:rsidR="00F4748B">
        <w:t xml:space="preserve">implementing swing pricing is distributed to retail investors, </w:t>
      </w:r>
      <w:r w:rsidR="00F40746">
        <w:t>communication</w:t>
      </w:r>
      <w:r w:rsidR="00C8662D">
        <w:t xml:space="preserve"> “through the usual communication channels” </w:t>
      </w:r>
      <w:r w:rsidR="00F40746">
        <w:t>such as</w:t>
      </w:r>
      <w:r w:rsidR="00C8662D">
        <w:t xml:space="preserve"> the ordinary notice to investors or the fund’s website</w:t>
      </w:r>
      <w:r w:rsidR="00F40746">
        <w:t xml:space="preserve"> hardly constitute effective ways to reach </w:t>
      </w:r>
      <w:r w:rsidR="00F04E65">
        <w:t xml:space="preserve">those retail investors in a timely manner to inform them about a change in the conditions of their investment that may have substantial </w:t>
      </w:r>
      <w:r w:rsidR="00E10F5D">
        <w:t>impacts. We argue that for funds that are distributed to retail investors</w:t>
      </w:r>
      <w:r w:rsidR="00C165F2">
        <w:t>, directly or indirectly through unit-linked wrappers</w:t>
      </w:r>
      <w:r w:rsidR="00E10F5D">
        <w:t xml:space="preserve">, the guidelines should require </w:t>
      </w:r>
      <w:r w:rsidR="00D01943">
        <w:t xml:space="preserve">the fund manager to prepare a communication plan enabling them to </w:t>
      </w:r>
      <w:r w:rsidR="0041464E">
        <w:t xml:space="preserve">proactively inform the retail investors </w:t>
      </w:r>
      <w:r w:rsidR="00A42214">
        <w:t>(e.g., by email of text message) and give them the opportunity to request more information.</w:t>
      </w:r>
    </w:p>
    <w:permEnd w:id="1171290131"/>
    <w:p w14:paraId="1B890C71" w14:textId="776BE5E1" w:rsidR="00BD39E2" w:rsidRDefault="00BD39E2" w:rsidP="00BD39E2">
      <w:r>
        <w:t>&lt;ESMA_QUESTION_GLMT_35&gt;</w:t>
      </w:r>
    </w:p>
    <w:p w14:paraId="73AF0B69" w14:textId="77777777" w:rsidR="00BD39E2" w:rsidRDefault="00BD39E2" w:rsidP="00BD39E2"/>
    <w:p w14:paraId="1D55BC79"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As dual pricing is a LMT which is not particularly used in most Member States, stakeholders’ feedback on the selection, activation and calibration of this LMT is especially sought from those jurisdictions where this is used. </w:t>
      </w:r>
    </w:p>
    <w:p w14:paraId="7D2C3536" w14:textId="77777777" w:rsidR="00BD39E2" w:rsidRDefault="00BD39E2" w:rsidP="00BD39E2">
      <w:r>
        <w:t>&lt;ESMA_QUESTION_GLMT_36&gt;</w:t>
      </w:r>
    </w:p>
    <w:p w14:paraId="24024EDB" w14:textId="228339B5" w:rsidR="00BD39E2" w:rsidRDefault="0079529D" w:rsidP="00BD39E2">
      <w:permStart w:id="583302823" w:edGrp="everyone"/>
      <w:r>
        <w:t>See our comments on dual pricing in our response to the consultation paper on the draft RTS on LMTs for UCITS and AIFs.</w:t>
      </w:r>
    </w:p>
    <w:permEnd w:id="583302823"/>
    <w:p w14:paraId="0797F351" w14:textId="77777777" w:rsidR="00BD39E2" w:rsidRDefault="00BD39E2" w:rsidP="00BD39E2">
      <w:r>
        <w:t>&lt;ESMA_QUESTION_GLMT_36&gt;</w:t>
      </w:r>
    </w:p>
    <w:p w14:paraId="6B5E100A" w14:textId="77777777" w:rsidR="00BD39E2" w:rsidRDefault="00BD39E2" w:rsidP="00BD39E2"/>
    <w:p w14:paraId="129A3085"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ADL? Is there any other criteria that should be considered?</w:t>
      </w:r>
    </w:p>
    <w:p w14:paraId="40440C8C" w14:textId="77777777" w:rsidR="00BD39E2" w:rsidRDefault="00BD39E2" w:rsidP="00BD39E2">
      <w:r>
        <w:t>&lt;ESMA_QUESTION_GLMT_37&gt;</w:t>
      </w:r>
    </w:p>
    <w:p w14:paraId="0DA23379" w14:textId="2B69D1B4" w:rsidR="00BD39E2" w:rsidRPr="002F292A" w:rsidRDefault="00F14DD0" w:rsidP="00BD39E2">
      <w:permStart w:id="1405182470" w:edGrp="everyone"/>
      <w:r>
        <w:t xml:space="preserve">We generally agree, but </w:t>
      </w:r>
      <w:r w:rsidR="00D361DC">
        <w:t xml:space="preserve">here too would call for adding a criterion about the fund manager’s proven track record of accurately assessing the cost of liquidity arising </w:t>
      </w:r>
      <w:r w:rsidR="00CE3155">
        <w:t xml:space="preserve">from subscriptions / redemptions on a given dealing date. Furthermore, besides </w:t>
      </w:r>
      <w:r w:rsidR="009F2422">
        <w:t>listing the funds for which ADLs may be appropriate, we believe it would be useful to indicate</w:t>
      </w:r>
      <w:r w:rsidR="002F292A">
        <w:t xml:space="preserve"> funds for which ADLs would generally </w:t>
      </w:r>
      <w:r w:rsidR="002F292A">
        <w:rPr>
          <w:i/>
          <w:iCs/>
        </w:rPr>
        <w:t>not</w:t>
      </w:r>
      <w:r w:rsidR="002F292A">
        <w:t xml:space="preserve"> be appropriate.</w:t>
      </w:r>
    </w:p>
    <w:permEnd w:id="1405182470"/>
    <w:p w14:paraId="229D6FEB" w14:textId="77777777" w:rsidR="00BD39E2" w:rsidRDefault="00BD39E2" w:rsidP="00BD39E2">
      <w:r>
        <w:t>&lt;ESMA_QUESTION_GLMT_37&gt;</w:t>
      </w:r>
    </w:p>
    <w:p w14:paraId="0CDB3E60" w14:textId="77777777" w:rsidR="00BD39E2" w:rsidRDefault="00BD39E2" w:rsidP="00BD39E2"/>
    <w:p w14:paraId="51F49E9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ADL? Is there any other criteria that should be considered?</w:t>
      </w:r>
    </w:p>
    <w:p w14:paraId="3075367D" w14:textId="77777777" w:rsidR="00BD39E2" w:rsidRDefault="00BD39E2" w:rsidP="00BD39E2">
      <w:r>
        <w:t>&lt;ESMA_QUESTION_GLMT_38&gt;</w:t>
      </w:r>
    </w:p>
    <w:p w14:paraId="1BB82A43" w14:textId="38614A37" w:rsidR="00BD39E2" w:rsidRDefault="004E1E05" w:rsidP="00BD39E2">
      <w:permStart w:id="874538305" w:edGrp="everyone"/>
      <w:r>
        <w:t>As with redemption fees, we believe</w:t>
      </w:r>
      <w:r w:rsidR="00EF7DB9">
        <w:t xml:space="preserve"> that activation criteria of ADLs should be set so that they exempt </w:t>
      </w:r>
      <w:r w:rsidR="00605A42">
        <w:t xml:space="preserve">regular transactions—those </w:t>
      </w:r>
      <w:r w:rsidR="000514A9">
        <w:t>of average size and that can be reasonably expected and anticipated by the fund manager—</w:t>
      </w:r>
      <w:r w:rsidR="00605A42">
        <w:t>from this additional charge.</w:t>
      </w:r>
      <w:r w:rsidR="00B218C2">
        <w:t xml:space="preserve"> If the aim is indeed to “discourage[e] short-term trading behaviours and protect[…] the interests of long-term investors”, then </w:t>
      </w:r>
      <w:r w:rsidR="00BE0820">
        <w:t>those transactions that reveal a long-term orientation should be exempt.</w:t>
      </w:r>
    </w:p>
    <w:permEnd w:id="874538305"/>
    <w:p w14:paraId="0339FF72" w14:textId="77777777" w:rsidR="00BD39E2" w:rsidRDefault="00BD39E2" w:rsidP="00BD39E2">
      <w:r>
        <w:t>&lt;ESMA_QUESTION_GLMT_38&gt;</w:t>
      </w:r>
    </w:p>
    <w:p w14:paraId="6309673E" w14:textId="77777777" w:rsidR="00BD39E2" w:rsidRDefault="00BD39E2" w:rsidP="00BD39E2"/>
    <w:p w14:paraId="7ACAA384"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that ADL should be calibrated based on the same factor used to calibrate swing factors?</w:t>
      </w:r>
    </w:p>
    <w:p w14:paraId="4AF008AC" w14:textId="77777777" w:rsidR="00BD39E2" w:rsidRDefault="00BD39E2" w:rsidP="00BD39E2">
      <w:r>
        <w:t>&lt;ESMA_QUESTION_GLMT_39&gt;</w:t>
      </w:r>
    </w:p>
    <w:p w14:paraId="758982ED" w14:textId="64DC81AC" w:rsidR="00BD39E2" w:rsidRDefault="00BC6882" w:rsidP="00BD39E2">
      <w:permStart w:id="1860074049" w:edGrp="everyone"/>
      <w:r>
        <w:t>No comment on this question.</w:t>
      </w:r>
    </w:p>
    <w:permEnd w:id="1860074049"/>
    <w:p w14:paraId="3770B323" w14:textId="77777777" w:rsidR="00BD39E2" w:rsidRDefault="00BD39E2" w:rsidP="00BD39E2">
      <w:r>
        <w:t>&lt;ESMA_QUESTION_GLMT_39&gt;</w:t>
      </w:r>
    </w:p>
    <w:p w14:paraId="79951510" w14:textId="77777777" w:rsidR="00BD39E2" w:rsidRDefault="00BD39E2" w:rsidP="00BD39E2"/>
    <w:p w14:paraId="6755EE5D"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selection, activation and calibration of ADL?</w:t>
      </w:r>
    </w:p>
    <w:p w14:paraId="66A640D2" w14:textId="77777777" w:rsidR="00BD39E2" w:rsidRDefault="00BD39E2" w:rsidP="00BD39E2">
      <w:r>
        <w:t>&lt;ESMA_QUESTION_GLMT_40&gt;</w:t>
      </w:r>
    </w:p>
    <w:p w14:paraId="1EAC274B" w14:textId="77777777" w:rsidR="00CA5450" w:rsidRDefault="00802C60" w:rsidP="00BD39E2">
      <w:permStart w:id="758806793" w:edGrp="everyone"/>
      <w:r>
        <w:t xml:space="preserve">We would like to reiterate that </w:t>
      </w:r>
      <w:r w:rsidR="005D059D">
        <w:t xml:space="preserve">ADTs should never be activated simultaneously, as this would lead </w:t>
      </w:r>
      <w:r w:rsidR="002E5F01">
        <w:t>to double-charging of investors for the cost of liquidity</w:t>
      </w:r>
      <w:r w:rsidR="00EC1CC4">
        <w:t>.</w:t>
      </w:r>
      <w:r w:rsidR="002E5F01">
        <w:t xml:space="preserve"> </w:t>
      </w:r>
    </w:p>
    <w:p w14:paraId="1311ACBB" w14:textId="3E86C172" w:rsidR="00BD39E2" w:rsidRDefault="00EC1CC4" w:rsidP="00BD39E2">
      <w:r>
        <w:t>W</w:t>
      </w:r>
      <w:r w:rsidR="002E5F01">
        <w:t>e would</w:t>
      </w:r>
      <w:r w:rsidR="00CA5450">
        <w:t xml:space="preserve"> also</w:t>
      </w:r>
      <w:r w:rsidR="002E5F01">
        <w:t xml:space="preserve"> like to reiterate that these tool</w:t>
      </w:r>
      <w:r w:rsidR="008513E3">
        <w:t>s</w:t>
      </w:r>
      <w:r w:rsidR="000C4296">
        <w:t xml:space="preserve"> rely on the fund manager’s ability to accurately estimate the cost of liquidity arising from </w:t>
      </w:r>
      <w:r w:rsidR="00205580">
        <w:t xml:space="preserve">subscription or redemption orders on a given dealing date, </w:t>
      </w:r>
      <w:r>
        <w:t xml:space="preserve">an ability which is far from universal in the asset management industry: </w:t>
      </w:r>
      <w:r w:rsidR="00CA5450">
        <w:t>the possibility to use ADTs in general should therefore be made conditional upon the manager demonstrating their track record in this area.</w:t>
      </w:r>
    </w:p>
    <w:p w14:paraId="37B81E86" w14:textId="4BB0E442" w:rsidR="00CA5450" w:rsidRDefault="00CA5450" w:rsidP="00BD39E2">
      <w:r>
        <w:t xml:space="preserve">Finally, </w:t>
      </w:r>
      <w:r w:rsidR="00605EF4">
        <w:t xml:space="preserve">we stress the importance of providing information about these tools to retail investors in a </w:t>
      </w:r>
      <w:r w:rsidR="00393697">
        <w:t>manner that makes it easily accessible and intelligible to them</w:t>
      </w:r>
      <w:r w:rsidR="00CE002F">
        <w:t xml:space="preserve"> and ensures to the extent possible that they understand the impact of these tools on their investments.</w:t>
      </w:r>
    </w:p>
    <w:permEnd w:id="758806793"/>
    <w:p w14:paraId="281C3FC0" w14:textId="77777777" w:rsidR="00BD39E2" w:rsidRDefault="00BD39E2" w:rsidP="00BD39E2">
      <w:r>
        <w:t>&lt;ESMA_QUESTION_GLMT_40&gt;</w:t>
      </w:r>
    </w:p>
    <w:p w14:paraId="5EC67CF8" w14:textId="77777777" w:rsidR="00BD39E2" w:rsidRDefault="00BD39E2" w:rsidP="00BD39E2"/>
    <w:p w14:paraId="7FB5163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definition of “exceptional circumstances”? Can you provide examples of additional exceptional circumstances, not included under the above paragraph?</w:t>
      </w:r>
    </w:p>
    <w:p w14:paraId="61228AA2" w14:textId="77777777" w:rsidR="00BD39E2" w:rsidRDefault="00BD39E2" w:rsidP="00BD39E2">
      <w:r>
        <w:t>&lt;ESMA_QUESTION_GLMT_41&gt;</w:t>
      </w:r>
    </w:p>
    <w:p w14:paraId="052D417F" w14:textId="7CCF638D" w:rsidR="00BD39E2" w:rsidRDefault="00A4382A" w:rsidP="00BD39E2">
      <w:permStart w:id="879575075" w:edGrp="everyone"/>
      <w:r>
        <w:t xml:space="preserve">We agree with the definition of </w:t>
      </w:r>
      <w:r w:rsidR="00D80D2A">
        <w:t>“exceptional circumstances”.</w:t>
      </w:r>
    </w:p>
    <w:permEnd w:id="879575075"/>
    <w:p w14:paraId="3436540B" w14:textId="77777777" w:rsidR="00BD39E2" w:rsidRDefault="00BD39E2" w:rsidP="00BD39E2">
      <w:r>
        <w:t>&lt;ESMA_QUESTION_GLMT_41&gt;</w:t>
      </w:r>
    </w:p>
    <w:p w14:paraId="2342F899" w14:textId="77777777" w:rsidR="00BD39E2" w:rsidRDefault="00BD39E2" w:rsidP="00BD39E2"/>
    <w:p w14:paraId="5B47CDD0" w14:textId="77777777" w:rsidR="00BD39E2" w:rsidRDefault="00BD39E2" w:rsidP="00BD39E2">
      <w:pPr>
        <w:pStyle w:val="Questionstyle"/>
        <w:numPr>
          <w:ilvl w:val="0"/>
          <w:numId w:val="14"/>
        </w:numPr>
        <w:tabs>
          <w:tab w:val="clear" w:pos="567"/>
        </w:tabs>
        <w:spacing w:after="240" w:line="256" w:lineRule="auto"/>
        <w:ind w:left="851" w:hanging="851"/>
      </w:pPr>
      <w:r>
        <w:lastRenderedPageBreak/>
        <w:t>In your view, how the different types of side pockets (physical segregation vs. accounting segregation ) should be calibrated and in which circumstances one should be chosen over the other? Please provide examples including on whether the guidance should be different for UCITS and AIFs.</w:t>
      </w:r>
    </w:p>
    <w:p w14:paraId="6CAF824C" w14:textId="77777777" w:rsidR="00BD39E2" w:rsidRDefault="00BD39E2" w:rsidP="00BD39E2">
      <w:r>
        <w:t>&lt;ESMA_QUESTION_GLMT_42&gt;</w:t>
      </w:r>
    </w:p>
    <w:p w14:paraId="2426805E" w14:textId="744770E2" w:rsidR="00BD39E2" w:rsidRDefault="00BC6882" w:rsidP="00BD39E2">
      <w:permStart w:id="945715279" w:edGrp="everyone"/>
      <w:r>
        <w:t>No comment on this question.</w:t>
      </w:r>
    </w:p>
    <w:permEnd w:id="945715279"/>
    <w:p w14:paraId="74175935" w14:textId="77777777" w:rsidR="00BD39E2" w:rsidRDefault="00BD39E2" w:rsidP="00BD39E2">
      <w:r>
        <w:t>&lt;ESMA_QUESTION_GLMT_42&gt;</w:t>
      </w:r>
    </w:p>
    <w:p w14:paraId="3EC635E6" w14:textId="77777777" w:rsidR="00BD39E2" w:rsidRDefault="00BD39E2" w:rsidP="00BD39E2"/>
    <w:p w14:paraId="550E84E8"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calibration of side pockets?</w:t>
      </w:r>
    </w:p>
    <w:p w14:paraId="290D95A5" w14:textId="77777777" w:rsidR="00BD39E2" w:rsidRDefault="00BD39E2" w:rsidP="00BD39E2">
      <w:r>
        <w:t>&lt;ESMA_QUESTION_GLMT_43&gt;</w:t>
      </w:r>
    </w:p>
    <w:p w14:paraId="09329ADC" w14:textId="0916A0E1" w:rsidR="00BD39E2" w:rsidRDefault="00BC6882" w:rsidP="00BD39E2">
      <w:permStart w:id="267662713" w:edGrp="everyone"/>
      <w:r>
        <w:t>No comment on this question.</w:t>
      </w:r>
    </w:p>
    <w:permEnd w:id="267662713"/>
    <w:p w14:paraId="756B9B12" w14:textId="77777777" w:rsidR="00BD39E2" w:rsidRDefault="00BD39E2" w:rsidP="00BD39E2">
      <w:r>
        <w:t>&lt;ESMA_QUESTION_GLMT_43&gt;</w:t>
      </w:r>
    </w:p>
    <w:p w14:paraId="3C2907BC" w14:textId="77777777" w:rsidR="00BD39E2" w:rsidRDefault="00BD39E2" w:rsidP="00BD39E2"/>
    <w:p w14:paraId="0D1A9D6D"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 on the proposed guidance on disclosure to investors? </w:t>
      </w:r>
    </w:p>
    <w:p w14:paraId="5116282D" w14:textId="77777777" w:rsidR="00BD39E2" w:rsidRDefault="00BD39E2" w:rsidP="00BD39E2">
      <w:r>
        <w:t>&lt;ESMA_QUESTION_GLMT_44&gt;</w:t>
      </w:r>
    </w:p>
    <w:p w14:paraId="5A102E6C" w14:textId="0094151C" w:rsidR="00BD39E2" w:rsidRDefault="00F84556" w:rsidP="00BD39E2">
      <w:permStart w:id="1101475087" w:edGrp="everyone"/>
      <w:r>
        <w:t>Disclosures to investors should take into account the characteristics of the investor base of the fund: where a fund is distributed to retail investors, directly or indirectly</w:t>
      </w:r>
      <w:r w:rsidR="00916308">
        <w:t xml:space="preserve">, disclosures though the prospectus or articles of incorporation are unlikely to be effective in making investors aware of the existence and use of these tools. </w:t>
      </w:r>
      <w:r w:rsidR="00D03B8C">
        <w:t xml:space="preserve">Managers whose funds are distributed to retail investors should additionally provide a </w:t>
      </w:r>
      <w:r w:rsidR="00611208">
        <w:t>plan-language explanation of their LMT policies</w:t>
      </w:r>
      <w:r w:rsidR="000C5A2E">
        <w:t xml:space="preserve">, with appropriate visual supports and a clear explanation of the potential impact of the use of these tools on the total cost of investing </w:t>
      </w:r>
      <w:r w:rsidR="007A39C9">
        <w:t>in the fund and availability of capital for the retail investor.</w:t>
      </w:r>
    </w:p>
    <w:permEnd w:id="1101475087"/>
    <w:p w14:paraId="39D1CA8A" w14:textId="77777777" w:rsidR="00BD39E2" w:rsidRDefault="00BD39E2" w:rsidP="00BD39E2">
      <w:r>
        <w:t>&lt;ESMA_QUESTION_GLMT_44&gt;</w:t>
      </w:r>
    </w:p>
    <w:p w14:paraId="4053D9CA" w14:textId="77777777" w:rsidR="00BD39E2" w:rsidRDefault="00BD39E2" w:rsidP="00BD39E2"/>
    <w:p w14:paraId="6BD6E310" w14:textId="77777777" w:rsidR="00BD39E2" w:rsidRDefault="00BD39E2" w:rsidP="00BD39E2">
      <w:pPr>
        <w:pStyle w:val="Questionstyle"/>
        <w:numPr>
          <w:ilvl w:val="0"/>
          <w:numId w:val="14"/>
        </w:numPr>
        <w:tabs>
          <w:tab w:val="clear" w:pos="567"/>
        </w:tabs>
        <w:spacing w:after="240" w:line="256" w:lineRule="auto"/>
        <w:ind w:left="851" w:hanging="851"/>
      </w:pPr>
      <w:r>
        <w:t>Do you agree that investors should be informed of the fact that the manager can activate selected and available LMTs and that this information should be included in the fund’s rules and instruments of incorporation?</w:t>
      </w:r>
    </w:p>
    <w:p w14:paraId="2DD1BDFF" w14:textId="77777777" w:rsidR="00BD39E2" w:rsidRDefault="00BD39E2" w:rsidP="00BD39E2">
      <w:r>
        <w:lastRenderedPageBreak/>
        <w:t>&lt;ESMA_QUESTION_GLMT_45&gt;</w:t>
      </w:r>
    </w:p>
    <w:p w14:paraId="6272A9BD" w14:textId="2D5CE1F4" w:rsidR="00BD39E2" w:rsidRDefault="00444554" w:rsidP="00BD39E2">
      <w:permStart w:id="427053692" w:edGrp="everyone"/>
      <w:r>
        <w:t xml:space="preserve">Yes, we definitely agree, and would like to add that, where a fund is distributed to retail investors, this information should also be included in the Key Information Document, with a link </w:t>
      </w:r>
      <w:r w:rsidR="0043335E">
        <w:t>towards a plan-language explanation of the fund’s LMT policy on the fund’s website.</w:t>
      </w:r>
    </w:p>
    <w:permEnd w:id="427053692"/>
    <w:p w14:paraId="63E6AA26" w14:textId="77777777" w:rsidR="00BD39E2" w:rsidRDefault="00BD39E2" w:rsidP="00BD39E2">
      <w:r>
        <w:t>&lt;ESMA_QUESTION_GLMT_45&gt;</w:t>
      </w:r>
    </w:p>
    <w:p w14:paraId="231A62A0" w14:textId="77777777" w:rsidR="00BD39E2" w:rsidRDefault="00BD39E2" w:rsidP="00BD39E2"/>
    <w:p w14:paraId="46466067" w14:textId="77777777" w:rsidR="00BD39E2" w:rsidRDefault="00BD39E2" w:rsidP="00BD39E2">
      <w:pPr>
        <w:pStyle w:val="Questionstyle"/>
        <w:numPr>
          <w:ilvl w:val="0"/>
          <w:numId w:val="14"/>
        </w:numPr>
        <w:tabs>
          <w:tab w:val="clear" w:pos="567"/>
        </w:tabs>
        <w:spacing w:after="240" w:line="256" w:lineRule="auto"/>
        <w:ind w:left="851" w:hanging="851"/>
      </w:pPr>
      <w:r>
        <w:t xml:space="preserve">Which parts of the LMT policy, if any, should be disclosed to investors? </w:t>
      </w:r>
    </w:p>
    <w:p w14:paraId="14ED25D0" w14:textId="77777777" w:rsidR="00BD39E2" w:rsidRDefault="00BD39E2" w:rsidP="00BD39E2">
      <w:r>
        <w:t>&lt;ESMA_QUESTION_GLMT_46&gt;</w:t>
      </w:r>
    </w:p>
    <w:p w14:paraId="68D06098" w14:textId="69865C40" w:rsidR="00BD39E2" w:rsidRDefault="00A2356C" w:rsidP="00BD39E2">
      <w:permStart w:id="300170984" w:edGrp="everyone"/>
      <w:r>
        <w:t>Any information</w:t>
      </w:r>
      <w:r w:rsidR="00361AE0">
        <w:t xml:space="preserve"> about the LMT policy</w:t>
      </w:r>
      <w:r>
        <w:t xml:space="preserve"> that does not risk </w:t>
      </w:r>
      <w:r w:rsidR="00361AE0">
        <w:t>creating a first-mover advantage (e.g. activation thresholds) should be disclosed</w:t>
      </w:r>
      <w:r w:rsidR="005700AD">
        <w:t xml:space="preserve"> to investors.</w:t>
      </w:r>
    </w:p>
    <w:permEnd w:id="300170984"/>
    <w:p w14:paraId="1D16A4BA" w14:textId="77777777" w:rsidR="00BD39E2" w:rsidRDefault="00BD39E2" w:rsidP="00BD39E2">
      <w:r>
        <w:t>&lt;ESMA_QUESTION_GLMT_46&gt;</w:t>
      </w:r>
    </w:p>
    <w:p w14:paraId="08BA3091" w14:textId="77777777" w:rsidR="00BD39E2" w:rsidRDefault="00BD39E2" w:rsidP="00BD39E2"/>
    <w:p w14:paraId="69E5D89B" w14:textId="77777777" w:rsidR="00BD39E2" w:rsidRDefault="00BD39E2" w:rsidP="00BD39E2">
      <w:pPr>
        <w:pStyle w:val="Questionstyle"/>
        <w:numPr>
          <w:ilvl w:val="0"/>
          <w:numId w:val="14"/>
        </w:numPr>
        <w:tabs>
          <w:tab w:val="clear" w:pos="567"/>
        </w:tabs>
        <w:spacing w:after="240" w:line="256" w:lineRule="auto"/>
        <w:ind w:left="851" w:hanging="851"/>
      </w:pPr>
      <w:r>
        <w:t>In your view, how much time would managers need for adaptation before they apply the guidelines, in particular for existing funds?</w:t>
      </w:r>
    </w:p>
    <w:p w14:paraId="31B39969" w14:textId="77777777" w:rsidR="00BD39E2" w:rsidRDefault="00BD39E2" w:rsidP="00BD39E2">
      <w:r>
        <w:t>&lt;ESMA_QUESTION_GLMT_47&gt;</w:t>
      </w:r>
    </w:p>
    <w:p w14:paraId="52112896" w14:textId="4A9A3F09" w:rsidR="00BD39E2" w:rsidRDefault="00BC6882" w:rsidP="00BD39E2">
      <w:permStart w:id="1273299412" w:edGrp="everyone"/>
      <w:r>
        <w:t>No comment on this question.</w:t>
      </w:r>
    </w:p>
    <w:permEnd w:id="1273299412"/>
    <w:p w14:paraId="774EDB5B" w14:textId="77777777" w:rsidR="00BD39E2" w:rsidRDefault="00BD39E2" w:rsidP="00BD39E2">
      <w:r>
        <w:t>&lt;ESMA_QUESTION_GLMT_47&gt;</w:t>
      </w:r>
    </w:p>
    <w:p w14:paraId="27421C3C" w14:textId="77777777" w:rsidR="00BD39E2" w:rsidRDefault="00BD39E2" w:rsidP="00BD39E2"/>
    <w:p w14:paraId="2E41EC1C"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select, activate and calibrate LMTs? Which other types of costs or benefits would you consider in that context?</w:t>
      </w:r>
    </w:p>
    <w:p w14:paraId="320BBE7F" w14:textId="77777777" w:rsidR="00BD39E2" w:rsidRDefault="00BD39E2" w:rsidP="00BD39E2">
      <w:r>
        <w:t>&lt;ESMA_QUESTION_GLMT_48&gt;</w:t>
      </w:r>
    </w:p>
    <w:p w14:paraId="0797DD31" w14:textId="0E46E3DE" w:rsidR="00BD39E2" w:rsidRDefault="00BC6882" w:rsidP="00BD39E2">
      <w:permStart w:id="77621027" w:edGrp="everyone"/>
      <w:r>
        <w:t>No comment on this question.</w:t>
      </w:r>
    </w:p>
    <w:permEnd w:id="77621027"/>
    <w:p w14:paraId="680D461D" w14:textId="77777777" w:rsidR="00BD39E2" w:rsidRDefault="00BD39E2" w:rsidP="00BD39E2">
      <w:r>
        <w:t>&lt;ESMA_QUESTION_GLMT_48&gt;</w:t>
      </w:r>
    </w:p>
    <w:p w14:paraId="6047B1E8" w14:textId="77777777" w:rsidR="00BD39E2" w:rsidRDefault="00BD39E2" w:rsidP="00BD39E2"/>
    <w:p w14:paraId="3980F64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Default="00BD39E2" w:rsidP="00BD39E2">
      <w:r>
        <w:t>&lt;ESMA_QUESTION_GLMT_49&gt;</w:t>
      </w:r>
    </w:p>
    <w:p w14:paraId="5FBFACEC" w14:textId="688666B1" w:rsidR="00BD39E2" w:rsidRDefault="00BC6882" w:rsidP="00BD39E2">
      <w:permStart w:id="1654664050" w:edGrp="everyone"/>
      <w:r>
        <w:t>No comment on this question.</w:t>
      </w:r>
    </w:p>
    <w:permEnd w:id="1654664050"/>
    <w:p w14:paraId="5759B96B" w14:textId="77777777" w:rsidR="00BD39E2" w:rsidRDefault="00BD39E2" w:rsidP="00BD39E2">
      <w:r>
        <w:t>&lt;ESMA_QUESTION_GLMT_49&gt;</w:t>
      </w:r>
    </w:p>
    <w:p w14:paraId="282B15FD" w14:textId="77777777" w:rsidR="00BD39E2" w:rsidRDefault="00BD39E2" w:rsidP="00BD39E2"/>
    <w:p w14:paraId="17F755C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Default="00BD39E2" w:rsidP="00BD39E2">
      <w:r>
        <w:t>&lt;ESMA_QUESTION_GLMT_50&gt;</w:t>
      </w:r>
    </w:p>
    <w:p w14:paraId="10B1AD7F" w14:textId="44494CA5" w:rsidR="00BD39E2" w:rsidRDefault="00BC6882" w:rsidP="00BD39E2">
      <w:permStart w:id="405822957" w:edGrp="everyone"/>
      <w:r>
        <w:t>No comment on this question.</w:t>
      </w:r>
    </w:p>
    <w:permEnd w:id="405822957"/>
    <w:p w14:paraId="0B598ACD" w14:textId="77777777" w:rsidR="00BD39E2" w:rsidRDefault="00BD39E2" w:rsidP="00BD39E2">
      <w:r>
        <w:t>&lt;ESMA_QUESTION_GLMT_50&gt;</w:t>
      </w:r>
    </w:p>
    <w:p w14:paraId="052E8DA7" w14:textId="77777777" w:rsidR="00BD39E2" w:rsidRDefault="00BD39E2" w:rsidP="00BD39E2"/>
    <w:p w14:paraId="65FCF577" w14:textId="77777777" w:rsidR="00BD39E2" w:rsidRDefault="00BD39E2" w:rsidP="00BD39E2">
      <w:pPr>
        <w:pStyle w:val="Questionstyle"/>
        <w:spacing w:after="240" w:line="256" w:lineRule="auto"/>
        <w:ind w:left="0" w:firstLine="0"/>
      </w:pPr>
      <w:r>
        <w:rPr>
          <w:rFonts w:ascii="Arial" w:hAnsi="Arial" w:cs="Arial"/>
          <w:b w:val="0"/>
          <w:lang w:val="en-US"/>
        </w:rPr>
        <w:br w:type="page"/>
      </w:r>
    </w:p>
    <w:p w14:paraId="3461C01B" w14:textId="77777777" w:rsidR="00BD39E2" w:rsidRDefault="00BD39E2" w:rsidP="00BD39E2"/>
    <w:p w14:paraId="2513988A" w14:textId="77777777" w:rsidR="00BD39E2" w:rsidRDefault="00BD39E2" w:rsidP="00BD39E2"/>
    <w:p w14:paraId="04595985" w14:textId="3EBFBF7B" w:rsidR="00B15C0B" w:rsidRPr="00C5469A" w:rsidRDefault="00B15C0B" w:rsidP="00B15C0B"/>
    <w:sectPr w:rsidR="00B15C0B" w:rsidRPr="00C5469A" w:rsidSect="00AD0B10">
      <w:headerReference w:type="default" r:id="rId27"/>
      <w:footerReference w:type="default" r:id="rId2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C32B2" w14:textId="77777777" w:rsidR="00F67774" w:rsidRDefault="00F67774" w:rsidP="007E7997">
      <w:pPr>
        <w:spacing w:line="240" w:lineRule="auto"/>
      </w:pPr>
      <w:r>
        <w:separator/>
      </w:r>
    </w:p>
  </w:endnote>
  <w:endnote w:type="continuationSeparator" w:id="0">
    <w:p w14:paraId="012E2600" w14:textId="77777777" w:rsidR="00F67774" w:rsidRDefault="00F67774" w:rsidP="007E7997">
      <w:pPr>
        <w:spacing w:line="240" w:lineRule="auto"/>
      </w:pPr>
      <w:r>
        <w:continuationSeparator/>
      </w:r>
    </w:p>
  </w:endnote>
  <w:endnote w:type="continuationNotice" w:id="1">
    <w:p w14:paraId="2CF67BB5" w14:textId="77777777" w:rsidR="00F67774" w:rsidRDefault="00F6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E5FB" w14:textId="77777777" w:rsidR="00502F15" w:rsidRDefault="00502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D7B4" w14:textId="77777777" w:rsidR="00502F15" w:rsidRDefault="00502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D05D" w14:textId="77777777" w:rsidR="00502F15" w:rsidRDefault="00502F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66E80" w14:textId="77777777" w:rsidR="00F67774" w:rsidRDefault="00F67774" w:rsidP="007E7997">
      <w:pPr>
        <w:spacing w:line="240" w:lineRule="auto"/>
      </w:pPr>
      <w:r>
        <w:separator/>
      </w:r>
    </w:p>
  </w:footnote>
  <w:footnote w:type="continuationSeparator" w:id="0">
    <w:p w14:paraId="7DBD3403" w14:textId="77777777" w:rsidR="00F67774" w:rsidRDefault="00F67774" w:rsidP="007E7997">
      <w:pPr>
        <w:spacing w:line="240" w:lineRule="auto"/>
      </w:pPr>
      <w:r>
        <w:continuationSeparator/>
      </w:r>
    </w:p>
  </w:footnote>
  <w:footnote w:type="continuationNotice" w:id="1">
    <w:p w14:paraId="1F7DD258" w14:textId="77777777" w:rsidR="00F67774" w:rsidRDefault="00F67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E89B" w14:textId="77777777" w:rsidR="00502F15" w:rsidRDefault="00502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89DC" w14:textId="77777777" w:rsidR="00502F15" w:rsidRDefault="00502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6CE9DF27"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Header"/>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C4E4AC9"/>
    <w:multiLevelType w:val="hybridMultilevel"/>
    <w:tmpl w:val="833AD5C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1"/>
  </w:num>
  <w:num w:numId="2" w16cid:durableId="1144354351">
    <w:abstractNumId w:val="4"/>
  </w:num>
  <w:num w:numId="3" w16cid:durableId="1006909420">
    <w:abstractNumId w:val="9"/>
  </w:num>
  <w:num w:numId="4" w16cid:durableId="569996677">
    <w:abstractNumId w:val="3"/>
  </w:num>
  <w:num w:numId="5" w16cid:durableId="807014924">
    <w:abstractNumId w:val="0"/>
  </w:num>
  <w:num w:numId="6" w16cid:durableId="310985182">
    <w:abstractNumId w:val="5"/>
  </w:num>
  <w:num w:numId="7" w16cid:durableId="492061559">
    <w:abstractNumId w:val="13"/>
  </w:num>
  <w:num w:numId="8" w16cid:durableId="2063743978">
    <w:abstractNumId w:val="2"/>
  </w:num>
  <w:num w:numId="9" w16cid:durableId="1378703109">
    <w:abstractNumId w:val="10"/>
  </w:num>
  <w:num w:numId="10" w16cid:durableId="632100844">
    <w:abstractNumId w:val="8"/>
  </w:num>
  <w:num w:numId="11" w16cid:durableId="1573200029">
    <w:abstractNumId w:val="7"/>
  </w:num>
  <w:num w:numId="12" w16cid:durableId="1587836858">
    <w:abstractNumId w:val="7"/>
    <w:lvlOverride w:ilvl="0">
      <w:startOverride w:val="1"/>
    </w:lvlOverride>
  </w:num>
  <w:num w:numId="13" w16cid:durableId="1548224532">
    <w:abstractNumId w:val="1"/>
  </w:num>
  <w:num w:numId="14" w16cid:durableId="50143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456073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9B3"/>
    <w:rsid w:val="00010A1D"/>
    <w:rsid w:val="00010FB2"/>
    <w:rsid w:val="000111A8"/>
    <w:rsid w:val="0001184E"/>
    <w:rsid w:val="00011B38"/>
    <w:rsid w:val="000126F1"/>
    <w:rsid w:val="00012B39"/>
    <w:rsid w:val="00012D0A"/>
    <w:rsid w:val="00012D68"/>
    <w:rsid w:val="000138FA"/>
    <w:rsid w:val="00013DD9"/>
    <w:rsid w:val="00013F7F"/>
    <w:rsid w:val="0001403A"/>
    <w:rsid w:val="0001447C"/>
    <w:rsid w:val="0001448B"/>
    <w:rsid w:val="000145FD"/>
    <w:rsid w:val="00014634"/>
    <w:rsid w:val="00014ED9"/>
    <w:rsid w:val="00014F95"/>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0D80"/>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198"/>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1ED3"/>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4A9"/>
    <w:rsid w:val="000516AB"/>
    <w:rsid w:val="000518C1"/>
    <w:rsid w:val="00052218"/>
    <w:rsid w:val="00052934"/>
    <w:rsid w:val="00052CB6"/>
    <w:rsid w:val="000531B4"/>
    <w:rsid w:val="00053346"/>
    <w:rsid w:val="00053B49"/>
    <w:rsid w:val="0005431E"/>
    <w:rsid w:val="00054555"/>
    <w:rsid w:val="000546CD"/>
    <w:rsid w:val="000547CC"/>
    <w:rsid w:val="00054C9F"/>
    <w:rsid w:val="00054DA2"/>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BE9"/>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B45"/>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296"/>
    <w:rsid w:val="000C4CAD"/>
    <w:rsid w:val="000C567A"/>
    <w:rsid w:val="000C5886"/>
    <w:rsid w:val="000C5A2E"/>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905"/>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A0E"/>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17E"/>
    <w:rsid w:val="00115648"/>
    <w:rsid w:val="00115EA1"/>
    <w:rsid w:val="0011604D"/>
    <w:rsid w:val="00116558"/>
    <w:rsid w:val="00116FEC"/>
    <w:rsid w:val="00117269"/>
    <w:rsid w:val="001174A8"/>
    <w:rsid w:val="00117CA3"/>
    <w:rsid w:val="00117E46"/>
    <w:rsid w:val="00117F0E"/>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2EC5"/>
    <w:rsid w:val="0015349D"/>
    <w:rsid w:val="00153A29"/>
    <w:rsid w:val="00153E86"/>
    <w:rsid w:val="0015410F"/>
    <w:rsid w:val="001541C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49E8"/>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3B1"/>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6A32"/>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2D"/>
    <w:rsid w:val="001F7C99"/>
    <w:rsid w:val="001F7D89"/>
    <w:rsid w:val="001F7E7D"/>
    <w:rsid w:val="002004EC"/>
    <w:rsid w:val="00200EF9"/>
    <w:rsid w:val="00201162"/>
    <w:rsid w:val="002012B0"/>
    <w:rsid w:val="00201468"/>
    <w:rsid w:val="002017BA"/>
    <w:rsid w:val="00202BB8"/>
    <w:rsid w:val="0020313D"/>
    <w:rsid w:val="002031EA"/>
    <w:rsid w:val="00204C7D"/>
    <w:rsid w:val="00205580"/>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4C3"/>
    <w:rsid w:val="00215527"/>
    <w:rsid w:val="00215BE1"/>
    <w:rsid w:val="00216141"/>
    <w:rsid w:val="0021622E"/>
    <w:rsid w:val="00217155"/>
    <w:rsid w:val="002174C1"/>
    <w:rsid w:val="00217772"/>
    <w:rsid w:val="00217848"/>
    <w:rsid w:val="002209C3"/>
    <w:rsid w:val="00220A3B"/>
    <w:rsid w:val="00220D26"/>
    <w:rsid w:val="00221728"/>
    <w:rsid w:val="0022181F"/>
    <w:rsid w:val="002218C3"/>
    <w:rsid w:val="00221B56"/>
    <w:rsid w:val="00222028"/>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A3"/>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31"/>
    <w:rsid w:val="002411E1"/>
    <w:rsid w:val="002415E7"/>
    <w:rsid w:val="00241D72"/>
    <w:rsid w:val="0024265E"/>
    <w:rsid w:val="00242C10"/>
    <w:rsid w:val="00242E6E"/>
    <w:rsid w:val="0024346C"/>
    <w:rsid w:val="00244191"/>
    <w:rsid w:val="0024426C"/>
    <w:rsid w:val="00244561"/>
    <w:rsid w:val="002447FA"/>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9A3"/>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3C0C"/>
    <w:rsid w:val="0026408E"/>
    <w:rsid w:val="0026480C"/>
    <w:rsid w:val="00264D17"/>
    <w:rsid w:val="002653AF"/>
    <w:rsid w:val="00265A85"/>
    <w:rsid w:val="00266183"/>
    <w:rsid w:val="00266352"/>
    <w:rsid w:val="0026653F"/>
    <w:rsid w:val="0026725A"/>
    <w:rsid w:val="00267D21"/>
    <w:rsid w:val="00270200"/>
    <w:rsid w:val="00270564"/>
    <w:rsid w:val="002708B8"/>
    <w:rsid w:val="00270D4E"/>
    <w:rsid w:val="002711D5"/>
    <w:rsid w:val="002714FA"/>
    <w:rsid w:val="00271B03"/>
    <w:rsid w:val="00273019"/>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10A"/>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3AF"/>
    <w:rsid w:val="002939A3"/>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62C"/>
    <w:rsid w:val="002A5751"/>
    <w:rsid w:val="002A5753"/>
    <w:rsid w:val="002A61D1"/>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52F"/>
    <w:rsid w:val="002B6654"/>
    <w:rsid w:val="002B698F"/>
    <w:rsid w:val="002B73FB"/>
    <w:rsid w:val="002B7497"/>
    <w:rsid w:val="002B76FE"/>
    <w:rsid w:val="002B7955"/>
    <w:rsid w:val="002B7F6D"/>
    <w:rsid w:val="002C06CE"/>
    <w:rsid w:val="002C11B8"/>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A5F"/>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8ED"/>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5F01"/>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292A"/>
    <w:rsid w:val="002F3073"/>
    <w:rsid w:val="002F347A"/>
    <w:rsid w:val="002F34BC"/>
    <w:rsid w:val="002F37C2"/>
    <w:rsid w:val="002F3F3B"/>
    <w:rsid w:val="002F4938"/>
    <w:rsid w:val="002F4A56"/>
    <w:rsid w:val="002F4D0C"/>
    <w:rsid w:val="002F5393"/>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BCF"/>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372"/>
    <w:rsid w:val="00330680"/>
    <w:rsid w:val="0033089F"/>
    <w:rsid w:val="00330AD8"/>
    <w:rsid w:val="00330F7D"/>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59"/>
    <w:rsid w:val="00337DA3"/>
    <w:rsid w:val="00340073"/>
    <w:rsid w:val="0034050B"/>
    <w:rsid w:val="00340B10"/>
    <w:rsid w:val="003418CE"/>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AE0"/>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045"/>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1ECD"/>
    <w:rsid w:val="003923A0"/>
    <w:rsid w:val="00392652"/>
    <w:rsid w:val="003929A1"/>
    <w:rsid w:val="00392A6B"/>
    <w:rsid w:val="00392DB6"/>
    <w:rsid w:val="00393554"/>
    <w:rsid w:val="0039365A"/>
    <w:rsid w:val="00393697"/>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585"/>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C0A"/>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4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022"/>
    <w:rsid w:val="003E7169"/>
    <w:rsid w:val="003E73D5"/>
    <w:rsid w:val="003E7558"/>
    <w:rsid w:val="003E7AA0"/>
    <w:rsid w:val="003F0B44"/>
    <w:rsid w:val="003F0BBC"/>
    <w:rsid w:val="003F0D3A"/>
    <w:rsid w:val="003F0DE9"/>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68"/>
    <w:rsid w:val="004045CC"/>
    <w:rsid w:val="00404638"/>
    <w:rsid w:val="004048DD"/>
    <w:rsid w:val="00404A27"/>
    <w:rsid w:val="00405453"/>
    <w:rsid w:val="00405739"/>
    <w:rsid w:val="00406853"/>
    <w:rsid w:val="00406988"/>
    <w:rsid w:val="00406A35"/>
    <w:rsid w:val="00406AD1"/>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3F3B"/>
    <w:rsid w:val="00414537"/>
    <w:rsid w:val="0041464E"/>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0E31"/>
    <w:rsid w:val="004311C5"/>
    <w:rsid w:val="0043139E"/>
    <w:rsid w:val="004319ED"/>
    <w:rsid w:val="00431A08"/>
    <w:rsid w:val="0043235B"/>
    <w:rsid w:val="0043242D"/>
    <w:rsid w:val="004325FF"/>
    <w:rsid w:val="00432848"/>
    <w:rsid w:val="0043284D"/>
    <w:rsid w:val="00432AC4"/>
    <w:rsid w:val="00432FC9"/>
    <w:rsid w:val="0043335E"/>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37EED"/>
    <w:rsid w:val="00440342"/>
    <w:rsid w:val="004406BD"/>
    <w:rsid w:val="004408D1"/>
    <w:rsid w:val="00440D4E"/>
    <w:rsid w:val="004414EF"/>
    <w:rsid w:val="00441977"/>
    <w:rsid w:val="00441B89"/>
    <w:rsid w:val="004424E6"/>
    <w:rsid w:val="00442518"/>
    <w:rsid w:val="0044299D"/>
    <w:rsid w:val="00442FCD"/>
    <w:rsid w:val="00444272"/>
    <w:rsid w:val="00444295"/>
    <w:rsid w:val="00444554"/>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36B"/>
    <w:rsid w:val="00487E3F"/>
    <w:rsid w:val="00490282"/>
    <w:rsid w:val="0049046F"/>
    <w:rsid w:val="0049054B"/>
    <w:rsid w:val="004907D8"/>
    <w:rsid w:val="00491092"/>
    <w:rsid w:val="0049131A"/>
    <w:rsid w:val="004914E1"/>
    <w:rsid w:val="00491546"/>
    <w:rsid w:val="0049159C"/>
    <w:rsid w:val="004916FC"/>
    <w:rsid w:val="00491908"/>
    <w:rsid w:val="00491BD5"/>
    <w:rsid w:val="00492F3A"/>
    <w:rsid w:val="004936EC"/>
    <w:rsid w:val="004937A7"/>
    <w:rsid w:val="00493FD1"/>
    <w:rsid w:val="004941A0"/>
    <w:rsid w:val="00494607"/>
    <w:rsid w:val="00494B27"/>
    <w:rsid w:val="00494E5B"/>
    <w:rsid w:val="00494EA1"/>
    <w:rsid w:val="0049515E"/>
    <w:rsid w:val="00495905"/>
    <w:rsid w:val="00496166"/>
    <w:rsid w:val="00496613"/>
    <w:rsid w:val="00496F0E"/>
    <w:rsid w:val="00496F28"/>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92"/>
    <w:rsid w:val="004A1EF4"/>
    <w:rsid w:val="004A20DC"/>
    <w:rsid w:val="004A2BD3"/>
    <w:rsid w:val="004A2F2B"/>
    <w:rsid w:val="004A2FA8"/>
    <w:rsid w:val="004A3946"/>
    <w:rsid w:val="004A4BA2"/>
    <w:rsid w:val="004A4DF9"/>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C61"/>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A2B"/>
    <w:rsid w:val="004E0F87"/>
    <w:rsid w:val="004E1C3A"/>
    <w:rsid w:val="004E1E05"/>
    <w:rsid w:val="004E1EAD"/>
    <w:rsid w:val="004E1FBC"/>
    <w:rsid w:val="004E234D"/>
    <w:rsid w:val="004E27AA"/>
    <w:rsid w:val="004E2854"/>
    <w:rsid w:val="004E3BC7"/>
    <w:rsid w:val="004E4030"/>
    <w:rsid w:val="004E419E"/>
    <w:rsid w:val="004E4536"/>
    <w:rsid w:val="004E4987"/>
    <w:rsid w:val="004E4F87"/>
    <w:rsid w:val="004E51DE"/>
    <w:rsid w:val="004E54D8"/>
    <w:rsid w:val="004E5659"/>
    <w:rsid w:val="004E5C46"/>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28"/>
    <w:rsid w:val="005018D2"/>
    <w:rsid w:val="0050193D"/>
    <w:rsid w:val="005019DF"/>
    <w:rsid w:val="00501B6A"/>
    <w:rsid w:val="00501B7D"/>
    <w:rsid w:val="00501C1C"/>
    <w:rsid w:val="00501D79"/>
    <w:rsid w:val="00502C6B"/>
    <w:rsid w:val="00502CB4"/>
    <w:rsid w:val="00502F15"/>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8C1"/>
    <w:rsid w:val="00521E11"/>
    <w:rsid w:val="005223DF"/>
    <w:rsid w:val="005229DC"/>
    <w:rsid w:val="00522FCC"/>
    <w:rsid w:val="0052328E"/>
    <w:rsid w:val="005241B3"/>
    <w:rsid w:val="00524770"/>
    <w:rsid w:val="00524C3E"/>
    <w:rsid w:val="00524D37"/>
    <w:rsid w:val="00524E9C"/>
    <w:rsid w:val="005250DA"/>
    <w:rsid w:val="005251EB"/>
    <w:rsid w:val="00525382"/>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1AC2"/>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5CD7"/>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0AD"/>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39F0"/>
    <w:rsid w:val="00583CEB"/>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372"/>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3CA"/>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59D"/>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1F10"/>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6FFE"/>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66E"/>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A42"/>
    <w:rsid w:val="00605D4D"/>
    <w:rsid w:val="00605EF4"/>
    <w:rsid w:val="006064CF"/>
    <w:rsid w:val="006067B5"/>
    <w:rsid w:val="00606BC7"/>
    <w:rsid w:val="00606C6D"/>
    <w:rsid w:val="00607B16"/>
    <w:rsid w:val="00607B3D"/>
    <w:rsid w:val="006101EB"/>
    <w:rsid w:val="00610410"/>
    <w:rsid w:val="00610796"/>
    <w:rsid w:val="0061079A"/>
    <w:rsid w:val="006108E8"/>
    <w:rsid w:val="00610943"/>
    <w:rsid w:val="00610A03"/>
    <w:rsid w:val="00610B07"/>
    <w:rsid w:val="00610E14"/>
    <w:rsid w:val="0061103E"/>
    <w:rsid w:val="0061114B"/>
    <w:rsid w:val="006111CC"/>
    <w:rsid w:val="00611208"/>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7F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9E5"/>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0A11"/>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25"/>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67"/>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4F1D"/>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0F"/>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1CE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87"/>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0F8"/>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11F"/>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1145"/>
    <w:rsid w:val="00792544"/>
    <w:rsid w:val="00792792"/>
    <w:rsid w:val="007928DA"/>
    <w:rsid w:val="007928E7"/>
    <w:rsid w:val="00792E0A"/>
    <w:rsid w:val="00793167"/>
    <w:rsid w:val="007932E1"/>
    <w:rsid w:val="00794039"/>
    <w:rsid w:val="00794595"/>
    <w:rsid w:val="007945A4"/>
    <w:rsid w:val="00794C71"/>
    <w:rsid w:val="007950D2"/>
    <w:rsid w:val="0079510F"/>
    <w:rsid w:val="0079529D"/>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931"/>
    <w:rsid w:val="007A1A9D"/>
    <w:rsid w:val="007A1E30"/>
    <w:rsid w:val="007A28AF"/>
    <w:rsid w:val="007A37AE"/>
    <w:rsid w:val="007A39C9"/>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0B47"/>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2EF4"/>
    <w:rsid w:val="007D3308"/>
    <w:rsid w:val="007D3640"/>
    <w:rsid w:val="007D37AB"/>
    <w:rsid w:val="007D3E36"/>
    <w:rsid w:val="007D3F5B"/>
    <w:rsid w:val="007D4555"/>
    <w:rsid w:val="007D47A4"/>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B2E"/>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5844"/>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2C60"/>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A08"/>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3E3"/>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76C"/>
    <w:rsid w:val="00865852"/>
    <w:rsid w:val="0086587C"/>
    <w:rsid w:val="00865D34"/>
    <w:rsid w:val="00865DC6"/>
    <w:rsid w:val="0086668A"/>
    <w:rsid w:val="00866D91"/>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34"/>
    <w:rsid w:val="008A4D40"/>
    <w:rsid w:val="008A4F10"/>
    <w:rsid w:val="008A5324"/>
    <w:rsid w:val="008A623F"/>
    <w:rsid w:val="008A6DDE"/>
    <w:rsid w:val="008A6E9C"/>
    <w:rsid w:val="008A7EE3"/>
    <w:rsid w:val="008B0044"/>
    <w:rsid w:val="008B03F7"/>
    <w:rsid w:val="008B04E2"/>
    <w:rsid w:val="008B06CC"/>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CFB"/>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3B"/>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67B"/>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5C0C"/>
    <w:rsid w:val="00916308"/>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098E"/>
    <w:rsid w:val="00931FBD"/>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37EF7"/>
    <w:rsid w:val="00940055"/>
    <w:rsid w:val="00940271"/>
    <w:rsid w:val="009402EC"/>
    <w:rsid w:val="0094081B"/>
    <w:rsid w:val="00940A60"/>
    <w:rsid w:val="00940F8E"/>
    <w:rsid w:val="00941681"/>
    <w:rsid w:val="00941D25"/>
    <w:rsid w:val="00941E0F"/>
    <w:rsid w:val="009420C1"/>
    <w:rsid w:val="00942634"/>
    <w:rsid w:val="00942CDA"/>
    <w:rsid w:val="00942E03"/>
    <w:rsid w:val="00943312"/>
    <w:rsid w:val="0094350B"/>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DCE"/>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005"/>
    <w:rsid w:val="009B23F5"/>
    <w:rsid w:val="009B240B"/>
    <w:rsid w:val="009B2BFF"/>
    <w:rsid w:val="009B2FD0"/>
    <w:rsid w:val="009B352E"/>
    <w:rsid w:val="009B353E"/>
    <w:rsid w:val="009B35F6"/>
    <w:rsid w:val="009B3F90"/>
    <w:rsid w:val="009B3FE6"/>
    <w:rsid w:val="009B4014"/>
    <w:rsid w:val="009B4398"/>
    <w:rsid w:val="009B444C"/>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CC8"/>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3F0"/>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46"/>
    <w:rsid w:val="009E7A7B"/>
    <w:rsid w:val="009E7AD6"/>
    <w:rsid w:val="009E7AD8"/>
    <w:rsid w:val="009E7AF1"/>
    <w:rsid w:val="009E7C8F"/>
    <w:rsid w:val="009E7FA9"/>
    <w:rsid w:val="009F0B9D"/>
    <w:rsid w:val="009F1997"/>
    <w:rsid w:val="009F2098"/>
    <w:rsid w:val="009F2422"/>
    <w:rsid w:val="009F26C1"/>
    <w:rsid w:val="009F2B45"/>
    <w:rsid w:val="009F34D6"/>
    <w:rsid w:val="009F3A1F"/>
    <w:rsid w:val="009F3C54"/>
    <w:rsid w:val="009F3FF6"/>
    <w:rsid w:val="009F4246"/>
    <w:rsid w:val="009F43DB"/>
    <w:rsid w:val="009F43EE"/>
    <w:rsid w:val="009F4730"/>
    <w:rsid w:val="009F4ACC"/>
    <w:rsid w:val="009F4F0A"/>
    <w:rsid w:val="009F4FA0"/>
    <w:rsid w:val="009F5D1E"/>
    <w:rsid w:val="009F68D8"/>
    <w:rsid w:val="009F698E"/>
    <w:rsid w:val="009F6BF4"/>
    <w:rsid w:val="009F6F0E"/>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56C"/>
    <w:rsid w:val="00A238C8"/>
    <w:rsid w:val="00A250B4"/>
    <w:rsid w:val="00A250C9"/>
    <w:rsid w:val="00A2537E"/>
    <w:rsid w:val="00A255CC"/>
    <w:rsid w:val="00A25625"/>
    <w:rsid w:val="00A2573D"/>
    <w:rsid w:val="00A258F7"/>
    <w:rsid w:val="00A25B2A"/>
    <w:rsid w:val="00A25EDC"/>
    <w:rsid w:val="00A25F3F"/>
    <w:rsid w:val="00A267C2"/>
    <w:rsid w:val="00A269F7"/>
    <w:rsid w:val="00A27AD9"/>
    <w:rsid w:val="00A27B86"/>
    <w:rsid w:val="00A27C09"/>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214"/>
    <w:rsid w:val="00A42C6D"/>
    <w:rsid w:val="00A42D9D"/>
    <w:rsid w:val="00A4382A"/>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0DEA"/>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045"/>
    <w:rsid w:val="00A544C9"/>
    <w:rsid w:val="00A54E76"/>
    <w:rsid w:val="00A551D1"/>
    <w:rsid w:val="00A551E3"/>
    <w:rsid w:val="00A55370"/>
    <w:rsid w:val="00A5545B"/>
    <w:rsid w:val="00A55483"/>
    <w:rsid w:val="00A55527"/>
    <w:rsid w:val="00A557DD"/>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23A5"/>
    <w:rsid w:val="00A73D62"/>
    <w:rsid w:val="00A74394"/>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34A"/>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2FE8"/>
    <w:rsid w:val="00AA3F8F"/>
    <w:rsid w:val="00AA410B"/>
    <w:rsid w:val="00AA489F"/>
    <w:rsid w:val="00AA57EE"/>
    <w:rsid w:val="00AA5D9A"/>
    <w:rsid w:val="00AA5F41"/>
    <w:rsid w:val="00AA6057"/>
    <w:rsid w:val="00AA67E0"/>
    <w:rsid w:val="00AA6B8D"/>
    <w:rsid w:val="00AA6F01"/>
    <w:rsid w:val="00AA7281"/>
    <w:rsid w:val="00AA7615"/>
    <w:rsid w:val="00AA7FA7"/>
    <w:rsid w:val="00AB0020"/>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662"/>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D7E23"/>
    <w:rsid w:val="00AE0E18"/>
    <w:rsid w:val="00AE0F32"/>
    <w:rsid w:val="00AE24F3"/>
    <w:rsid w:val="00AE2CC4"/>
    <w:rsid w:val="00AE2F10"/>
    <w:rsid w:val="00AE33F4"/>
    <w:rsid w:val="00AE389F"/>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984"/>
    <w:rsid w:val="00AF7C11"/>
    <w:rsid w:val="00AF7E24"/>
    <w:rsid w:val="00AF7E46"/>
    <w:rsid w:val="00B00994"/>
    <w:rsid w:val="00B00BEC"/>
    <w:rsid w:val="00B00DF5"/>
    <w:rsid w:val="00B01418"/>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0CBD"/>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18C2"/>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AE0"/>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2FF"/>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5D8"/>
    <w:rsid w:val="00B80879"/>
    <w:rsid w:val="00B8171F"/>
    <w:rsid w:val="00B81736"/>
    <w:rsid w:val="00B824C7"/>
    <w:rsid w:val="00B82724"/>
    <w:rsid w:val="00B82E7F"/>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A77EB"/>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068"/>
    <w:rsid w:val="00BC422A"/>
    <w:rsid w:val="00BC4AAB"/>
    <w:rsid w:val="00BC4B80"/>
    <w:rsid w:val="00BC4D20"/>
    <w:rsid w:val="00BC517F"/>
    <w:rsid w:val="00BC5213"/>
    <w:rsid w:val="00BC5384"/>
    <w:rsid w:val="00BC588F"/>
    <w:rsid w:val="00BC5990"/>
    <w:rsid w:val="00BC5C8E"/>
    <w:rsid w:val="00BC6004"/>
    <w:rsid w:val="00BC6210"/>
    <w:rsid w:val="00BC62B2"/>
    <w:rsid w:val="00BC6882"/>
    <w:rsid w:val="00BC7002"/>
    <w:rsid w:val="00BC70D2"/>
    <w:rsid w:val="00BC77DF"/>
    <w:rsid w:val="00BC79D3"/>
    <w:rsid w:val="00BD03AA"/>
    <w:rsid w:val="00BD0A04"/>
    <w:rsid w:val="00BD0F8C"/>
    <w:rsid w:val="00BD115D"/>
    <w:rsid w:val="00BD11D5"/>
    <w:rsid w:val="00BD11F4"/>
    <w:rsid w:val="00BD164D"/>
    <w:rsid w:val="00BD2013"/>
    <w:rsid w:val="00BD20AC"/>
    <w:rsid w:val="00BD234E"/>
    <w:rsid w:val="00BD25D2"/>
    <w:rsid w:val="00BD2CB1"/>
    <w:rsid w:val="00BD2E2E"/>
    <w:rsid w:val="00BD31B3"/>
    <w:rsid w:val="00BD332D"/>
    <w:rsid w:val="00BD39E2"/>
    <w:rsid w:val="00BD3B0E"/>
    <w:rsid w:val="00BD41C7"/>
    <w:rsid w:val="00BD4302"/>
    <w:rsid w:val="00BD469B"/>
    <w:rsid w:val="00BD46CE"/>
    <w:rsid w:val="00BD4C05"/>
    <w:rsid w:val="00BD52B6"/>
    <w:rsid w:val="00BD5300"/>
    <w:rsid w:val="00BD5310"/>
    <w:rsid w:val="00BD5A62"/>
    <w:rsid w:val="00BD6123"/>
    <w:rsid w:val="00BD65A6"/>
    <w:rsid w:val="00BD6B42"/>
    <w:rsid w:val="00BD6B45"/>
    <w:rsid w:val="00BD6F53"/>
    <w:rsid w:val="00BD7CB3"/>
    <w:rsid w:val="00BE0820"/>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3D4"/>
    <w:rsid w:val="00BF39CB"/>
    <w:rsid w:val="00BF4010"/>
    <w:rsid w:val="00BF40BE"/>
    <w:rsid w:val="00BF413E"/>
    <w:rsid w:val="00BF4871"/>
    <w:rsid w:val="00BF497A"/>
    <w:rsid w:val="00BF4D96"/>
    <w:rsid w:val="00BF4FF9"/>
    <w:rsid w:val="00BF5503"/>
    <w:rsid w:val="00BF583A"/>
    <w:rsid w:val="00BF5910"/>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BC1"/>
    <w:rsid w:val="00C11FF5"/>
    <w:rsid w:val="00C12097"/>
    <w:rsid w:val="00C123AA"/>
    <w:rsid w:val="00C1298A"/>
    <w:rsid w:val="00C12D47"/>
    <w:rsid w:val="00C12E29"/>
    <w:rsid w:val="00C1316E"/>
    <w:rsid w:val="00C138DD"/>
    <w:rsid w:val="00C13A27"/>
    <w:rsid w:val="00C14559"/>
    <w:rsid w:val="00C151E5"/>
    <w:rsid w:val="00C1524F"/>
    <w:rsid w:val="00C15373"/>
    <w:rsid w:val="00C15756"/>
    <w:rsid w:val="00C15817"/>
    <w:rsid w:val="00C158ED"/>
    <w:rsid w:val="00C15D1B"/>
    <w:rsid w:val="00C15DFD"/>
    <w:rsid w:val="00C165F2"/>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04E"/>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292"/>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3FD1"/>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662D"/>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DC3"/>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2D51"/>
    <w:rsid w:val="00CA322F"/>
    <w:rsid w:val="00CA3536"/>
    <w:rsid w:val="00CA3737"/>
    <w:rsid w:val="00CA391E"/>
    <w:rsid w:val="00CA42B1"/>
    <w:rsid w:val="00CA49C0"/>
    <w:rsid w:val="00CA49CA"/>
    <w:rsid w:val="00CA49D4"/>
    <w:rsid w:val="00CA4B60"/>
    <w:rsid w:val="00CA4E75"/>
    <w:rsid w:val="00CA52A3"/>
    <w:rsid w:val="00CA5450"/>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810"/>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22B"/>
    <w:rsid w:val="00CD47B2"/>
    <w:rsid w:val="00CD522E"/>
    <w:rsid w:val="00CD55CD"/>
    <w:rsid w:val="00CD587D"/>
    <w:rsid w:val="00CD5BC5"/>
    <w:rsid w:val="00CD5D7E"/>
    <w:rsid w:val="00CD5ED8"/>
    <w:rsid w:val="00CD627A"/>
    <w:rsid w:val="00CD6631"/>
    <w:rsid w:val="00CD676B"/>
    <w:rsid w:val="00CD6975"/>
    <w:rsid w:val="00CD7404"/>
    <w:rsid w:val="00CD7659"/>
    <w:rsid w:val="00CE002F"/>
    <w:rsid w:val="00CE0085"/>
    <w:rsid w:val="00CE01B6"/>
    <w:rsid w:val="00CE0271"/>
    <w:rsid w:val="00CE0AEB"/>
    <w:rsid w:val="00CE0F54"/>
    <w:rsid w:val="00CE12F5"/>
    <w:rsid w:val="00CE134B"/>
    <w:rsid w:val="00CE13A9"/>
    <w:rsid w:val="00CE1B4C"/>
    <w:rsid w:val="00CE1BA0"/>
    <w:rsid w:val="00CE2435"/>
    <w:rsid w:val="00CE2A08"/>
    <w:rsid w:val="00CE2F1E"/>
    <w:rsid w:val="00CE301B"/>
    <w:rsid w:val="00CE3155"/>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B5D"/>
    <w:rsid w:val="00CF6C91"/>
    <w:rsid w:val="00CF7178"/>
    <w:rsid w:val="00CF731F"/>
    <w:rsid w:val="00CF73A2"/>
    <w:rsid w:val="00CF7838"/>
    <w:rsid w:val="00CF7851"/>
    <w:rsid w:val="00CF7A06"/>
    <w:rsid w:val="00CF7BE0"/>
    <w:rsid w:val="00CF7EAD"/>
    <w:rsid w:val="00D000C1"/>
    <w:rsid w:val="00D000D8"/>
    <w:rsid w:val="00D0022C"/>
    <w:rsid w:val="00D01943"/>
    <w:rsid w:val="00D01A3E"/>
    <w:rsid w:val="00D029E1"/>
    <w:rsid w:val="00D02D3F"/>
    <w:rsid w:val="00D03281"/>
    <w:rsid w:val="00D0373D"/>
    <w:rsid w:val="00D0375D"/>
    <w:rsid w:val="00D03770"/>
    <w:rsid w:val="00D03B8C"/>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0CA1"/>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492"/>
    <w:rsid w:val="00D2297E"/>
    <w:rsid w:val="00D22EE4"/>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1DC"/>
    <w:rsid w:val="00D36254"/>
    <w:rsid w:val="00D367CF"/>
    <w:rsid w:val="00D36D6C"/>
    <w:rsid w:val="00D3727B"/>
    <w:rsid w:val="00D37312"/>
    <w:rsid w:val="00D37508"/>
    <w:rsid w:val="00D3767D"/>
    <w:rsid w:val="00D37D3A"/>
    <w:rsid w:val="00D401DF"/>
    <w:rsid w:val="00D409EC"/>
    <w:rsid w:val="00D40C5D"/>
    <w:rsid w:val="00D4140C"/>
    <w:rsid w:val="00D414B9"/>
    <w:rsid w:val="00D4188A"/>
    <w:rsid w:val="00D41B1B"/>
    <w:rsid w:val="00D421C9"/>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978"/>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C9D"/>
    <w:rsid w:val="00D60D42"/>
    <w:rsid w:val="00D60E06"/>
    <w:rsid w:val="00D60F43"/>
    <w:rsid w:val="00D615D1"/>
    <w:rsid w:val="00D6204D"/>
    <w:rsid w:val="00D6211B"/>
    <w:rsid w:val="00D62547"/>
    <w:rsid w:val="00D62641"/>
    <w:rsid w:val="00D633E7"/>
    <w:rsid w:val="00D646B4"/>
    <w:rsid w:val="00D64D06"/>
    <w:rsid w:val="00D65020"/>
    <w:rsid w:val="00D657B7"/>
    <w:rsid w:val="00D66499"/>
    <w:rsid w:val="00D66561"/>
    <w:rsid w:val="00D668E2"/>
    <w:rsid w:val="00D6701B"/>
    <w:rsid w:val="00D67136"/>
    <w:rsid w:val="00D67BB2"/>
    <w:rsid w:val="00D67D72"/>
    <w:rsid w:val="00D70685"/>
    <w:rsid w:val="00D70800"/>
    <w:rsid w:val="00D70983"/>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0D2A"/>
    <w:rsid w:val="00D812A4"/>
    <w:rsid w:val="00D812CB"/>
    <w:rsid w:val="00D8173A"/>
    <w:rsid w:val="00D81D03"/>
    <w:rsid w:val="00D82141"/>
    <w:rsid w:val="00D822EB"/>
    <w:rsid w:val="00D82863"/>
    <w:rsid w:val="00D836E2"/>
    <w:rsid w:val="00D8452F"/>
    <w:rsid w:val="00D84531"/>
    <w:rsid w:val="00D846AC"/>
    <w:rsid w:val="00D84C40"/>
    <w:rsid w:val="00D84EA2"/>
    <w:rsid w:val="00D84F8D"/>
    <w:rsid w:val="00D853F0"/>
    <w:rsid w:val="00D86389"/>
    <w:rsid w:val="00D8734F"/>
    <w:rsid w:val="00D874FE"/>
    <w:rsid w:val="00D879BF"/>
    <w:rsid w:val="00D87CF2"/>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0B56"/>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453"/>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878"/>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0D6"/>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D7CD6"/>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3AC4"/>
    <w:rsid w:val="00DF4119"/>
    <w:rsid w:val="00DF45D3"/>
    <w:rsid w:val="00DF4AD3"/>
    <w:rsid w:val="00DF4DDD"/>
    <w:rsid w:val="00DF52AB"/>
    <w:rsid w:val="00DF53CC"/>
    <w:rsid w:val="00DF58DB"/>
    <w:rsid w:val="00DF5A4C"/>
    <w:rsid w:val="00DF5D2D"/>
    <w:rsid w:val="00DF68FB"/>
    <w:rsid w:val="00DF694E"/>
    <w:rsid w:val="00DF6C2E"/>
    <w:rsid w:val="00DF7895"/>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07EE1"/>
    <w:rsid w:val="00E100D7"/>
    <w:rsid w:val="00E10F5D"/>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4E3"/>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6BBB"/>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7CF"/>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87286"/>
    <w:rsid w:val="00E9004E"/>
    <w:rsid w:val="00E90252"/>
    <w:rsid w:val="00E90685"/>
    <w:rsid w:val="00E90E61"/>
    <w:rsid w:val="00E9162E"/>
    <w:rsid w:val="00E91632"/>
    <w:rsid w:val="00E92BA1"/>
    <w:rsid w:val="00E93392"/>
    <w:rsid w:val="00E93460"/>
    <w:rsid w:val="00E938F2"/>
    <w:rsid w:val="00E940E9"/>
    <w:rsid w:val="00E9432A"/>
    <w:rsid w:val="00E94E34"/>
    <w:rsid w:val="00E94F94"/>
    <w:rsid w:val="00E95A5A"/>
    <w:rsid w:val="00E95DA0"/>
    <w:rsid w:val="00E95F9D"/>
    <w:rsid w:val="00E966DB"/>
    <w:rsid w:val="00E96AC5"/>
    <w:rsid w:val="00E96BF5"/>
    <w:rsid w:val="00E9711C"/>
    <w:rsid w:val="00E979C6"/>
    <w:rsid w:val="00E97B72"/>
    <w:rsid w:val="00EA0306"/>
    <w:rsid w:val="00EA03D7"/>
    <w:rsid w:val="00EA04C0"/>
    <w:rsid w:val="00EA0950"/>
    <w:rsid w:val="00EA0A63"/>
    <w:rsid w:val="00EA0B01"/>
    <w:rsid w:val="00EA15EF"/>
    <w:rsid w:val="00EA1769"/>
    <w:rsid w:val="00EA247C"/>
    <w:rsid w:val="00EA2743"/>
    <w:rsid w:val="00EA2833"/>
    <w:rsid w:val="00EA2865"/>
    <w:rsid w:val="00EA292E"/>
    <w:rsid w:val="00EA31CE"/>
    <w:rsid w:val="00EA3DDC"/>
    <w:rsid w:val="00EA423A"/>
    <w:rsid w:val="00EA44CB"/>
    <w:rsid w:val="00EA4B1E"/>
    <w:rsid w:val="00EA4F72"/>
    <w:rsid w:val="00EA520D"/>
    <w:rsid w:val="00EA5527"/>
    <w:rsid w:val="00EA5762"/>
    <w:rsid w:val="00EA5A37"/>
    <w:rsid w:val="00EA5B8D"/>
    <w:rsid w:val="00EA5CC6"/>
    <w:rsid w:val="00EA5CF2"/>
    <w:rsid w:val="00EA6053"/>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4E2"/>
    <w:rsid w:val="00EC16EF"/>
    <w:rsid w:val="00EC1CC4"/>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3CF6"/>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722"/>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EF7DB9"/>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4E65"/>
    <w:rsid w:val="00F05228"/>
    <w:rsid w:val="00F05D8B"/>
    <w:rsid w:val="00F06455"/>
    <w:rsid w:val="00F06948"/>
    <w:rsid w:val="00F06B25"/>
    <w:rsid w:val="00F06B7D"/>
    <w:rsid w:val="00F07237"/>
    <w:rsid w:val="00F0727B"/>
    <w:rsid w:val="00F0776F"/>
    <w:rsid w:val="00F079D4"/>
    <w:rsid w:val="00F07C34"/>
    <w:rsid w:val="00F10049"/>
    <w:rsid w:val="00F1049F"/>
    <w:rsid w:val="00F108D4"/>
    <w:rsid w:val="00F11564"/>
    <w:rsid w:val="00F11B63"/>
    <w:rsid w:val="00F11FB1"/>
    <w:rsid w:val="00F123D7"/>
    <w:rsid w:val="00F12EC9"/>
    <w:rsid w:val="00F13439"/>
    <w:rsid w:val="00F141D6"/>
    <w:rsid w:val="00F14539"/>
    <w:rsid w:val="00F14DD0"/>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75D"/>
    <w:rsid w:val="00F22B59"/>
    <w:rsid w:val="00F2338B"/>
    <w:rsid w:val="00F2403C"/>
    <w:rsid w:val="00F24231"/>
    <w:rsid w:val="00F244EC"/>
    <w:rsid w:val="00F248FA"/>
    <w:rsid w:val="00F26432"/>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481"/>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0380"/>
    <w:rsid w:val="00F40746"/>
    <w:rsid w:val="00F41049"/>
    <w:rsid w:val="00F4113A"/>
    <w:rsid w:val="00F41558"/>
    <w:rsid w:val="00F418AA"/>
    <w:rsid w:val="00F4190F"/>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48B"/>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40E"/>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5A72"/>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556"/>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0DAD"/>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19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660"/>
    <w:rsid w:val="00FC6872"/>
    <w:rsid w:val="00FC68F7"/>
    <w:rsid w:val="00FC6C45"/>
    <w:rsid w:val="00FC6C50"/>
    <w:rsid w:val="00FC73F0"/>
    <w:rsid w:val="00FC763B"/>
    <w:rsid w:val="00FC76B3"/>
    <w:rsid w:val="00FC7851"/>
    <w:rsid w:val="00FD0060"/>
    <w:rsid w:val="00FD011F"/>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5C8"/>
    <w:rsid w:val="00FE7651"/>
    <w:rsid w:val="00FE7728"/>
    <w:rsid w:val="00FE796C"/>
    <w:rsid w:val="00FE7B7B"/>
    <w:rsid w:val="00FE7D2C"/>
    <w:rsid w:val="00FE7E11"/>
    <w:rsid w:val="00FF0074"/>
    <w:rsid w:val="00FF0186"/>
    <w:rsid w:val="00FF0573"/>
    <w:rsid w:val="00FF0B8B"/>
    <w:rsid w:val="00FF16F8"/>
    <w:rsid w:val="00FF1B82"/>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sma.europa.eu/press-news/consultations/consultation-liquidity-management-tools-funds" TargetMode="External"/><Relationship Id="rId7" Type="http://schemas.openxmlformats.org/officeDocument/2006/relationships/settings" Target="setting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sma.europa.eu/about-esma/data-protection"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esma.europa.eu"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14F95"/>
    <w:rsid w:val="000D3BDB"/>
    <w:rsid w:val="000E28D4"/>
    <w:rsid w:val="00171343"/>
    <w:rsid w:val="002826FB"/>
    <w:rsid w:val="002F71C9"/>
    <w:rsid w:val="003C3A27"/>
    <w:rsid w:val="003E2607"/>
    <w:rsid w:val="004E4CF9"/>
    <w:rsid w:val="00747575"/>
    <w:rsid w:val="007624DD"/>
    <w:rsid w:val="00775480"/>
    <w:rsid w:val="00813189"/>
    <w:rsid w:val="008222A0"/>
    <w:rsid w:val="00836D47"/>
    <w:rsid w:val="00862CE7"/>
    <w:rsid w:val="0087748B"/>
    <w:rsid w:val="00967557"/>
    <w:rsid w:val="00993561"/>
    <w:rsid w:val="009B6B9C"/>
    <w:rsid w:val="009C794D"/>
    <w:rsid w:val="00A408D7"/>
    <w:rsid w:val="00AC6273"/>
    <w:rsid w:val="00B22006"/>
    <w:rsid w:val="00C336E8"/>
    <w:rsid w:val="00D70983"/>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01BC4D-D68D-4B13-BA87-79592C29F5F9}">
  <we:reference id="wa200002866" version="1.0.1.0" store="en-US" storeType="OMEX"/>
  <we:alternateReferences>
    <we:reference id="wa200002866"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72f4a7-cae9-4e97-b541-2580a12d1989" xsi:nil="true"/>
    <SharedWithUsers xmlns="8e72f4a7-cae9-4e97-b541-2580a12d1989">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lcf76f155ced4ddcb4097134ff3c332f xmlns="fd160c09-1844-45b0-b4f1-cf53e6c3c7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8" ma:contentTypeDescription="Create a new document." ma:contentTypeScope="" ma:versionID="484d0e7fe09fe8de3466b246621db11c">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e2ff8ef15423d4f21e0a799f7012675e"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fe506b-8ef3-4252-9ac8-4ea0dfba2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4153eb-2901-4474-b3ae-28ce23b8bb52}" ma:internalName="TaxCatchAll" ma:showField="CatchAllData" ma:web="8e72f4a7-cae9-4e97-b541-2580a12d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8e72f4a7-cae9-4e97-b541-2580a12d1989"/>
    <ds:schemaRef ds:uri="fd160c09-1844-45b0-b4f1-cf53e6c3c76a"/>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4.xml><?xml version="1.0" encoding="utf-8"?>
<ds:datastoreItem xmlns:ds="http://schemas.openxmlformats.org/officeDocument/2006/customXml" ds:itemID="{893695EE-1931-4A3F-940B-B3AD8F422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23</Pages>
  <Words>5089</Words>
  <Characters>29008</Characters>
  <Application>Microsoft Office Word</Application>
  <DocSecurity>0</DocSecurity>
  <Lines>241</Lines>
  <Paragraphs>68</Paragraphs>
  <ScaleCrop>false</ScaleCrop>
  <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Sebastien Commain</cp:lastModifiedBy>
  <cp:revision>261</cp:revision>
  <cp:lastPrinted>2023-09-09T09:53:00Z</cp:lastPrinted>
  <dcterms:created xsi:type="dcterms:W3CDTF">2024-10-07T08:37:00Z</dcterms:created>
  <dcterms:modified xsi:type="dcterms:W3CDTF">2024-10-08T13:42:00Z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50acab3f6949599688191e8740e810">
    <vt:lpwstr>Regular|07f1e362-856b-423d-bea6-a14079762141</vt:lpwstr>
  </property>
  <property fmtid="{D5CDD505-2E9C-101B-9397-08002B2CF9AE}" pid="3" name="n84bf37b4eaf4fd99e887816221de8a8">
    <vt:lpwstr>EN|f7e7f686-dfa7-4032-a218-a5881e990598</vt:lpwstr>
  </property>
  <property fmtid="{D5CDD505-2E9C-101B-9397-08002B2CF9AE}" pid="4" name="ESMATemplatesConfidentialityLevel">
    <vt:lpwstr>17;#Public|a0c619ff-bd46-48f0-b213-6b7c03fe156d</vt:lpwstr>
  </property>
  <property fmtid="{D5CDD505-2E9C-101B-9397-08002B2CF9AE}" pid="5" name="ESMATemplatesTopic">
    <vt:lpwstr>58;#Report|066a9501-23d0-4103-814a-86d99d41b931</vt:lpwstr>
  </property>
  <property fmtid="{D5CDD505-2E9C-101B-9397-08002B2CF9AE}" pid="6" name="_dlc_DocIdItemGuid">
    <vt:lpwstr>7d84210a-88de-4f71-9375-c884d1e65bde</vt:lpwstr>
  </property>
  <property fmtid="{D5CDD505-2E9C-101B-9397-08002B2CF9AE}" pid="7" name="EsmaAudience">
    <vt:lpwstr>345;#Post-Trading Standing Committee|b4466ad1-2610-4bb4-b77e-13cd08e75663</vt:lpwstr>
  </property>
  <property fmtid="{D5CDD505-2E9C-101B-9397-08002B2CF9AE}" pid="8" name="ConfidentialityLevel">
    <vt:lpwstr>6;#Regular|07f1e362-856b-423d-bea6-a14079762141</vt:lpwstr>
  </property>
  <property fmtid="{D5CDD505-2E9C-101B-9397-08002B2CF9AE}" pid="9" name="DocumentType">
    <vt:lpwstr>54;#Call for Evidence|4dd13041-d074-4513-b0c9-9d450ea451f0</vt:lpwstr>
  </property>
  <property fmtid="{D5CDD505-2E9C-101B-9397-08002B2CF9AE}" pid="10" name="Order">
    <vt:r8>52000</vt:r8>
  </property>
  <property fmtid="{D5CDD505-2E9C-101B-9397-08002B2CF9AE}" pid="11" name="DocumentSetDescription">
    <vt:lpwstr/>
  </property>
  <property fmtid="{D5CDD505-2E9C-101B-9397-08002B2CF9AE}" pid="12" name="TeamName">
    <vt:lpwstr>5</vt:lpwstr>
  </property>
  <property fmtid="{D5CDD505-2E9C-101B-9397-08002B2CF9AE}" pid="13" name="SubTopic">
    <vt:lpwstr>323;#CSDR General - T + 1|a5a376d4-84eb-4354-ab81-b0766b380093</vt:lpwstr>
  </property>
  <property fmtid="{D5CDD505-2E9C-101B-9397-08002B2CF9AE}" pid="14" name="TeamTopic">
    <vt:lpwstr>17;#AIFMD|f2960fc6-3634-417f-bcec-215a90e7dd4c</vt:lpwstr>
  </property>
  <property fmtid="{D5CDD505-2E9C-101B-9397-08002B2CF9AE}" pid="15" name="ContentTypeId">
    <vt:lpwstr>0x010100B5308A9776426D41840A8C2CCB15B3F3</vt:lpwstr>
  </property>
  <property fmtid="{D5CDD505-2E9C-101B-9397-08002B2CF9AE}" pid="16" name="MediaServiceImageTags">
    <vt:lpwstr/>
  </property>
</Properties>
</file>