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C4856" w14:textId="541D8C56" w:rsidR="001E1A47" w:rsidRDefault="00B911C3" w:rsidP="00397FCF">
      <w:pPr>
        <w:jc w:val="center"/>
        <w:rPr>
          <w:b/>
          <w:bCs/>
          <w:sz w:val="28"/>
          <w:szCs w:val="28"/>
        </w:rPr>
      </w:pPr>
      <w:r>
        <w:rPr>
          <w:b/>
          <w:bCs/>
          <w:sz w:val="28"/>
          <w:szCs w:val="28"/>
        </w:rPr>
        <w:t xml:space="preserve">AIFMD AND UCITS </w:t>
      </w:r>
      <w:r w:rsidRPr="007E30A9">
        <w:rPr>
          <w:b/>
          <w:bCs/>
          <w:sz w:val="28"/>
          <w:szCs w:val="28"/>
        </w:rPr>
        <w:t>RTS AND GUIDELINES LMT</w:t>
      </w:r>
      <w:r>
        <w:rPr>
          <w:b/>
          <w:bCs/>
          <w:sz w:val="28"/>
          <w:szCs w:val="28"/>
        </w:rPr>
        <w:t xml:space="preserve"> CPs</w:t>
      </w:r>
    </w:p>
    <w:p w14:paraId="38A1CDF3" w14:textId="77777777" w:rsidR="00397FCF" w:rsidRPr="00B02F06" w:rsidRDefault="00397FCF" w:rsidP="00397FCF">
      <w:pPr>
        <w:keepNext/>
        <w:keepLines/>
        <w:shd w:val="clear" w:color="auto" w:fill="002060"/>
        <w:spacing w:before="160" w:after="80"/>
        <w:outlineLvl w:val="2"/>
        <w:rPr>
          <w:rFonts w:eastAsiaTheme="majorEastAsia" w:cstheme="majorBidi"/>
          <w:b/>
          <w:bCs/>
          <w:color w:val="FFFFFF" w:themeColor="background1"/>
          <w:sz w:val="26"/>
          <w:szCs w:val="26"/>
          <w:lang w:val="en-US"/>
        </w:rPr>
      </w:pPr>
      <w:r w:rsidRPr="00B02F06">
        <w:rPr>
          <w:rFonts w:eastAsiaTheme="majorEastAsia" w:cstheme="majorBidi"/>
          <w:b/>
          <w:bCs/>
          <w:color w:val="FFFFFF" w:themeColor="background1"/>
          <w:sz w:val="26"/>
          <w:szCs w:val="26"/>
          <w:lang w:val="en-US"/>
        </w:rPr>
        <w:t xml:space="preserve">Executive summary </w:t>
      </w:r>
    </w:p>
    <w:p w14:paraId="3266BEB1" w14:textId="77777777" w:rsidR="00397FCF" w:rsidRPr="00061540" w:rsidRDefault="00397FCF" w:rsidP="00397FCF">
      <w:pPr>
        <w:spacing w:after="0" w:line="240" w:lineRule="auto"/>
        <w:rPr>
          <w:rFonts w:eastAsia="Calibri" w:cs="Calibri"/>
          <w14:ligatures w14:val="standardContextual"/>
        </w:rPr>
      </w:pPr>
      <w:r w:rsidRPr="00061540">
        <w:rPr>
          <w:rFonts w:eastAsia="Calibri" w:cs="Calibri"/>
          <w14:ligatures w14:val="standardContextual"/>
        </w:rPr>
        <w:t>AMIC welcomes the opportunity to provide feedback on ESMA’s proposed (1) RTS on the characteristics of</w:t>
      </w:r>
      <w:r>
        <w:rPr>
          <w:rFonts w:eastAsia="Calibri" w:cs="Calibri"/>
          <w14:ligatures w14:val="standardContextual"/>
        </w:rPr>
        <w:t xml:space="preserve"> liquidity management tools</w:t>
      </w:r>
      <w:r w:rsidRPr="00061540">
        <w:rPr>
          <w:rFonts w:eastAsia="Calibri" w:cs="Calibri"/>
          <w14:ligatures w14:val="standardContextual"/>
        </w:rPr>
        <w:t xml:space="preserve"> </w:t>
      </w:r>
      <w:r>
        <w:rPr>
          <w:rFonts w:eastAsia="Calibri" w:cs="Calibri"/>
          <w14:ligatures w14:val="standardContextual"/>
        </w:rPr>
        <w:t>(</w:t>
      </w:r>
      <w:r w:rsidRPr="00061540">
        <w:rPr>
          <w:rFonts w:eastAsia="Calibri" w:cs="Calibri"/>
          <w14:ligatures w14:val="standardContextual"/>
        </w:rPr>
        <w:t>LMTs</w:t>
      </w:r>
      <w:r>
        <w:rPr>
          <w:rFonts w:eastAsia="Calibri" w:cs="Calibri"/>
          <w14:ligatures w14:val="standardContextual"/>
        </w:rPr>
        <w:t>)</w:t>
      </w:r>
      <w:r w:rsidRPr="00061540">
        <w:rPr>
          <w:rFonts w:eastAsia="Calibri" w:cs="Calibri"/>
          <w14:ligatures w14:val="standardContextual"/>
        </w:rPr>
        <w:t>, as well as the (2) Guidelines on the selection and calibration of LMTs for AIFMD and UCITS. These measures are critical to ensuring the success of the agreement reached at level 1 of the revised AIFMD and UCITS Directives which entered into force on 16 April 2024.  </w:t>
      </w:r>
    </w:p>
    <w:p w14:paraId="2AAE56DB" w14:textId="77777777" w:rsidR="00397FCF" w:rsidRPr="00061540" w:rsidRDefault="00397FCF" w:rsidP="00397FCF">
      <w:pPr>
        <w:spacing w:after="0" w:line="240" w:lineRule="auto"/>
        <w:rPr>
          <w:rFonts w:eastAsia="Calibri" w:cs="Calibri"/>
          <w14:ligatures w14:val="standardContextual"/>
        </w:rPr>
      </w:pPr>
    </w:p>
    <w:p w14:paraId="7D46DF21" w14:textId="77777777" w:rsidR="00397FCF" w:rsidRPr="00061540" w:rsidRDefault="00397FCF" w:rsidP="00397FCF">
      <w:pPr>
        <w:spacing w:after="0" w:line="240" w:lineRule="auto"/>
        <w:rPr>
          <w:rFonts w:eastAsia="Calibri" w:cs="Calibri"/>
          <w14:ligatures w14:val="standardContextual"/>
        </w:rPr>
      </w:pPr>
      <w:r w:rsidRPr="00061540">
        <w:rPr>
          <w:rFonts w:eastAsia="Calibri" w:cs="Calibri"/>
          <w14:ligatures w14:val="standardContextual"/>
        </w:rPr>
        <w:t xml:space="preserve">Most importantly, </w:t>
      </w:r>
      <w:r>
        <w:rPr>
          <w:rFonts w:eastAsia="Calibri" w:cs="Calibri"/>
          <w14:ligatures w14:val="standardContextual"/>
        </w:rPr>
        <w:t xml:space="preserve">it is critical that </w:t>
      </w:r>
      <w:r w:rsidRPr="00061540">
        <w:rPr>
          <w:rFonts w:eastAsia="Calibri" w:cs="Calibri"/>
          <w14:ligatures w14:val="standardContextual"/>
        </w:rPr>
        <w:t>these measures support and respect the agreement that was reached at level 1 to ensure that fund managers retain the necessary flexibility to act as fiduciaries</w:t>
      </w:r>
      <w:r>
        <w:rPr>
          <w:rFonts w:eastAsia="Calibri" w:cs="Calibri"/>
          <w14:ligatures w14:val="standardContextual"/>
        </w:rPr>
        <w:t>,</w:t>
      </w:r>
      <w:r w:rsidRPr="00061540">
        <w:rPr>
          <w:rFonts w:eastAsia="Calibri" w:cs="Calibri"/>
          <w14:ligatures w14:val="standardContextual"/>
        </w:rPr>
        <w:t xml:space="preserve"> in the best interest of investors</w:t>
      </w:r>
      <w:r>
        <w:rPr>
          <w:rFonts w:eastAsia="Calibri" w:cs="Calibri"/>
          <w14:ligatures w14:val="standardContextual"/>
        </w:rPr>
        <w:t>,</w:t>
      </w:r>
      <w:r w:rsidRPr="00061540">
        <w:rPr>
          <w:rFonts w:eastAsia="Calibri" w:cs="Calibri"/>
          <w14:ligatures w14:val="standardContextual"/>
        </w:rPr>
        <w:t xml:space="preserve"> </w:t>
      </w:r>
      <w:proofErr w:type="gramStart"/>
      <w:r w:rsidRPr="00061540">
        <w:rPr>
          <w:rFonts w:eastAsia="Calibri" w:cs="Calibri"/>
          <w14:ligatures w14:val="standardContextual"/>
        </w:rPr>
        <w:t>at all times</w:t>
      </w:r>
      <w:proofErr w:type="gramEnd"/>
      <w:r w:rsidRPr="00061540">
        <w:rPr>
          <w:rFonts w:eastAsia="Calibri" w:cs="Calibri"/>
          <w14:ligatures w14:val="standardContextual"/>
        </w:rPr>
        <w:t>. More specifically, we highlight that:</w:t>
      </w:r>
    </w:p>
    <w:p w14:paraId="22EAF172" w14:textId="77777777" w:rsidR="00397FCF" w:rsidRPr="00061540" w:rsidRDefault="00397FCF" w:rsidP="00397FCF">
      <w:pPr>
        <w:spacing w:after="0" w:line="240" w:lineRule="auto"/>
        <w:rPr>
          <w:rFonts w:eastAsia="Calibri" w:cs="Calibri"/>
          <w14:ligatures w14:val="standardContextual"/>
        </w:rPr>
      </w:pPr>
    </w:p>
    <w:p w14:paraId="2A3D7104" w14:textId="77777777" w:rsidR="00397FCF" w:rsidRPr="00061540" w:rsidRDefault="00397FCF" w:rsidP="00397FCF">
      <w:pPr>
        <w:numPr>
          <w:ilvl w:val="0"/>
          <w:numId w:val="1"/>
        </w:numPr>
        <w:spacing w:after="0" w:line="240" w:lineRule="auto"/>
        <w:contextualSpacing/>
        <w:rPr>
          <w:rFonts w:eastAsia="Calibri" w:cs="Calibri"/>
          <w14:ligatures w14:val="standardContextual"/>
        </w:rPr>
      </w:pPr>
      <w:r w:rsidRPr="00061540">
        <w:rPr>
          <w:rFonts w:eastAsia="Calibri" w:cs="Calibri"/>
          <w14:ligatures w14:val="standardContextual"/>
        </w:rPr>
        <w:t xml:space="preserve">Characteristics should </w:t>
      </w:r>
      <w:proofErr w:type="gramStart"/>
      <w:r w:rsidRPr="00061540">
        <w:rPr>
          <w:rFonts w:eastAsia="Calibri" w:cs="Calibri"/>
          <w14:ligatures w14:val="standardContextual"/>
        </w:rPr>
        <w:t>take into account</w:t>
      </w:r>
      <w:proofErr w:type="gramEnd"/>
      <w:r w:rsidRPr="00061540">
        <w:rPr>
          <w:rFonts w:eastAsia="Calibri" w:cs="Calibri"/>
          <w14:ligatures w14:val="standardContextual"/>
        </w:rPr>
        <w:t xml:space="preserve"> fund specific needs and market conditions and allow the fund manager to have the flexibility, and discretion, to apply alternative characteristics in the best interest of investors provided </w:t>
      </w:r>
      <w:r>
        <w:rPr>
          <w:rFonts w:eastAsia="Calibri" w:cs="Calibri"/>
          <w14:ligatures w14:val="standardContextual"/>
        </w:rPr>
        <w:t xml:space="preserve">they are included </w:t>
      </w:r>
      <w:r w:rsidRPr="00061540">
        <w:rPr>
          <w:rFonts w:eastAsia="Calibri" w:cs="Calibri"/>
          <w14:ligatures w14:val="standardContextual"/>
        </w:rPr>
        <w:t>in the legal documents.</w:t>
      </w:r>
    </w:p>
    <w:p w14:paraId="12256EB0" w14:textId="77777777" w:rsidR="00397FCF" w:rsidRPr="00061540" w:rsidRDefault="00397FCF" w:rsidP="00397FCF">
      <w:pPr>
        <w:numPr>
          <w:ilvl w:val="0"/>
          <w:numId w:val="1"/>
        </w:numPr>
        <w:spacing w:after="0" w:line="240" w:lineRule="auto"/>
        <w:contextualSpacing/>
        <w:rPr>
          <w:rFonts w:eastAsia="Calibri" w:cs="Calibri"/>
          <w14:ligatures w14:val="standardContextual"/>
        </w:rPr>
      </w:pPr>
      <w:r w:rsidRPr="00061540">
        <w:rPr>
          <w:rFonts w:eastAsia="Calibri" w:cs="Calibri"/>
          <w14:ligatures w14:val="standardContextual"/>
        </w:rPr>
        <w:t xml:space="preserve">In the case of suspensions of funds, further distinctions between the suspensions of redemptions and subscriptions </w:t>
      </w:r>
      <w:r>
        <w:rPr>
          <w:rFonts w:eastAsia="Calibri" w:cs="Calibri"/>
          <w14:ligatures w14:val="standardContextual"/>
        </w:rPr>
        <w:t xml:space="preserve">are </w:t>
      </w:r>
      <w:r w:rsidRPr="00061540">
        <w:rPr>
          <w:rFonts w:eastAsia="Calibri" w:cs="Calibri"/>
          <w14:ligatures w14:val="standardContextual"/>
        </w:rPr>
        <w:t>necessary to recognise the cases where the individual suspensions of certain activities occur in non -exceptional circumstances.</w:t>
      </w:r>
    </w:p>
    <w:p w14:paraId="41140D4F" w14:textId="77777777" w:rsidR="00397FCF" w:rsidRPr="00061540" w:rsidRDefault="00397FCF" w:rsidP="00397FCF">
      <w:pPr>
        <w:numPr>
          <w:ilvl w:val="0"/>
          <w:numId w:val="1"/>
        </w:numPr>
        <w:spacing w:after="0" w:line="240" w:lineRule="auto"/>
        <w:contextualSpacing/>
        <w:rPr>
          <w:rFonts w:eastAsia="Calibri" w:cs="Calibri"/>
          <w14:ligatures w14:val="standardContextual"/>
        </w:rPr>
      </w:pPr>
      <w:r w:rsidRPr="00061540">
        <w:rPr>
          <w:rFonts w:eastAsia="Calibri" w:cs="Calibri"/>
          <w14:ligatures w14:val="standardContextual"/>
        </w:rPr>
        <w:t>Rigid distinctions should be avoided between AIFs and UCITS, but it is still helpful to acknowledge that the nature of their different risk profiles, liquidity of assets, and investor bases, means that some LMTs are not as suitable for retail investors as they are for the more specialised institutional investors.</w:t>
      </w:r>
    </w:p>
    <w:p w14:paraId="394F7275" w14:textId="77777777" w:rsidR="00397FCF" w:rsidRPr="00061540" w:rsidRDefault="00397FCF" w:rsidP="00397FCF">
      <w:pPr>
        <w:numPr>
          <w:ilvl w:val="0"/>
          <w:numId w:val="1"/>
        </w:numPr>
        <w:spacing w:after="0" w:line="240" w:lineRule="auto"/>
        <w:contextualSpacing/>
        <w:rPr>
          <w:rFonts w:eastAsia="Calibri" w:cs="Calibri"/>
          <w14:ligatures w14:val="standardContextual"/>
        </w:rPr>
      </w:pPr>
      <w:r w:rsidRPr="00061540">
        <w:rPr>
          <w:rFonts w:eastAsia="Calibri" w:cs="Calibri"/>
          <w14:ligatures w14:val="standardContextual"/>
        </w:rPr>
        <w:t xml:space="preserve">Managers should not be constrained to selecting at least one quantitative LMT and at least one </w:t>
      </w:r>
      <w:r>
        <w:rPr>
          <w:rFonts w:eastAsia="Calibri" w:cs="Calibri"/>
          <w14:ligatures w14:val="standardContextual"/>
        </w:rPr>
        <w:t>anti-dilution tool (</w:t>
      </w:r>
      <w:r w:rsidRPr="00061540">
        <w:rPr>
          <w:rFonts w:eastAsia="Calibri" w:cs="Calibri"/>
          <w14:ligatures w14:val="standardContextual"/>
        </w:rPr>
        <w:t>ADT</w:t>
      </w:r>
      <w:r>
        <w:rPr>
          <w:rFonts w:eastAsia="Calibri" w:cs="Calibri"/>
          <w14:ligatures w14:val="standardContextual"/>
        </w:rPr>
        <w:t>)</w:t>
      </w:r>
      <w:r w:rsidRPr="00061540">
        <w:rPr>
          <w:rFonts w:eastAsia="Calibri" w:cs="Calibri"/>
          <w14:ligatures w14:val="standardContextual"/>
        </w:rPr>
        <w:t xml:space="preserve"> as this would infringe upon the primary responsibility of the manager to manage the liquidity of the fund.</w:t>
      </w:r>
    </w:p>
    <w:p w14:paraId="37E6B56A" w14:textId="77777777" w:rsidR="00397FCF" w:rsidRPr="00061540" w:rsidRDefault="00397FCF" w:rsidP="00397FCF">
      <w:pPr>
        <w:numPr>
          <w:ilvl w:val="0"/>
          <w:numId w:val="1"/>
        </w:numPr>
        <w:spacing w:after="0" w:line="240" w:lineRule="auto"/>
        <w:contextualSpacing/>
        <w:rPr>
          <w:rFonts w:eastAsia="Calibri" w:cs="Calibri"/>
          <w14:ligatures w14:val="standardContextual"/>
        </w:rPr>
      </w:pPr>
      <w:r w:rsidRPr="00061540">
        <w:rPr>
          <w:rFonts w:eastAsia="Calibri" w:cs="Calibri"/>
          <w14:ligatures w14:val="standardContextual"/>
        </w:rPr>
        <w:t>The proposed specificity of the LMT policy could risk hampering the managers ability to use their discretion to act in best interest of investors and disclosing the proposed information risks confusing investors or even creating arbitrage. The LMT policy should be kept as an internal guidance document only and any disclosure to investors should be limited to the main principles described in high level, qualitative terms, only.</w:t>
      </w:r>
    </w:p>
    <w:p w14:paraId="28CA8537" w14:textId="77777777" w:rsidR="00397FCF" w:rsidRPr="00061540" w:rsidRDefault="00397FCF" w:rsidP="00397FCF">
      <w:pPr>
        <w:numPr>
          <w:ilvl w:val="0"/>
          <w:numId w:val="1"/>
        </w:numPr>
        <w:spacing w:after="0" w:line="240" w:lineRule="auto"/>
        <w:contextualSpacing/>
        <w:rPr>
          <w:rFonts w:eastAsia="Calibri" w:cs="Calibri"/>
          <w14:ligatures w14:val="standardContextual"/>
        </w:rPr>
      </w:pPr>
      <w:r w:rsidRPr="00061540">
        <w:rPr>
          <w:rFonts w:eastAsia="Calibri" w:cs="Calibri"/>
          <w14:ligatures w14:val="standardContextual"/>
        </w:rPr>
        <w:t>We are not supportive of the extensive definition of “exceptional circumstances” as we consider that it narrows the reading for the fund manager as to the appropriate trigger event, creating unnecessary constraints to act in investors best interests. The trigger event should be determined at the managers discretion, which they should be prepared to justify to their NCAs.</w:t>
      </w:r>
    </w:p>
    <w:p w14:paraId="7C65636C" w14:textId="77777777" w:rsidR="00397FCF" w:rsidRDefault="00397FCF" w:rsidP="00397FCF">
      <w:pPr>
        <w:numPr>
          <w:ilvl w:val="0"/>
          <w:numId w:val="1"/>
        </w:numPr>
        <w:spacing w:after="0" w:line="240" w:lineRule="auto"/>
        <w:contextualSpacing/>
        <w:rPr>
          <w:rFonts w:eastAsia="Calibri" w:cs="Calibri"/>
          <w14:ligatures w14:val="standardContextual"/>
        </w:rPr>
      </w:pPr>
      <w:r w:rsidRPr="00061540">
        <w:rPr>
          <w:rFonts w:eastAsia="Calibri" w:cs="Calibri"/>
          <w14:ligatures w14:val="standardContextual"/>
        </w:rPr>
        <w:t>Managers should not</w:t>
      </w:r>
      <w:r>
        <w:rPr>
          <w:rFonts w:eastAsia="Calibri" w:cs="Calibri"/>
          <w14:ligatures w14:val="standardContextual"/>
        </w:rPr>
        <w:t xml:space="preserve"> be required</w:t>
      </w:r>
      <w:r w:rsidRPr="00061540">
        <w:rPr>
          <w:rFonts w:eastAsia="Calibri" w:cs="Calibri"/>
          <w14:ligatures w14:val="standardContextual"/>
        </w:rPr>
        <w:t xml:space="preserve"> to avoid simultaneous activation of certain ADTs as their purpose is to ensure fair treatment of investors and there are no perceived risks in their simultaneous use.</w:t>
      </w:r>
    </w:p>
    <w:p w14:paraId="58A41B45" w14:textId="77777777" w:rsidR="00397FCF" w:rsidRPr="003C6705" w:rsidRDefault="00397FCF" w:rsidP="00397FCF">
      <w:pPr>
        <w:numPr>
          <w:ilvl w:val="0"/>
          <w:numId w:val="1"/>
        </w:numPr>
        <w:spacing w:after="0" w:line="240" w:lineRule="auto"/>
        <w:contextualSpacing/>
        <w:rPr>
          <w:rFonts w:eastAsia="Calibri" w:cs="Calibri"/>
          <w14:ligatures w14:val="standardContextual"/>
        </w:rPr>
      </w:pPr>
      <w:r w:rsidRPr="002B732B">
        <w:rPr>
          <w:rFonts w:ascii="Calibri" w:eastAsia="Calibri" w:hAnsi="Calibri" w:cs="Times New Roman"/>
          <w:color w:val="000000" w:themeColor="text1"/>
          <w:lang w:val="en-US"/>
        </w:rPr>
        <w:t>Ultimately, the tools described in Annex V of the AIFMD should not be viewed as essential elements of a fund’s overall liquidity management framework and their use should not prevent the application of other tools that are contractually designed and outlined in the fund's documentation and agreed by the investors.</w:t>
      </w:r>
    </w:p>
    <w:p w14:paraId="1F7645F7" w14:textId="77777777" w:rsidR="003C6705" w:rsidRPr="003C6705" w:rsidRDefault="003C6705" w:rsidP="003C6705">
      <w:pPr>
        <w:spacing w:after="0" w:line="240" w:lineRule="auto"/>
        <w:contextualSpacing/>
        <w:rPr>
          <w:rFonts w:eastAsia="Calibri" w:cs="Calibri"/>
          <w14:ligatures w14:val="standardContextual"/>
        </w:rPr>
      </w:pPr>
    </w:p>
    <w:p w14:paraId="265D7C4A" w14:textId="77777777" w:rsidR="003C6705" w:rsidRDefault="003C6705" w:rsidP="003C6705">
      <w:pPr>
        <w:spacing w:after="0" w:line="240" w:lineRule="auto"/>
        <w:contextualSpacing/>
        <w:rPr>
          <w:rFonts w:ascii="Calibri" w:eastAsia="Calibri" w:hAnsi="Calibri" w:cs="Times New Roman"/>
          <w:color w:val="000000" w:themeColor="text1"/>
          <w:lang w:val="en-US"/>
        </w:rPr>
      </w:pPr>
    </w:p>
    <w:p w14:paraId="4A06F7F4" w14:textId="77777777" w:rsidR="003C6705" w:rsidRPr="006C7EED" w:rsidRDefault="003C6705" w:rsidP="003C6705">
      <w:pPr>
        <w:pBdr>
          <w:top w:val="single" w:sz="4" w:space="1" w:color="auto"/>
          <w:left w:val="single" w:sz="4" w:space="4" w:color="auto"/>
          <w:bottom w:val="single" w:sz="4" w:space="1" w:color="auto"/>
          <w:right w:val="single" w:sz="4" w:space="4" w:color="auto"/>
        </w:pBdr>
        <w:rPr>
          <w:b/>
          <w:bCs/>
          <w:sz w:val="28"/>
          <w:szCs w:val="28"/>
        </w:rPr>
      </w:pPr>
      <w:r w:rsidRPr="006C7EED">
        <w:lastRenderedPageBreak/>
        <w:t>ICMA promotes well-functioning cross-border capital markets, which are essential to fund sustainable economic growth. It is a not-for-profit membership association with offices in Zurich, London, Paris, Brussels and Hong Kong, serving over 620 member firms in nearly 70 jurisdictions globally. Its members include private and public sector issuers, banks and securities dealers, asset and fund managers, insurance companies, law firms, capital market infrastructure providers and central banks. ICMA provides industry-driven standards and recommendations, prioritising three core fixed income market areas: primary, secondary and repo and collateral, with cross-cutting themes of sustainable finance and FinTech and digitalisation. ICMA works with regulatory and governmental authorities, helping to ensure that financial regulation supports stable and efficient capital markets</w:t>
      </w:r>
      <w:r>
        <w:t>.</w:t>
      </w:r>
    </w:p>
    <w:p w14:paraId="00322118" w14:textId="77777777" w:rsidR="003C6705" w:rsidRPr="002B732B" w:rsidRDefault="003C6705" w:rsidP="003C6705">
      <w:pPr>
        <w:spacing w:after="0" w:line="240" w:lineRule="auto"/>
        <w:contextualSpacing/>
        <w:rPr>
          <w:rFonts w:eastAsia="Calibri" w:cs="Calibri"/>
          <w14:ligatures w14:val="standardContextual"/>
        </w:rPr>
      </w:pPr>
    </w:p>
    <w:p w14:paraId="7F0B249B" w14:textId="77777777" w:rsidR="00397FCF" w:rsidRDefault="00397FCF">
      <w:pPr>
        <w:rPr>
          <w:b/>
          <w:bCs/>
          <w:sz w:val="28"/>
          <w:szCs w:val="28"/>
        </w:rPr>
      </w:pPr>
    </w:p>
    <w:p w14:paraId="2A618A22" w14:textId="77777777" w:rsidR="00397FCF" w:rsidRDefault="00397FCF"/>
    <w:sectPr w:rsidR="00397FCF" w:rsidSect="00397FCF">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BC041" w14:textId="77777777" w:rsidR="003A36AF" w:rsidRDefault="003A36AF" w:rsidP="00B911C3">
      <w:pPr>
        <w:spacing w:after="0" w:line="240" w:lineRule="auto"/>
      </w:pPr>
      <w:r>
        <w:separator/>
      </w:r>
    </w:p>
  </w:endnote>
  <w:endnote w:type="continuationSeparator" w:id="0">
    <w:p w14:paraId="5E2228EF" w14:textId="77777777" w:rsidR="003A36AF" w:rsidRDefault="003A36AF" w:rsidP="00B9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C0DFD" w14:textId="77777777" w:rsidR="003A36AF" w:rsidRDefault="003A36AF" w:rsidP="00B911C3">
      <w:pPr>
        <w:spacing w:after="0" w:line="240" w:lineRule="auto"/>
      </w:pPr>
      <w:r>
        <w:separator/>
      </w:r>
    </w:p>
  </w:footnote>
  <w:footnote w:type="continuationSeparator" w:id="0">
    <w:p w14:paraId="5AB7BC23" w14:textId="77777777" w:rsidR="003A36AF" w:rsidRDefault="003A36AF" w:rsidP="00B91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2B217" w14:textId="2D8F9899" w:rsidR="00397FCF" w:rsidRDefault="00B90550">
    <w:pPr>
      <w:pStyle w:val="Header"/>
    </w:pPr>
    <w:r>
      <w:rPr>
        <w:noProof/>
      </w:rPr>
      <w:drawing>
        <wp:anchor distT="0" distB="0" distL="114300" distR="114300" simplePos="0" relativeHeight="251659264" behindDoc="0" locked="0" layoutInCell="1" allowOverlap="1" wp14:anchorId="23537454" wp14:editId="2366A98B">
          <wp:simplePos x="0" y="0"/>
          <wp:positionH relativeFrom="column">
            <wp:posOffset>1085850</wp:posOffset>
          </wp:positionH>
          <wp:positionV relativeFrom="paragraph">
            <wp:posOffset>-276860</wp:posOffset>
          </wp:positionV>
          <wp:extent cx="5465445" cy="1276350"/>
          <wp:effectExtent l="0" t="0" r="1905" b="0"/>
          <wp:wrapThrough wrapText="bothSides">
            <wp:wrapPolygon edited="0">
              <wp:start x="0" y="0"/>
              <wp:lineTo x="0" y="21278"/>
              <wp:lineTo x="21532" y="21278"/>
              <wp:lineTo x="21532" y="0"/>
              <wp:lineTo x="0" y="0"/>
            </wp:wrapPolygon>
          </wp:wrapThrough>
          <wp:docPr id="1160877110" name="Picture 1" descr="ICMA_GB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38886" name="Picture 1414038886" descr="ICMA_GB_letterhead"/>
                  <pic:cNvPicPr>
                    <a:picLocks noChangeAspect="1"/>
                  </pic:cNvPicPr>
                </pic:nvPicPr>
                <pic:blipFill>
                  <a:blip r:embed="rId1">
                    <a:extLst>
                      <a:ext uri="{28A0092B-C50C-407E-A947-70E740481C1C}">
                        <a14:useLocalDpi xmlns:a14="http://schemas.microsoft.com/office/drawing/2010/main" val="0"/>
                      </a:ext>
                    </a:extLst>
                  </a:blip>
                  <a:srcRect b="82874"/>
                  <a:stretch>
                    <a:fillRect/>
                  </a:stretch>
                </pic:blipFill>
                <pic:spPr bwMode="auto">
                  <a:xfrm>
                    <a:off x="0" y="0"/>
                    <a:ext cx="5465445" cy="12763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B8A815B" wp14:editId="51882DCB">
          <wp:simplePos x="0" y="0"/>
          <wp:positionH relativeFrom="column">
            <wp:posOffset>-533400</wp:posOffset>
          </wp:positionH>
          <wp:positionV relativeFrom="paragraph">
            <wp:posOffset>-635</wp:posOffset>
          </wp:positionV>
          <wp:extent cx="1697990" cy="781050"/>
          <wp:effectExtent l="0" t="0" r="0" b="0"/>
          <wp:wrapThrough wrapText="bothSides">
            <wp:wrapPolygon edited="0">
              <wp:start x="0" y="0"/>
              <wp:lineTo x="0" y="21073"/>
              <wp:lineTo x="21325" y="21073"/>
              <wp:lineTo x="21325" y="0"/>
              <wp:lineTo x="0" y="0"/>
            </wp:wrapPolygon>
          </wp:wrapThrough>
          <wp:docPr id="90969865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98653" name="Picture 909698653" descr="A picture containing tex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7810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357E4"/>
    <w:multiLevelType w:val="hybridMultilevel"/>
    <w:tmpl w:val="B3CE5D16"/>
    <w:lvl w:ilvl="0" w:tplc="11402D8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240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02"/>
    <w:rsid w:val="001E1A47"/>
    <w:rsid w:val="001F7A81"/>
    <w:rsid w:val="00241905"/>
    <w:rsid w:val="00343DC6"/>
    <w:rsid w:val="00397FCF"/>
    <w:rsid w:val="003A36AF"/>
    <w:rsid w:val="003C6705"/>
    <w:rsid w:val="003D1B7C"/>
    <w:rsid w:val="006F7902"/>
    <w:rsid w:val="00B90550"/>
    <w:rsid w:val="00B911C3"/>
    <w:rsid w:val="00B9659B"/>
    <w:rsid w:val="00F92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B25F"/>
  <w15:chartTrackingRefBased/>
  <w15:docId w15:val="{BF74482D-6A58-49BD-A00F-E59CE7DD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9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9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9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9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9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9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9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9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9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9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9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9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9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9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9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9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9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902"/>
    <w:rPr>
      <w:rFonts w:eastAsiaTheme="majorEastAsia" w:cstheme="majorBidi"/>
      <w:color w:val="272727" w:themeColor="text1" w:themeTint="D8"/>
    </w:rPr>
  </w:style>
  <w:style w:type="paragraph" w:styleId="Title">
    <w:name w:val="Title"/>
    <w:basedOn w:val="Normal"/>
    <w:next w:val="Normal"/>
    <w:link w:val="TitleChar"/>
    <w:uiPriority w:val="10"/>
    <w:qFormat/>
    <w:rsid w:val="006F7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9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9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9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902"/>
    <w:pPr>
      <w:spacing w:before="160"/>
      <w:jc w:val="center"/>
    </w:pPr>
    <w:rPr>
      <w:i/>
      <w:iCs/>
      <w:color w:val="404040" w:themeColor="text1" w:themeTint="BF"/>
    </w:rPr>
  </w:style>
  <w:style w:type="character" w:customStyle="1" w:styleId="QuoteChar">
    <w:name w:val="Quote Char"/>
    <w:basedOn w:val="DefaultParagraphFont"/>
    <w:link w:val="Quote"/>
    <w:uiPriority w:val="29"/>
    <w:rsid w:val="006F7902"/>
    <w:rPr>
      <w:i/>
      <w:iCs/>
      <w:color w:val="404040" w:themeColor="text1" w:themeTint="BF"/>
    </w:rPr>
  </w:style>
  <w:style w:type="paragraph" w:styleId="ListParagraph">
    <w:name w:val="List Paragraph"/>
    <w:basedOn w:val="Normal"/>
    <w:uiPriority w:val="34"/>
    <w:qFormat/>
    <w:rsid w:val="006F7902"/>
    <w:pPr>
      <w:ind w:left="720"/>
      <w:contextualSpacing/>
    </w:pPr>
  </w:style>
  <w:style w:type="character" w:styleId="IntenseEmphasis">
    <w:name w:val="Intense Emphasis"/>
    <w:basedOn w:val="DefaultParagraphFont"/>
    <w:uiPriority w:val="21"/>
    <w:qFormat/>
    <w:rsid w:val="006F7902"/>
    <w:rPr>
      <w:i/>
      <w:iCs/>
      <w:color w:val="0F4761" w:themeColor="accent1" w:themeShade="BF"/>
    </w:rPr>
  </w:style>
  <w:style w:type="paragraph" w:styleId="IntenseQuote">
    <w:name w:val="Intense Quote"/>
    <w:basedOn w:val="Normal"/>
    <w:next w:val="Normal"/>
    <w:link w:val="IntenseQuoteChar"/>
    <w:uiPriority w:val="30"/>
    <w:qFormat/>
    <w:rsid w:val="006F79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902"/>
    <w:rPr>
      <w:i/>
      <w:iCs/>
      <w:color w:val="0F4761" w:themeColor="accent1" w:themeShade="BF"/>
    </w:rPr>
  </w:style>
  <w:style w:type="character" w:styleId="IntenseReference">
    <w:name w:val="Intense Reference"/>
    <w:basedOn w:val="DefaultParagraphFont"/>
    <w:uiPriority w:val="32"/>
    <w:qFormat/>
    <w:rsid w:val="006F7902"/>
    <w:rPr>
      <w:b/>
      <w:bCs/>
      <w:smallCaps/>
      <w:color w:val="0F4761" w:themeColor="accent1" w:themeShade="BF"/>
      <w:spacing w:val="5"/>
    </w:rPr>
  </w:style>
  <w:style w:type="paragraph" w:styleId="Header">
    <w:name w:val="header"/>
    <w:basedOn w:val="Normal"/>
    <w:link w:val="HeaderChar"/>
    <w:uiPriority w:val="99"/>
    <w:unhideWhenUsed/>
    <w:rsid w:val="00397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FCF"/>
  </w:style>
  <w:style w:type="paragraph" w:styleId="Footer">
    <w:name w:val="footer"/>
    <w:basedOn w:val="Normal"/>
    <w:link w:val="FooterChar"/>
    <w:uiPriority w:val="99"/>
    <w:unhideWhenUsed/>
    <w:rsid w:val="00397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Rey</dc:creator>
  <cp:keywords/>
  <dc:description/>
  <cp:lastModifiedBy>Irene Rey</cp:lastModifiedBy>
  <cp:revision>7</cp:revision>
  <dcterms:created xsi:type="dcterms:W3CDTF">2024-10-08T09:52:00Z</dcterms:created>
  <dcterms:modified xsi:type="dcterms:W3CDTF">2024-10-08T09:56:00Z</dcterms:modified>
</cp:coreProperties>
</file>