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110ECC8C"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40BE3EAC">
                    <wp:simplePos x="0" y="0"/>
                    <wp:positionH relativeFrom="margin">
                      <wp:align>center</wp:align>
                    </wp:positionH>
                    <wp:positionV relativeFrom="paragraph">
                      <wp:posOffset>715645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BDF6E" id="Freeform: Shape 1" o:spid="_x0000_s1026" style="position:absolute;margin-left:0;margin-top:56.35pt;width:596.1pt;height:769.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NA2ZN8AAAAKAQAADwAAAGRycy9kb3ducmV2Lnht&#10;bEyPUUvDMBSF3wX/Q7iCL+LSBp1rbTqGIAiCsNkfkCWxiTY3pcm2+u+9e3Jv995zOec7zXoOAzva&#10;KfmIEspFAcyijsZjL6H7fL1fAUtZoVFDRCvh1yZYt9dXjapNPOHWHne5Z2SCqVYSXM5jzXnSzgaV&#10;FnG0SNpXnILKtE49N5M6kXkYuCiKJQ/KIyU4NdoXZ/XP7hAod7V9dzq9bT5K5+8q3+nqu9NS3t7M&#10;m2dg2c75/xnO+IQOLTHt4wFNYoMEKpLpWoonYGe5rIQAtqdp+SgegLcNv6zQ/g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NA2ZN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margin"/>
                    <w10:anchorlock/>
                  </v:shape>
                </w:pict>
              </mc:Fallback>
            </mc:AlternateContent>
          </w:r>
          <w:r w:rsidR="008334D4">
            <w:rPr>
              <w:rFonts w:cs="Arial"/>
              <w:b/>
              <w:bCs/>
            </w:rPr>
            <w:t>On the</w:t>
          </w:r>
          <w:r w:rsidR="003E0240">
            <w:rPr>
              <w:rFonts w:cs="Arial"/>
              <w:b/>
              <w:bCs/>
            </w:rPr>
            <w:t xml:space="preserve"> </w:t>
          </w:r>
          <w:r w:rsidR="003E0240" w:rsidRPr="003E0240">
            <w:rPr>
              <w:rFonts w:cs="Arial"/>
              <w:b/>
              <w:bCs/>
            </w:rPr>
            <w:t>Regulatory Technical Standards on Liquidity Management Tools under the AIFMD and UCITS Directive</w:t>
          </w:r>
        </w:p>
        <w:p w14:paraId="5C42D2D2" w14:textId="77777777" w:rsidR="00D77369" w:rsidRDefault="00D77369" w:rsidP="00D77369"/>
        <w:p w14:paraId="0A9EB4DC" w14:textId="22E30420"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2AD4EC12" w:rsidR="002533FC" w:rsidRPr="005B6B12" w:rsidRDefault="002533FC" w:rsidP="002533FC">
          <w:r w:rsidRPr="005B6B12">
            <w:t>ESMA will consider all comments received by</w:t>
          </w:r>
          <w:r w:rsidR="008334D4">
            <w:t xml:space="preserve"> </w:t>
          </w:r>
          <w:r w:rsidR="00BD39E2" w:rsidRPr="00BD39E2">
            <w:rPr>
              <w:b/>
              <w:bCs/>
            </w:rPr>
            <w:t xml:space="preserve">8 October </w:t>
          </w:r>
          <w:r w:rsidR="00667FF6" w:rsidRPr="00BD39E2">
            <w:rPr>
              <w:b/>
              <w:bCs/>
            </w:rPr>
            <w:t>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679F17D8"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BD39E2">
            <w:rPr>
              <w:bCs/>
            </w:rPr>
            <w:t>GLMT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6D75888F"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BD39E2">
            <w:rPr>
              <w:bCs/>
            </w:rPr>
            <w:t>GLMT</w:t>
          </w:r>
          <w:r w:rsidRPr="00C5469A">
            <w:rPr>
              <w:bCs/>
            </w:rPr>
            <w:t xml:space="preserve">_nameofrespondent. </w:t>
          </w:r>
        </w:p>
        <w:p w14:paraId="210BE93A" w14:textId="0648B610"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BD39E2">
            <w:rPr>
              <w:bCs/>
            </w:rPr>
            <w:t>GLMT</w:t>
          </w:r>
          <w:r w:rsidRPr="00C5469A">
            <w:rPr>
              <w:bCs/>
            </w:rPr>
            <w:t xml:space="preserve"> _ABCD.</w:t>
          </w:r>
        </w:p>
        <w:p w14:paraId="60FF11C9" w14:textId="04EC08D9" w:rsidR="00EC6066" w:rsidRPr="0026459D" w:rsidRDefault="51A403BF" w:rsidP="001B0E17">
          <w:pPr>
            <w:ind w:left="708" w:hanging="566"/>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submitted online at</w:t>
          </w:r>
          <w:r w:rsidR="001B0E17">
            <w:t xml:space="preserve"> </w:t>
          </w:r>
          <w:hyperlink r:id="rId16" w:history="1">
            <w:r w:rsidR="00281B6A" w:rsidRPr="00510C4A">
              <w:rPr>
                <w:rStyle w:val="Hyperlink"/>
              </w:rPr>
              <w:t>https://www.esma.europa.eu/press-news/consultations/consultation-liquidity-management-tools-funds</w:t>
            </w:r>
          </w:hyperlink>
          <w:r w:rsidR="00281B6A">
            <w:t xml:space="preserve"> </w:t>
          </w:r>
          <w:r>
            <w:t xml:space="preserve">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58A35CD" w14:textId="77777777" w:rsidR="003E0240" w:rsidRPr="003E0240" w:rsidRDefault="003E0240" w:rsidP="003E0240">
      <w:r w:rsidRPr="003E0240">
        <w:t xml:space="preserve">This document will be of interest to alternative investment fund managers, AIFs, management companies, UCITS, and their trade associations, depositories and their trade associations, as well as professional and retail investors investing into UCITS and AIFs and their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tc>
              <w:tcPr>
                <w:tcW w:w="4531" w:type="dxa"/>
              </w:tcPr>
              <w:p w14:paraId="76683ED7" w14:textId="58EF4894" w:rsidR="00635BCA" w:rsidRPr="00557BD2" w:rsidRDefault="00F640C3" w:rsidP="00D21C35">
                <w:r>
                  <w:t>ICMA</w:t>
                </w:r>
              </w:p>
            </w:tc>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Content>
            <w:tc>
              <w:tcPr>
                <w:tcW w:w="4531" w:type="dxa"/>
              </w:tcPr>
              <w:p w14:paraId="7403D812" w14:textId="60DEE605" w:rsidR="00635BCA" w:rsidRPr="00557BD2" w:rsidRDefault="00F640C3" w:rsidP="00D21C35">
                <w:r>
                  <w:t>Trade Association</w:t>
                </w:r>
              </w:p>
            </w:tc>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4531" w:type="dxa"/>
              </w:tcPr>
              <w:p w14:paraId="6A619B85" w14:textId="165E3E43" w:rsidR="00635BCA" w:rsidRPr="00557BD2" w:rsidRDefault="00F134B3" w:rsidP="00D21C35">
                <w:r>
                  <w:t>International</w:t>
                </w:r>
              </w:p>
            </w:tc>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E0C67BF" w14:textId="77777777" w:rsidR="00DA4F15" w:rsidRDefault="00DA4F15" w:rsidP="00DA4F15">
      <w:pPr>
        <w:pStyle w:val="Questionstyle"/>
        <w:numPr>
          <w:ilvl w:val="0"/>
          <w:numId w:val="14"/>
        </w:numPr>
        <w:tabs>
          <w:tab w:val="clear" w:pos="567"/>
        </w:tabs>
        <w:spacing w:after="240" w:line="256" w:lineRule="auto"/>
        <w:ind w:left="851" w:hanging="851"/>
        <w:rPr>
          <w:color w:val="auto"/>
        </w:rPr>
      </w:pPr>
      <w:r>
        <w:t>Do you agree with the proposed characteristics of suspension of subscriptions, repurchases and redemptions? If not, please justify your position.</w:t>
      </w:r>
    </w:p>
    <w:p w14:paraId="4CF4F190" w14:textId="77777777" w:rsidR="00DA4F15" w:rsidRDefault="00DA4F15" w:rsidP="00DA4F15">
      <w:r>
        <w:t>&lt;ESMA_QUESTION_SLMT_1&gt;</w:t>
      </w:r>
    </w:p>
    <w:p w14:paraId="1C0C63EE" w14:textId="77777777" w:rsidR="00887A35" w:rsidRPr="00887A35" w:rsidRDefault="00887A35" w:rsidP="00887A35">
      <w:pPr>
        <w:spacing w:after="160" w:line="259" w:lineRule="auto"/>
        <w:jc w:val="left"/>
        <w:rPr>
          <w:rFonts w:ascii="Aptos" w:eastAsia="Aptos" w:hAnsi="Aptos" w:cs="Times New Roman"/>
          <w:color w:val="auto"/>
          <w:szCs w:val="22"/>
          <w:lang w:val="en-US"/>
        </w:rPr>
      </w:pPr>
      <w:permStart w:id="842152120" w:edGrp="everyone"/>
      <w:r w:rsidRPr="00887A35">
        <w:rPr>
          <w:rFonts w:ascii="Aptos" w:eastAsia="Aptos" w:hAnsi="Aptos" w:cs="Times New Roman"/>
          <w:color w:val="auto"/>
          <w:szCs w:val="22"/>
          <w:lang w:val="en-US"/>
        </w:rPr>
        <w:t>We agree with the proposed characteristics, but in certain situations, it may be beneficial to close the fund for redemptions only, while still allowing subscriptions. This approach can help improve the fund’s liquidity by allowing new capital inflows while preventing forced asset sales during periods of market stress.</w:t>
      </w:r>
    </w:p>
    <w:p w14:paraId="22626CB1" w14:textId="77777777" w:rsidR="00887A35" w:rsidRPr="00887A35" w:rsidRDefault="00887A35" w:rsidP="00887A35">
      <w:pPr>
        <w:spacing w:after="160" w:line="259" w:lineRule="auto"/>
        <w:jc w:val="left"/>
        <w:rPr>
          <w:rFonts w:ascii="Aptos" w:eastAsia="Aptos" w:hAnsi="Aptos" w:cs="Times New Roman"/>
          <w:color w:val="auto"/>
          <w:szCs w:val="22"/>
          <w:lang w:val="en-US"/>
        </w:rPr>
      </w:pPr>
      <w:r w:rsidRPr="00887A35">
        <w:rPr>
          <w:rFonts w:ascii="Aptos" w:eastAsia="Aptos" w:hAnsi="Aptos" w:cs="Times New Roman"/>
          <w:color w:val="auto"/>
          <w:szCs w:val="22"/>
          <w:lang w:val="en-US"/>
        </w:rPr>
        <w:t>Also, an AIF may suspend subscriptions without suspending redemptions if it considers this necessary for the management of the fund, without this being considered a liquidity management tool. For example, this could apply to a fund that has reached its maximum size. Dependent on the fund rules, there are also funds that have different times of subscription (e.g. twice a month) but only redeem once a month.</w:t>
      </w:r>
    </w:p>
    <w:p w14:paraId="34F083DD" w14:textId="77777777" w:rsidR="00887A35" w:rsidRPr="00887A35" w:rsidRDefault="00887A35" w:rsidP="00887A35">
      <w:pPr>
        <w:spacing w:after="160" w:line="259" w:lineRule="auto"/>
        <w:jc w:val="left"/>
        <w:rPr>
          <w:rFonts w:ascii="Aptos" w:eastAsia="Aptos" w:hAnsi="Aptos" w:cs="Times New Roman"/>
          <w:color w:val="auto"/>
          <w:szCs w:val="22"/>
          <w:lang w:val="en-US"/>
        </w:rPr>
      </w:pPr>
      <w:r w:rsidRPr="00887A35">
        <w:rPr>
          <w:rFonts w:ascii="Aptos" w:eastAsia="Aptos" w:hAnsi="Aptos" w:cs="Times New Roman"/>
          <w:color w:val="auto"/>
          <w:szCs w:val="22"/>
          <w:lang w:val="en-US"/>
        </w:rPr>
        <w:t>Thus, in order to retain the necessary flexibility of allowing suspensions of redemptions or suspensions of subscriptions on an individual basis, we propose the following amendment to the drafting of the first characteristic which is detailed in paragraph (2) as well as first point of Article 1:</w:t>
      </w:r>
    </w:p>
    <w:p w14:paraId="09FF8CA8" w14:textId="77777777" w:rsidR="00887A35" w:rsidRPr="00887A35" w:rsidRDefault="00887A35" w:rsidP="00887A35">
      <w:pPr>
        <w:spacing w:after="160" w:line="259" w:lineRule="auto"/>
        <w:jc w:val="left"/>
        <w:rPr>
          <w:rFonts w:ascii="Aptos" w:eastAsia="Aptos" w:hAnsi="Aptos" w:cs="Times New Roman"/>
          <w:b/>
          <w:bCs/>
          <w:color w:val="auto"/>
          <w:szCs w:val="22"/>
          <w:lang w:val="en-US"/>
        </w:rPr>
      </w:pPr>
      <w:r w:rsidRPr="00887A35">
        <w:rPr>
          <w:rFonts w:ascii="Aptos" w:eastAsia="Aptos" w:hAnsi="Aptos" w:cs="Times New Roman"/>
          <w:b/>
          <w:bCs/>
          <w:color w:val="auto"/>
          <w:szCs w:val="22"/>
          <w:lang w:val="en-US"/>
        </w:rPr>
        <w:t>Suspensions of subscriptions, repurchases and redemptions can be applied independently from each other at the discretion of the fund manager. In the case where</w:t>
      </w:r>
      <w:r w:rsidRPr="00887A35">
        <w:rPr>
          <w:rFonts w:ascii="Aptos" w:eastAsia="Aptos" w:hAnsi="Aptos" w:cs="Times New Roman"/>
          <w:color w:val="auto"/>
          <w:szCs w:val="22"/>
          <w:lang w:val="en-US"/>
        </w:rPr>
        <w:t xml:space="preserve"> </w:t>
      </w:r>
      <w:r w:rsidRPr="00887A35">
        <w:rPr>
          <w:rFonts w:ascii="Aptos" w:eastAsia="Aptos" w:hAnsi="Aptos" w:cs="Times New Roman"/>
          <w:strike/>
          <w:color w:val="auto"/>
          <w:szCs w:val="22"/>
          <w:lang w:val="en-US"/>
        </w:rPr>
        <w:t>S</w:t>
      </w:r>
      <w:r w:rsidRPr="00887A35">
        <w:rPr>
          <w:rFonts w:ascii="Aptos" w:eastAsia="Aptos" w:hAnsi="Aptos" w:cs="Times New Roman"/>
          <w:b/>
          <w:bCs/>
          <w:color w:val="auto"/>
          <w:szCs w:val="22"/>
          <w:lang w:val="en-US"/>
        </w:rPr>
        <w:t>s</w:t>
      </w:r>
      <w:r w:rsidRPr="00887A35">
        <w:rPr>
          <w:rFonts w:ascii="Aptos" w:eastAsia="Aptos" w:hAnsi="Aptos" w:cs="Times New Roman"/>
          <w:color w:val="auto"/>
          <w:szCs w:val="22"/>
          <w:lang w:val="en-US"/>
        </w:rPr>
        <w:t xml:space="preserve">uspensions </w:t>
      </w:r>
      <w:r w:rsidRPr="00887A35">
        <w:rPr>
          <w:rFonts w:ascii="Aptos" w:eastAsia="Aptos" w:hAnsi="Aptos" w:cs="Times New Roman"/>
          <w:strike/>
          <w:color w:val="auto"/>
          <w:szCs w:val="22"/>
          <w:lang w:val="en-US"/>
        </w:rPr>
        <w:t>of subscriptions</w:t>
      </w:r>
      <w:r w:rsidRPr="00887A35">
        <w:rPr>
          <w:rFonts w:ascii="Aptos" w:eastAsia="Aptos" w:hAnsi="Aptos" w:cs="Times New Roman"/>
          <w:color w:val="auto"/>
          <w:szCs w:val="22"/>
          <w:lang w:val="en-US"/>
        </w:rPr>
        <w:t xml:space="preserve"> </w:t>
      </w:r>
      <w:r w:rsidRPr="00887A35">
        <w:rPr>
          <w:rFonts w:ascii="Aptos" w:eastAsia="Aptos" w:hAnsi="Aptos" w:cs="Times New Roman"/>
          <w:strike/>
          <w:color w:val="auto"/>
          <w:szCs w:val="22"/>
          <w:lang w:val="en-US"/>
        </w:rPr>
        <w:t>shall</w:t>
      </w:r>
      <w:r w:rsidRPr="00887A35">
        <w:rPr>
          <w:rFonts w:ascii="Aptos" w:eastAsia="Aptos" w:hAnsi="Aptos" w:cs="Times New Roman"/>
          <w:color w:val="auto"/>
          <w:szCs w:val="22"/>
          <w:lang w:val="en-US"/>
        </w:rPr>
        <w:t xml:space="preserve"> </w:t>
      </w:r>
      <w:r w:rsidRPr="00887A35">
        <w:rPr>
          <w:rFonts w:ascii="Aptos" w:eastAsia="Aptos" w:hAnsi="Aptos" w:cs="Times New Roman"/>
          <w:b/>
          <w:bCs/>
          <w:color w:val="auto"/>
          <w:szCs w:val="22"/>
          <w:lang w:val="en-US"/>
        </w:rPr>
        <w:t>apply simultaneously to suspensions of subscriptions, repurchases and redemptions</w:t>
      </w:r>
      <w:r w:rsidRPr="00887A35">
        <w:rPr>
          <w:rFonts w:ascii="Aptos" w:eastAsia="Aptos" w:hAnsi="Aptos" w:cs="Times New Roman"/>
          <w:color w:val="auto"/>
          <w:szCs w:val="22"/>
          <w:lang w:val="en-US"/>
        </w:rPr>
        <w:t xml:space="preserve">, </w:t>
      </w:r>
      <w:r w:rsidRPr="00887A35">
        <w:rPr>
          <w:rFonts w:ascii="Aptos" w:eastAsia="Aptos" w:hAnsi="Aptos" w:cs="Times New Roman"/>
          <w:b/>
          <w:bCs/>
          <w:color w:val="auto"/>
          <w:szCs w:val="22"/>
          <w:lang w:val="en-US"/>
        </w:rPr>
        <w:t>they shall apply</w:t>
      </w:r>
      <w:r w:rsidRPr="00887A35">
        <w:rPr>
          <w:rFonts w:ascii="Aptos" w:eastAsia="Aptos" w:hAnsi="Aptos" w:cs="Times New Roman"/>
          <w:color w:val="auto"/>
          <w:szCs w:val="22"/>
          <w:lang w:val="en-US"/>
        </w:rPr>
        <w:t xml:space="preserve"> </w:t>
      </w:r>
      <w:r w:rsidRPr="00887A35">
        <w:rPr>
          <w:rFonts w:ascii="Aptos" w:eastAsia="Aptos" w:hAnsi="Aptos" w:cs="Times New Roman"/>
          <w:strike/>
          <w:color w:val="auto"/>
          <w:szCs w:val="22"/>
          <w:lang w:val="en-US"/>
        </w:rPr>
        <w:t>and</w:t>
      </w:r>
      <w:r w:rsidRPr="00887A35">
        <w:rPr>
          <w:rFonts w:ascii="Aptos" w:eastAsia="Aptos" w:hAnsi="Aptos" w:cs="Times New Roman"/>
          <w:color w:val="auto"/>
          <w:szCs w:val="22"/>
          <w:lang w:val="en-US"/>
        </w:rPr>
        <w:t xml:space="preserve"> for the same period of time.</w:t>
      </w:r>
    </w:p>
    <w:p w14:paraId="6BE3FFB8" w14:textId="63FBE9A8" w:rsidR="00DA4F15" w:rsidRDefault="00DA4F15" w:rsidP="00DA4F15"/>
    <w:permEnd w:id="842152120"/>
    <w:p w14:paraId="24D630F4" w14:textId="77777777" w:rsidR="00DA4F15" w:rsidRDefault="00DA4F15" w:rsidP="00DA4F15">
      <w:r>
        <w:t>&lt;ESMA_QUESTION_SLMT_1&gt;</w:t>
      </w:r>
    </w:p>
    <w:p w14:paraId="4820C4E6" w14:textId="77777777" w:rsidR="00DA4F15" w:rsidRDefault="00DA4F15" w:rsidP="00DA4F15"/>
    <w:p w14:paraId="2C2E979A" w14:textId="77777777" w:rsidR="00DA4F15" w:rsidRDefault="00DA4F15" w:rsidP="00DA4F15">
      <w:pPr>
        <w:pStyle w:val="Questionstyle"/>
        <w:numPr>
          <w:ilvl w:val="0"/>
          <w:numId w:val="14"/>
        </w:numPr>
        <w:tabs>
          <w:tab w:val="clear" w:pos="567"/>
        </w:tabs>
        <w:spacing w:after="240" w:line="256" w:lineRule="auto"/>
        <w:ind w:left="851" w:hanging="851"/>
      </w:pPr>
      <w:r>
        <w:t>Do you agree that orders that have been placed but not executed before the fund manager suspends shall not be executed until the suspension is lifted? If not, please explain why these orders shall be executed.</w:t>
      </w:r>
    </w:p>
    <w:p w14:paraId="127AC5F1" w14:textId="77777777" w:rsidR="00DA4F15" w:rsidRDefault="00DA4F15" w:rsidP="00DA4F15">
      <w:r>
        <w:t>&lt;ESMA_QUESTION_SLMT_2&gt;</w:t>
      </w:r>
    </w:p>
    <w:p w14:paraId="40EB8A19" w14:textId="77777777" w:rsidR="00427E95" w:rsidRPr="00427E95" w:rsidRDefault="00427E95" w:rsidP="00427E95">
      <w:pPr>
        <w:spacing w:after="160" w:line="259" w:lineRule="auto"/>
        <w:jc w:val="left"/>
        <w:rPr>
          <w:rFonts w:ascii="Aptos" w:eastAsia="Aptos" w:hAnsi="Aptos" w:cs="Times New Roman"/>
          <w:color w:val="auto"/>
          <w:szCs w:val="22"/>
          <w:lang w:val="en-US"/>
        </w:rPr>
      </w:pPr>
      <w:permStart w:id="227106512" w:edGrp="everyone"/>
      <w:r w:rsidRPr="00427E95">
        <w:rPr>
          <w:rFonts w:ascii="Aptos" w:eastAsia="Aptos" w:hAnsi="Aptos" w:cs="Times New Roman"/>
          <w:color w:val="auto"/>
          <w:szCs w:val="22"/>
          <w:lang w:val="en-US"/>
        </w:rPr>
        <w:t>We agree in principle, but in practice there needs to be flexibility to allow fund managers to honour particular contractual obligations which would be complex to reverse or put on hold, and investors should also be offered the option to cancel the non-executed part of their redemption order subject to the consent of the AIFM, provided this is disclosed in the prospectus. Furthermore, the AIFM should also have the possibility to proceed differently for example, by cancelling all orders received before the suspension, and requiring investors willing to subscribe or redeem to place new orders, as long as this is clearly documented in the fund’s legal documentation.</w:t>
      </w:r>
    </w:p>
    <w:p w14:paraId="271DBD05" w14:textId="77777777" w:rsidR="00427E95" w:rsidRPr="00427E95" w:rsidRDefault="00427E95" w:rsidP="00427E95">
      <w:pPr>
        <w:spacing w:after="160" w:line="259" w:lineRule="auto"/>
        <w:jc w:val="left"/>
        <w:rPr>
          <w:rFonts w:ascii="Aptos" w:eastAsia="Aptos" w:hAnsi="Aptos" w:cs="Times New Roman"/>
          <w:color w:val="auto"/>
          <w:szCs w:val="22"/>
          <w:lang w:val="en-US"/>
        </w:rPr>
      </w:pPr>
      <w:r w:rsidRPr="00427E95">
        <w:rPr>
          <w:rFonts w:ascii="Aptos" w:eastAsia="Aptos" w:hAnsi="Aptos" w:cs="Times New Roman"/>
          <w:color w:val="auto"/>
          <w:szCs w:val="22"/>
          <w:lang w:val="en-US"/>
        </w:rPr>
        <w:t>Moreover, fully limiting execution until suspension is lifted may cause some operational and cross-border issues for a typical mutual fund. There needs to be the necessary flexibility for funds distributed via straight through processing (STP) procedures to account for time zone differences. For example, investors from Asian markets using STP notification processes to European funds will send their orders during Asian working hours which operate before the European markets are open. These Asian investors risk being disadvantaged for having chosen European funds, over the local Asian ones, if their orders are not executed. Managers are contractually obliged to honour these orders and enable them to pass automatically to the transfer agent, per the terms of business. It would be operationally very complex and challenging to reverse these types of deal flows.</w:t>
      </w:r>
    </w:p>
    <w:p w14:paraId="3AE93DC9" w14:textId="77777777" w:rsidR="00427E95" w:rsidRPr="00427E95" w:rsidRDefault="00427E95" w:rsidP="00427E95">
      <w:pPr>
        <w:spacing w:after="160" w:line="259" w:lineRule="auto"/>
        <w:jc w:val="left"/>
        <w:rPr>
          <w:rFonts w:ascii="Aptos" w:eastAsia="Aptos" w:hAnsi="Aptos" w:cs="Times New Roman"/>
          <w:color w:val="auto"/>
          <w:szCs w:val="22"/>
          <w:lang w:val="en-US"/>
        </w:rPr>
      </w:pPr>
      <w:r w:rsidRPr="00427E95">
        <w:rPr>
          <w:rFonts w:ascii="Aptos" w:eastAsia="Aptos" w:hAnsi="Aptos" w:cs="Times New Roman"/>
          <w:color w:val="auto"/>
          <w:szCs w:val="22"/>
          <w:lang w:val="en-US"/>
        </w:rPr>
        <w:t>It should thus be recognized in the RTS that fund managers have the flexibility to act in the best interest of investors and fulfil their contractual obligations. We therefore propose the following amendment:</w:t>
      </w:r>
    </w:p>
    <w:p w14:paraId="20F4211D" w14:textId="77777777" w:rsidR="00427E95" w:rsidRPr="00427E95" w:rsidRDefault="00427E95" w:rsidP="00427E95">
      <w:pPr>
        <w:spacing w:after="160" w:line="259" w:lineRule="auto"/>
        <w:jc w:val="left"/>
        <w:rPr>
          <w:rFonts w:ascii="Aptos" w:eastAsia="Aptos" w:hAnsi="Aptos" w:cs="Times New Roman"/>
          <w:color w:val="auto"/>
          <w:szCs w:val="22"/>
          <w:lang w:val="en-US"/>
        </w:rPr>
      </w:pPr>
      <w:r w:rsidRPr="00427E95">
        <w:rPr>
          <w:rFonts w:ascii="Aptos" w:eastAsia="Aptos" w:hAnsi="Aptos" w:cs="Times New Roman"/>
          <w:color w:val="auto"/>
          <w:szCs w:val="22"/>
          <w:lang w:val="en-US"/>
        </w:rPr>
        <w:t>4.</w:t>
      </w:r>
      <w:r w:rsidRPr="00427E95">
        <w:rPr>
          <w:rFonts w:ascii="Aptos" w:eastAsia="Aptos" w:hAnsi="Aptos" w:cs="Times New Roman"/>
          <w:color w:val="auto"/>
          <w:szCs w:val="22"/>
          <w:lang w:val="en-US"/>
        </w:rPr>
        <w:tab/>
        <w:t xml:space="preserve">Subscriptions, repurchases and redemptions orders that have been placed, but not executed before the subscriptions, repurchases and redemptions of the AIFs/UCITS are suspended, shall not be executed, </w:t>
      </w:r>
      <w:r w:rsidRPr="00427E95">
        <w:rPr>
          <w:rFonts w:ascii="Aptos" w:eastAsia="Aptos" w:hAnsi="Aptos" w:cs="Times New Roman"/>
          <w:b/>
          <w:bCs/>
          <w:color w:val="auto"/>
          <w:szCs w:val="22"/>
          <w:lang w:val="en-US"/>
        </w:rPr>
        <w:t>if possible</w:t>
      </w:r>
      <w:r w:rsidRPr="00427E95">
        <w:rPr>
          <w:rFonts w:ascii="Aptos" w:eastAsia="Aptos" w:hAnsi="Aptos" w:cs="Times New Roman"/>
          <w:color w:val="auto"/>
          <w:szCs w:val="22"/>
          <w:lang w:val="en-US"/>
        </w:rPr>
        <w:t xml:space="preserve">, </w:t>
      </w:r>
      <w:r w:rsidRPr="00427E95">
        <w:rPr>
          <w:rFonts w:ascii="Aptos" w:eastAsia="Aptos" w:hAnsi="Aptos" w:cs="Times New Roman"/>
          <w:b/>
          <w:bCs/>
          <w:color w:val="auto"/>
          <w:szCs w:val="22"/>
          <w:lang w:val="en-US"/>
        </w:rPr>
        <w:t>and acting in the best interest of investors</w:t>
      </w:r>
      <w:r w:rsidRPr="00427E95">
        <w:rPr>
          <w:rFonts w:ascii="Aptos" w:eastAsia="Aptos" w:hAnsi="Aptos" w:cs="Times New Roman"/>
          <w:color w:val="auto"/>
          <w:szCs w:val="22"/>
          <w:lang w:val="en-US"/>
        </w:rPr>
        <w:t>,  before the suspension of subscriptions, repurchases and redemptions is lifted.</w:t>
      </w:r>
    </w:p>
    <w:p w14:paraId="0B085D9C" w14:textId="7F36B1B7" w:rsidR="00DA4F15" w:rsidRDefault="00DA4F15" w:rsidP="00DA4F15"/>
    <w:permEnd w:id="227106512"/>
    <w:p w14:paraId="5AFBDFD8" w14:textId="77777777" w:rsidR="00DA4F15" w:rsidRDefault="00DA4F15" w:rsidP="00DA4F15">
      <w:r>
        <w:t>&lt;ESMA_QUESTION_SLMT_2&gt;</w:t>
      </w:r>
    </w:p>
    <w:p w14:paraId="0BC747D3" w14:textId="77777777" w:rsidR="00DA4F15" w:rsidRDefault="00DA4F15" w:rsidP="00DA4F15"/>
    <w:p w14:paraId="771B21C5" w14:textId="77777777" w:rsidR="00DA4F15" w:rsidRDefault="00DA4F15" w:rsidP="00DA4F15">
      <w:pPr>
        <w:pStyle w:val="Questionstyle"/>
        <w:numPr>
          <w:ilvl w:val="0"/>
          <w:numId w:val="14"/>
        </w:numPr>
        <w:tabs>
          <w:tab w:val="clear" w:pos="567"/>
        </w:tabs>
        <w:spacing w:after="240" w:line="256" w:lineRule="auto"/>
        <w:ind w:left="851" w:hanging="851"/>
      </w:pPr>
      <w:r>
        <w:lastRenderedPageBreak/>
        <w:t>Once the fund is reopened for subscriptions, repurchases and redemptions, what would be your approach to redemption orders that have not been executed before the fund was suspended?</w:t>
      </w:r>
    </w:p>
    <w:p w14:paraId="66EB84A4" w14:textId="77777777" w:rsidR="00DA4F15" w:rsidRDefault="00DA4F15" w:rsidP="00DA4F15">
      <w:r>
        <w:t>&lt;ESMA_QUESTION_SLMT_3&gt;</w:t>
      </w:r>
    </w:p>
    <w:p w14:paraId="204E707D" w14:textId="77777777" w:rsidR="0074334E" w:rsidRPr="0074334E" w:rsidRDefault="0074334E" w:rsidP="0074334E">
      <w:pPr>
        <w:spacing w:after="160" w:line="259" w:lineRule="auto"/>
        <w:jc w:val="left"/>
        <w:rPr>
          <w:rFonts w:ascii="Aptos" w:eastAsia="Aptos" w:hAnsi="Aptos" w:cs="Times New Roman"/>
          <w:color w:val="auto"/>
          <w:szCs w:val="22"/>
          <w:lang w:val="en-US"/>
        </w:rPr>
      </w:pPr>
      <w:permStart w:id="1010463442" w:edGrp="everyone"/>
      <w:r w:rsidRPr="0074334E">
        <w:rPr>
          <w:rFonts w:ascii="Aptos" w:eastAsia="Aptos" w:hAnsi="Aptos" w:cs="Times New Roman"/>
          <w:color w:val="auto"/>
          <w:szCs w:val="22"/>
          <w:lang w:val="en-US"/>
        </w:rPr>
        <w:t>The choice of approach to redemption orders that have not been executed before the fund’s suspension should be at the discretion of the AIFM, and depends on the fund, its underlying assets and investor base. Therefore, the AIFM should have the flexibility to choose the most appropriate methods between cancelling all orders received before the suspension and requiring investors willing to subscribe or redeem to place new orders, or executing the orders that have not been executed before the fund was suspended, as long as the approach is clearly documented in the fund’s legal documentation.</w:t>
      </w:r>
    </w:p>
    <w:p w14:paraId="744C6E01" w14:textId="5ABBBB01" w:rsidR="00DA4F15" w:rsidRDefault="00DA4F15" w:rsidP="00DA4F15"/>
    <w:permEnd w:id="1010463442"/>
    <w:p w14:paraId="332501D1" w14:textId="77777777" w:rsidR="00DA4F15" w:rsidRDefault="00DA4F15" w:rsidP="00DA4F15">
      <w:r>
        <w:t>&lt;ESMA_QUESTION_SLMT_3&gt;</w:t>
      </w:r>
    </w:p>
    <w:p w14:paraId="2DC386AB" w14:textId="77777777" w:rsidR="00DA4F15" w:rsidRDefault="00DA4F15" w:rsidP="00DA4F15"/>
    <w:p w14:paraId="41121C7F" w14:textId="77777777" w:rsidR="00DA4F15" w:rsidRDefault="00DA4F15" w:rsidP="00DA4F15">
      <w:pPr>
        <w:pStyle w:val="Questionstyle"/>
        <w:numPr>
          <w:ilvl w:val="0"/>
          <w:numId w:val="14"/>
        </w:numPr>
        <w:tabs>
          <w:tab w:val="clear" w:pos="567"/>
        </w:tabs>
        <w:spacing w:after="240" w:line="256" w:lineRule="auto"/>
        <w:ind w:left="851" w:hanging="851"/>
      </w:pPr>
      <w:r>
        <w:t>Do you think there are circumstances where subscriptions, repurchases and redemptions may not be reopened simultaneously? If yes, what are these circumstances?</w:t>
      </w:r>
    </w:p>
    <w:p w14:paraId="6EDC0DD3" w14:textId="77777777" w:rsidR="00DA4F15" w:rsidRDefault="00DA4F15" w:rsidP="00DA4F15">
      <w:r>
        <w:t>&lt;ESMA_QUESTION_SLMT_4&gt;</w:t>
      </w:r>
    </w:p>
    <w:p w14:paraId="479CCADD" w14:textId="77777777" w:rsidR="00BA6882" w:rsidRPr="00BA6882" w:rsidRDefault="00BA6882" w:rsidP="00BA6882">
      <w:pPr>
        <w:spacing w:after="160" w:line="259" w:lineRule="auto"/>
        <w:jc w:val="left"/>
        <w:rPr>
          <w:rFonts w:ascii="Aptos" w:eastAsia="Aptos" w:hAnsi="Aptos" w:cs="Times New Roman"/>
          <w:color w:val="auto"/>
          <w:szCs w:val="22"/>
          <w:lang w:val="en-US"/>
        </w:rPr>
      </w:pPr>
      <w:permStart w:id="2089954106" w:edGrp="everyone"/>
      <w:r w:rsidRPr="00BA6882">
        <w:rPr>
          <w:rFonts w:ascii="Aptos" w:eastAsia="Aptos" w:hAnsi="Aptos" w:cs="Times New Roman"/>
          <w:color w:val="auto"/>
          <w:szCs w:val="22"/>
          <w:lang w:val="en-US"/>
        </w:rPr>
        <w:t>As described in response to Q1, there are circumstances where suspensions of redemptions and subscriptions are not interrelated and occur on separate basis and therefore cannot be limited to being activated on a simultaneous basis. Similarly, reopening subscriptions before redemptions can serve as a transitional step towards full reopening of the fund, allowing new capital from subscriptions to improve liquidity of the fund.</w:t>
      </w:r>
    </w:p>
    <w:p w14:paraId="651F6A28" w14:textId="77777777" w:rsidR="00BA6882" w:rsidRPr="00BA6882" w:rsidRDefault="00BA6882" w:rsidP="00BA6882">
      <w:pPr>
        <w:spacing w:after="160" w:line="259" w:lineRule="auto"/>
        <w:jc w:val="left"/>
        <w:rPr>
          <w:rFonts w:ascii="Aptos" w:eastAsia="Aptos" w:hAnsi="Aptos" w:cs="Times New Roman"/>
          <w:color w:val="auto"/>
          <w:szCs w:val="22"/>
          <w:lang w:val="en-US"/>
        </w:rPr>
      </w:pPr>
      <w:r w:rsidRPr="00BA6882">
        <w:rPr>
          <w:rFonts w:ascii="Aptos" w:eastAsia="Aptos" w:hAnsi="Aptos" w:cs="Times New Roman"/>
          <w:color w:val="auto"/>
          <w:szCs w:val="22"/>
          <w:lang w:val="en-US"/>
        </w:rPr>
        <w:t>It is also important to reiterate that subscriptions and redemptions are two distinct mechanisms. While the suspension of redemptions is a liquidity management tool, the suspension of subscriptions can be used in certain situations such as difficulties in valuing the assets of the fund or when the fund has reached its maximum size.</w:t>
      </w:r>
    </w:p>
    <w:p w14:paraId="0B0B41C1" w14:textId="7BB136B5" w:rsidR="00DA4F15" w:rsidRDefault="00DA4F15" w:rsidP="00DA4F15"/>
    <w:permEnd w:id="2089954106"/>
    <w:p w14:paraId="49E64462" w14:textId="77777777" w:rsidR="00DA4F15" w:rsidRDefault="00DA4F15" w:rsidP="00DA4F15">
      <w:r>
        <w:t>&lt;ESMA_QUESTION_SLMT_4&gt;</w:t>
      </w:r>
    </w:p>
    <w:p w14:paraId="21DA3114" w14:textId="77777777" w:rsidR="00DA4F15" w:rsidRDefault="00DA4F15" w:rsidP="00DA4F15"/>
    <w:p w14:paraId="4A999F10" w14:textId="77777777" w:rsidR="00DA4F15" w:rsidRDefault="00DA4F15" w:rsidP="00DA4F15">
      <w:pPr>
        <w:pStyle w:val="Questionstyle"/>
        <w:numPr>
          <w:ilvl w:val="0"/>
          <w:numId w:val="14"/>
        </w:numPr>
        <w:tabs>
          <w:tab w:val="clear" w:pos="567"/>
        </w:tabs>
        <w:spacing w:after="240" w:line="256" w:lineRule="auto"/>
        <w:ind w:left="851" w:hanging="851"/>
      </w:pPr>
      <w:r>
        <w:lastRenderedPageBreak/>
        <w:t>Can you think of any further characteristics of suspension of subscriptions, repurchases and redemptions?</w:t>
      </w:r>
    </w:p>
    <w:p w14:paraId="0277F7A4" w14:textId="77777777" w:rsidR="00DA4F15" w:rsidRDefault="00DA4F15" w:rsidP="00DA4F15">
      <w:r>
        <w:t>&lt;ESMA_QUESTION_SLMT_5&gt;</w:t>
      </w:r>
    </w:p>
    <w:p w14:paraId="1A6BD284" w14:textId="77777777" w:rsidR="008C0941" w:rsidRPr="008C0941" w:rsidRDefault="008C0941" w:rsidP="008C0941">
      <w:pPr>
        <w:spacing w:after="160" w:line="259" w:lineRule="auto"/>
        <w:jc w:val="left"/>
        <w:rPr>
          <w:rFonts w:ascii="Aptos" w:eastAsia="Aptos" w:hAnsi="Aptos" w:cs="Times New Roman"/>
          <w:color w:val="auto"/>
          <w:szCs w:val="22"/>
          <w:lang w:val="en-US"/>
        </w:rPr>
      </w:pPr>
      <w:permStart w:id="2144415196" w:edGrp="everyone"/>
      <w:r w:rsidRPr="008C0941">
        <w:rPr>
          <w:rFonts w:ascii="Aptos" w:eastAsia="Aptos" w:hAnsi="Aptos" w:cs="Times New Roman"/>
          <w:color w:val="auto"/>
          <w:szCs w:val="22"/>
          <w:lang w:val="en-US"/>
        </w:rPr>
        <w:t>No. However, it is important to keep the necessary flexibility and to note that subscriptions and redemptions are not interrelated (as described in Q1 and Q4).</w:t>
      </w:r>
    </w:p>
    <w:p w14:paraId="4F64055A" w14:textId="4DCC6BCE" w:rsidR="00DA4F15" w:rsidRDefault="00DA4F15" w:rsidP="00DA4F15"/>
    <w:permEnd w:id="2144415196"/>
    <w:p w14:paraId="4B2E1F12" w14:textId="77777777" w:rsidR="00DA4F15" w:rsidRDefault="00DA4F15" w:rsidP="00DA4F15">
      <w:r>
        <w:t>&lt;ESMA_QUESTION_SLMT_5&gt;</w:t>
      </w:r>
    </w:p>
    <w:p w14:paraId="436ACA0F" w14:textId="77777777" w:rsidR="00DA4F15" w:rsidRDefault="00DA4F15" w:rsidP="00DA4F15"/>
    <w:p w14:paraId="72D67717"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suspension of subscriptions, repurchases and redemptions gates to differ between different investment strategies and between AIFs and UCITS? If yes, how?</w:t>
      </w:r>
    </w:p>
    <w:p w14:paraId="28A39ECC" w14:textId="77777777" w:rsidR="00DA4F15" w:rsidRDefault="00DA4F15" w:rsidP="00DA4F15">
      <w:r>
        <w:t>&lt;ESMA_QUESTION_SLMT_6&gt;</w:t>
      </w:r>
    </w:p>
    <w:p w14:paraId="2E0BACF7" w14:textId="77777777" w:rsidR="00CD6247" w:rsidRPr="00CD6247" w:rsidRDefault="00CD6247" w:rsidP="00CD6247">
      <w:pPr>
        <w:spacing w:after="160" w:line="259" w:lineRule="auto"/>
        <w:jc w:val="left"/>
        <w:rPr>
          <w:rFonts w:ascii="Aptos" w:eastAsia="Aptos" w:hAnsi="Aptos" w:cs="Times New Roman"/>
          <w:color w:val="auto"/>
          <w:szCs w:val="22"/>
          <w:lang w:val="en-US"/>
        </w:rPr>
      </w:pPr>
      <w:permStart w:id="441538008" w:edGrp="everyone"/>
      <w:r w:rsidRPr="00CD6247">
        <w:rPr>
          <w:rFonts w:ascii="Aptos" w:eastAsia="Aptos" w:hAnsi="Aptos" w:cs="Times New Roman"/>
          <w:color w:val="auto"/>
          <w:szCs w:val="22"/>
          <w:lang w:val="en-US"/>
        </w:rPr>
        <w:t>We believe AIFMs should benefit from flexibility regarding the proposed characteristics depending on the nature of the underlying assets and the investor base, and should be allowed to consider alternative characteristics, provided this is documented in their legal documents and that the spirit of the Directive is respected.</w:t>
      </w:r>
    </w:p>
    <w:p w14:paraId="280FD240" w14:textId="31087F62" w:rsidR="00DA4F15" w:rsidRDefault="00DA4F15" w:rsidP="00DA4F15"/>
    <w:permEnd w:id="441538008"/>
    <w:p w14:paraId="0201A870" w14:textId="77777777" w:rsidR="00DA4F15" w:rsidRDefault="00DA4F15" w:rsidP="00DA4F15">
      <w:r>
        <w:t>&lt;ESMA_QUESTION_SLMT_6&gt;</w:t>
      </w:r>
    </w:p>
    <w:p w14:paraId="14A7733B" w14:textId="77777777" w:rsidR="00DA4F15" w:rsidRDefault="00DA4F15" w:rsidP="00DA4F15"/>
    <w:p w14:paraId="76FC6E28"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redemption gates and their characteristics? If not, please justify your position.</w:t>
      </w:r>
    </w:p>
    <w:p w14:paraId="4D1AEF90" w14:textId="77777777" w:rsidR="00DA4F15" w:rsidRDefault="00DA4F15" w:rsidP="00DA4F15">
      <w:r>
        <w:t>&lt;ESMA_QUESTION_SLMT_7&gt;</w:t>
      </w:r>
    </w:p>
    <w:p w14:paraId="3402684F" w14:textId="77777777" w:rsidR="00720EE8" w:rsidRPr="00720EE8" w:rsidRDefault="00720EE8" w:rsidP="00720EE8">
      <w:pPr>
        <w:spacing w:after="160" w:line="259" w:lineRule="auto"/>
        <w:jc w:val="left"/>
        <w:rPr>
          <w:rFonts w:ascii="Aptos" w:eastAsia="Aptos" w:hAnsi="Aptos" w:cs="Times New Roman"/>
          <w:color w:val="auto"/>
          <w:szCs w:val="22"/>
          <w:lang w:val="en-US"/>
        </w:rPr>
      </w:pPr>
      <w:permStart w:id="637092435" w:edGrp="everyone"/>
      <w:r w:rsidRPr="00720EE8">
        <w:rPr>
          <w:rFonts w:ascii="Aptos" w:eastAsia="Aptos" w:hAnsi="Aptos" w:cs="Times New Roman"/>
          <w:color w:val="auto"/>
          <w:szCs w:val="22"/>
          <w:lang w:val="en-US"/>
        </w:rPr>
        <w:t xml:space="preserve">We agree in principle, but the characteristics should be widened also to capture both redemptions and subscriptions. The RTS assume that liquidity issues only arise when a fund is trying to sell assets, but this pressure can equally arise when a fund is trying to buy assets. The drafted characteristics do not recognise that gates or “soft closures” may also be required due to liquidity pressures emanating from subscriptions. </w:t>
      </w:r>
    </w:p>
    <w:p w14:paraId="1D654B0B" w14:textId="0822A436" w:rsidR="00DA4F15" w:rsidRDefault="00DA4F15" w:rsidP="00DA4F15"/>
    <w:permEnd w:id="637092435"/>
    <w:p w14:paraId="51FCB5C5" w14:textId="77777777" w:rsidR="00DA4F15" w:rsidRDefault="00DA4F15" w:rsidP="00DA4F15">
      <w:r>
        <w:t>&lt;ESMA_QUESTION_SLMT_7&gt;</w:t>
      </w:r>
    </w:p>
    <w:p w14:paraId="66D6190F" w14:textId="77777777" w:rsidR="00DA4F15" w:rsidRDefault="00DA4F15" w:rsidP="00DA4F15"/>
    <w:p w14:paraId="3E8C5421" w14:textId="77777777" w:rsidR="00DA4F15" w:rsidRDefault="00DA4F15" w:rsidP="00DA4F15">
      <w:pPr>
        <w:pStyle w:val="Questionstyle"/>
        <w:numPr>
          <w:ilvl w:val="0"/>
          <w:numId w:val="14"/>
        </w:numPr>
        <w:tabs>
          <w:tab w:val="clear" w:pos="567"/>
        </w:tabs>
        <w:spacing w:after="240" w:line="256" w:lineRule="auto"/>
        <w:ind w:left="851" w:hanging="851"/>
      </w:pPr>
      <w:r>
        <w:t xml:space="preserve">The draft RTS provides that the redemption gate threshold shall be expressed as a percentage of the NAV of the fund considering the net redemption orders for a given dealing day. Are you aware of any other method that ESMA should consider in the RTS? If yes, please explain. </w:t>
      </w:r>
    </w:p>
    <w:p w14:paraId="28843D3F" w14:textId="77777777" w:rsidR="00DA4F15" w:rsidRDefault="00DA4F15" w:rsidP="00DA4F15">
      <w:r>
        <w:t>&lt;ESMA_QUESTION_SLMT_8&gt;</w:t>
      </w:r>
    </w:p>
    <w:p w14:paraId="66271F0F" w14:textId="77777777" w:rsidR="00B80978" w:rsidRPr="00B80978" w:rsidRDefault="00B80978" w:rsidP="00B80978">
      <w:pPr>
        <w:spacing w:after="160" w:line="259" w:lineRule="auto"/>
        <w:jc w:val="left"/>
        <w:rPr>
          <w:rFonts w:ascii="Aptos" w:eastAsia="Aptos" w:hAnsi="Aptos" w:cs="Times New Roman"/>
          <w:color w:val="auto"/>
          <w:szCs w:val="22"/>
          <w:lang w:val="en-US"/>
        </w:rPr>
      </w:pPr>
      <w:permStart w:id="1095595777" w:edGrp="everyone"/>
      <w:r w:rsidRPr="00B80978">
        <w:rPr>
          <w:rFonts w:ascii="Aptos" w:eastAsia="Aptos" w:hAnsi="Aptos" w:cs="Times New Roman"/>
          <w:color w:val="auto"/>
          <w:szCs w:val="22"/>
          <w:lang w:val="en-US"/>
        </w:rPr>
        <w:t>We are supportive of the proposed operation of redemption gates given the discretion provided to the operator of the fund to decide whether to activate the gate. However, we are not fully supportive of the method considered by ESMA in the RTS for the redemption gate threshold as defined in Article 2 (1) of the draft RTS “net redemption orders an AIF receives for a given dealing date, in proportion to the NAV of the AIF”.</w:t>
      </w:r>
    </w:p>
    <w:p w14:paraId="05DF8128"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The proposed approach can be problematic since, for funds where subscriptions are managed through a queuing system with capital calls made on demand, subscription orders might already be partially or fully allocated to upcoming investments and binding commitments made by the AIF and thus, cannot be used to meet redemption requests. In some cases, such as for real estate funds, the subscription orders have already led to binding commitments and therefore cannot be withdrawn.</w:t>
      </w:r>
    </w:p>
    <w:p w14:paraId="6A6A94ED"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To address this, Article 2 (1) could either focus solely on "</w:t>
      </w:r>
      <w:r w:rsidRPr="00B80978">
        <w:rPr>
          <w:rFonts w:ascii="Aptos" w:eastAsia="Aptos" w:hAnsi="Aptos" w:cs="Times New Roman"/>
          <w:b/>
          <w:bCs/>
          <w:color w:val="auto"/>
          <w:szCs w:val="22"/>
          <w:lang w:val="en-US"/>
        </w:rPr>
        <w:t>redemption orders</w:t>
      </w:r>
      <w:r w:rsidRPr="00B80978">
        <w:rPr>
          <w:rFonts w:ascii="Aptos" w:eastAsia="Aptos" w:hAnsi="Aptos" w:cs="Times New Roman"/>
          <w:color w:val="auto"/>
          <w:szCs w:val="22"/>
          <w:lang w:val="en-US"/>
        </w:rPr>
        <w:t>" rather than "</w:t>
      </w:r>
      <w:r w:rsidRPr="00B80978">
        <w:rPr>
          <w:rFonts w:ascii="Aptos" w:eastAsia="Aptos" w:hAnsi="Aptos" w:cs="Times New Roman"/>
          <w:b/>
          <w:bCs/>
          <w:i/>
          <w:iCs/>
          <w:color w:val="auto"/>
          <w:szCs w:val="22"/>
          <w:lang w:val="en-US"/>
        </w:rPr>
        <w:t>net redemption orders</w:t>
      </w:r>
      <w:r w:rsidRPr="00B80978">
        <w:rPr>
          <w:rFonts w:ascii="Aptos" w:eastAsia="Aptos" w:hAnsi="Aptos" w:cs="Times New Roman"/>
          <w:color w:val="auto"/>
          <w:szCs w:val="22"/>
          <w:lang w:val="en-US"/>
        </w:rPr>
        <w:t>", or define the net redemptions to exclude any subscription orders that have been allocated to binding commitments. We thus propose the following options as alternative drafting:</w:t>
      </w:r>
    </w:p>
    <w:p w14:paraId="15E0272F"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“A redemption gate shall include an activation threshold predefined</w:t>
      </w:r>
      <w:r w:rsidRPr="00B80978">
        <w:rPr>
          <w:rFonts w:ascii="Aptos" w:eastAsia="Aptos" w:hAnsi="Aptos" w:cs="Times New Roman"/>
          <w:i/>
          <w:iCs/>
          <w:color w:val="auto"/>
          <w:szCs w:val="22"/>
          <w:lang w:val="en-US"/>
        </w:rPr>
        <w:t>,</w:t>
      </w:r>
      <w:r w:rsidRPr="00B80978">
        <w:rPr>
          <w:rFonts w:ascii="Aptos" w:eastAsia="Aptos" w:hAnsi="Aptos" w:cs="Times New Roman"/>
          <w:color w:val="auto"/>
          <w:szCs w:val="22"/>
          <w:lang w:val="en-US"/>
        </w:rPr>
        <w:t xml:space="preserve"> as the </w:t>
      </w:r>
      <w:r w:rsidRPr="00B80978">
        <w:rPr>
          <w:rFonts w:ascii="Aptos" w:eastAsia="Aptos" w:hAnsi="Aptos" w:cs="Times New Roman"/>
          <w:b/>
          <w:bCs/>
          <w:strike/>
          <w:color w:val="auto"/>
          <w:szCs w:val="22"/>
          <w:lang w:val="en-US"/>
        </w:rPr>
        <w:t>net</w:t>
      </w:r>
      <w:r w:rsidRPr="00B80978">
        <w:rPr>
          <w:rFonts w:ascii="Aptos" w:eastAsia="Aptos" w:hAnsi="Aptos" w:cs="Times New Roman"/>
          <w:color w:val="auto"/>
          <w:szCs w:val="22"/>
          <w:lang w:val="en-US"/>
        </w:rPr>
        <w:t xml:space="preserve"> redemption orders an AIF receives for a given dealing date in proportion to the NAV of the AIF”. </w:t>
      </w:r>
      <w:r w:rsidRPr="00B80978">
        <w:rPr>
          <w:rFonts w:ascii="Aptos" w:eastAsia="Aptos" w:hAnsi="Aptos" w:cs="Times New Roman"/>
          <w:i/>
          <w:color w:val="auto"/>
          <w:szCs w:val="22"/>
          <w:lang w:val="en-US"/>
        </w:rPr>
        <w:t xml:space="preserve"> </w:t>
      </w:r>
    </w:p>
    <w:p w14:paraId="534BFCCE"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 xml:space="preserve">“A redemption gate shall include an activation threshold predefined, </w:t>
      </w:r>
      <w:r w:rsidRPr="00B80978">
        <w:rPr>
          <w:rFonts w:ascii="Aptos" w:eastAsia="Aptos" w:hAnsi="Aptos" w:cs="Times New Roman"/>
          <w:b/>
          <w:bCs/>
          <w:i/>
          <w:iCs/>
          <w:color w:val="auto"/>
          <w:szCs w:val="22"/>
          <w:lang w:val="en-US"/>
        </w:rPr>
        <w:t>as far as possible</w:t>
      </w:r>
      <w:r w:rsidRPr="00B80978">
        <w:rPr>
          <w:rFonts w:ascii="Aptos" w:eastAsia="Aptos" w:hAnsi="Aptos" w:cs="Times New Roman"/>
          <w:i/>
          <w:iCs/>
          <w:color w:val="auto"/>
          <w:szCs w:val="22"/>
          <w:lang w:val="en-US"/>
        </w:rPr>
        <w:t>,</w:t>
      </w:r>
      <w:r w:rsidRPr="00B80978">
        <w:rPr>
          <w:rFonts w:ascii="Aptos" w:eastAsia="Aptos" w:hAnsi="Aptos" w:cs="Times New Roman"/>
          <w:color w:val="auto"/>
          <w:szCs w:val="22"/>
          <w:lang w:val="en-US"/>
        </w:rPr>
        <w:t xml:space="preserve"> as the net redemption orders an AIF receives for a given dealing date, </w:t>
      </w:r>
      <w:r w:rsidRPr="00B80978">
        <w:rPr>
          <w:rFonts w:ascii="Aptos" w:eastAsia="Aptos" w:hAnsi="Aptos" w:cs="Times New Roman"/>
          <w:b/>
          <w:bCs/>
          <w:i/>
          <w:iCs/>
          <w:color w:val="auto"/>
          <w:szCs w:val="22"/>
          <w:lang w:val="en-US"/>
        </w:rPr>
        <w:t>excluding any subscription orders that have been previously allocated to binding commitments made by the fund as part of its investments</w:t>
      </w:r>
      <w:r w:rsidRPr="00B80978">
        <w:rPr>
          <w:rFonts w:ascii="Aptos" w:eastAsia="Aptos" w:hAnsi="Aptos" w:cs="Times New Roman"/>
          <w:color w:val="auto"/>
          <w:szCs w:val="22"/>
          <w:lang w:val="en-US"/>
        </w:rPr>
        <w:t xml:space="preserve">, in proportion to the NAV of the AIF”. </w:t>
      </w:r>
      <w:r w:rsidRPr="00B80978">
        <w:rPr>
          <w:rFonts w:ascii="Aptos" w:eastAsia="Aptos" w:hAnsi="Aptos" w:cs="Times New Roman"/>
          <w:i/>
          <w:color w:val="auto"/>
          <w:szCs w:val="22"/>
          <w:lang w:val="en-US"/>
        </w:rPr>
        <w:t xml:space="preserve"> </w:t>
      </w:r>
    </w:p>
    <w:p w14:paraId="252E56A9"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Considering only the redemption orders, or at least excluding any subscription orders that have been allocated to binding commitments, allows for a better reflection of the fund's real ability to meet redemption requests without relying on subscription orders that may not be available.</w:t>
      </w:r>
    </w:p>
    <w:p w14:paraId="7DBF537A"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 xml:space="preserve">In addition, alternative approaches and/or methodologies for defining the activation threshold should not be excluded, as they can better accommodate various liquidity management practices. Specifically, while the draft RTS suggests setting the redemption gate threshold based on net redemption orders for a single dealing day, a rolling period approach might be more suitable for some funds. This method provides a more comprehensive view of </w:t>
      </w:r>
      <w:r w:rsidRPr="00B80978">
        <w:rPr>
          <w:rFonts w:ascii="Aptos" w:eastAsia="Aptos" w:hAnsi="Aptos" w:cs="Times New Roman"/>
          <w:color w:val="auto"/>
          <w:szCs w:val="22"/>
          <w:lang w:val="en-US"/>
        </w:rPr>
        <w:lastRenderedPageBreak/>
        <w:t>redemptions trend over time, allowing for a less reactive and more stable approach. For example, a fund with a bi-weekly dealing frequency could use a rolling three-month period to determine the activation threshold, rather than relying on a single dealing day.</w:t>
      </w:r>
    </w:p>
    <w:p w14:paraId="2FF27777"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Additionally, under this approach, reimbursements would be made up to a minimum percentage specified by the Management Company and disclosed in the fund rules, which may differ from the activation threshold level.</w:t>
      </w:r>
    </w:p>
    <w:p w14:paraId="03DDEBB9" w14:textId="77777777" w:rsidR="00B80978" w:rsidRPr="00B80978" w:rsidRDefault="00B80978" w:rsidP="00B80978">
      <w:pPr>
        <w:spacing w:after="160" w:line="259" w:lineRule="auto"/>
        <w:jc w:val="left"/>
        <w:rPr>
          <w:rFonts w:ascii="Aptos" w:eastAsia="Aptos" w:hAnsi="Aptos" w:cs="Times New Roman"/>
          <w:color w:val="auto"/>
          <w:szCs w:val="22"/>
          <w:lang w:val="en-US"/>
        </w:rPr>
      </w:pPr>
      <w:r w:rsidRPr="00B80978">
        <w:rPr>
          <w:rFonts w:ascii="Aptos" w:eastAsia="Aptos" w:hAnsi="Aptos" w:cs="Times New Roman"/>
          <w:color w:val="auto"/>
          <w:szCs w:val="22"/>
          <w:lang w:val="en-US"/>
        </w:rPr>
        <w:t>Moreover, it should be possible for a portfolio manager to express the threshold as a currency amount (e.g. in EUR, USD, or any other dealing currency of the fund) that they think the market can sustain. In this scenario, all redeeming/subscribing investors would be entitled to an equal share of that amount, with minimum and maximum limits applied.</w:t>
      </w:r>
    </w:p>
    <w:p w14:paraId="73A8C35D" w14:textId="77777777" w:rsidR="00B80978" w:rsidRPr="00B80978" w:rsidRDefault="00B80978" w:rsidP="00B80978">
      <w:pPr>
        <w:spacing w:after="160" w:line="259" w:lineRule="auto"/>
        <w:jc w:val="left"/>
        <w:rPr>
          <w:rFonts w:ascii="Aptos" w:eastAsia="Aptos" w:hAnsi="Aptos" w:cs="Times New Roman"/>
          <w:color w:val="auto"/>
          <w:szCs w:val="22"/>
        </w:rPr>
      </w:pPr>
      <w:r w:rsidRPr="00B80978">
        <w:rPr>
          <w:rFonts w:ascii="Aptos" w:eastAsia="Aptos" w:hAnsi="Aptos" w:cs="Times New Roman"/>
          <w:color w:val="auto"/>
          <w:szCs w:val="22"/>
          <w:lang w:val="en-US"/>
        </w:rPr>
        <w:t xml:space="preserve">Finally, to note, that </w:t>
      </w:r>
      <w:r w:rsidRPr="00B80978">
        <w:rPr>
          <w:rFonts w:ascii="Aptos" w:eastAsia="Aptos" w:hAnsi="Aptos" w:cs="Times New Roman"/>
          <w:color w:val="auto"/>
          <w:szCs w:val="22"/>
        </w:rPr>
        <w:t xml:space="preserve">for feeder funds, no redemption gate threshold is applicable since the gating status of feeder funds only depend on the gating status of the master fund. Therefore, a feeder fund would be gated only if the master fund is gated. </w:t>
      </w:r>
    </w:p>
    <w:p w14:paraId="2C5BB89A" w14:textId="77777777" w:rsidR="00B80978" w:rsidRPr="00B80978" w:rsidRDefault="00B80978" w:rsidP="00B80978">
      <w:pPr>
        <w:spacing w:after="160" w:line="259" w:lineRule="auto"/>
        <w:jc w:val="left"/>
        <w:rPr>
          <w:rFonts w:ascii="Aptos" w:eastAsia="Aptos" w:hAnsi="Aptos" w:cs="Times New Roman"/>
          <w:color w:val="auto"/>
          <w:szCs w:val="22"/>
        </w:rPr>
      </w:pPr>
      <w:r w:rsidRPr="00B80978">
        <w:rPr>
          <w:rFonts w:ascii="Aptos" w:eastAsia="Aptos" w:hAnsi="Aptos" w:cs="Times New Roman"/>
          <w:color w:val="auto"/>
          <w:szCs w:val="22"/>
        </w:rPr>
        <w:t>Ultimately, flexibility must be retained to preserve the discretion of the fund manager.</w:t>
      </w:r>
    </w:p>
    <w:p w14:paraId="742E69C2" w14:textId="199437A3" w:rsidR="00DA4F15" w:rsidRDefault="00DA4F15" w:rsidP="00DA4F15"/>
    <w:permEnd w:id="1095595777"/>
    <w:p w14:paraId="339C2972" w14:textId="77777777" w:rsidR="00DA4F15" w:rsidRDefault="00DA4F15" w:rsidP="00DA4F15">
      <w:r>
        <w:t>&lt;ESMA_QUESTION_SLMT_8&gt;</w:t>
      </w:r>
    </w:p>
    <w:p w14:paraId="08EEB889" w14:textId="77777777" w:rsidR="00DA4F15" w:rsidRDefault="00DA4F15" w:rsidP="00DA4F15"/>
    <w:p w14:paraId="492A0323" w14:textId="77777777" w:rsidR="00DA4F15" w:rsidRDefault="00DA4F15" w:rsidP="00DA4F15">
      <w:pPr>
        <w:pStyle w:val="Questionstyle"/>
        <w:numPr>
          <w:ilvl w:val="0"/>
          <w:numId w:val="14"/>
        </w:numPr>
        <w:tabs>
          <w:tab w:val="clear" w:pos="567"/>
        </w:tabs>
        <w:spacing w:after="240" w:line="256" w:lineRule="auto"/>
        <w:ind w:left="851" w:hanging="851"/>
      </w:pPr>
      <w:r>
        <w:t>Do you agree that redemption gates may be either activated automatically when the activation threshold is exceeded or that the fund manager/ fund Boards may decide whether or not to activate the redemption gate? Do you believe that automatic activation of redemption gates could create a first mover advantage?</w:t>
      </w:r>
    </w:p>
    <w:p w14:paraId="6BC7255C" w14:textId="77777777" w:rsidR="00DA4F15" w:rsidRDefault="00DA4F15" w:rsidP="00DA4F15">
      <w:r>
        <w:t>&lt;ESMA_QUESTION_SLMT_9&gt;</w:t>
      </w:r>
    </w:p>
    <w:p w14:paraId="36EC1E67" w14:textId="77777777" w:rsidR="00B3485E" w:rsidRPr="00B3485E" w:rsidRDefault="00B3485E" w:rsidP="00B3485E">
      <w:pPr>
        <w:spacing w:after="160" w:line="259" w:lineRule="auto"/>
        <w:jc w:val="left"/>
        <w:rPr>
          <w:rFonts w:ascii="Aptos" w:eastAsia="Aptos" w:hAnsi="Aptos" w:cs="Times New Roman"/>
          <w:color w:val="auto"/>
          <w:szCs w:val="22"/>
          <w:lang w:val="en-US"/>
        </w:rPr>
      </w:pPr>
      <w:permStart w:id="1593604636" w:edGrp="everyone"/>
      <w:r w:rsidRPr="00B3485E">
        <w:rPr>
          <w:rFonts w:ascii="Aptos" w:eastAsia="Aptos" w:hAnsi="Aptos" w:cs="Times New Roman"/>
          <w:color w:val="auto"/>
          <w:szCs w:val="22"/>
          <w:lang w:val="en-US"/>
        </w:rPr>
        <w:t xml:space="preserve">We agree that redemptions gates should be either activated automatically or by the fund manager when activation thresholds are exceeded. However, it is important to preserve a certain degree of flexibility by not being fully constrained to activate automatically the redemption gate once the threshold is exceeded. </w:t>
      </w:r>
    </w:p>
    <w:p w14:paraId="1B573434" w14:textId="77777777" w:rsidR="00B3485E" w:rsidRPr="00B3485E" w:rsidRDefault="00B3485E" w:rsidP="00B3485E">
      <w:pPr>
        <w:spacing w:after="160" w:line="259" w:lineRule="auto"/>
        <w:jc w:val="left"/>
        <w:rPr>
          <w:rFonts w:ascii="Aptos" w:eastAsia="Aptos" w:hAnsi="Aptos" w:cs="Times New Roman"/>
          <w:color w:val="auto"/>
          <w:szCs w:val="22"/>
          <w:lang w:val="en-US"/>
        </w:rPr>
      </w:pPr>
      <w:r w:rsidRPr="00B3485E">
        <w:rPr>
          <w:rFonts w:ascii="Aptos" w:eastAsia="Aptos" w:hAnsi="Aptos" w:cs="Times New Roman"/>
          <w:color w:val="auto"/>
          <w:szCs w:val="22"/>
          <w:lang w:val="en-US"/>
        </w:rPr>
        <w:t>There may be a risk that automatic activation may sometimes be perceived by investors as creating a first mover advantage, (which actually would be stemmed by the size of the gate, the pro-rata reduction of orders, and discouraged by anti-dilution tools as may be applicable), as investors will be aware that orders are limited once the activation threshold is exceeded and may feel incentivized to pass a redemption order first. This risk can be further mitigated if investor disclosures are only limited to qualitative information and no activation thresholds are disclosed.</w:t>
      </w:r>
    </w:p>
    <w:p w14:paraId="7B7A801C" w14:textId="77777777" w:rsidR="00B3485E" w:rsidRPr="00B3485E" w:rsidRDefault="00B3485E" w:rsidP="00B3485E">
      <w:pPr>
        <w:spacing w:after="160" w:line="259" w:lineRule="auto"/>
        <w:jc w:val="left"/>
        <w:rPr>
          <w:rFonts w:ascii="Aptos" w:eastAsia="Aptos" w:hAnsi="Aptos" w:cs="Times New Roman"/>
          <w:color w:val="auto"/>
          <w:szCs w:val="22"/>
          <w:lang w:val="en-US"/>
        </w:rPr>
      </w:pPr>
      <w:r w:rsidRPr="00B3485E">
        <w:rPr>
          <w:rFonts w:ascii="Aptos" w:eastAsia="Aptos" w:hAnsi="Aptos" w:cs="Times New Roman"/>
          <w:color w:val="auto"/>
          <w:szCs w:val="22"/>
          <w:lang w:val="en-US"/>
        </w:rPr>
        <w:lastRenderedPageBreak/>
        <w:t>Therefore, the activation method should remain flexible and at the discretion of the fund manager.</w:t>
      </w:r>
    </w:p>
    <w:p w14:paraId="51F13DD8" w14:textId="6718A12D" w:rsidR="00DA4F15" w:rsidRDefault="00DA4F15" w:rsidP="00DA4F15"/>
    <w:permEnd w:id="1593604636"/>
    <w:p w14:paraId="2EDE7863" w14:textId="77777777" w:rsidR="00DA4F15" w:rsidRDefault="00DA4F15" w:rsidP="00DA4F15">
      <w:r>
        <w:t>&lt;ESMA_QUESTION_SLMT_9&gt;</w:t>
      </w:r>
    </w:p>
    <w:p w14:paraId="27BD3D8A" w14:textId="77777777" w:rsidR="00DA4F15" w:rsidRDefault="00DA4F15" w:rsidP="00DA4F15"/>
    <w:p w14:paraId="21EEAD3A" w14:textId="77777777" w:rsidR="00DA4F15" w:rsidRDefault="00DA4F15" w:rsidP="00DA4F15">
      <w:pPr>
        <w:pStyle w:val="Questionstyle"/>
        <w:numPr>
          <w:ilvl w:val="0"/>
          <w:numId w:val="14"/>
        </w:numPr>
        <w:tabs>
          <w:tab w:val="clear" w:pos="567"/>
        </w:tabs>
        <w:spacing w:after="240" w:line="256" w:lineRule="auto"/>
        <w:ind w:left="851" w:hanging="851"/>
      </w:pPr>
      <w:r>
        <w:t>Do you think that the automatic activation of redemption gates shall not be permitted for some types of funds. If yes, please explain your position.</w:t>
      </w:r>
    </w:p>
    <w:p w14:paraId="5C785898" w14:textId="77777777" w:rsidR="00DA4F15" w:rsidRDefault="00DA4F15" w:rsidP="00DA4F15">
      <w:r>
        <w:t>&lt;ESMA_QUESTION_SLMT_10&gt;</w:t>
      </w:r>
    </w:p>
    <w:p w14:paraId="744DB5C1" w14:textId="77777777" w:rsidR="00D644FD" w:rsidRPr="00D644FD" w:rsidRDefault="00D644FD" w:rsidP="00D644FD">
      <w:pPr>
        <w:spacing w:after="160" w:line="259" w:lineRule="auto"/>
        <w:jc w:val="left"/>
        <w:rPr>
          <w:rFonts w:ascii="Aptos" w:eastAsia="Aptos" w:hAnsi="Aptos" w:cs="Times New Roman"/>
          <w:color w:val="auto"/>
          <w:szCs w:val="22"/>
          <w:lang w:val="en-US"/>
        </w:rPr>
      </w:pPr>
      <w:permStart w:id="1731209023" w:edGrp="everyone"/>
      <w:r w:rsidRPr="00D644FD">
        <w:rPr>
          <w:rFonts w:ascii="Aptos" w:eastAsia="Aptos" w:hAnsi="Aptos" w:cs="Times New Roman"/>
          <w:color w:val="auto"/>
          <w:szCs w:val="22"/>
          <w:lang w:val="en-US"/>
        </w:rPr>
        <w:t>No – the automatic activation of redemption gates should be kept as an option for all types of funds.</w:t>
      </w:r>
    </w:p>
    <w:p w14:paraId="0FEBA6D9" w14:textId="1D23750A" w:rsidR="00DA4F15" w:rsidRDefault="00DA4F15" w:rsidP="00DA4F15"/>
    <w:permEnd w:id="1731209023"/>
    <w:p w14:paraId="5E6C8E53" w14:textId="77777777" w:rsidR="00DA4F15" w:rsidRDefault="00DA4F15" w:rsidP="00DA4F15">
      <w:r>
        <w:t>&lt;ESMA_QUESTION_SLMT_10&gt;</w:t>
      </w:r>
    </w:p>
    <w:p w14:paraId="059CE889" w14:textId="77777777" w:rsidR="00DA4F15" w:rsidRDefault="00DA4F15" w:rsidP="00DA4F15"/>
    <w:p w14:paraId="6F919633" w14:textId="77777777" w:rsidR="00DA4F15" w:rsidRDefault="00DA4F15" w:rsidP="00DA4F15">
      <w:pPr>
        <w:pStyle w:val="Questionstyle"/>
        <w:numPr>
          <w:ilvl w:val="0"/>
          <w:numId w:val="14"/>
        </w:numPr>
        <w:tabs>
          <w:tab w:val="clear" w:pos="567"/>
        </w:tabs>
        <w:spacing w:after="240" w:line="256" w:lineRule="auto"/>
        <w:ind w:left="851" w:hanging="851"/>
      </w:pPr>
      <w:r>
        <w:t>Do you agree that the activation threshold shall not be expressed at the level of the single redemption order? If not, please justify your position.</w:t>
      </w:r>
    </w:p>
    <w:p w14:paraId="3F3C18D7" w14:textId="77777777" w:rsidR="00DA4F15" w:rsidRDefault="00DA4F15" w:rsidP="00DA4F15">
      <w:r>
        <w:t>&lt;ESMA_QUESTION_SLMT_11&gt;</w:t>
      </w:r>
    </w:p>
    <w:p w14:paraId="0EAEAF36" w14:textId="77777777" w:rsidR="00683F77" w:rsidRPr="00683F77" w:rsidRDefault="00683F77" w:rsidP="00683F77">
      <w:pPr>
        <w:spacing w:after="160" w:line="259" w:lineRule="auto"/>
        <w:jc w:val="left"/>
        <w:rPr>
          <w:rFonts w:ascii="Aptos" w:eastAsia="Aptos" w:hAnsi="Aptos" w:cs="Times New Roman"/>
          <w:color w:val="auto"/>
          <w:szCs w:val="22"/>
          <w:lang w:val="en-US"/>
        </w:rPr>
      </w:pPr>
      <w:permStart w:id="1637379018" w:edGrp="everyone"/>
      <w:r w:rsidRPr="00683F77">
        <w:rPr>
          <w:rFonts w:ascii="Aptos" w:eastAsia="Aptos" w:hAnsi="Aptos" w:cs="Times New Roman"/>
          <w:color w:val="auto"/>
          <w:szCs w:val="22"/>
          <w:lang w:val="en-US"/>
        </w:rPr>
        <w:t xml:space="preserve">Yes – we agree in general that the activation threshold shall not be expressed at the level of a single redemption order, but at the fund level – either as a % of the NAV </w:t>
      </w:r>
      <w:r w:rsidRPr="00683F77">
        <w:rPr>
          <w:rFonts w:ascii="Aptos" w:eastAsia="Aptos" w:hAnsi="Aptos" w:cs="Times New Roman"/>
          <w:b/>
          <w:bCs/>
          <w:color w:val="auto"/>
          <w:szCs w:val="22"/>
          <w:lang w:val="en-US"/>
        </w:rPr>
        <w:t>or</w:t>
      </w:r>
      <w:r w:rsidRPr="00683F77">
        <w:rPr>
          <w:rFonts w:ascii="Aptos" w:eastAsia="Aptos" w:hAnsi="Aptos" w:cs="Times New Roman"/>
          <w:color w:val="auto"/>
          <w:szCs w:val="22"/>
          <w:lang w:val="en-US"/>
        </w:rPr>
        <w:t xml:space="preserve"> as a total amount in the dealing currency of the fund.</w:t>
      </w:r>
    </w:p>
    <w:p w14:paraId="7F91C2BF" w14:textId="6E410859" w:rsidR="00DA4F15" w:rsidRDefault="00DA4F15" w:rsidP="00DA4F15"/>
    <w:permEnd w:id="1637379018"/>
    <w:p w14:paraId="15E92701" w14:textId="77777777" w:rsidR="00DA4F15" w:rsidRDefault="00DA4F15" w:rsidP="00DA4F15">
      <w:r>
        <w:t>&lt;ESMA_QUESTION_SLMT_11&gt;</w:t>
      </w:r>
    </w:p>
    <w:p w14:paraId="2C8A1088" w14:textId="77777777" w:rsidR="00DA4F15" w:rsidRDefault="00DA4F15" w:rsidP="00DA4F15"/>
    <w:p w14:paraId="47A8E99A" w14:textId="77777777" w:rsidR="00DA4F15" w:rsidRDefault="00DA4F15" w:rsidP="00DA4F15">
      <w:pPr>
        <w:pStyle w:val="Questionstyle"/>
        <w:numPr>
          <w:ilvl w:val="0"/>
          <w:numId w:val="14"/>
        </w:numPr>
        <w:tabs>
          <w:tab w:val="clear" w:pos="567"/>
        </w:tabs>
        <w:spacing w:after="240" w:line="256" w:lineRule="auto"/>
        <w:ind w:left="851" w:hanging="851"/>
      </w:pPr>
      <w:r>
        <w:t>In the case of activation of redemption gates, do you agree that investors should have the right to cancel the non-executed part of their redemption orders? In particular, should there be a different approach between UCITS and AIFs?</w:t>
      </w:r>
    </w:p>
    <w:p w14:paraId="36169BA0" w14:textId="77777777" w:rsidR="00DA4F15" w:rsidRDefault="00DA4F15" w:rsidP="00DA4F15">
      <w:r>
        <w:t>&lt;ESMA_QUESTION_SLMT_12&gt;</w:t>
      </w:r>
    </w:p>
    <w:p w14:paraId="570C3EED" w14:textId="77777777" w:rsidR="00E6723F" w:rsidRPr="00E6723F" w:rsidRDefault="00E6723F" w:rsidP="00E6723F">
      <w:pPr>
        <w:spacing w:after="160" w:line="259" w:lineRule="auto"/>
        <w:jc w:val="left"/>
        <w:rPr>
          <w:rFonts w:ascii="Aptos" w:eastAsia="Aptos" w:hAnsi="Aptos" w:cs="Times New Roman"/>
          <w:color w:val="auto"/>
          <w:szCs w:val="22"/>
          <w:lang w:val="en-US"/>
        </w:rPr>
      </w:pPr>
      <w:permStart w:id="2066760871" w:edGrp="everyone"/>
      <w:r w:rsidRPr="00E6723F">
        <w:rPr>
          <w:rFonts w:ascii="Aptos" w:eastAsia="Aptos" w:hAnsi="Aptos" w:cs="Times New Roman"/>
          <w:color w:val="auto"/>
          <w:szCs w:val="22"/>
          <w:lang w:val="en-US"/>
        </w:rPr>
        <w:lastRenderedPageBreak/>
        <w:t xml:space="preserve">We agree that investors should have the right to cancel the non-executed part of their redemption orders. </w:t>
      </w:r>
    </w:p>
    <w:p w14:paraId="0BD6EAC2" w14:textId="77777777" w:rsidR="00E6723F" w:rsidRPr="00E6723F" w:rsidRDefault="00E6723F" w:rsidP="00E6723F">
      <w:pPr>
        <w:spacing w:after="160" w:line="259" w:lineRule="auto"/>
        <w:jc w:val="left"/>
        <w:rPr>
          <w:rFonts w:ascii="Aptos" w:eastAsia="Aptos" w:hAnsi="Aptos" w:cs="Times New Roman"/>
          <w:color w:val="auto"/>
          <w:szCs w:val="22"/>
          <w:lang w:val="en-US"/>
        </w:rPr>
      </w:pPr>
      <w:r w:rsidRPr="00E6723F">
        <w:rPr>
          <w:rFonts w:ascii="Aptos" w:eastAsia="Aptos" w:hAnsi="Aptos" w:cs="Times New Roman"/>
          <w:color w:val="auto"/>
          <w:szCs w:val="22"/>
          <w:lang w:val="en-US"/>
        </w:rPr>
        <w:t>However, the cancellation of the non-executed part of redemption orders should first be subject to the consent of the fund manager with this discretion disclosed in the fund’s prospectus. This condition is particularly important for funds with less liquid assets, which may require some time to complete the sale of assets to meet redemption requests. Requiring consent helps prevent situations where asset sales are underway to fulfill redemption requests, only to have those requests subsequently withdrawn, which can disrupt the fund’s liquidity management and strategy and is contrary to the best interests of all investors.</w:t>
      </w:r>
    </w:p>
    <w:p w14:paraId="4EF8D417" w14:textId="77777777" w:rsidR="00E6723F" w:rsidRPr="00E6723F" w:rsidRDefault="00E6723F" w:rsidP="00E6723F">
      <w:pPr>
        <w:spacing w:after="160" w:line="259" w:lineRule="auto"/>
        <w:jc w:val="left"/>
        <w:rPr>
          <w:rFonts w:ascii="Aptos" w:eastAsia="Aptos" w:hAnsi="Aptos" w:cs="Times New Roman"/>
          <w:color w:val="auto"/>
          <w:szCs w:val="22"/>
          <w:lang w:val="en-US"/>
        </w:rPr>
      </w:pPr>
      <w:r w:rsidRPr="00E6723F">
        <w:rPr>
          <w:rFonts w:ascii="Aptos" w:eastAsia="Aptos" w:hAnsi="Aptos" w:cs="Times New Roman"/>
          <w:color w:val="auto"/>
          <w:szCs w:val="22"/>
          <w:lang w:val="en-US"/>
        </w:rPr>
        <w:t>Ultimately the characteristics must reflect that managers retain the ability to cancel non-executed orders at their discretion.</w:t>
      </w:r>
    </w:p>
    <w:p w14:paraId="3AED585D" w14:textId="77777777" w:rsidR="00E6723F" w:rsidRPr="00E6723F" w:rsidRDefault="00E6723F" w:rsidP="00E6723F">
      <w:pPr>
        <w:spacing w:after="160" w:line="259" w:lineRule="auto"/>
        <w:jc w:val="left"/>
        <w:rPr>
          <w:rFonts w:ascii="Aptos" w:eastAsia="Aptos" w:hAnsi="Aptos" w:cs="Times New Roman"/>
          <w:color w:val="auto"/>
          <w:szCs w:val="22"/>
          <w:lang w:val="en-US"/>
        </w:rPr>
      </w:pPr>
      <w:r w:rsidRPr="00E6723F">
        <w:rPr>
          <w:rFonts w:ascii="Aptos" w:eastAsia="Aptos" w:hAnsi="Aptos" w:cs="Times New Roman"/>
          <w:color w:val="auto"/>
          <w:szCs w:val="22"/>
          <w:lang w:val="en-US"/>
        </w:rPr>
        <w:t>We do not think that there is any value in having different approaches between UCITS and AIFs.</w:t>
      </w:r>
    </w:p>
    <w:p w14:paraId="1C5D2B6F" w14:textId="58C9F6C1" w:rsidR="00DA4F15" w:rsidRDefault="00DA4F15" w:rsidP="00DA4F15"/>
    <w:permEnd w:id="2066760871"/>
    <w:p w14:paraId="3D5800CA" w14:textId="77777777" w:rsidR="00DA4F15" w:rsidRDefault="00DA4F15" w:rsidP="00DA4F15">
      <w:r>
        <w:t>&lt;ESMA_QUESTION_SLMT_12&gt;</w:t>
      </w:r>
    </w:p>
    <w:p w14:paraId="74231973" w14:textId="77777777" w:rsidR="00DA4F15" w:rsidRDefault="00DA4F15" w:rsidP="00DA4F15"/>
    <w:p w14:paraId="01944957"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in having different characteristics of redemption gates for different investment strategies and between AIFs and UCITS? If yes, how?</w:t>
      </w:r>
    </w:p>
    <w:p w14:paraId="30CE4C1F" w14:textId="77777777" w:rsidR="00DA4F15" w:rsidRDefault="00DA4F15" w:rsidP="00DA4F15">
      <w:r>
        <w:t>&lt;ESMA_QUESTION_SLMT_13&gt;</w:t>
      </w:r>
    </w:p>
    <w:p w14:paraId="77FA7D60" w14:textId="77777777" w:rsidR="0048134A" w:rsidRPr="0048134A" w:rsidRDefault="0048134A" w:rsidP="0048134A">
      <w:pPr>
        <w:spacing w:after="333" w:line="249" w:lineRule="auto"/>
        <w:ind w:right="443" w:hanging="10"/>
        <w:jc w:val="left"/>
        <w:rPr>
          <w:rFonts w:ascii="Aptos" w:eastAsia="Aptos" w:hAnsi="Aptos" w:cs="Times New Roman"/>
          <w:bCs/>
          <w:color w:val="auto"/>
          <w:szCs w:val="22"/>
          <w:lang w:val="en-US"/>
        </w:rPr>
      </w:pPr>
      <w:permStart w:id="533931948" w:edGrp="everyone"/>
      <w:r w:rsidRPr="0048134A">
        <w:rPr>
          <w:rFonts w:ascii="Aptos" w:eastAsia="Aptos" w:hAnsi="Aptos" w:cs="Times New Roman"/>
          <w:bCs/>
          <w:color w:val="181818"/>
          <w:szCs w:val="22"/>
          <w:lang w:val="en-US"/>
        </w:rPr>
        <w:t>No, we do not see any merit in having distinctions depending on the investment strategies and between AIFs and UCITS, as long as sufficient flexibility is maintained to allow for adaptation to different circumstances.</w:t>
      </w:r>
    </w:p>
    <w:p w14:paraId="754B1FF8" w14:textId="1B49C440" w:rsidR="00DA4F15" w:rsidRDefault="00DA4F15" w:rsidP="00DA4F15"/>
    <w:permEnd w:id="533931948"/>
    <w:p w14:paraId="5E166936" w14:textId="77777777" w:rsidR="00DA4F15" w:rsidRDefault="00DA4F15" w:rsidP="00DA4F15">
      <w:r>
        <w:t>&lt;ESMA_QUESTION_SLMT_13&gt;</w:t>
      </w:r>
    </w:p>
    <w:p w14:paraId="1CCF2572" w14:textId="77777777" w:rsidR="00DA4F15" w:rsidRDefault="00DA4F15" w:rsidP="00DA4F15"/>
    <w:p w14:paraId="51DC3E4F" w14:textId="77777777" w:rsidR="00DA4F15" w:rsidRDefault="00DA4F15" w:rsidP="00DA4F15">
      <w:pPr>
        <w:pStyle w:val="Questionstyle"/>
        <w:numPr>
          <w:ilvl w:val="0"/>
          <w:numId w:val="14"/>
        </w:numPr>
        <w:tabs>
          <w:tab w:val="clear" w:pos="567"/>
        </w:tabs>
        <w:spacing w:after="240" w:line="256" w:lineRule="auto"/>
        <w:ind w:left="851" w:hanging="851"/>
      </w:pPr>
      <w:r>
        <w:t>In the case of funds with multiple share classes, do you agree that the same redemption gate shall apply to all share classes? If not, please justify your position.</w:t>
      </w:r>
    </w:p>
    <w:p w14:paraId="094F49E0" w14:textId="77777777" w:rsidR="00DA4F15" w:rsidRDefault="00DA4F15" w:rsidP="00DA4F15">
      <w:r>
        <w:t>&lt;ESMA_QUESTION_SLMT_14&gt;</w:t>
      </w:r>
    </w:p>
    <w:p w14:paraId="5C94A6BB" w14:textId="77777777" w:rsidR="00DC6817" w:rsidRPr="00DC6817" w:rsidRDefault="00DC6817" w:rsidP="00DC6817">
      <w:pPr>
        <w:spacing w:after="160" w:line="259" w:lineRule="auto"/>
        <w:jc w:val="left"/>
        <w:rPr>
          <w:rFonts w:ascii="Aptos" w:eastAsia="Aptos" w:hAnsi="Aptos" w:cs="Times New Roman"/>
          <w:color w:val="auto"/>
          <w:szCs w:val="22"/>
          <w:lang w:val="en-US"/>
        </w:rPr>
      </w:pPr>
      <w:permStart w:id="1676745201" w:edGrp="everyone"/>
      <w:r w:rsidRPr="00DC6817">
        <w:rPr>
          <w:rFonts w:ascii="Aptos" w:eastAsia="Aptos" w:hAnsi="Aptos" w:cs="Times New Roman"/>
          <w:color w:val="auto"/>
          <w:szCs w:val="22"/>
          <w:lang w:val="en-US"/>
        </w:rPr>
        <w:lastRenderedPageBreak/>
        <w:t>Yes – we agree that the same redemption gate shall apply to all share classes in UCITS funds. However, there may be some AIFs with concentrated investor bases, where a redemption of significant size could generate a trade that cannot be executed without an adverse market impact on other fund investors. Typically, this type of investor will hold a different class of fund shares to other investors. The characteristics of gates could thus be refined to allow application to specific share classes (e.g. those limited to institutional investors), or even specific investors, provided investors interests are protected, and no preferential treatment is granted.</w:t>
      </w:r>
    </w:p>
    <w:p w14:paraId="41D1BC70" w14:textId="31106237" w:rsidR="00DA4F15" w:rsidRDefault="00DA4F15" w:rsidP="00DA4F15"/>
    <w:permEnd w:id="1676745201"/>
    <w:p w14:paraId="2636F905" w14:textId="77777777" w:rsidR="00DA4F15" w:rsidRDefault="00DA4F15" w:rsidP="00DA4F15">
      <w:r>
        <w:t>&lt;ESMA_QUESTION_SLMT_14&gt;</w:t>
      </w:r>
    </w:p>
    <w:p w14:paraId="25FBF09C" w14:textId="77777777" w:rsidR="00DA4F15" w:rsidRDefault="00DA4F15" w:rsidP="00DA4F15"/>
    <w:p w14:paraId="4D4A6890" w14:textId="77777777" w:rsidR="00DA4F15" w:rsidRDefault="00DA4F15" w:rsidP="00DA4F15">
      <w:pPr>
        <w:pStyle w:val="Questionstyle"/>
        <w:numPr>
          <w:ilvl w:val="0"/>
          <w:numId w:val="14"/>
        </w:numPr>
        <w:tabs>
          <w:tab w:val="clear" w:pos="567"/>
        </w:tabs>
        <w:spacing w:after="240" w:line="256" w:lineRule="auto"/>
        <w:ind w:left="851" w:hanging="851"/>
      </w:pPr>
      <w:r>
        <w:t>Can you think of any further characteristics of redemption gates?</w:t>
      </w:r>
    </w:p>
    <w:p w14:paraId="3A9A38A0" w14:textId="77777777" w:rsidR="00DA4F15" w:rsidRDefault="00DA4F15" w:rsidP="00DA4F15">
      <w:r>
        <w:t>&lt;ESMA_QUESTION_SLMT_15&gt;</w:t>
      </w:r>
    </w:p>
    <w:p w14:paraId="266742F4" w14:textId="77777777" w:rsidR="00D06967" w:rsidRPr="00D06967" w:rsidRDefault="00D06967" w:rsidP="00D06967">
      <w:pPr>
        <w:spacing w:after="160" w:line="259" w:lineRule="auto"/>
        <w:jc w:val="left"/>
        <w:rPr>
          <w:rFonts w:ascii="Aptos" w:eastAsia="Aptos" w:hAnsi="Aptos" w:cs="Times New Roman"/>
          <w:color w:val="auto"/>
          <w:szCs w:val="22"/>
          <w:lang w:val="en-US"/>
        </w:rPr>
      </w:pPr>
      <w:permStart w:id="1749575065" w:edGrp="everyone"/>
      <w:r w:rsidRPr="00D06967">
        <w:rPr>
          <w:rFonts w:ascii="Aptos" w:eastAsia="Aptos" w:hAnsi="Aptos" w:cs="Times New Roman"/>
          <w:color w:val="auto"/>
          <w:szCs w:val="22"/>
          <w:lang w:val="en-US"/>
        </w:rPr>
        <w:t>No. However, we would like to highlight that gates are less suited to funds with retail client bases or those distributed through intermediaries and platforms. The distribution architecture for these funds is increasingly automated and would not lend itself to ad-hoc interventions to gate a fund. For these types of funds, swing pricing is a more appropriate way to manage dilution risk.</w:t>
      </w:r>
    </w:p>
    <w:p w14:paraId="497B2392" w14:textId="288C38AE" w:rsidR="00DA4F15" w:rsidRDefault="00DA4F15" w:rsidP="00DA4F15"/>
    <w:permEnd w:id="1749575065"/>
    <w:p w14:paraId="141082E4" w14:textId="77777777" w:rsidR="00DA4F15" w:rsidRDefault="00DA4F15" w:rsidP="00DA4F15">
      <w:r>
        <w:t>&lt;ESMA_QUESTION_SLMT_15&gt;</w:t>
      </w:r>
    </w:p>
    <w:p w14:paraId="587A190D" w14:textId="77777777" w:rsidR="00DA4F15" w:rsidRDefault="00DA4F15" w:rsidP="00DA4F15"/>
    <w:p w14:paraId="5F1FF8B7"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extensions of notice period and their characteristics? If not, please justify your position.</w:t>
      </w:r>
    </w:p>
    <w:p w14:paraId="68955B05" w14:textId="77777777" w:rsidR="00DA4F15" w:rsidRDefault="00DA4F15" w:rsidP="00DA4F15">
      <w:r>
        <w:t>&lt;ESMA_QUESTION_SLMT_16&gt;</w:t>
      </w:r>
    </w:p>
    <w:p w14:paraId="44D1C727" w14:textId="2C203B15" w:rsidR="00DA4F15" w:rsidRDefault="00D06967" w:rsidP="00DA4F15">
      <w:permStart w:id="346123938" w:edGrp="everyone"/>
      <w:r>
        <w:t>Yes</w:t>
      </w:r>
    </w:p>
    <w:permEnd w:id="346123938"/>
    <w:p w14:paraId="3ED1F211" w14:textId="77777777" w:rsidR="00DA4F15" w:rsidRDefault="00DA4F15" w:rsidP="00DA4F15">
      <w:r>
        <w:t>&lt;ESMA_QUESTION_SLMT_16&gt;</w:t>
      </w:r>
    </w:p>
    <w:p w14:paraId="17405A48" w14:textId="77777777" w:rsidR="00DA4F15" w:rsidRDefault="00DA4F15" w:rsidP="00DA4F15"/>
    <w:p w14:paraId="1AD44969" w14:textId="77777777" w:rsidR="00DA4F15" w:rsidRDefault="00DA4F15" w:rsidP="00DA4F15">
      <w:pPr>
        <w:pStyle w:val="Questionstyle"/>
        <w:numPr>
          <w:ilvl w:val="0"/>
          <w:numId w:val="14"/>
        </w:numPr>
        <w:tabs>
          <w:tab w:val="clear" w:pos="567"/>
        </w:tabs>
        <w:spacing w:after="240" w:line="256" w:lineRule="auto"/>
        <w:ind w:left="851" w:hanging="851"/>
      </w:pPr>
      <w:r>
        <w:t>Do you agree that the same extension of notice period shall apply to all investors or different extensions of notice periods per share class/unit shall be allowed? Please justify your position.</w:t>
      </w:r>
    </w:p>
    <w:p w14:paraId="5D10FF09" w14:textId="77777777" w:rsidR="00DA4F15" w:rsidRDefault="00DA4F15" w:rsidP="00DA4F15">
      <w:r>
        <w:lastRenderedPageBreak/>
        <w:t>&lt;ESMA_QUESTION_SLMT_17&gt;</w:t>
      </w:r>
    </w:p>
    <w:p w14:paraId="1EAD67C5" w14:textId="77777777" w:rsidR="003A343E" w:rsidRPr="003A343E" w:rsidRDefault="003A343E" w:rsidP="003A343E">
      <w:pPr>
        <w:spacing w:after="5" w:line="249" w:lineRule="auto"/>
        <w:ind w:right="443" w:hanging="10"/>
        <w:jc w:val="left"/>
        <w:rPr>
          <w:rFonts w:ascii="Aptos" w:eastAsia="Aptos" w:hAnsi="Aptos" w:cs="Times New Roman"/>
          <w:bCs/>
          <w:color w:val="auto"/>
          <w:szCs w:val="22"/>
          <w:lang w:val="en-US"/>
        </w:rPr>
      </w:pPr>
      <w:permStart w:id="1104090374" w:edGrp="everyone"/>
      <w:r w:rsidRPr="003A343E">
        <w:rPr>
          <w:rFonts w:ascii="Aptos" w:eastAsia="Aptos" w:hAnsi="Aptos" w:cs="Times New Roman"/>
          <w:bCs/>
          <w:color w:val="181818"/>
          <w:szCs w:val="22"/>
          <w:lang w:val="en-US"/>
        </w:rPr>
        <w:t>We believe it is important to have the possibility to apply different extensions of notice periods per share class as having the same extension for different types of investors within the same fund (retail vs professional) could be counterproductive.</w:t>
      </w:r>
    </w:p>
    <w:p w14:paraId="7014D774" w14:textId="36FDB0E4" w:rsidR="00DA4F15" w:rsidRDefault="00DA4F15" w:rsidP="00DA4F15"/>
    <w:permEnd w:id="1104090374"/>
    <w:p w14:paraId="6A9A7F83" w14:textId="77777777" w:rsidR="00DA4F15" w:rsidRDefault="00DA4F15" w:rsidP="00DA4F15">
      <w:r>
        <w:t>&lt;ESMA_QUESTION_SLMT_17&gt;</w:t>
      </w:r>
    </w:p>
    <w:p w14:paraId="441AC6E4" w14:textId="77777777" w:rsidR="00DA4F15" w:rsidRDefault="00DA4F15" w:rsidP="00DA4F15"/>
    <w:p w14:paraId="524CEDCC" w14:textId="77777777" w:rsidR="00DA4F15" w:rsidRDefault="00DA4F15" w:rsidP="00DA4F15">
      <w:pPr>
        <w:pStyle w:val="Questionstyle"/>
        <w:numPr>
          <w:ilvl w:val="0"/>
          <w:numId w:val="14"/>
        </w:numPr>
        <w:tabs>
          <w:tab w:val="clear" w:pos="567"/>
        </w:tabs>
        <w:spacing w:after="240" w:line="256" w:lineRule="auto"/>
        <w:ind w:left="851" w:hanging="851"/>
      </w:pPr>
      <w:r>
        <w:t>Do you agree that extensions of notice period may be applied for a pre-defined period of time (for a pre-defined number of dealing dates)? If not, please justify your position.</w:t>
      </w:r>
    </w:p>
    <w:p w14:paraId="6C4B8432" w14:textId="77777777" w:rsidR="00DA4F15" w:rsidRDefault="00DA4F15" w:rsidP="00DA4F15">
      <w:r>
        <w:t>&lt;ESMA_QUESTION_SLMT_18&gt;</w:t>
      </w:r>
    </w:p>
    <w:p w14:paraId="52F5A94E" w14:textId="77777777" w:rsidR="004C6B24" w:rsidRPr="004C6B24" w:rsidRDefault="004C6B24" w:rsidP="004C6B24">
      <w:pPr>
        <w:spacing w:after="160" w:line="259" w:lineRule="auto"/>
        <w:jc w:val="left"/>
        <w:rPr>
          <w:rFonts w:ascii="Aptos" w:eastAsia="Aptos" w:hAnsi="Aptos" w:cs="Times New Roman"/>
          <w:b/>
          <w:bCs/>
          <w:color w:val="auto"/>
          <w:szCs w:val="22"/>
          <w:lang w:val="en-US"/>
        </w:rPr>
      </w:pPr>
      <w:permStart w:id="85027830" w:edGrp="everyone"/>
      <w:r w:rsidRPr="004C6B24">
        <w:rPr>
          <w:rFonts w:ascii="Aptos" w:eastAsia="Aptos" w:hAnsi="Aptos" w:cs="Times New Roman"/>
          <w:bCs/>
          <w:color w:val="181818"/>
          <w:szCs w:val="22"/>
          <w:lang w:val="en-US"/>
        </w:rPr>
        <w:t xml:space="preserve">Depending on the nature of the fund, the underlying assets, and the market circumstances, the AIFM should have the flexibility to choose whether to apply extensions of notice period for a pre-defined period of time or for an indefinite period as the time required to return to normal operations cannot be always anticipated. </w:t>
      </w:r>
    </w:p>
    <w:p w14:paraId="281B713F" w14:textId="518E5273" w:rsidR="00DA4F15" w:rsidRDefault="00DA4F15" w:rsidP="00DA4F15"/>
    <w:permEnd w:id="85027830"/>
    <w:p w14:paraId="3FD433C3" w14:textId="77777777" w:rsidR="00DA4F15" w:rsidRDefault="00DA4F15" w:rsidP="00DA4F15">
      <w:r>
        <w:t>&lt;ESMA_QUESTION_SLMT_18&gt;</w:t>
      </w:r>
    </w:p>
    <w:p w14:paraId="4AD28A51" w14:textId="77777777" w:rsidR="00DA4F15" w:rsidRDefault="00DA4F15" w:rsidP="00DA4F15"/>
    <w:p w14:paraId="0A113466"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extensions of notice period to differ between different investment strategies and between AIFs and UCITS? If yes, how?</w:t>
      </w:r>
    </w:p>
    <w:p w14:paraId="5113E0E8" w14:textId="77777777" w:rsidR="00DA4F15" w:rsidRDefault="00DA4F15" w:rsidP="00DA4F15">
      <w:r>
        <w:t>&lt;ESMA_QUESTION_SLMT_19&gt;</w:t>
      </w:r>
    </w:p>
    <w:p w14:paraId="02D34565" w14:textId="77777777" w:rsidR="003E30E8" w:rsidRPr="003E30E8" w:rsidRDefault="003E30E8" w:rsidP="003E30E8">
      <w:pPr>
        <w:spacing w:after="333" w:line="249" w:lineRule="auto"/>
        <w:ind w:right="443" w:hanging="10"/>
        <w:jc w:val="left"/>
        <w:rPr>
          <w:rFonts w:ascii="Aptos" w:eastAsia="Aptos" w:hAnsi="Aptos" w:cs="Times New Roman"/>
          <w:bCs/>
          <w:color w:val="auto"/>
          <w:szCs w:val="22"/>
          <w:lang w:val="en-US"/>
        </w:rPr>
      </w:pPr>
      <w:bookmarkStart w:id="0" w:name="_Hlk173157508"/>
      <w:bookmarkStart w:id="1" w:name="_Hlk177977257"/>
      <w:permStart w:id="700061978" w:edGrp="everyone"/>
      <w:r w:rsidRPr="003E30E8">
        <w:rPr>
          <w:rFonts w:ascii="Aptos" w:eastAsia="Aptos" w:hAnsi="Aptos" w:cs="Times New Roman"/>
          <w:bCs/>
          <w:color w:val="181818"/>
          <w:szCs w:val="22"/>
          <w:lang w:val="en-US"/>
        </w:rPr>
        <w:t>No, we do not see any merit in having distinctions depending on the investment strategies and between AIFs and UCITS, as long as sufficient flexibility is maintained to allow for adaptation to different circumstances.</w:t>
      </w:r>
      <w:bookmarkEnd w:id="0"/>
    </w:p>
    <w:bookmarkEnd w:id="1"/>
    <w:p w14:paraId="02A7F26F" w14:textId="1045E2DF" w:rsidR="00DA4F15" w:rsidRDefault="00DA4F15" w:rsidP="00DA4F15"/>
    <w:permEnd w:id="700061978"/>
    <w:p w14:paraId="000C511D" w14:textId="77777777" w:rsidR="00DA4F15" w:rsidRDefault="00DA4F15" w:rsidP="00DA4F15">
      <w:r>
        <w:t>&lt;ESMA_QUESTION_SLMT_19&gt;</w:t>
      </w:r>
    </w:p>
    <w:p w14:paraId="73906F45" w14:textId="77777777" w:rsidR="00DA4F15" w:rsidRDefault="00DA4F15" w:rsidP="00DA4F15"/>
    <w:p w14:paraId="0709A193" w14:textId="77777777" w:rsidR="00DA4F15" w:rsidRDefault="00DA4F15" w:rsidP="00DA4F15">
      <w:pPr>
        <w:pStyle w:val="Questionstyle"/>
        <w:numPr>
          <w:ilvl w:val="0"/>
          <w:numId w:val="14"/>
        </w:numPr>
        <w:tabs>
          <w:tab w:val="clear" w:pos="567"/>
        </w:tabs>
        <w:spacing w:after="240" w:line="256" w:lineRule="auto"/>
        <w:ind w:left="851" w:hanging="851"/>
      </w:pPr>
      <w:r>
        <w:lastRenderedPageBreak/>
        <w:t xml:space="preserve">How would you execute redemption orders that have been placed but not executed before the notice period is extended? Would you execute them under the original notice period, or would you execute them at the following dealing day? </w:t>
      </w:r>
    </w:p>
    <w:p w14:paraId="17884285" w14:textId="77777777" w:rsidR="00DA4F15" w:rsidRDefault="00DA4F15" w:rsidP="00DA4F15">
      <w:r>
        <w:t>&lt;ESMA_QUESTION_SLMT_20&gt;</w:t>
      </w:r>
    </w:p>
    <w:p w14:paraId="43782B65" w14:textId="77777777" w:rsidR="00D17C15" w:rsidRPr="00D17C15" w:rsidRDefault="00D17C15" w:rsidP="00D17C15">
      <w:pPr>
        <w:spacing w:after="160" w:line="259" w:lineRule="auto"/>
        <w:jc w:val="left"/>
        <w:rPr>
          <w:rFonts w:ascii="Aptos" w:eastAsia="Aptos" w:hAnsi="Aptos" w:cs="Times New Roman"/>
          <w:color w:val="auto"/>
          <w:szCs w:val="22"/>
          <w:lang w:val="en-US"/>
        </w:rPr>
      </w:pPr>
      <w:permStart w:id="736693926" w:edGrp="everyone"/>
      <w:r w:rsidRPr="00D17C15">
        <w:rPr>
          <w:rFonts w:ascii="Aptos" w:eastAsia="Aptos" w:hAnsi="Aptos" w:cs="Times New Roman"/>
          <w:color w:val="auto"/>
          <w:szCs w:val="22"/>
          <w:lang w:val="en-US"/>
        </w:rPr>
        <w:t>They would be executed under the original notice period unless there are extreme circumstances, such as a severe liquidity strain, in which case the order might need to be deferred to the next dealing day.</w:t>
      </w:r>
    </w:p>
    <w:p w14:paraId="616CB20B" w14:textId="5C041B7D" w:rsidR="00DA4F15" w:rsidRDefault="00DA4F15" w:rsidP="00DA4F15"/>
    <w:permEnd w:id="736693926"/>
    <w:p w14:paraId="21F74603" w14:textId="77777777" w:rsidR="00DA4F15" w:rsidRDefault="00DA4F15" w:rsidP="00DA4F15">
      <w:r>
        <w:t>&lt;ESMA_QUESTION_SLMT_20&gt;</w:t>
      </w:r>
    </w:p>
    <w:p w14:paraId="264597CA" w14:textId="77777777" w:rsidR="00DA4F15" w:rsidRDefault="00DA4F15" w:rsidP="00DA4F15"/>
    <w:p w14:paraId="56DCEAC9" w14:textId="77777777" w:rsidR="00DA4F15" w:rsidRDefault="00DA4F15" w:rsidP="00DA4F15">
      <w:pPr>
        <w:pStyle w:val="Questionstyle"/>
        <w:numPr>
          <w:ilvl w:val="0"/>
          <w:numId w:val="14"/>
        </w:numPr>
        <w:tabs>
          <w:tab w:val="clear" w:pos="567"/>
        </w:tabs>
        <w:spacing w:after="240" w:line="256" w:lineRule="auto"/>
        <w:ind w:left="851" w:hanging="851"/>
      </w:pPr>
      <w:r>
        <w:t>How would you ensure fair treatment of investors when deactivating the extension of notice period?</w:t>
      </w:r>
    </w:p>
    <w:p w14:paraId="74280904" w14:textId="77777777" w:rsidR="00DA4F15" w:rsidRDefault="00DA4F15" w:rsidP="00DA4F15">
      <w:r>
        <w:t>&lt;ESMA_QUESTION_SLMT_21&gt;</w:t>
      </w:r>
    </w:p>
    <w:p w14:paraId="144A08B0" w14:textId="77777777" w:rsidR="00D15EA1" w:rsidRPr="00D15EA1" w:rsidRDefault="00D15EA1" w:rsidP="00D15EA1">
      <w:pPr>
        <w:spacing w:after="334" w:line="249" w:lineRule="auto"/>
        <w:ind w:right="443" w:hanging="10"/>
        <w:jc w:val="left"/>
        <w:rPr>
          <w:rFonts w:ascii="Aptos" w:eastAsia="Aptos" w:hAnsi="Aptos" w:cs="Times New Roman"/>
          <w:bCs/>
          <w:color w:val="181818"/>
          <w:szCs w:val="22"/>
          <w:lang w:val="en-US"/>
        </w:rPr>
      </w:pPr>
      <w:permStart w:id="2145268849" w:edGrp="everyone"/>
      <w:r w:rsidRPr="00D15EA1">
        <w:rPr>
          <w:rFonts w:ascii="Aptos" w:eastAsia="Aptos" w:hAnsi="Aptos" w:cs="Times New Roman"/>
          <w:bCs/>
          <w:color w:val="181818"/>
          <w:szCs w:val="22"/>
          <w:lang w:val="en-US"/>
        </w:rPr>
        <w:t xml:space="preserve">To ensure fair treatment of investors when deactivating the extension of the notice period: </w:t>
      </w:r>
    </w:p>
    <w:p w14:paraId="773C05E6" w14:textId="77777777" w:rsidR="00D15EA1" w:rsidRPr="00D15EA1" w:rsidRDefault="00D15EA1" w:rsidP="00D15EA1">
      <w:pPr>
        <w:numPr>
          <w:ilvl w:val="0"/>
          <w:numId w:val="16"/>
        </w:numPr>
        <w:spacing w:after="334" w:line="249" w:lineRule="auto"/>
        <w:ind w:right="443"/>
        <w:contextualSpacing/>
        <w:jc w:val="left"/>
        <w:rPr>
          <w:rFonts w:ascii="Aptos" w:eastAsia="Aptos" w:hAnsi="Aptos" w:cs="Times New Roman"/>
          <w:bCs/>
          <w:color w:val="181818"/>
          <w:szCs w:val="22"/>
          <w:lang w:val="en-US"/>
        </w:rPr>
      </w:pPr>
      <w:r w:rsidRPr="00D15EA1">
        <w:rPr>
          <w:rFonts w:ascii="Aptos" w:eastAsia="Aptos" w:hAnsi="Aptos" w:cs="Times New Roman"/>
          <w:bCs/>
          <w:color w:val="181818"/>
          <w:szCs w:val="22"/>
          <w:lang w:val="en-US"/>
        </w:rPr>
        <w:t>AIFMs/UCITS managers ensure that all investors can benefit from the deactivation;</w:t>
      </w:r>
    </w:p>
    <w:p w14:paraId="54BB5113" w14:textId="77777777" w:rsidR="00D15EA1" w:rsidRPr="00D15EA1" w:rsidRDefault="00D15EA1" w:rsidP="00D15EA1">
      <w:pPr>
        <w:numPr>
          <w:ilvl w:val="0"/>
          <w:numId w:val="16"/>
        </w:numPr>
        <w:spacing w:after="334" w:line="249" w:lineRule="auto"/>
        <w:ind w:right="443"/>
        <w:contextualSpacing/>
        <w:jc w:val="left"/>
        <w:rPr>
          <w:rFonts w:ascii="Aptos" w:eastAsia="Aptos" w:hAnsi="Aptos" w:cs="Times New Roman"/>
          <w:bCs/>
          <w:color w:val="181818"/>
          <w:szCs w:val="22"/>
          <w:lang w:val="en-US"/>
        </w:rPr>
      </w:pPr>
      <w:r w:rsidRPr="00D15EA1">
        <w:rPr>
          <w:rFonts w:ascii="Aptos" w:eastAsia="Aptos" w:hAnsi="Aptos" w:cs="Times New Roman"/>
          <w:bCs/>
          <w:color w:val="181818"/>
          <w:szCs w:val="22"/>
          <w:lang w:val="en-US"/>
        </w:rPr>
        <w:t xml:space="preserve">The manager keeps a chronological consistency regarding the execution’s orders. Once the extension of the notice period is deactivated, the first orders to be executed are those that have been first placed before the extension of the notice period. </w:t>
      </w:r>
    </w:p>
    <w:p w14:paraId="3EEEE327" w14:textId="2138213A" w:rsidR="00DA4F15" w:rsidRDefault="00DA4F15" w:rsidP="00DA4F15"/>
    <w:permEnd w:id="2145268849"/>
    <w:p w14:paraId="6D8D1D04" w14:textId="77777777" w:rsidR="00DA4F15" w:rsidRDefault="00DA4F15" w:rsidP="00DA4F15">
      <w:r>
        <w:t>&lt;ESMA_QUESTION_SLMT_21&gt;</w:t>
      </w:r>
    </w:p>
    <w:p w14:paraId="599F1817" w14:textId="77777777" w:rsidR="00DA4F15" w:rsidRDefault="00DA4F15" w:rsidP="00DA4F15"/>
    <w:p w14:paraId="476C0B16"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redemption fees and the corresponding characteristics? If not, please justify your position.</w:t>
      </w:r>
    </w:p>
    <w:p w14:paraId="16F237F1" w14:textId="77777777" w:rsidR="00DA4F15" w:rsidRDefault="00DA4F15" w:rsidP="00DA4F15">
      <w:r>
        <w:t>&lt;ESMA_QUESTION_SLMT_22&gt;</w:t>
      </w:r>
    </w:p>
    <w:p w14:paraId="1CCEFDC7" w14:textId="77777777" w:rsidR="009A287A" w:rsidRPr="009A287A" w:rsidRDefault="009A287A" w:rsidP="009A287A">
      <w:pPr>
        <w:spacing w:after="5" w:line="249" w:lineRule="auto"/>
        <w:ind w:right="443" w:hanging="10"/>
        <w:jc w:val="left"/>
        <w:rPr>
          <w:rFonts w:ascii="Aptos" w:eastAsia="Aptos" w:hAnsi="Aptos" w:cs="Times New Roman"/>
          <w:bCs/>
          <w:color w:val="181818"/>
          <w:szCs w:val="22"/>
          <w:lang w:val="en-US"/>
        </w:rPr>
      </w:pPr>
      <w:permStart w:id="243217811" w:edGrp="everyone"/>
      <w:r w:rsidRPr="009A287A">
        <w:rPr>
          <w:rFonts w:ascii="Aptos" w:eastAsia="Aptos" w:hAnsi="Aptos" w:cs="Times New Roman"/>
          <w:bCs/>
          <w:color w:val="181818"/>
          <w:szCs w:val="22"/>
          <w:lang w:val="en-US"/>
        </w:rPr>
        <w:t xml:space="preserve">No, we do not fully agree with the description of redemption fees and the corresponding characteristics. Redemption fees should not be considered as predetermined, as there needs to be flexibility as redemptions fees can vary depending on variability of trading costs. It could be possible to assess a range for trading costs in normal market circumstances depending on the asset classes. However, the cost of liquidity could exceed </w:t>
      </w:r>
      <w:r w:rsidRPr="009A287A">
        <w:rPr>
          <w:rFonts w:ascii="Aptos" w:eastAsia="Aptos" w:hAnsi="Aptos" w:cs="Times New Roman"/>
          <w:bCs/>
          <w:color w:val="181818"/>
          <w:szCs w:val="22"/>
          <w:lang w:val="en-US"/>
        </w:rPr>
        <w:lastRenderedPageBreak/>
        <w:t xml:space="preserve">the predetermined range in exceptional circumstances, in which case the management company could decide to go beyond this predetermined level in such scenarios. Thus it is important to recognise that predetermined redemption fees apply only in normal market conditions. </w:t>
      </w:r>
    </w:p>
    <w:p w14:paraId="4BEA70DE" w14:textId="77777777" w:rsidR="009A287A" w:rsidRPr="009A287A" w:rsidRDefault="009A287A" w:rsidP="009A287A">
      <w:pPr>
        <w:spacing w:after="5" w:line="249" w:lineRule="auto"/>
        <w:ind w:right="443" w:hanging="10"/>
        <w:jc w:val="left"/>
        <w:rPr>
          <w:rFonts w:ascii="Aptos" w:eastAsia="Aptos" w:hAnsi="Aptos" w:cs="Times New Roman"/>
          <w:bCs/>
          <w:color w:val="181818"/>
          <w:szCs w:val="22"/>
          <w:lang w:val="en-US"/>
        </w:rPr>
      </w:pPr>
    </w:p>
    <w:p w14:paraId="7BF8C99D" w14:textId="77777777" w:rsidR="009A287A" w:rsidRPr="009A287A" w:rsidRDefault="009A287A" w:rsidP="009A287A">
      <w:pPr>
        <w:spacing w:after="5" w:line="249" w:lineRule="auto"/>
        <w:ind w:right="443" w:hanging="10"/>
        <w:jc w:val="left"/>
        <w:rPr>
          <w:rFonts w:ascii="Aptos" w:eastAsia="Aptos" w:hAnsi="Aptos" w:cs="Times New Roman"/>
          <w:bCs/>
          <w:color w:val="181818"/>
          <w:szCs w:val="22"/>
          <w:lang w:val="en-US"/>
        </w:rPr>
      </w:pPr>
      <w:r w:rsidRPr="009A287A">
        <w:rPr>
          <w:rFonts w:ascii="Aptos" w:eastAsia="Aptos" w:hAnsi="Aptos" w:cs="Times New Roman"/>
          <w:bCs/>
          <w:color w:val="181818"/>
          <w:szCs w:val="22"/>
          <w:lang w:val="en-US"/>
        </w:rPr>
        <w:t>In recognition of the challenge in calculating redemption fees ahead of time, managers will typically estimate this based on a percentage of the transaction size. This may not necessarily incorporate all of the explicit and implicit costs, but should be permitted to be a more conservative fee in such cases.</w:t>
      </w:r>
    </w:p>
    <w:p w14:paraId="125B8B7E" w14:textId="77777777" w:rsidR="009A287A" w:rsidRPr="009A287A" w:rsidRDefault="009A287A" w:rsidP="009A287A">
      <w:pPr>
        <w:spacing w:after="5" w:line="249" w:lineRule="auto"/>
        <w:ind w:right="443"/>
        <w:jc w:val="left"/>
        <w:rPr>
          <w:rFonts w:ascii="Aptos" w:eastAsia="Aptos" w:hAnsi="Aptos" w:cs="Times New Roman"/>
          <w:bCs/>
          <w:color w:val="181818"/>
          <w:szCs w:val="22"/>
          <w:lang w:val="en-US"/>
        </w:rPr>
      </w:pPr>
    </w:p>
    <w:p w14:paraId="5D031333" w14:textId="77777777" w:rsidR="009A287A" w:rsidRPr="009A287A" w:rsidRDefault="009A287A" w:rsidP="009A287A">
      <w:pPr>
        <w:spacing w:after="5" w:line="240" w:lineRule="auto"/>
        <w:ind w:right="443" w:hanging="10"/>
        <w:jc w:val="left"/>
        <w:rPr>
          <w:rFonts w:ascii="Calibri" w:eastAsia="Calibri" w:hAnsi="Calibri" w:cs="Calibri"/>
          <w:color w:val="auto"/>
          <w:szCs w:val="22"/>
          <w:lang w:eastAsia="en-GB"/>
          <w14:ligatures w14:val="standardContextual"/>
        </w:rPr>
      </w:pPr>
      <w:r w:rsidRPr="009A287A">
        <w:rPr>
          <w:rFonts w:ascii="Aptos" w:eastAsia="Calibri" w:hAnsi="Aptos" w:cs="Calibri"/>
          <w:color w:val="181818"/>
          <w:szCs w:val="22"/>
          <w:lang w:val="en-US" w:eastAsia="en-GB"/>
        </w:rPr>
        <w:t>We thus suggest the following amendment to the characteristic:</w:t>
      </w:r>
    </w:p>
    <w:p w14:paraId="5A046EBB" w14:textId="77777777" w:rsidR="009A287A" w:rsidRPr="009A287A" w:rsidRDefault="009A287A" w:rsidP="009A287A">
      <w:pPr>
        <w:spacing w:after="5" w:line="240" w:lineRule="auto"/>
        <w:ind w:right="443" w:hanging="10"/>
        <w:jc w:val="left"/>
        <w:rPr>
          <w:rFonts w:ascii="Calibri" w:eastAsia="Calibri" w:hAnsi="Calibri" w:cs="Calibri"/>
          <w:color w:val="auto"/>
          <w:szCs w:val="22"/>
          <w:lang w:eastAsia="en-GB"/>
          <w14:ligatures w14:val="standardContextual"/>
        </w:rPr>
      </w:pPr>
      <w:r w:rsidRPr="009A287A">
        <w:rPr>
          <w:rFonts w:ascii="Aptos" w:eastAsia="Calibri" w:hAnsi="Aptos" w:cs="Calibri"/>
          <w:color w:val="181818"/>
          <w:szCs w:val="22"/>
          <w:lang w:val="en-US" w:eastAsia="en-GB"/>
        </w:rPr>
        <w:t> </w:t>
      </w:r>
    </w:p>
    <w:p w14:paraId="7718E8A7" w14:textId="77777777" w:rsidR="009A287A" w:rsidRPr="009A287A" w:rsidRDefault="009A287A" w:rsidP="009A287A">
      <w:pPr>
        <w:numPr>
          <w:ilvl w:val="0"/>
          <w:numId w:val="17"/>
        </w:numPr>
        <w:spacing w:after="0" w:line="252" w:lineRule="auto"/>
        <w:ind w:left="142"/>
        <w:jc w:val="left"/>
        <w:rPr>
          <w:rFonts w:ascii="Calibri" w:eastAsia="Calibri" w:hAnsi="Calibri" w:cs="Calibri"/>
          <w:color w:val="auto"/>
          <w:szCs w:val="22"/>
          <w:lang w:eastAsia="en-GB"/>
          <w14:ligatures w14:val="standardContextual"/>
        </w:rPr>
      </w:pPr>
      <w:r w:rsidRPr="009A287A">
        <w:rPr>
          <w:rFonts w:ascii="Aptos" w:eastAsia="Calibri" w:hAnsi="Aptos" w:cs="Calibri"/>
          <w:color w:val="auto"/>
          <w:szCs w:val="22"/>
          <w:lang w:val="en-US" w:eastAsia="en-GB"/>
        </w:rPr>
        <w:t xml:space="preserve">“Redemption fees are predetermined fees charged to redeeming shareholders or unit- holders and which are deducted from the amount paid to shareholders or unit-holders as the result of the execution of their redemption orders. </w:t>
      </w:r>
      <w:r w:rsidRPr="009A287A">
        <w:rPr>
          <w:rFonts w:ascii="Aptos" w:eastAsia="Calibri" w:hAnsi="Aptos" w:cs="Calibri"/>
          <w:b/>
          <w:bCs/>
          <w:color w:val="auto"/>
          <w:szCs w:val="22"/>
          <w:lang w:val="en-US" w:eastAsia="en-GB"/>
        </w:rPr>
        <w:t>This fee could move out of its predefined range in exceptional circumstances</w:t>
      </w:r>
      <w:r w:rsidRPr="009A287A">
        <w:rPr>
          <w:rFonts w:ascii="Aptos" w:eastAsia="Calibri" w:hAnsi="Aptos" w:cs="Calibri"/>
          <w:color w:val="auto"/>
          <w:szCs w:val="22"/>
          <w:lang w:val="en-US" w:eastAsia="en-GB"/>
        </w:rPr>
        <w:t>”</w:t>
      </w:r>
    </w:p>
    <w:p w14:paraId="11A23E04" w14:textId="77777777" w:rsidR="009A287A" w:rsidRPr="009A287A" w:rsidRDefault="009A287A" w:rsidP="009A287A">
      <w:pPr>
        <w:spacing w:after="0" w:line="252" w:lineRule="auto"/>
        <w:jc w:val="left"/>
        <w:rPr>
          <w:rFonts w:ascii="Aptos" w:eastAsia="Calibri" w:hAnsi="Aptos" w:cs="Calibri"/>
          <w:color w:val="auto"/>
          <w:szCs w:val="22"/>
          <w:lang w:val="en-US" w:eastAsia="en-GB"/>
        </w:rPr>
      </w:pPr>
    </w:p>
    <w:p w14:paraId="1831CFEF" w14:textId="77777777" w:rsidR="009A287A" w:rsidRPr="009A287A" w:rsidRDefault="009A287A" w:rsidP="009A287A">
      <w:pPr>
        <w:spacing w:after="0" w:line="252" w:lineRule="auto"/>
        <w:rPr>
          <w:rFonts w:ascii="Calibri" w:eastAsia="Calibri" w:hAnsi="Calibri" w:cs="Calibri"/>
          <w:color w:val="auto"/>
          <w:szCs w:val="22"/>
          <w:lang w:eastAsia="en-GB"/>
          <w14:ligatures w14:val="standardContextual"/>
        </w:rPr>
      </w:pPr>
      <w:r w:rsidRPr="009A287A">
        <w:rPr>
          <w:rFonts w:ascii="Aptos" w:eastAsia="Calibri" w:hAnsi="Aptos" w:cs="Calibri"/>
          <w:color w:val="auto"/>
          <w:szCs w:val="22"/>
          <w:lang w:val="en-US" w:eastAsia="en-GB"/>
        </w:rPr>
        <w:t>Moreover, characteristic (7) where investors “that have placed redemption orders that fall within the same level of redemption fees shall bear the same redemption fee” would not be prudent in practice. Trading and market impact are calculated at the sub-fund level where the result of all dealing is calculated based on overall redemptions from the fund, not just smaller pieces of it. It is therefore more difficult to justify charging smaller transactions less. This approach would not be followed with other anti-dilution tools because it could potentially mean there could be a slice of the overall cost not picked up by any shareholder.</w:t>
      </w:r>
    </w:p>
    <w:p w14:paraId="6558D012" w14:textId="2B52A69F" w:rsidR="00DA4F15" w:rsidRDefault="00DA4F15" w:rsidP="00DA4F15"/>
    <w:permEnd w:id="243217811"/>
    <w:p w14:paraId="1B33333C" w14:textId="77777777" w:rsidR="00DA4F15" w:rsidRDefault="00DA4F15" w:rsidP="00DA4F15">
      <w:r>
        <w:t>&lt;ESMA_QUESTION_SLMT_22&gt;</w:t>
      </w:r>
    </w:p>
    <w:p w14:paraId="16413F78" w14:textId="77777777" w:rsidR="00DA4F15" w:rsidRDefault="00DA4F15" w:rsidP="00DA4F15"/>
    <w:p w14:paraId="602C9AAF" w14:textId="77777777" w:rsidR="00DA4F15" w:rsidRDefault="00DA4F15" w:rsidP="00DA4F15">
      <w:pPr>
        <w:pStyle w:val="Questionstyle"/>
        <w:numPr>
          <w:ilvl w:val="0"/>
          <w:numId w:val="14"/>
        </w:numPr>
        <w:tabs>
          <w:tab w:val="clear" w:pos="567"/>
        </w:tabs>
        <w:spacing w:after="240" w:line="256" w:lineRule="auto"/>
        <w:ind w:left="851" w:hanging="851"/>
      </w:pPr>
      <w:r>
        <w:t>Can you think of any other redemption fee mechanism than the ones described above? If yes, please provide examples.</w:t>
      </w:r>
    </w:p>
    <w:p w14:paraId="2A371F57" w14:textId="77777777" w:rsidR="00DA4F15" w:rsidRDefault="00DA4F15" w:rsidP="00DA4F15">
      <w:r>
        <w:t>&lt;ESMA_QUESTION_SLMT_23&gt;</w:t>
      </w:r>
    </w:p>
    <w:p w14:paraId="379DA243" w14:textId="77777777" w:rsidR="00DF238F" w:rsidRPr="00DF238F" w:rsidRDefault="00DF238F" w:rsidP="00DF238F">
      <w:pPr>
        <w:spacing w:after="160" w:line="259" w:lineRule="auto"/>
        <w:jc w:val="left"/>
        <w:rPr>
          <w:rFonts w:ascii="Aptos" w:eastAsia="Aptos" w:hAnsi="Aptos" w:cs="Times New Roman"/>
          <w:color w:val="auto"/>
          <w:szCs w:val="22"/>
          <w:lang w:val="en-US"/>
        </w:rPr>
      </w:pPr>
      <w:permStart w:id="646406651" w:edGrp="everyone"/>
      <w:r w:rsidRPr="00DF238F">
        <w:rPr>
          <w:rFonts w:ascii="Aptos" w:eastAsia="Aptos" w:hAnsi="Aptos" w:cs="Times New Roman"/>
          <w:color w:val="auto"/>
          <w:szCs w:val="22"/>
          <w:lang w:val="en-US"/>
        </w:rPr>
        <w:t xml:space="preserve">It is important to have the option to structure a redemption fee based on the investor’s holding period, with a degressive scale depending on how long the investment is held by the investor. In such cases, the redemption fee would reflect not only the costs of selling an asset but also the portion of acquisition costs that are still unamortized in the fund’s NAV. </w:t>
      </w:r>
    </w:p>
    <w:p w14:paraId="1FBA186F" w14:textId="48F5CBE1" w:rsidR="00DA4F15" w:rsidRDefault="00DA4F15" w:rsidP="00DA4F15"/>
    <w:permEnd w:id="646406651"/>
    <w:p w14:paraId="41482D45" w14:textId="77777777" w:rsidR="00DA4F15" w:rsidRDefault="00DA4F15" w:rsidP="00DA4F15">
      <w:r>
        <w:t>&lt;ESMA_QUESTION_SLMT_23&gt;</w:t>
      </w:r>
    </w:p>
    <w:p w14:paraId="08FD8CD5" w14:textId="77777777" w:rsidR="00DA4F15" w:rsidRDefault="00DA4F15" w:rsidP="00DA4F15"/>
    <w:p w14:paraId="021075EA"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redemption fees to differ between different investment strategies and between AIFs and UCITS? If yes, how?</w:t>
      </w:r>
    </w:p>
    <w:p w14:paraId="4C883DC4" w14:textId="77777777" w:rsidR="00DA4F15" w:rsidRDefault="00DA4F15" w:rsidP="00DA4F15">
      <w:r>
        <w:t>&lt;ESMA_QUESTION_SLMT_24&gt;</w:t>
      </w:r>
    </w:p>
    <w:p w14:paraId="0DAF92B0" w14:textId="77777777" w:rsidR="001B2C70" w:rsidRPr="001B2C70" w:rsidRDefault="001B2C70" w:rsidP="001B2C70">
      <w:pPr>
        <w:spacing w:after="333" w:line="249" w:lineRule="auto"/>
        <w:ind w:right="443" w:hanging="10"/>
        <w:jc w:val="left"/>
        <w:rPr>
          <w:rFonts w:ascii="Aptos" w:eastAsia="Aptos" w:hAnsi="Aptos" w:cs="Times New Roman"/>
          <w:bCs/>
          <w:color w:val="auto"/>
          <w:szCs w:val="22"/>
          <w:lang w:val="en-US"/>
        </w:rPr>
      </w:pPr>
      <w:permStart w:id="1731542779" w:edGrp="everyone"/>
      <w:r w:rsidRPr="001B2C70">
        <w:rPr>
          <w:rFonts w:ascii="Aptos" w:eastAsia="Aptos" w:hAnsi="Aptos" w:cs="Times New Roman"/>
          <w:bCs/>
          <w:color w:val="181818"/>
          <w:szCs w:val="22"/>
          <w:lang w:val="en-US"/>
        </w:rPr>
        <w:t>No, we do not see any merit in having distinctions depending on the investment strategies and between AIFs and UCITS, as long as sufficient flexibility is maintained to allow for adaptation to different circumstances.</w:t>
      </w:r>
    </w:p>
    <w:p w14:paraId="21B6650B" w14:textId="626311D2" w:rsidR="00DA4F15" w:rsidRDefault="00DA4F15" w:rsidP="00DA4F15"/>
    <w:permEnd w:id="1731542779"/>
    <w:p w14:paraId="6D4F237F" w14:textId="77777777" w:rsidR="00DA4F15" w:rsidRDefault="00DA4F15" w:rsidP="00DA4F15">
      <w:r>
        <w:t>&lt;ESMA_QUESTION_SLMT_24&gt;</w:t>
      </w:r>
    </w:p>
    <w:p w14:paraId="1011AA70" w14:textId="77777777" w:rsidR="00DA4F15" w:rsidRDefault="00DA4F15" w:rsidP="00DA4F15"/>
    <w:p w14:paraId="10C4425D"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swing pricing and the corresponding characteristics? If not, please justify your position.</w:t>
      </w:r>
    </w:p>
    <w:p w14:paraId="54329BB0" w14:textId="77777777" w:rsidR="00DA4F15" w:rsidRDefault="00DA4F15" w:rsidP="00DA4F15">
      <w:r>
        <w:t>&lt;ESMA_QUESTION_SLMT_25&gt;</w:t>
      </w:r>
    </w:p>
    <w:p w14:paraId="38130D93" w14:textId="77777777" w:rsidR="00396A07" w:rsidRPr="00396A07" w:rsidRDefault="00396A07" w:rsidP="00396A07">
      <w:pPr>
        <w:spacing w:after="160" w:line="259" w:lineRule="auto"/>
        <w:jc w:val="left"/>
        <w:rPr>
          <w:rFonts w:ascii="Aptos" w:eastAsia="Aptos" w:hAnsi="Aptos" w:cs="Times New Roman"/>
          <w:color w:val="auto"/>
          <w:szCs w:val="22"/>
          <w:lang w:val="en-US"/>
        </w:rPr>
      </w:pPr>
      <w:permStart w:id="440675277" w:edGrp="everyone"/>
      <w:r w:rsidRPr="00396A07">
        <w:rPr>
          <w:rFonts w:ascii="Aptos" w:eastAsia="Aptos" w:hAnsi="Aptos" w:cs="Times New Roman"/>
          <w:color w:val="auto"/>
          <w:szCs w:val="22"/>
          <w:lang w:val="en-US"/>
        </w:rPr>
        <w:t xml:space="preserve">Yes. We particularly agree that the swing factor should reflect the </w:t>
      </w:r>
      <w:r w:rsidRPr="00396A07">
        <w:rPr>
          <w:rFonts w:ascii="Aptos" w:eastAsia="Aptos" w:hAnsi="Aptos" w:cs="Times New Roman"/>
          <w:color w:val="auto"/>
          <w:szCs w:val="22"/>
          <w:u w:val="single"/>
          <w:lang w:val="en-US"/>
        </w:rPr>
        <w:t>estimated</w:t>
      </w:r>
      <w:r w:rsidRPr="00396A07">
        <w:rPr>
          <w:rFonts w:ascii="Aptos" w:eastAsia="Aptos" w:hAnsi="Aptos" w:cs="Times New Roman"/>
          <w:color w:val="auto"/>
          <w:szCs w:val="22"/>
          <w:lang w:val="en-US"/>
        </w:rPr>
        <w:t xml:space="preserve"> cost of liquidity and we would further highlight that this is done on a best-effort basis. The ability to set an appropriate swing factor relies on the ability of the manager to assess the expected costs of transacting and accessing liquidity. However, this is dependent on accurate on-screen prices which are not always available. </w:t>
      </w:r>
    </w:p>
    <w:p w14:paraId="348B87BB" w14:textId="4BEF5815" w:rsidR="00DA4F15" w:rsidRDefault="00DA4F15" w:rsidP="00DA4F15"/>
    <w:permEnd w:id="440675277"/>
    <w:p w14:paraId="67E2CDC6" w14:textId="77777777" w:rsidR="00DA4F15" w:rsidRDefault="00DA4F15" w:rsidP="00DA4F15">
      <w:r>
        <w:t>&lt;ESMA_QUESTION_SLMT_25&gt;</w:t>
      </w:r>
    </w:p>
    <w:p w14:paraId="02FD11A8" w14:textId="77777777" w:rsidR="00DA4F15" w:rsidRDefault="00DA4F15" w:rsidP="00DA4F15"/>
    <w:p w14:paraId="419AFCA6" w14:textId="77777777" w:rsidR="00DA4F15" w:rsidRDefault="00DA4F15" w:rsidP="00DA4F15">
      <w:pPr>
        <w:pStyle w:val="Questionstyle"/>
        <w:numPr>
          <w:ilvl w:val="0"/>
          <w:numId w:val="14"/>
        </w:numPr>
        <w:tabs>
          <w:tab w:val="clear" w:pos="567"/>
        </w:tabs>
        <w:spacing w:after="240" w:line="256" w:lineRule="auto"/>
        <w:ind w:left="851" w:hanging="851"/>
      </w:pPr>
      <w:r>
        <w:t>Can you think of any characteristics of swing pricing that the ones described above?</w:t>
      </w:r>
    </w:p>
    <w:p w14:paraId="71DB42FF" w14:textId="77777777" w:rsidR="00DA4F15" w:rsidRDefault="00DA4F15" w:rsidP="00DA4F15">
      <w:r>
        <w:t>&lt;ESMA_QUESTION_SLMT_26&gt;</w:t>
      </w:r>
    </w:p>
    <w:p w14:paraId="03A6278D" w14:textId="1183FDFA" w:rsidR="00DA4F15" w:rsidRDefault="00396A07" w:rsidP="00DA4F15">
      <w:permStart w:id="1067799245" w:edGrp="everyone"/>
      <w:r>
        <w:t>No</w:t>
      </w:r>
    </w:p>
    <w:permEnd w:id="1067799245"/>
    <w:p w14:paraId="184809E4" w14:textId="77777777" w:rsidR="00DA4F15" w:rsidRDefault="00DA4F15" w:rsidP="00DA4F15">
      <w:r>
        <w:t>&lt;ESMA_QUESTION_SLMT_26&gt;</w:t>
      </w:r>
    </w:p>
    <w:p w14:paraId="1EB0361D" w14:textId="77777777" w:rsidR="00DA4F15" w:rsidRDefault="00DA4F15" w:rsidP="00DA4F15"/>
    <w:p w14:paraId="6918B88B"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swing pricing to differ between different investment strategies and between AIFs and UCITS? If yes, how?</w:t>
      </w:r>
    </w:p>
    <w:p w14:paraId="746CADAB" w14:textId="77777777" w:rsidR="00DA4F15" w:rsidRDefault="00DA4F15" w:rsidP="00DA4F15">
      <w:r>
        <w:t>&lt;ESMA_QUESTION_SLMT_27&gt;</w:t>
      </w:r>
    </w:p>
    <w:p w14:paraId="4A1599AD" w14:textId="77777777" w:rsidR="00D55A75" w:rsidRPr="00D55A75" w:rsidRDefault="00D55A75" w:rsidP="00D55A75">
      <w:pPr>
        <w:spacing w:after="160" w:line="259" w:lineRule="auto"/>
        <w:jc w:val="left"/>
        <w:rPr>
          <w:rFonts w:ascii="Aptos" w:eastAsia="Aptos" w:hAnsi="Aptos" w:cs="Times New Roman"/>
          <w:bCs/>
          <w:color w:val="auto"/>
          <w:szCs w:val="22"/>
          <w:lang w:val="en-US"/>
        </w:rPr>
      </w:pPr>
      <w:permStart w:id="1045646515" w:edGrp="everyone"/>
      <w:r w:rsidRPr="00D55A75">
        <w:rPr>
          <w:rFonts w:ascii="Aptos" w:eastAsia="Aptos" w:hAnsi="Aptos" w:cs="Times New Roman"/>
          <w:bCs/>
          <w:color w:val="auto"/>
          <w:szCs w:val="22"/>
          <w:lang w:val="en-US"/>
        </w:rPr>
        <w:t xml:space="preserve">No, we do not see any merit in having distinctions depending on the investment strategies and between AIFs and UCITS, as long as sufficient flexibility is maintained to allow for adaptation to different circumstances. </w:t>
      </w:r>
    </w:p>
    <w:p w14:paraId="084F7F06" w14:textId="27498239" w:rsidR="00DA4F15" w:rsidRDefault="00DA4F15" w:rsidP="00DA4F15"/>
    <w:permEnd w:id="1045646515"/>
    <w:p w14:paraId="6CC8AD11" w14:textId="77777777" w:rsidR="00DA4F15" w:rsidRDefault="00DA4F15" w:rsidP="00DA4F15">
      <w:r>
        <w:t>&lt;ESMA_QUESTION_SLMT_27&gt;</w:t>
      </w:r>
    </w:p>
    <w:p w14:paraId="69A4659A" w14:textId="77777777" w:rsidR="00DA4F15" w:rsidRDefault="00DA4F15" w:rsidP="00DA4F15"/>
    <w:p w14:paraId="62DAABAC" w14:textId="77777777" w:rsidR="00DA4F15" w:rsidRDefault="00DA4F15" w:rsidP="00DA4F15">
      <w:pPr>
        <w:pStyle w:val="Questionstyle"/>
        <w:numPr>
          <w:ilvl w:val="0"/>
          <w:numId w:val="14"/>
        </w:numPr>
        <w:tabs>
          <w:tab w:val="clear" w:pos="567"/>
        </w:tabs>
        <w:spacing w:after="240" w:line="256" w:lineRule="auto"/>
        <w:ind w:left="851" w:hanging="851"/>
      </w:pPr>
      <w:r>
        <w:t>Do you agree that in the case of funds with multiple share classes, the same swing factor shall be applied to all share classes? If not, please justify your position.</w:t>
      </w:r>
    </w:p>
    <w:p w14:paraId="79F8C072" w14:textId="77777777" w:rsidR="00DA4F15" w:rsidRDefault="00DA4F15" w:rsidP="00DA4F15">
      <w:r>
        <w:t>&lt;ESMA_QUESTION_SLMT_28&gt;</w:t>
      </w:r>
    </w:p>
    <w:p w14:paraId="617A5CF1" w14:textId="77777777" w:rsidR="00903E06" w:rsidRPr="00903E06" w:rsidRDefault="00903E06" w:rsidP="00903E06">
      <w:pPr>
        <w:spacing w:after="160" w:line="259" w:lineRule="auto"/>
        <w:jc w:val="left"/>
        <w:rPr>
          <w:rFonts w:ascii="Aptos" w:eastAsia="Aptos" w:hAnsi="Aptos" w:cs="Times New Roman"/>
          <w:color w:val="auto"/>
          <w:szCs w:val="22"/>
          <w:lang w:val="en-US"/>
        </w:rPr>
      </w:pPr>
      <w:permStart w:id="546384282" w:edGrp="everyone"/>
      <w:r w:rsidRPr="00903E06">
        <w:rPr>
          <w:rFonts w:ascii="Aptos" w:eastAsia="Aptos" w:hAnsi="Aptos" w:cs="Times New Roman"/>
          <w:color w:val="auto"/>
          <w:szCs w:val="22"/>
          <w:lang w:val="en-US"/>
        </w:rPr>
        <w:t xml:space="preserve">In principle yes, unless operating a hybrid model with different anti-dilution tools on different share classes. Also different swing factors could be used in different share classes of the same sub-fund. In case of hedged share classes, the swing factor of hedged share classes may reflect the additional costs of transactions in relation to the derivatives used for the hedging (as an example, FX forwards used in case of currency hedged share classes). We therefore ask for the flexibility to apply different swing factors in different share classes of the same sub-fund . </w:t>
      </w:r>
    </w:p>
    <w:p w14:paraId="56FBC2E2" w14:textId="7B2F526F" w:rsidR="00DA4F15" w:rsidRDefault="00DA4F15" w:rsidP="00DA4F15"/>
    <w:permEnd w:id="546384282"/>
    <w:p w14:paraId="1370407B" w14:textId="77777777" w:rsidR="00DA4F15" w:rsidRDefault="00DA4F15" w:rsidP="00DA4F15">
      <w:r>
        <w:t>&lt;ESMA_QUESTION_SLMT_28&gt;</w:t>
      </w:r>
    </w:p>
    <w:p w14:paraId="54666322" w14:textId="77777777" w:rsidR="00DA4F15" w:rsidRDefault="00DA4F15" w:rsidP="00DA4F15"/>
    <w:p w14:paraId="76F5EEE2"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the dual pricing and the corresponding characteristics? If not, please justify your position.</w:t>
      </w:r>
    </w:p>
    <w:p w14:paraId="53DA44A5" w14:textId="77777777" w:rsidR="00DA4F15" w:rsidRDefault="00DA4F15" w:rsidP="00DA4F15">
      <w:r>
        <w:t>&lt;ESMA_QUESTION_SLMT_29&gt;</w:t>
      </w:r>
    </w:p>
    <w:p w14:paraId="7788412F" w14:textId="77777777" w:rsidR="00DA4F15" w:rsidRDefault="00DA4F15" w:rsidP="00DA4F15">
      <w:permStart w:id="1529225249" w:edGrp="everyone"/>
      <w:r>
        <w:t>TYPE YOUR TEXT HERE</w:t>
      </w:r>
    </w:p>
    <w:permEnd w:id="1529225249"/>
    <w:p w14:paraId="4139A0B6" w14:textId="77777777" w:rsidR="00DA4F15" w:rsidRDefault="00DA4F15" w:rsidP="00DA4F15">
      <w:r>
        <w:lastRenderedPageBreak/>
        <w:t>&lt;ESMA_QUESTION_SLMT_29&gt;</w:t>
      </w:r>
    </w:p>
    <w:p w14:paraId="5AD72AAD" w14:textId="77777777" w:rsidR="00DA4F15" w:rsidRDefault="00DA4F15" w:rsidP="00DA4F15"/>
    <w:p w14:paraId="0B8D1068" w14:textId="77777777" w:rsidR="00DA4F15" w:rsidRDefault="00DA4F15" w:rsidP="00DA4F15">
      <w:pPr>
        <w:pStyle w:val="Questionstyle"/>
        <w:numPr>
          <w:ilvl w:val="0"/>
          <w:numId w:val="14"/>
        </w:numPr>
        <w:tabs>
          <w:tab w:val="clear" w:pos="567"/>
        </w:tabs>
        <w:spacing w:after="240" w:line="256" w:lineRule="auto"/>
        <w:ind w:left="851" w:hanging="851"/>
      </w:pPr>
      <w:r>
        <w:t>Are there any other calculation methods for dual pricing that should be considered? If yes, please give example.</w:t>
      </w:r>
    </w:p>
    <w:p w14:paraId="3DBB2C4A" w14:textId="77777777" w:rsidR="00DA4F15" w:rsidRDefault="00DA4F15" w:rsidP="00DA4F15">
      <w:r>
        <w:t>&lt;ESMA_QUESTION_SLMT_30&gt;</w:t>
      </w:r>
    </w:p>
    <w:p w14:paraId="509EE9CD" w14:textId="77777777" w:rsidR="00DA4F15" w:rsidRDefault="00DA4F15" w:rsidP="00DA4F15">
      <w:permStart w:id="621349682" w:edGrp="everyone"/>
      <w:r>
        <w:t>TYPE YOUR TEXT HERE</w:t>
      </w:r>
    </w:p>
    <w:permEnd w:id="621349682"/>
    <w:p w14:paraId="7B7C2BEB" w14:textId="77777777" w:rsidR="00DA4F15" w:rsidRDefault="00DA4F15" w:rsidP="00DA4F15">
      <w:r>
        <w:t>&lt;ESMA_QUESTION_SLMT_30&gt;</w:t>
      </w:r>
    </w:p>
    <w:p w14:paraId="65ADDD64" w14:textId="77777777" w:rsidR="00DA4F15" w:rsidRDefault="00DA4F15" w:rsidP="00DA4F15"/>
    <w:p w14:paraId="5A132B74"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dual pricing to differ between different investment strategies and between AIFs and UCITS? If yes, how?</w:t>
      </w:r>
    </w:p>
    <w:p w14:paraId="2C76F116" w14:textId="77777777" w:rsidR="00DA4F15" w:rsidRDefault="00DA4F15" w:rsidP="00DA4F15">
      <w:r>
        <w:t>&lt;ESMA_QUESTION_SLMT_31&gt;</w:t>
      </w:r>
    </w:p>
    <w:p w14:paraId="6A0B9AB4" w14:textId="77777777" w:rsidR="00DA4F15" w:rsidRDefault="00DA4F15" w:rsidP="00DA4F15">
      <w:permStart w:id="1647707371" w:edGrp="everyone"/>
      <w:r>
        <w:t>TYPE YOUR TEXT HERE</w:t>
      </w:r>
    </w:p>
    <w:permEnd w:id="1647707371"/>
    <w:p w14:paraId="5A3AD0B1" w14:textId="77777777" w:rsidR="00DA4F15" w:rsidRDefault="00DA4F15" w:rsidP="00DA4F15">
      <w:r>
        <w:t>&lt;ESMA_QUESTION_SLMT_31&gt;</w:t>
      </w:r>
    </w:p>
    <w:p w14:paraId="1D650652" w14:textId="77777777" w:rsidR="00DA4F15" w:rsidRDefault="00DA4F15" w:rsidP="00DA4F15"/>
    <w:p w14:paraId="47B04078"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the anti-dilution levy and the corresponding characteristics? If not, please justify your position.</w:t>
      </w:r>
    </w:p>
    <w:p w14:paraId="4FA61CC6" w14:textId="77777777" w:rsidR="00DA4F15" w:rsidRDefault="00DA4F15" w:rsidP="00DA4F15">
      <w:r>
        <w:t>&lt;ESMA_QUESTION_SLMT_32&gt;</w:t>
      </w:r>
    </w:p>
    <w:p w14:paraId="14E58161" w14:textId="77777777" w:rsidR="00F12AB7" w:rsidRPr="00F12AB7" w:rsidRDefault="00F12AB7" w:rsidP="00F12AB7">
      <w:pPr>
        <w:spacing w:after="160" w:line="259" w:lineRule="auto"/>
        <w:jc w:val="left"/>
        <w:rPr>
          <w:rFonts w:ascii="Aptos" w:eastAsia="Aptos" w:hAnsi="Aptos" w:cs="Times New Roman"/>
          <w:color w:val="auto"/>
          <w:szCs w:val="22"/>
          <w:lang w:val="en-US"/>
        </w:rPr>
      </w:pPr>
      <w:permStart w:id="1085082725" w:edGrp="everyone"/>
      <w:r w:rsidRPr="00F12AB7">
        <w:rPr>
          <w:rFonts w:ascii="Aptos" w:eastAsia="Aptos" w:hAnsi="Aptos" w:cs="Times New Roman"/>
          <w:color w:val="auto"/>
          <w:szCs w:val="22"/>
          <w:lang w:val="en-US"/>
        </w:rPr>
        <w:t>We do not fully agree, as for market impact, it should be clarified that the market impact to be set in advance can only be estimated (instead of done in a fully precisely estimated manner).</w:t>
      </w:r>
    </w:p>
    <w:p w14:paraId="32AAC853" w14:textId="0B5136F1" w:rsidR="00DA4F15" w:rsidRDefault="00DA4F15" w:rsidP="00DA4F15"/>
    <w:permEnd w:id="1085082725"/>
    <w:p w14:paraId="5CD3DD4F" w14:textId="77777777" w:rsidR="00DA4F15" w:rsidRDefault="00DA4F15" w:rsidP="00DA4F15">
      <w:r>
        <w:t>&lt;ESMA_QUESTION_SLMT_32&gt;</w:t>
      </w:r>
    </w:p>
    <w:p w14:paraId="46DE12A4" w14:textId="77777777" w:rsidR="00DA4F15" w:rsidRDefault="00DA4F15" w:rsidP="00DA4F15"/>
    <w:p w14:paraId="507DE97B" w14:textId="77777777" w:rsidR="00DA4F15" w:rsidRDefault="00DA4F15" w:rsidP="00DA4F15">
      <w:pPr>
        <w:pStyle w:val="Questionstyle"/>
        <w:numPr>
          <w:ilvl w:val="0"/>
          <w:numId w:val="14"/>
        </w:numPr>
        <w:tabs>
          <w:tab w:val="clear" w:pos="567"/>
        </w:tabs>
        <w:spacing w:after="240" w:line="256" w:lineRule="auto"/>
        <w:ind w:left="851" w:hanging="851"/>
      </w:pPr>
      <w:r>
        <w:t>Are there any other calculation methods for anti-dilution levy that ESMA shall consider? If yes, please give example.</w:t>
      </w:r>
    </w:p>
    <w:p w14:paraId="0972ED9A" w14:textId="77777777" w:rsidR="00DA4F15" w:rsidRDefault="00DA4F15" w:rsidP="00DA4F15">
      <w:r>
        <w:t>&lt;ESMA_QUESTION_SLMT_33&gt;</w:t>
      </w:r>
    </w:p>
    <w:p w14:paraId="1911DF3A" w14:textId="55DF1A5C" w:rsidR="00DA4F15" w:rsidRDefault="00F12AB7" w:rsidP="00DA4F15">
      <w:permStart w:id="1171087067" w:edGrp="everyone"/>
      <w:r>
        <w:lastRenderedPageBreak/>
        <w:t>No</w:t>
      </w:r>
    </w:p>
    <w:permEnd w:id="1171087067"/>
    <w:p w14:paraId="5DAD62F9" w14:textId="77777777" w:rsidR="00DA4F15" w:rsidRDefault="00DA4F15" w:rsidP="00DA4F15">
      <w:r>
        <w:t>&lt;ESMA_QUESTION_SLMT_33&gt;</w:t>
      </w:r>
    </w:p>
    <w:p w14:paraId="5FBADF6B" w14:textId="77777777" w:rsidR="00DA4F15" w:rsidRDefault="00DA4F15" w:rsidP="00DA4F15"/>
    <w:p w14:paraId="1F19FA78" w14:textId="77777777" w:rsidR="00DA4F15" w:rsidRDefault="00DA4F15" w:rsidP="00DA4F15">
      <w:pPr>
        <w:pStyle w:val="Questionstyle"/>
        <w:numPr>
          <w:ilvl w:val="0"/>
          <w:numId w:val="14"/>
        </w:numPr>
        <w:tabs>
          <w:tab w:val="clear" w:pos="567"/>
        </w:tabs>
        <w:spacing w:after="240" w:line="256" w:lineRule="auto"/>
        <w:ind w:left="851" w:hanging="851"/>
      </w:pPr>
      <w:r>
        <w:t>In the case of funds with multiple share classes, would you see the possibility for different anti-dilution levies depending on share classes? Please justify your position.</w:t>
      </w:r>
    </w:p>
    <w:p w14:paraId="42AA84F7" w14:textId="77777777" w:rsidR="00DA4F15" w:rsidRDefault="00DA4F15" w:rsidP="00DA4F15">
      <w:r>
        <w:t>&lt;ESMA_QUESTION_SLMT_34&gt;</w:t>
      </w:r>
    </w:p>
    <w:p w14:paraId="020F8479" w14:textId="77777777" w:rsidR="006D664C" w:rsidRPr="006D664C" w:rsidRDefault="006D664C" w:rsidP="006D664C">
      <w:pPr>
        <w:spacing w:after="160" w:line="259" w:lineRule="auto"/>
        <w:jc w:val="left"/>
        <w:rPr>
          <w:rFonts w:ascii="Aptos" w:eastAsia="Aptos" w:hAnsi="Aptos" w:cs="Times New Roman"/>
          <w:color w:val="auto"/>
          <w:szCs w:val="22"/>
          <w:lang w:val="en-US"/>
        </w:rPr>
      </w:pPr>
      <w:permStart w:id="523176774" w:edGrp="everyone"/>
      <w:r w:rsidRPr="006D664C">
        <w:rPr>
          <w:rFonts w:ascii="Aptos" w:eastAsia="Aptos" w:hAnsi="Aptos" w:cs="Times New Roman"/>
          <w:color w:val="auto"/>
          <w:szCs w:val="22"/>
          <w:lang w:val="en-US"/>
        </w:rPr>
        <w:t>We do consider the possibility for anti-dilution levies to be differentiated by share classes as jurisdiction, specific client preferences and national regulations can lead to “geographical share classes”.</w:t>
      </w:r>
    </w:p>
    <w:p w14:paraId="22BBDA7D" w14:textId="7DCB124D" w:rsidR="00DA4F15" w:rsidRDefault="00DA4F15" w:rsidP="00DA4F15"/>
    <w:permEnd w:id="523176774"/>
    <w:p w14:paraId="1BB9B053" w14:textId="77777777" w:rsidR="00DA4F15" w:rsidRDefault="00DA4F15" w:rsidP="00DA4F15">
      <w:r>
        <w:t>&lt;ESMA_QUESTION_SLMT_34&gt;</w:t>
      </w:r>
    </w:p>
    <w:p w14:paraId="3DAE1B7F" w14:textId="77777777" w:rsidR="00DA4F15" w:rsidRDefault="00DA4F15" w:rsidP="00DA4F15"/>
    <w:p w14:paraId="5B61AB94"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anti-dilution levy to differ between different investment strategies and between AIFs and UCITS? If yes, how?</w:t>
      </w:r>
    </w:p>
    <w:p w14:paraId="4D0041CE" w14:textId="77777777" w:rsidR="00DA4F15" w:rsidRDefault="00DA4F15" w:rsidP="00DA4F15">
      <w:r>
        <w:t>&lt;ESMA_QUESTION_SLMT_35&gt;</w:t>
      </w:r>
    </w:p>
    <w:p w14:paraId="5AC0D396" w14:textId="77777777" w:rsidR="004E0270" w:rsidRPr="004E0270" w:rsidRDefault="004E0270" w:rsidP="004E0270">
      <w:pPr>
        <w:spacing w:after="160" w:line="259" w:lineRule="auto"/>
        <w:jc w:val="left"/>
        <w:rPr>
          <w:rFonts w:ascii="Aptos" w:eastAsia="Aptos" w:hAnsi="Aptos" w:cs="Times New Roman"/>
          <w:bCs/>
          <w:color w:val="auto"/>
          <w:szCs w:val="22"/>
          <w:lang w:val="en-US"/>
        </w:rPr>
      </w:pPr>
      <w:permStart w:id="1985707259" w:edGrp="everyone"/>
      <w:r w:rsidRPr="004E0270">
        <w:rPr>
          <w:rFonts w:ascii="Aptos" w:eastAsia="Aptos" w:hAnsi="Aptos" w:cs="Times New Roman"/>
          <w:bCs/>
          <w:color w:val="auto"/>
          <w:szCs w:val="22"/>
          <w:lang w:val="en-US"/>
        </w:rPr>
        <w:t>No, we do not see any merit in having distinctions depending on the investment strategies and between AIFs and UCITS, as long as sufficient flexibility is maintained to allow for adaptation to different circumstances.</w:t>
      </w:r>
    </w:p>
    <w:p w14:paraId="1DE94B0A" w14:textId="5B655D80" w:rsidR="00DA4F15" w:rsidRDefault="00DA4F15" w:rsidP="00DA4F15"/>
    <w:permEnd w:id="1985707259"/>
    <w:p w14:paraId="19F071E3" w14:textId="77777777" w:rsidR="00DA4F15" w:rsidRDefault="00DA4F15" w:rsidP="00DA4F15">
      <w:r>
        <w:t>&lt;ESMA_QUESTION_SLMT_35&gt;</w:t>
      </w:r>
    </w:p>
    <w:p w14:paraId="384DCE3C" w14:textId="77777777" w:rsidR="00DA4F15" w:rsidRDefault="00DA4F15" w:rsidP="00DA4F15"/>
    <w:p w14:paraId="1BED9330" w14:textId="77777777" w:rsidR="00DA4F15" w:rsidRDefault="00DA4F15" w:rsidP="00DA4F15">
      <w:pPr>
        <w:pStyle w:val="Questionstyle"/>
        <w:numPr>
          <w:ilvl w:val="0"/>
          <w:numId w:val="14"/>
        </w:numPr>
        <w:tabs>
          <w:tab w:val="clear" w:pos="567"/>
        </w:tabs>
        <w:spacing w:after="240" w:line="256" w:lineRule="auto"/>
        <w:ind w:left="851" w:hanging="851"/>
      </w:pPr>
      <w:r>
        <w:t>Do you agree with the description of redemptions in kind and the corresponding characteristics? If not, please justify your position.</w:t>
      </w:r>
    </w:p>
    <w:p w14:paraId="0434658B" w14:textId="77777777" w:rsidR="00DA4F15" w:rsidRDefault="00DA4F15" w:rsidP="00DA4F15">
      <w:r>
        <w:t>&lt;ESMA_QUESTION_SLMT_36&gt;</w:t>
      </w:r>
    </w:p>
    <w:p w14:paraId="2D784DB6" w14:textId="77777777" w:rsidR="007C77EF" w:rsidRPr="007C77EF" w:rsidRDefault="007C77EF" w:rsidP="007C77EF">
      <w:pPr>
        <w:spacing w:after="160" w:line="259" w:lineRule="auto"/>
        <w:jc w:val="left"/>
        <w:rPr>
          <w:rFonts w:ascii="Aptos" w:eastAsia="Aptos" w:hAnsi="Aptos" w:cs="Times New Roman"/>
          <w:color w:val="auto"/>
          <w:szCs w:val="22"/>
          <w:lang w:val="en-US"/>
        </w:rPr>
      </w:pPr>
      <w:permStart w:id="272712298" w:edGrp="everyone"/>
      <w:r w:rsidRPr="007C77EF">
        <w:rPr>
          <w:rFonts w:ascii="Aptos" w:eastAsia="Aptos" w:hAnsi="Aptos" w:cs="Times New Roman"/>
          <w:color w:val="auto"/>
          <w:szCs w:val="22"/>
          <w:lang w:val="en-US"/>
        </w:rPr>
        <w:lastRenderedPageBreak/>
        <w:t>We do not fully agree with the description and characteristics of redemption in kind (RIK) as drafted, as they do not fully account for the intricacies of agreements between authorized participants (APs) and exchange-traded funds (ETFs). In the regular course of business, when APs or market makers directly redeem shares in a UCITS ETF, the delivery of underlying securities (in whole or in part) held by or on behalf of the UCITS ETF should not be viewed as triggering the RIK mechanism within the context of Annex IIA LMTs.</w:t>
      </w:r>
    </w:p>
    <w:p w14:paraId="7B4A1A14" w14:textId="77777777" w:rsidR="007C77EF" w:rsidRPr="007C77EF" w:rsidRDefault="007C77EF" w:rsidP="007C77EF">
      <w:pPr>
        <w:spacing w:after="160" w:line="259" w:lineRule="auto"/>
        <w:jc w:val="left"/>
        <w:rPr>
          <w:rFonts w:ascii="Aptos" w:eastAsia="Aptos" w:hAnsi="Aptos" w:cs="Times New Roman"/>
          <w:color w:val="auto"/>
          <w:szCs w:val="22"/>
        </w:rPr>
      </w:pPr>
      <w:r w:rsidRPr="007C77EF">
        <w:rPr>
          <w:rFonts w:ascii="Aptos" w:eastAsia="Aptos" w:hAnsi="Aptos" w:cs="Times New Roman"/>
          <w:color w:val="auto"/>
          <w:szCs w:val="22"/>
        </w:rPr>
        <w:t>Sections 83 and 84 outline scenarios where RIK (restricted to professional investors) need not correspond proportionally to the redeeming investors' holdings. This approach raises concerns:</w:t>
      </w:r>
    </w:p>
    <w:p w14:paraId="64D75EBC" w14:textId="77777777" w:rsidR="007C77EF" w:rsidRPr="007C77EF" w:rsidRDefault="007C77EF" w:rsidP="007C77EF">
      <w:pPr>
        <w:numPr>
          <w:ilvl w:val="0"/>
          <w:numId w:val="16"/>
        </w:numPr>
        <w:spacing w:after="160" w:line="259" w:lineRule="auto"/>
        <w:contextualSpacing/>
        <w:jc w:val="left"/>
        <w:rPr>
          <w:rFonts w:ascii="Aptos" w:eastAsia="Aptos" w:hAnsi="Aptos" w:cs="Times New Roman"/>
          <w:color w:val="auto"/>
          <w:szCs w:val="22"/>
        </w:rPr>
      </w:pPr>
      <w:r w:rsidRPr="007C77EF">
        <w:rPr>
          <w:rFonts w:ascii="Aptos" w:eastAsia="Aptos" w:hAnsi="Aptos" w:cs="Times New Roman"/>
          <w:color w:val="auto"/>
          <w:szCs w:val="22"/>
        </w:rPr>
        <w:t>For index-tracking funds, non-pro-rata redemptions could lead to significant deviations from the index.</w:t>
      </w:r>
    </w:p>
    <w:p w14:paraId="355A3AAC" w14:textId="77777777" w:rsidR="007C77EF" w:rsidRPr="007C77EF" w:rsidRDefault="007C77EF" w:rsidP="007C77EF">
      <w:pPr>
        <w:numPr>
          <w:ilvl w:val="0"/>
          <w:numId w:val="16"/>
        </w:numPr>
        <w:spacing w:after="160" w:line="259" w:lineRule="auto"/>
        <w:contextualSpacing/>
        <w:jc w:val="left"/>
        <w:rPr>
          <w:rFonts w:ascii="Aptos" w:eastAsia="Aptos" w:hAnsi="Aptos" w:cs="Times New Roman"/>
          <w:color w:val="auto"/>
          <w:szCs w:val="22"/>
        </w:rPr>
      </w:pPr>
      <w:r w:rsidRPr="007C77EF">
        <w:rPr>
          <w:rFonts w:ascii="Aptos" w:eastAsia="Aptos" w:hAnsi="Aptos" w:cs="Times New Roman"/>
          <w:color w:val="auto"/>
          <w:szCs w:val="22"/>
        </w:rPr>
        <w:t>For funds holding securities that don't replicate the index, it would be inequitable to transfer these securities to redeeming investors without a fair assessment.</w:t>
      </w:r>
    </w:p>
    <w:p w14:paraId="6189B34C" w14:textId="77777777" w:rsidR="007C77EF" w:rsidRPr="007C77EF" w:rsidRDefault="007C77EF" w:rsidP="007C77EF">
      <w:pPr>
        <w:spacing w:after="160" w:line="259" w:lineRule="auto"/>
        <w:jc w:val="left"/>
        <w:rPr>
          <w:rFonts w:ascii="Aptos" w:eastAsia="Aptos" w:hAnsi="Aptos" w:cs="Times New Roman"/>
          <w:color w:val="auto"/>
          <w:szCs w:val="22"/>
        </w:rPr>
      </w:pPr>
      <w:r w:rsidRPr="007C77EF">
        <w:rPr>
          <w:rFonts w:ascii="Aptos" w:eastAsia="Aptos" w:hAnsi="Aptos" w:cs="Times New Roman"/>
          <w:color w:val="auto"/>
          <w:szCs w:val="22"/>
        </w:rPr>
        <w:t>To ensure fairness, the fund's depositary or auditors (as determined by national law) should evaluate the asset allocation's equity for both remaining and redeeming investors.</w:t>
      </w:r>
    </w:p>
    <w:p w14:paraId="69283573" w14:textId="102D1B2D" w:rsidR="00DA4F15" w:rsidRDefault="00DA4F15" w:rsidP="00DA4F15"/>
    <w:permEnd w:id="272712298"/>
    <w:p w14:paraId="46976035" w14:textId="77777777" w:rsidR="00DA4F15" w:rsidRDefault="00DA4F15" w:rsidP="00DA4F15">
      <w:r>
        <w:t>&lt;ESMA_QUESTION_SLMT_36&gt;</w:t>
      </w:r>
    </w:p>
    <w:p w14:paraId="3852AC84" w14:textId="77777777" w:rsidR="00DA4F15" w:rsidRDefault="00DA4F15" w:rsidP="00DA4F15"/>
    <w:p w14:paraId="56B126EF" w14:textId="77777777" w:rsidR="00DA4F15" w:rsidRDefault="00DA4F15" w:rsidP="00DA4F15">
      <w:pPr>
        <w:pStyle w:val="Questionstyle"/>
        <w:numPr>
          <w:ilvl w:val="0"/>
          <w:numId w:val="14"/>
        </w:numPr>
        <w:tabs>
          <w:tab w:val="clear" w:pos="567"/>
        </w:tabs>
        <w:spacing w:after="240" w:line="256" w:lineRule="auto"/>
        <w:ind w:left="851" w:hanging="851"/>
      </w:pPr>
      <w:r>
        <w:t>Can you think of any characteristics of redemptions in kind?</w:t>
      </w:r>
    </w:p>
    <w:p w14:paraId="652F76A3" w14:textId="77777777" w:rsidR="00DA4F15" w:rsidRDefault="00DA4F15" w:rsidP="00DA4F15">
      <w:r>
        <w:t>&lt;ESMA_QUESTION_SLMT_37&gt;</w:t>
      </w:r>
    </w:p>
    <w:p w14:paraId="68E746EB" w14:textId="03014570" w:rsidR="00DA4F15" w:rsidRDefault="007C77EF" w:rsidP="00DA4F15">
      <w:permStart w:id="1098730208" w:edGrp="everyone"/>
      <w:r>
        <w:t>No</w:t>
      </w:r>
    </w:p>
    <w:permEnd w:id="1098730208"/>
    <w:p w14:paraId="0B98A14E" w14:textId="77777777" w:rsidR="00DA4F15" w:rsidRDefault="00DA4F15" w:rsidP="00DA4F15">
      <w:r>
        <w:t>&lt;ESMA_QUESTION_SLMT_37&gt;</w:t>
      </w:r>
    </w:p>
    <w:p w14:paraId="7970F171" w14:textId="77777777" w:rsidR="00DA4F15" w:rsidRDefault="00DA4F15" w:rsidP="00DA4F15"/>
    <w:p w14:paraId="7CEB8085" w14:textId="77777777" w:rsidR="00DA4F15" w:rsidRDefault="00DA4F15" w:rsidP="00DA4F15">
      <w:pPr>
        <w:pStyle w:val="Questionstyle"/>
        <w:numPr>
          <w:ilvl w:val="0"/>
          <w:numId w:val="14"/>
        </w:numPr>
        <w:tabs>
          <w:tab w:val="clear" w:pos="567"/>
        </w:tabs>
        <w:spacing w:after="240" w:line="256" w:lineRule="auto"/>
        <w:ind w:left="851" w:hanging="851"/>
      </w:pPr>
      <w:r>
        <w:t>Do you think there is merit for the characteristics of redemption in kinds to differ between different investment strategies between AIFs and UCITS? If yes, how?</w:t>
      </w:r>
    </w:p>
    <w:p w14:paraId="71AE73E9" w14:textId="77777777" w:rsidR="00DA4F15" w:rsidRDefault="00DA4F15" w:rsidP="00DA4F15">
      <w:r>
        <w:t>&lt;ESMA_QUESTION_SLMT_38&gt;</w:t>
      </w:r>
    </w:p>
    <w:p w14:paraId="6249A083" w14:textId="77777777" w:rsidR="00DE2162" w:rsidRPr="00DE2162" w:rsidRDefault="00DE2162" w:rsidP="00DE2162">
      <w:pPr>
        <w:spacing w:after="333" w:line="249" w:lineRule="auto"/>
        <w:ind w:right="443" w:hanging="10"/>
        <w:jc w:val="left"/>
        <w:rPr>
          <w:rFonts w:ascii="Aptos" w:eastAsia="Aptos" w:hAnsi="Aptos" w:cs="Times New Roman"/>
          <w:bCs/>
          <w:color w:val="auto"/>
          <w:szCs w:val="22"/>
          <w:lang w:val="en-US"/>
        </w:rPr>
      </w:pPr>
      <w:permStart w:id="927141195" w:edGrp="everyone"/>
      <w:r w:rsidRPr="00DE2162">
        <w:rPr>
          <w:rFonts w:ascii="Aptos" w:eastAsia="Aptos" w:hAnsi="Aptos" w:cs="Times New Roman"/>
          <w:bCs/>
          <w:color w:val="181818"/>
          <w:szCs w:val="22"/>
          <w:lang w:val="en-US"/>
        </w:rPr>
        <w:t xml:space="preserve">There is merit in having distinctions depending on the investment strategies and between AIFs and UCITS. AIFs require specialized processes as they deal with more complex and illiquid assets such as private equity and real estate and are typically marketed to professional investors who have a higher risk tolerance and better understanding of complex assets. On the other hand, UCITS invest in more liquid and transferable securities and are subject to stricter regulations designed to protect retail investors. Whilst some </w:t>
      </w:r>
      <w:r w:rsidRPr="00DE2162">
        <w:rPr>
          <w:rFonts w:ascii="Aptos" w:eastAsia="Aptos" w:hAnsi="Aptos" w:cs="Times New Roman"/>
          <w:bCs/>
          <w:color w:val="181818"/>
          <w:szCs w:val="22"/>
          <w:lang w:val="en-US"/>
        </w:rPr>
        <w:lastRenderedPageBreak/>
        <w:t>funds may offer redemptions in kind (RIK) for institutional share classes in retail funds, RIK is not an appropriate tool for retail investors themselves. Refining the characteristics to reflect the distinctions would ensure that the specific needs and regulatory requirements of both AIFs and UCITS are appropriately addressed, which would benefit both the fund and the investors.</w:t>
      </w:r>
    </w:p>
    <w:p w14:paraId="4CA1ACC0" w14:textId="33ABD651" w:rsidR="00DA4F15" w:rsidRDefault="00DA4F15" w:rsidP="00DA4F15"/>
    <w:permEnd w:id="927141195"/>
    <w:p w14:paraId="716D2C5F" w14:textId="77777777" w:rsidR="00DA4F15" w:rsidRDefault="00DA4F15" w:rsidP="00DA4F15">
      <w:r>
        <w:t>&lt;ESMA_QUESTION_SLMT_38&gt;</w:t>
      </w:r>
    </w:p>
    <w:p w14:paraId="044C2490" w14:textId="77777777" w:rsidR="00DA4F15" w:rsidRDefault="00DA4F15" w:rsidP="00DA4F15"/>
    <w:p w14:paraId="78235916" w14:textId="77777777" w:rsidR="00DA4F15" w:rsidRDefault="00DA4F15" w:rsidP="00DA4F15">
      <w:pPr>
        <w:pStyle w:val="Questionstyle"/>
        <w:numPr>
          <w:ilvl w:val="0"/>
          <w:numId w:val="14"/>
        </w:numPr>
        <w:tabs>
          <w:tab w:val="clear" w:pos="567"/>
        </w:tabs>
        <w:spacing w:after="240" w:line="256" w:lineRule="auto"/>
        <w:ind w:left="851" w:hanging="851"/>
      </w:pPr>
      <w:r>
        <w:t xml:space="preserve">Do you agree with the description of side pockets and the corresponding characteristics? If not, please justify your position. </w:t>
      </w:r>
    </w:p>
    <w:p w14:paraId="7F1DAAB5" w14:textId="77777777" w:rsidR="00DA4F15" w:rsidRDefault="00DA4F15" w:rsidP="00DA4F15">
      <w:r>
        <w:t>&lt;ESMA_QUESTION_SLMT_39&gt;</w:t>
      </w:r>
    </w:p>
    <w:p w14:paraId="302ADC90" w14:textId="7DE2EF8C" w:rsidR="00DA4F15" w:rsidRDefault="00DE2162" w:rsidP="00DA4F15">
      <w:permStart w:id="510677301" w:edGrp="everyone"/>
      <w:r>
        <w:t>Yes</w:t>
      </w:r>
    </w:p>
    <w:permEnd w:id="510677301"/>
    <w:p w14:paraId="775C4F0F" w14:textId="77777777" w:rsidR="00DA4F15" w:rsidRDefault="00DA4F15" w:rsidP="00DA4F15">
      <w:r>
        <w:t>&lt;ESMA_QUESTION_SLMT_39&gt;</w:t>
      </w:r>
    </w:p>
    <w:p w14:paraId="2B51EEFB" w14:textId="77777777" w:rsidR="00DA4F15" w:rsidRDefault="00DA4F15" w:rsidP="00DA4F15"/>
    <w:p w14:paraId="0149E8D5" w14:textId="77777777" w:rsidR="00DA4F15" w:rsidRDefault="00DA4F15" w:rsidP="00DA4F15">
      <w:pPr>
        <w:pStyle w:val="Questionstyle"/>
        <w:numPr>
          <w:ilvl w:val="0"/>
          <w:numId w:val="14"/>
        </w:numPr>
        <w:tabs>
          <w:tab w:val="clear" w:pos="567"/>
        </w:tabs>
        <w:spacing w:after="240" w:line="256" w:lineRule="auto"/>
        <w:ind w:left="851" w:hanging="851"/>
      </w:pPr>
      <w:r>
        <w:t xml:space="preserve">Do you agree that in the case of UCITS, side pockets created by physical separation should only be done with the creation of a new UCITS where the assets for which there are no problems are placed? If not, please explain your position.  </w:t>
      </w:r>
    </w:p>
    <w:p w14:paraId="0B75D819" w14:textId="77777777" w:rsidR="00DA4F15" w:rsidRDefault="00DA4F15" w:rsidP="00DA4F15">
      <w:r>
        <w:t>&lt;ESMA_QUESTION_SLMT_40&gt;</w:t>
      </w:r>
    </w:p>
    <w:p w14:paraId="135112C0" w14:textId="77777777" w:rsidR="00E8436F" w:rsidRPr="00E8436F" w:rsidRDefault="00E8436F" w:rsidP="00E8436F">
      <w:pPr>
        <w:spacing w:after="160" w:line="259" w:lineRule="auto"/>
        <w:jc w:val="left"/>
        <w:rPr>
          <w:rFonts w:ascii="Aptos" w:eastAsia="Aptos" w:hAnsi="Aptos" w:cs="Times New Roman"/>
          <w:color w:val="auto"/>
          <w:szCs w:val="22"/>
          <w:lang w:val="en-US"/>
        </w:rPr>
      </w:pPr>
      <w:permStart w:id="2037011811" w:edGrp="everyone"/>
      <w:r w:rsidRPr="00E8436F">
        <w:rPr>
          <w:rFonts w:ascii="Aptos" w:eastAsia="Aptos" w:hAnsi="Aptos" w:cs="Times New Roman"/>
          <w:color w:val="auto"/>
          <w:szCs w:val="22"/>
          <w:lang w:val="en-US"/>
        </w:rPr>
        <w:t xml:space="preserve">Yes – The alternative of moving the problematic assets to a new UCITS would not be possible given the assets in question would have become illiquid. </w:t>
      </w:r>
    </w:p>
    <w:p w14:paraId="42EFEAB5" w14:textId="738642D3" w:rsidR="00DA4F15" w:rsidRDefault="00DA4F15" w:rsidP="00DA4F15"/>
    <w:permEnd w:id="2037011811"/>
    <w:p w14:paraId="090C0CDE" w14:textId="77777777" w:rsidR="00DA4F15" w:rsidRDefault="00DA4F15" w:rsidP="00DA4F15">
      <w:r>
        <w:t>&lt;ESMA_QUESTION_SLMT_40&gt;</w:t>
      </w:r>
    </w:p>
    <w:p w14:paraId="2E565A0B" w14:textId="77777777" w:rsidR="00DA4F15" w:rsidRDefault="00DA4F15" w:rsidP="00DA4F15"/>
    <w:p w14:paraId="41C93715" w14:textId="77777777" w:rsidR="00DA4F15" w:rsidRDefault="00DA4F15" w:rsidP="00DA4F15">
      <w:pPr>
        <w:pStyle w:val="Questionstyle"/>
        <w:numPr>
          <w:ilvl w:val="0"/>
          <w:numId w:val="14"/>
        </w:numPr>
        <w:tabs>
          <w:tab w:val="clear" w:pos="567"/>
        </w:tabs>
        <w:spacing w:after="240" w:line="256" w:lineRule="auto"/>
        <w:ind w:left="851" w:hanging="851"/>
      </w:pPr>
      <w:r>
        <w:t>Can you think of any other characteristics of side pockets that ESMA should consider? In particular, do you think that the characteristics of side pockets shall differ between UCITS and AIFs (in addition to the creation of side pockets via physical separation of the assets)? If, yes please elaborate.</w:t>
      </w:r>
    </w:p>
    <w:p w14:paraId="5F52E75C" w14:textId="77777777" w:rsidR="00DA4F15" w:rsidRDefault="00DA4F15" w:rsidP="00DA4F15">
      <w:r>
        <w:lastRenderedPageBreak/>
        <w:t>&lt;ESMA_QUESTION_SLMT_41&gt;</w:t>
      </w:r>
    </w:p>
    <w:p w14:paraId="0A82A03F" w14:textId="0223AA57" w:rsidR="00DA4F15" w:rsidRDefault="00E8436F" w:rsidP="00DA4F15">
      <w:permStart w:id="585316222" w:edGrp="everyone"/>
      <w:r>
        <w:t>No.</w:t>
      </w:r>
    </w:p>
    <w:permEnd w:id="585316222"/>
    <w:p w14:paraId="504A52F9" w14:textId="77777777" w:rsidR="00DA4F15" w:rsidRDefault="00DA4F15" w:rsidP="00DA4F15">
      <w:r>
        <w:t>&lt;ESMA_QUESTION_SLMT_41&gt;</w:t>
      </w:r>
    </w:p>
    <w:p w14:paraId="4E5DFC3D" w14:textId="77777777" w:rsidR="00DA4F15" w:rsidRDefault="00DA4F15" w:rsidP="00DA4F15"/>
    <w:p w14:paraId="06A28B94" w14:textId="77777777" w:rsidR="00DA4F15" w:rsidRDefault="00DA4F15" w:rsidP="00DA4F15">
      <w:pPr>
        <w:pStyle w:val="Questionstyle"/>
        <w:numPr>
          <w:ilvl w:val="0"/>
          <w:numId w:val="14"/>
        </w:numPr>
        <w:tabs>
          <w:tab w:val="clear" w:pos="567"/>
        </w:tabs>
        <w:spacing w:after="240" w:line="256" w:lineRule="auto"/>
        <w:ind w:left="851" w:hanging="851"/>
      </w:pPr>
      <w:r>
        <w:t>Do you see merit in specifying further the characteristics that side pocket created by means of accounting segregation should have? If yes, can you please explain how you have created side pocket via accounting segregation? Have you encountered any legal constraints or are you aware of any legal constraints in your jurisdiction that may limit the use of side pockets via asset segregation?</w:t>
      </w:r>
    </w:p>
    <w:p w14:paraId="24D150F5" w14:textId="77777777" w:rsidR="00DA4F15" w:rsidRDefault="00DA4F15" w:rsidP="00DA4F15">
      <w:r>
        <w:t>&lt;ESMA_QUESTION_SLMT_42&gt;</w:t>
      </w:r>
    </w:p>
    <w:p w14:paraId="0D1B9695" w14:textId="77AA8180" w:rsidR="00DA4F15" w:rsidRDefault="00E8436F" w:rsidP="00DA4F15">
      <w:permStart w:id="221516517" w:edGrp="everyone"/>
      <w:r>
        <w:t>No</w:t>
      </w:r>
    </w:p>
    <w:permEnd w:id="221516517"/>
    <w:p w14:paraId="766C81DB" w14:textId="77777777" w:rsidR="00DA4F15" w:rsidRDefault="00DA4F15" w:rsidP="00DA4F15">
      <w:r>
        <w:t>&lt;ESMA_QUESTION_SLMT_42&gt;</w:t>
      </w:r>
    </w:p>
    <w:p w14:paraId="3BBEA373" w14:textId="77777777" w:rsidR="00DA4F15" w:rsidRDefault="00DA4F15" w:rsidP="00DA4F15"/>
    <w:p w14:paraId="1B91340B" w14:textId="77777777" w:rsidR="00DA4F15" w:rsidRDefault="00DA4F15" w:rsidP="00DA4F15">
      <w:pPr>
        <w:pStyle w:val="Questionstyle"/>
        <w:numPr>
          <w:ilvl w:val="0"/>
          <w:numId w:val="14"/>
        </w:numPr>
        <w:tabs>
          <w:tab w:val="clear" w:pos="567"/>
        </w:tabs>
        <w:spacing w:after="240" w:line="256" w:lineRule="auto"/>
        <w:ind w:left="851" w:hanging="851"/>
      </w:pPr>
      <w:r>
        <w:t xml:space="preserve">Do you agree that the assets in the side pocket should always be managed with the view to liquidate them? Or could there be circumstances, where a reintegration with the normal assets could be contemplated? Please explain.  </w:t>
      </w:r>
    </w:p>
    <w:p w14:paraId="2C86457E" w14:textId="77777777" w:rsidR="00DA4F15" w:rsidRDefault="00DA4F15" w:rsidP="00DA4F15">
      <w:r>
        <w:t>&lt;ESMA_QUESTION_SLMT_43&gt;</w:t>
      </w:r>
    </w:p>
    <w:p w14:paraId="5D238DBD" w14:textId="77777777" w:rsidR="00472319" w:rsidRPr="00472319" w:rsidRDefault="00472319" w:rsidP="00472319">
      <w:pPr>
        <w:spacing w:after="5" w:line="249" w:lineRule="auto"/>
        <w:ind w:right="443" w:hanging="10"/>
        <w:jc w:val="left"/>
        <w:rPr>
          <w:rFonts w:ascii="Aptos" w:eastAsia="Aptos" w:hAnsi="Aptos" w:cs="Times New Roman"/>
          <w:bCs/>
          <w:color w:val="181818"/>
          <w:szCs w:val="22"/>
          <w:lang w:val="en-US"/>
        </w:rPr>
      </w:pPr>
      <w:permStart w:id="69550584" w:edGrp="everyone"/>
      <w:r w:rsidRPr="00472319">
        <w:rPr>
          <w:rFonts w:ascii="Aptos" w:eastAsia="Aptos" w:hAnsi="Aptos" w:cs="Times New Roman"/>
          <w:bCs/>
          <w:color w:val="181818"/>
          <w:szCs w:val="22"/>
          <w:lang w:val="en-US"/>
        </w:rPr>
        <w:t xml:space="preserve">Side pockets tend to be managed with a view to liquidating them down the line. However, there are some circumstances where this is not the case. </w:t>
      </w:r>
    </w:p>
    <w:p w14:paraId="38016D38" w14:textId="77777777" w:rsidR="00472319" w:rsidRPr="00472319" w:rsidRDefault="00472319" w:rsidP="00472319">
      <w:pPr>
        <w:spacing w:after="5" w:line="249" w:lineRule="auto"/>
        <w:ind w:right="443" w:hanging="10"/>
        <w:jc w:val="left"/>
        <w:rPr>
          <w:rFonts w:ascii="Aptos" w:eastAsia="Aptos" w:hAnsi="Aptos" w:cs="Times New Roman"/>
          <w:bCs/>
          <w:color w:val="181818"/>
          <w:szCs w:val="22"/>
          <w:lang w:val="en-US"/>
        </w:rPr>
      </w:pPr>
    </w:p>
    <w:p w14:paraId="29C7C3DA" w14:textId="77777777" w:rsidR="00472319" w:rsidRPr="00472319" w:rsidRDefault="00472319" w:rsidP="00472319">
      <w:pPr>
        <w:spacing w:after="5" w:line="249" w:lineRule="auto"/>
        <w:ind w:right="443" w:hanging="10"/>
        <w:jc w:val="left"/>
        <w:rPr>
          <w:rFonts w:ascii="Aptos" w:eastAsia="Aptos" w:hAnsi="Aptos" w:cs="Times New Roman"/>
          <w:bCs/>
          <w:color w:val="181818"/>
          <w:szCs w:val="22"/>
          <w:lang w:val="en-US"/>
        </w:rPr>
      </w:pPr>
      <w:r w:rsidRPr="00472319">
        <w:rPr>
          <w:rFonts w:ascii="Aptos" w:eastAsia="Aptos" w:hAnsi="Aptos" w:cs="Times New Roman"/>
          <w:bCs/>
          <w:color w:val="181818"/>
          <w:szCs w:val="22"/>
          <w:lang w:val="en-US"/>
        </w:rPr>
        <w:t xml:space="preserve">For example, there are cases, such as geopolitical events, which may trigger an unexpected and temporary closure of stock exchanges. This would result in some assets not being listed until the reopening of the stock exchange. This would lead to the temporary placing of these assets into a side pocket until they can be reintegrated into the fund among the unimpacted assets. </w:t>
      </w:r>
    </w:p>
    <w:p w14:paraId="6FB1591C" w14:textId="77777777" w:rsidR="00472319" w:rsidRPr="00472319" w:rsidRDefault="00472319" w:rsidP="00472319">
      <w:pPr>
        <w:spacing w:after="5" w:line="249" w:lineRule="auto"/>
        <w:ind w:right="443" w:hanging="10"/>
        <w:jc w:val="left"/>
        <w:rPr>
          <w:rFonts w:ascii="Aptos" w:eastAsia="Aptos" w:hAnsi="Aptos" w:cs="Times New Roman"/>
          <w:bCs/>
          <w:color w:val="181818"/>
          <w:szCs w:val="22"/>
          <w:lang w:val="en-US"/>
        </w:rPr>
      </w:pPr>
    </w:p>
    <w:p w14:paraId="01B47BFD" w14:textId="77777777" w:rsidR="00472319" w:rsidRPr="00472319" w:rsidRDefault="00472319" w:rsidP="00472319">
      <w:pPr>
        <w:spacing w:after="5" w:line="249" w:lineRule="auto"/>
        <w:ind w:right="443" w:hanging="10"/>
        <w:jc w:val="left"/>
        <w:rPr>
          <w:rFonts w:ascii="Aptos" w:eastAsia="Aptos" w:hAnsi="Aptos" w:cs="Times New Roman"/>
          <w:b/>
          <w:color w:val="181818"/>
          <w:szCs w:val="22"/>
          <w:lang w:val="en-US"/>
        </w:rPr>
      </w:pPr>
      <w:r w:rsidRPr="00472319">
        <w:rPr>
          <w:rFonts w:ascii="Aptos" w:eastAsia="Aptos" w:hAnsi="Aptos" w:cs="Times New Roman"/>
          <w:bCs/>
          <w:color w:val="181818"/>
          <w:szCs w:val="22"/>
          <w:lang w:val="en-US"/>
        </w:rPr>
        <w:t>The most critical point is that it must remain at the discretion of the fund manager when the liquidation actually takes place. That decision will be based on an assessment of what is best for the original investors.</w:t>
      </w:r>
    </w:p>
    <w:p w14:paraId="3624AECB" w14:textId="26E93F06" w:rsidR="00DA4F15" w:rsidRDefault="00DA4F15" w:rsidP="00DA4F15"/>
    <w:permEnd w:id="69550584"/>
    <w:p w14:paraId="3852682E" w14:textId="77777777" w:rsidR="00DA4F15" w:rsidRDefault="00DA4F15" w:rsidP="00DA4F15">
      <w:r>
        <w:t>&lt;ESMA_QUESTION_SLMT_43&gt;</w:t>
      </w:r>
    </w:p>
    <w:p w14:paraId="4C737CA9" w14:textId="77777777" w:rsidR="00DA4F15" w:rsidRDefault="00DA4F15" w:rsidP="00DA4F15"/>
    <w:p w14:paraId="058231F8" w14:textId="77777777" w:rsidR="00DA4F15" w:rsidRDefault="00DA4F15" w:rsidP="00DA4F15">
      <w:pPr>
        <w:pStyle w:val="Questionstyle"/>
        <w:numPr>
          <w:ilvl w:val="0"/>
          <w:numId w:val="14"/>
        </w:numPr>
        <w:tabs>
          <w:tab w:val="clear" w:pos="567"/>
        </w:tabs>
        <w:spacing w:after="240" w:line="256" w:lineRule="auto"/>
        <w:ind w:left="851" w:hanging="851"/>
      </w:pPr>
      <w:r>
        <w:t>Do you agree with the above-mentioned reasoning in relation to the possible costs and benefits of the option taken by ESMA as regards the characteristics of LMTs set out in Annex IIA of the UCITS Directive? Which other types of costs or benefits would you consider in that context?</w:t>
      </w:r>
    </w:p>
    <w:p w14:paraId="6EC3B103" w14:textId="77777777" w:rsidR="00DA4F15" w:rsidRDefault="00DA4F15" w:rsidP="00DA4F15">
      <w:r>
        <w:t>&lt;ESMA_QUESTION_SLMT_44&gt;</w:t>
      </w:r>
    </w:p>
    <w:p w14:paraId="646AA996" w14:textId="5B2D8C3D" w:rsidR="00DA4F15" w:rsidRDefault="00472319" w:rsidP="00DA4F15">
      <w:permStart w:id="1794260798" w:edGrp="everyone"/>
      <w:r>
        <w:t>No comment.</w:t>
      </w:r>
    </w:p>
    <w:permEnd w:id="1794260798"/>
    <w:p w14:paraId="6AF8D61A" w14:textId="77777777" w:rsidR="00DA4F15" w:rsidRDefault="00DA4F15" w:rsidP="00DA4F15">
      <w:r>
        <w:t>&lt;ESMA_QUESTION_SLMT_44&gt;</w:t>
      </w:r>
    </w:p>
    <w:p w14:paraId="673A91E3" w14:textId="77777777" w:rsidR="00DA4F15" w:rsidRDefault="00DA4F15" w:rsidP="00DA4F15"/>
    <w:p w14:paraId="4CFBA7C7" w14:textId="77777777" w:rsidR="00DA4F15" w:rsidRDefault="00DA4F15" w:rsidP="00DA4F15">
      <w:pPr>
        <w:pStyle w:val="Questionstyle"/>
        <w:numPr>
          <w:ilvl w:val="0"/>
          <w:numId w:val="14"/>
        </w:numPr>
        <w:tabs>
          <w:tab w:val="clear" w:pos="567"/>
        </w:tabs>
        <w:spacing w:after="240" w:line="256" w:lineRule="auto"/>
        <w:ind w:left="851" w:hanging="851"/>
      </w:pPr>
      <w:r>
        <w:t>Is there any ESG and innovation-related aspects that ESMA should consider when drafting the RTS under the UCITS Directive?</w:t>
      </w:r>
    </w:p>
    <w:p w14:paraId="6D604FDD" w14:textId="77777777" w:rsidR="00DA4F15" w:rsidRDefault="00DA4F15" w:rsidP="00DA4F15">
      <w:r>
        <w:t>&lt;ESMA_QUESTION_SLMT_45&gt;</w:t>
      </w:r>
    </w:p>
    <w:p w14:paraId="22E4B192" w14:textId="2B9EA9C3" w:rsidR="00DA4F15" w:rsidRDefault="00472319" w:rsidP="00DA4F15">
      <w:permStart w:id="1279335310" w:edGrp="everyone"/>
      <w:r>
        <w:t>No.</w:t>
      </w:r>
    </w:p>
    <w:permEnd w:id="1279335310"/>
    <w:p w14:paraId="3A7CF140" w14:textId="77777777" w:rsidR="00DA4F15" w:rsidRDefault="00DA4F15" w:rsidP="00DA4F15">
      <w:r>
        <w:t>&lt;ESMA_QUESTION_SLMT_45&gt;</w:t>
      </w:r>
    </w:p>
    <w:p w14:paraId="663FFB77" w14:textId="77777777" w:rsidR="00DA4F15" w:rsidRDefault="00DA4F15" w:rsidP="00DA4F15"/>
    <w:p w14:paraId="3F9EEE8E" w14:textId="77777777" w:rsidR="00DA4F15" w:rsidRDefault="00DA4F15" w:rsidP="00DA4F15">
      <w:pPr>
        <w:pStyle w:val="Questionstyle"/>
        <w:numPr>
          <w:ilvl w:val="0"/>
          <w:numId w:val="14"/>
        </w:numPr>
        <w:tabs>
          <w:tab w:val="clear" w:pos="567"/>
        </w:tabs>
        <w:spacing w:after="240" w:line="256" w:lineRule="auto"/>
        <w:ind w:left="851" w:hanging="851"/>
      </w:pPr>
      <w:r>
        <w:t>Do you agree with the above-mentioned reasoning in relation to the possible costs and benefits of the option taken by ESMA as regards the characteristics of LMTs set out in Annex V of the AIFMD? Which other types of costs or benefits would you consider in that context?</w:t>
      </w:r>
    </w:p>
    <w:p w14:paraId="4F328DC2" w14:textId="77777777" w:rsidR="00DA4F15" w:rsidRDefault="00DA4F15" w:rsidP="00DA4F15">
      <w:r>
        <w:t>&lt;ESMA_QUESTION_SLMT_46&gt;</w:t>
      </w:r>
    </w:p>
    <w:p w14:paraId="617532F3" w14:textId="47794493" w:rsidR="00DA4F15" w:rsidRDefault="00472319" w:rsidP="00DA4F15">
      <w:permStart w:id="1733898629" w:edGrp="everyone"/>
      <w:r>
        <w:t>No comment</w:t>
      </w:r>
    </w:p>
    <w:permEnd w:id="1733898629"/>
    <w:p w14:paraId="68308E8F" w14:textId="77777777" w:rsidR="00DA4F15" w:rsidRDefault="00DA4F15" w:rsidP="00DA4F15">
      <w:r>
        <w:t>&lt;ESMA_QUESTION_SLMT_46&gt;</w:t>
      </w:r>
    </w:p>
    <w:p w14:paraId="29D9EE93" w14:textId="77777777" w:rsidR="00DA4F15" w:rsidRDefault="00DA4F15" w:rsidP="00DA4F15"/>
    <w:p w14:paraId="28A24316" w14:textId="77777777" w:rsidR="00DA4F15" w:rsidRDefault="00DA4F15" w:rsidP="00DA4F15">
      <w:pPr>
        <w:pStyle w:val="Questionstyle"/>
        <w:numPr>
          <w:ilvl w:val="0"/>
          <w:numId w:val="14"/>
        </w:numPr>
        <w:tabs>
          <w:tab w:val="clear" w:pos="567"/>
        </w:tabs>
        <w:spacing w:after="240" w:line="256" w:lineRule="auto"/>
        <w:ind w:left="851" w:hanging="851"/>
      </w:pPr>
      <w:r>
        <w:t>Is there any ESG and innovation-related aspects that ESMA should consider when drafting the RTS under the AIFMD?</w:t>
      </w:r>
    </w:p>
    <w:p w14:paraId="73F479FB" w14:textId="77777777" w:rsidR="00DA4F15" w:rsidRDefault="00DA4F15" w:rsidP="00DA4F15">
      <w:r>
        <w:t>&lt;ESMA_QUESTION_SLMT_47&gt;</w:t>
      </w:r>
    </w:p>
    <w:p w14:paraId="04F88DF8" w14:textId="597B8EF2" w:rsidR="00DA4F15" w:rsidRDefault="00472319" w:rsidP="00DA4F15">
      <w:permStart w:id="1224744272" w:edGrp="everyone"/>
      <w:r>
        <w:lastRenderedPageBreak/>
        <w:t>No</w:t>
      </w:r>
      <w:r w:rsidR="00715A3B">
        <w:t>.</w:t>
      </w:r>
    </w:p>
    <w:permEnd w:id="1224744272"/>
    <w:p w14:paraId="4E6B1944" w14:textId="77777777" w:rsidR="00DA4F15" w:rsidRDefault="00DA4F15" w:rsidP="00DA4F15">
      <w:r>
        <w:t>&lt;ESMA_QUESTION_SLMT_47&gt;</w:t>
      </w:r>
    </w:p>
    <w:p w14:paraId="7DB52C0D" w14:textId="77777777" w:rsidR="00DA4F15" w:rsidRDefault="00DA4F15" w:rsidP="00DA4F15"/>
    <w:p w14:paraId="7882202E" w14:textId="77777777" w:rsidR="003E0240" w:rsidRDefault="003E0240" w:rsidP="003E0240"/>
    <w:p w14:paraId="33197E78" w14:textId="77777777" w:rsidR="003E0240" w:rsidRDefault="003E0240" w:rsidP="003E0240"/>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94807" w14:textId="77777777" w:rsidR="00973A0F" w:rsidRDefault="00973A0F" w:rsidP="007E7997">
      <w:pPr>
        <w:spacing w:line="240" w:lineRule="auto"/>
      </w:pPr>
      <w:r>
        <w:separator/>
      </w:r>
    </w:p>
  </w:endnote>
  <w:endnote w:type="continuationSeparator" w:id="0">
    <w:p w14:paraId="0C0ACC36" w14:textId="77777777" w:rsidR="00973A0F" w:rsidRDefault="00973A0F" w:rsidP="007E7997">
      <w:pPr>
        <w:spacing w:line="240" w:lineRule="auto"/>
      </w:pPr>
      <w:r>
        <w:continuationSeparator/>
      </w:r>
    </w:p>
  </w:endnote>
  <w:endnote w:type="continuationNotice" w:id="1">
    <w:p w14:paraId="2A156709" w14:textId="77777777" w:rsidR="00973A0F" w:rsidRDefault="00973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6EDA1" w14:textId="77777777" w:rsidR="00973A0F" w:rsidRDefault="00973A0F" w:rsidP="007E7997">
      <w:pPr>
        <w:spacing w:line="240" w:lineRule="auto"/>
      </w:pPr>
      <w:r>
        <w:separator/>
      </w:r>
    </w:p>
  </w:footnote>
  <w:footnote w:type="continuationSeparator" w:id="0">
    <w:p w14:paraId="7E99A837" w14:textId="77777777" w:rsidR="00973A0F" w:rsidRDefault="00973A0F" w:rsidP="007E7997">
      <w:pPr>
        <w:spacing w:line="240" w:lineRule="auto"/>
      </w:pPr>
      <w:r>
        <w:continuationSeparator/>
      </w:r>
    </w:p>
  </w:footnote>
  <w:footnote w:type="continuationNotice" w:id="1">
    <w:p w14:paraId="4AC012D2" w14:textId="77777777" w:rsidR="00973A0F" w:rsidRDefault="00973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2B7BAB5B"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34748">
      <w:t>8</w:t>
    </w:r>
    <w:r w:rsidR="00667FF6">
      <w:t xml:space="preserve"> </w:t>
    </w:r>
    <w:r w:rsidR="00C1298A">
      <w:t>July</w:t>
    </w:r>
    <w:r w:rsidR="00667FF6">
      <w:t xml:space="preserve"> </w:t>
    </w:r>
    <w:r w:rsidR="00282901">
      <w:t>202</w:t>
    </w:r>
    <w:r w:rsidR="00667FF6">
      <w:t>4</w:t>
    </w:r>
  </w:p>
  <w:p w14:paraId="471D4524" w14:textId="57CE881B" w:rsidR="004E5FF8" w:rsidRDefault="00B03969" w:rsidP="00BD20AC">
    <w:pPr>
      <w:pStyle w:val="Header"/>
    </w:pPr>
    <w:r w:rsidRPr="00B03969">
      <w:t>ESMA</w:t>
    </w:r>
    <w:r w:rsidR="00667FF6">
      <w:t xml:space="preserve"> </w:t>
    </w:r>
    <w:r w:rsidR="00667FF6" w:rsidRPr="00667FF6">
      <w:t>34</w:t>
    </w:r>
    <w:r w:rsidR="002230D9" w:rsidRPr="002230D9">
      <w:t>-1985693317-</w:t>
    </w:r>
    <w:r w:rsidR="00535024">
      <w:t>1133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A5509D8"/>
    <w:multiLevelType w:val="hybridMultilevel"/>
    <w:tmpl w:val="9FBEE162"/>
    <w:lvl w:ilvl="0" w:tplc="31B075FC">
      <w:start w:val="1"/>
      <w:numFmt w:val="decimal"/>
      <w:lvlText w:val="%1."/>
      <w:lvlJc w:val="left"/>
      <w:pPr>
        <w:ind w:left="1776" w:hanging="360"/>
      </w:pPr>
      <w:rPr>
        <w:rFonts w:ascii="Arial" w:eastAsia="Arial" w:hAnsi="Arial" w:cs="Arial" w:hint="default"/>
        <w:b w:val="0"/>
        <w:bCs w:val="0"/>
        <w:i w:val="0"/>
        <w:iCs w:val="0"/>
        <w:spacing w:val="-1"/>
        <w:w w:val="100"/>
        <w:sz w:val="22"/>
        <w:szCs w:val="22"/>
        <w:lang w:val="en-US" w:eastAsia="en-US" w:bidi="ar-SA"/>
      </w:rPr>
    </w:lvl>
    <w:lvl w:ilvl="1" w:tplc="E5B02082">
      <w:numFmt w:val="bullet"/>
      <w:lvlText w:val="•"/>
      <w:lvlJc w:val="left"/>
      <w:pPr>
        <w:ind w:left="2792" w:hanging="360"/>
      </w:pPr>
      <w:rPr>
        <w:rFonts w:hint="default"/>
        <w:lang w:val="en-US" w:eastAsia="en-US" w:bidi="ar-SA"/>
      </w:rPr>
    </w:lvl>
    <w:lvl w:ilvl="2" w:tplc="938E467E">
      <w:numFmt w:val="bullet"/>
      <w:lvlText w:val="•"/>
      <w:lvlJc w:val="left"/>
      <w:pPr>
        <w:ind w:left="3805" w:hanging="360"/>
      </w:pPr>
      <w:rPr>
        <w:rFonts w:hint="default"/>
        <w:lang w:val="en-US" w:eastAsia="en-US" w:bidi="ar-SA"/>
      </w:rPr>
    </w:lvl>
    <w:lvl w:ilvl="3" w:tplc="CAF0119E">
      <w:numFmt w:val="bullet"/>
      <w:lvlText w:val="•"/>
      <w:lvlJc w:val="left"/>
      <w:pPr>
        <w:ind w:left="4817" w:hanging="360"/>
      </w:pPr>
      <w:rPr>
        <w:rFonts w:hint="default"/>
        <w:lang w:val="en-US" w:eastAsia="en-US" w:bidi="ar-SA"/>
      </w:rPr>
    </w:lvl>
    <w:lvl w:ilvl="4" w:tplc="2DD6EF66">
      <w:numFmt w:val="bullet"/>
      <w:lvlText w:val="•"/>
      <w:lvlJc w:val="left"/>
      <w:pPr>
        <w:ind w:left="5830" w:hanging="360"/>
      </w:pPr>
      <w:rPr>
        <w:rFonts w:hint="default"/>
        <w:lang w:val="en-US" w:eastAsia="en-US" w:bidi="ar-SA"/>
      </w:rPr>
    </w:lvl>
    <w:lvl w:ilvl="5" w:tplc="9D96FF40">
      <w:numFmt w:val="bullet"/>
      <w:lvlText w:val="•"/>
      <w:lvlJc w:val="left"/>
      <w:pPr>
        <w:ind w:left="6843" w:hanging="360"/>
      </w:pPr>
      <w:rPr>
        <w:rFonts w:hint="default"/>
        <w:lang w:val="en-US" w:eastAsia="en-US" w:bidi="ar-SA"/>
      </w:rPr>
    </w:lvl>
    <w:lvl w:ilvl="6" w:tplc="E820B884">
      <w:numFmt w:val="bullet"/>
      <w:lvlText w:val="•"/>
      <w:lvlJc w:val="left"/>
      <w:pPr>
        <w:ind w:left="7855" w:hanging="360"/>
      </w:pPr>
      <w:rPr>
        <w:rFonts w:hint="default"/>
        <w:lang w:val="en-US" w:eastAsia="en-US" w:bidi="ar-SA"/>
      </w:rPr>
    </w:lvl>
    <w:lvl w:ilvl="7" w:tplc="23B0757A">
      <w:numFmt w:val="bullet"/>
      <w:lvlText w:val="•"/>
      <w:lvlJc w:val="left"/>
      <w:pPr>
        <w:ind w:left="8868" w:hanging="360"/>
      </w:pPr>
      <w:rPr>
        <w:rFonts w:hint="default"/>
        <w:lang w:val="en-US" w:eastAsia="en-US" w:bidi="ar-SA"/>
      </w:rPr>
    </w:lvl>
    <w:lvl w:ilvl="8" w:tplc="4B3008DC">
      <w:numFmt w:val="bullet"/>
      <w:lvlText w:val="•"/>
      <w:lvlJc w:val="left"/>
      <w:pPr>
        <w:ind w:left="9881" w:hanging="360"/>
      </w:pPr>
      <w:rPr>
        <w:rFonts w:hint="default"/>
        <w:lang w:val="en-US" w:eastAsia="en-US" w:bidi="ar-SA"/>
      </w:r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1076E3"/>
    <w:multiLevelType w:val="hybridMultilevel"/>
    <w:tmpl w:val="25E6454E"/>
    <w:lvl w:ilvl="0" w:tplc="08090001">
      <w:start w:val="1"/>
      <w:numFmt w:val="bullet"/>
      <w:lvlText w:val=""/>
      <w:lvlJc w:val="left"/>
      <w:pPr>
        <w:ind w:left="350" w:hanging="360"/>
      </w:pPr>
      <w:rPr>
        <w:rFonts w:ascii="Symbol" w:hAnsi="Symbol" w:hint="default"/>
      </w:rPr>
    </w:lvl>
    <w:lvl w:ilvl="1" w:tplc="FFFFFFFF" w:tentative="1">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790" w:hanging="360"/>
      </w:pPr>
      <w:rPr>
        <w:rFonts w:ascii="Wingdings" w:hAnsi="Wingdings" w:hint="default"/>
      </w:rPr>
    </w:lvl>
    <w:lvl w:ilvl="3" w:tplc="FFFFFFFF" w:tentative="1">
      <w:start w:val="1"/>
      <w:numFmt w:val="bullet"/>
      <w:lvlText w:val=""/>
      <w:lvlJc w:val="left"/>
      <w:pPr>
        <w:ind w:left="2510" w:hanging="360"/>
      </w:pPr>
      <w:rPr>
        <w:rFonts w:ascii="Symbol" w:hAnsi="Symbol" w:hint="default"/>
      </w:rPr>
    </w:lvl>
    <w:lvl w:ilvl="4" w:tplc="FFFFFFFF" w:tentative="1">
      <w:start w:val="1"/>
      <w:numFmt w:val="bullet"/>
      <w:lvlText w:val="o"/>
      <w:lvlJc w:val="left"/>
      <w:pPr>
        <w:ind w:left="3230" w:hanging="360"/>
      </w:pPr>
      <w:rPr>
        <w:rFonts w:ascii="Courier New" w:hAnsi="Courier New" w:cs="Courier New" w:hint="default"/>
      </w:rPr>
    </w:lvl>
    <w:lvl w:ilvl="5" w:tplc="FFFFFFFF" w:tentative="1">
      <w:start w:val="1"/>
      <w:numFmt w:val="bullet"/>
      <w:lvlText w:val=""/>
      <w:lvlJc w:val="left"/>
      <w:pPr>
        <w:ind w:left="3950" w:hanging="360"/>
      </w:pPr>
      <w:rPr>
        <w:rFonts w:ascii="Wingdings" w:hAnsi="Wingdings" w:hint="default"/>
      </w:rPr>
    </w:lvl>
    <w:lvl w:ilvl="6" w:tplc="FFFFFFFF" w:tentative="1">
      <w:start w:val="1"/>
      <w:numFmt w:val="bullet"/>
      <w:lvlText w:val=""/>
      <w:lvlJc w:val="left"/>
      <w:pPr>
        <w:ind w:left="4670" w:hanging="360"/>
      </w:pPr>
      <w:rPr>
        <w:rFonts w:ascii="Symbol" w:hAnsi="Symbol" w:hint="default"/>
      </w:rPr>
    </w:lvl>
    <w:lvl w:ilvl="7" w:tplc="FFFFFFFF" w:tentative="1">
      <w:start w:val="1"/>
      <w:numFmt w:val="bullet"/>
      <w:lvlText w:val="o"/>
      <w:lvlJc w:val="left"/>
      <w:pPr>
        <w:ind w:left="5390" w:hanging="360"/>
      </w:pPr>
      <w:rPr>
        <w:rFonts w:ascii="Courier New" w:hAnsi="Courier New" w:cs="Courier New" w:hint="default"/>
      </w:rPr>
    </w:lvl>
    <w:lvl w:ilvl="8" w:tplc="FFFFFFFF" w:tentative="1">
      <w:start w:val="1"/>
      <w:numFmt w:val="bullet"/>
      <w:lvlText w:val=""/>
      <w:lvlJc w:val="left"/>
      <w:pPr>
        <w:ind w:left="6110" w:hanging="360"/>
      </w:pPr>
      <w:rPr>
        <w:rFonts w:ascii="Wingdings" w:hAnsi="Wingdings" w:hint="default"/>
      </w:r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3"/>
  </w:num>
  <w:num w:numId="2" w16cid:durableId="1144354351">
    <w:abstractNumId w:val="4"/>
  </w:num>
  <w:num w:numId="3" w16cid:durableId="1006909420">
    <w:abstractNumId w:val="10"/>
  </w:num>
  <w:num w:numId="4" w16cid:durableId="569996677">
    <w:abstractNumId w:val="3"/>
  </w:num>
  <w:num w:numId="5" w16cid:durableId="807014924">
    <w:abstractNumId w:val="0"/>
  </w:num>
  <w:num w:numId="6" w16cid:durableId="310985182">
    <w:abstractNumId w:val="5"/>
  </w:num>
  <w:num w:numId="7" w16cid:durableId="492061559">
    <w:abstractNumId w:val="14"/>
  </w:num>
  <w:num w:numId="8" w16cid:durableId="2063743978">
    <w:abstractNumId w:val="2"/>
  </w:num>
  <w:num w:numId="9" w16cid:durableId="1378703109">
    <w:abstractNumId w:val="11"/>
  </w:num>
  <w:num w:numId="10" w16cid:durableId="632100844">
    <w:abstractNumId w:val="9"/>
  </w:num>
  <w:num w:numId="11" w16cid:durableId="1573200029">
    <w:abstractNumId w:val="8"/>
  </w:num>
  <w:num w:numId="12" w16cid:durableId="1587836858">
    <w:abstractNumId w:val="8"/>
    <w:lvlOverride w:ilvl="0">
      <w:startOverride w:val="1"/>
    </w:lvlOverride>
  </w:num>
  <w:num w:numId="13" w16cid:durableId="1548224532">
    <w:abstractNumId w:val="1"/>
  </w:num>
  <w:num w:numId="14" w16cid:durableId="501431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010867">
    <w:abstractNumId w:val="12"/>
  </w:num>
  <w:num w:numId="17" w16cid:durableId="669407489">
    <w:abstractNumId w:val="7"/>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5B5A"/>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66"/>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17"/>
    <w:rsid w:val="001B0EFC"/>
    <w:rsid w:val="001B0FDF"/>
    <w:rsid w:val="001B0FE0"/>
    <w:rsid w:val="001B172E"/>
    <w:rsid w:val="001B187F"/>
    <w:rsid w:val="001B1DD9"/>
    <w:rsid w:val="001B1DEB"/>
    <w:rsid w:val="001B2151"/>
    <w:rsid w:val="001B22E3"/>
    <w:rsid w:val="001B2388"/>
    <w:rsid w:val="001B25A1"/>
    <w:rsid w:val="001B2C70"/>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0D9"/>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26D"/>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B6A"/>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A07"/>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43E"/>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B7C"/>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240"/>
    <w:rsid w:val="003E038A"/>
    <w:rsid w:val="003E0405"/>
    <w:rsid w:val="003E0CF9"/>
    <w:rsid w:val="003E1371"/>
    <w:rsid w:val="003E196A"/>
    <w:rsid w:val="003E2368"/>
    <w:rsid w:val="003E24CC"/>
    <w:rsid w:val="003E2717"/>
    <w:rsid w:val="003E2E2E"/>
    <w:rsid w:val="003E30E8"/>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90C"/>
    <w:rsid w:val="00417AFB"/>
    <w:rsid w:val="0042013D"/>
    <w:rsid w:val="00422198"/>
    <w:rsid w:val="00422251"/>
    <w:rsid w:val="004222BC"/>
    <w:rsid w:val="004224B0"/>
    <w:rsid w:val="004231D5"/>
    <w:rsid w:val="00423217"/>
    <w:rsid w:val="00423BA0"/>
    <w:rsid w:val="00423C98"/>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27E95"/>
    <w:rsid w:val="00430270"/>
    <w:rsid w:val="004302ED"/>
    <w:rsid w:val="00430308"/>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508"/>
    <w:rsid w:val="004707A5"/>
    <w:rsid w:val="00470E87"/>
    <w:rsid w:val="00471DEF"/>
    <w:rsid w:val="00472065"/>
    <w:rsid w:val="00472319"/>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4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24"/>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270"/>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02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77"/>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64C"/>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A3B"/>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0EE8"/>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3"/>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34E"/>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7EF"/>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1F1"/>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87A35"/>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941"/>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3E0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47AF9"/>
    <w:rsid w:val="00950011"/>
    <w:rsid w:val="00950336"/>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A0F"/>
    <w:rsid w:val="00973CFF"/>
    <w:rsid w:val="00974B81"/>
    <w:rsid w:val="00974C56"/>
    <w:rsid w:val="009757FB"/>
    <w:rsid w:val="00975981"/>
    <w:rsid w:val="00975AB2"/>
    <w:rsid w:val="00976526"/>
    <w:rsid w:val="009768B2"/>
    <w:rsid w:val="00976C8F"/>
    <w:rsid w:val="00976E83"/>
    <w:rsid w:val="00976F71"/>
    <w:rsid w:val="009770A3"/>
    <w:rsid w:val="009778F0"/>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87A"/>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0F20"/>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748"/>
    <w:rsid w:val="00B3485E"/>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0978"/>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91A"/>
    <w:rsid w:val="00BA5E68"/>
    <w:rsid w:val="00BA62BD"/>
    <w:rsid w:val="00BA6689"/>
    <w:rsid w:val="00BA66F2"/>
    <w:rsid w:val="00BA688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9E2"/>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98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0F54"/>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47"/>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967"/>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5EA1"/>
    <w:rsid w:val="00D162F7"/>
    <w:rsid w:val="00D1679C"/>
    <w:rsid w:val="00D16D25"/>
    <w:rsid w:val="00D17302"/>
    <w:rsid w:val="00D177EC"/>
    <w:rsid w:val="00D17C15"/>
    <w:rsid w:val="00D203BF"/>
    <w:rsid w:val="00D206B3"/>
    <w:rsid w:val="00D209E8"/>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75"/>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4FD"/>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546"/>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4F15"/>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817"/>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162"/>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38F"/>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2FCE"/>
    <w:rsid w:val="00E630D8"/>
    <w:rsid w:val="00E6315A"/>
    <w:rsid w:val="00E63917"/>
    <w:rsid w:val="00E63A18"/>
    <w:rsid w:val="00E63A25"/>
    <w:rsid w:val="00E64BCC"/>
    <w:rsid w:val="00E6508D"/>
    <w:rsid w:val="00E65975"/>
    <w:rsid w:val="00E65F35"/>
    <w:rsid w:val="00E65F61"/>
    <w:rsid w:val="00E6714E"/>
    <w:rsid w:val="00E6723F"/>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36F"/>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48"/>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AB7"/>
    <w:rsid w:val="00F12EC9"/>
    <w:rsid w:val="00F13439"/>
    <w:rsid w:val="00F134B3"/>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553"/>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0C3"/>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90047956">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034310398">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89584636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onsultation-liquidity-management-tools-fun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26490"/>
    <w:rsid w:val="000D3BDB"/>
    <w:rsid w:val="00171343"/>
    <w:rsid w:val="002826FB"/>
    <w:rsid w:val="002F71C9"/>
    <w:rsid w:val="003C3A27"/>
    <w:rsid w:val="003D1B7C"/>
    <w:rsid w:val="003E2607"/>
    <w:rsid w:val="004E4CF9"/>
    <w:rsid w:val="00586BE6"/>
    <w:rsid w:val="00747575"/>
    <w:rsid w:val="00775480"/>
    <w:rsid w:val="00782F18"/>
    <w:rsid w:val="00813189"/>
    <w:rsid w:val="008222A0"/>
    <w:rsid w:val="00836D47"/>
    <w:rsid w:val="0087748B"/>
    <w:rsid w:val="00967557"/>
    <w:rsid w:val="00993561"/>
    <w:rsid w:val="00996016"/>
    <w:rsid w:val="009B6B9C"/>
    <w:rsid w:val="009C794D"/>
    <w:rsid w:val="00A408D7"/>
    <w:rsid w:val="00AC6273"/>
    <w:rsid w:val="00B22006"/>
    <w:rsid w:val="00C336E8"/>
    <w:rsid w:val="00F01F95"/>
    <w:rsid w:val="00F40780"/>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54</Value>
      <Value>17</Value>
      <Value>345</Value>
      <Value>5</Value>
    </TaxCatchAll>
    <_dlc_DocId xmlns="d0fb0f98-34f9-4d57-9559-eb8efd17aa5e">ESMA34-1985693317-1133</_dlc_DocId>
    <_dlc_DocIdUrl xmlns="d0fb0f98-34f9-4d57-9559-eb8efd17aa5e">
      <Url>https://securitiesandmarketsauth.sharepoint.com/sites/sherpa-ivm/_layouts/15/DocIdRedir.aspx?ID=ESMA34-1985693317-1133</Url>
      <Description>ESMA34-1985693317-1133</Description>
    </_dlc_DocIdUrl>
    <_dlc_DocIdPersistId xmlns="d0fb0f98-34f9-4d57-9559-eb8efd17aa5e" xsi:nil="true"/>
    <MeetingDate xmlns="d0fb0f98-34f9-4d57-9559-eb8efd17aa5e" xsi:nil="true"/>
    <Year xmlns="d0fb0f98-34f9-4d57-9559-eb8efd17aa5e">2024</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AIFMD</TermName>
          <TermId xmlns="http://schemas.microsoft.com/office/infopath/2007/PartnerControls">f2960fc6-3634-417f-bcec-215a90e7dd4c</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2.xml><?xml version="1.0" encoding="utf-8"?>
<ct:contentTypeSchema xmlns:ct="http://schemas.microsoft.com/office/2006/metadata/contentType" xmlns:ma="http://schemas.microsoft.com/office/2006/metadata/properties/metaAttributes" ct:_="" ma:_="" ma:contentTypeName="AIFMD Document" ma:contentTypeID="0x0101000ED1C6BF2ECFE74585EFFEA9E6E27962010200D604D0565E1F5E40B72CF7EBFB3392B9" ma:contentTypeVersion="24" ma:contentTypeDescription="" ma:contentTypeScope="" ma:versionID="d5faf8b77313d8faa317d7814702fe41">
  <xsd:schema xmlns:xsd="http://www.w3.org/2001/XMLSchema" xmlns:xs="http://www.w3.org/2001/XMLSchema" xmlns:p="http://schemas.microsoft.com/office/2006/metadata/properties" xmlns:ns2="d0fb0f98-34f9-4d57-9559-eb8efd17aa5e" xmlns:ns3="970f8513-9fd4-4a88-82ef-ace8edf7e0eb" targetNamespace="http://schemas.microsoft.com/office/2006/metadata/properties" ma:root="true" ma:fieldsID="f07c2a439227c8957a0c6d24aea304fa" ns2:_="" ns3:_="">
    <xsd:import namespace="d0fb0f98-34f9-4d57-9559-eb8efd17aa5e"/>
    <xsd:import namespace="970f8513-9fd4-4a88-82ef-ace8edf7e0eb"/>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AIFMD|f2960fc6-3634-417f-bcec-215a90e7dd4c"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8d630a01-2268-4676-af71-a8ae1c70c9db"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f8513-9fd4-4a88-82ef-ace8edf7e0e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E5BD2500-408E-451F-A71A-94C2BA768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70f8513-9fd4-4a88-82ef-ace8edf7e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5291</Words>
  <Characters>30163</Characters>
  <Application>Microsoft Office Word</Application>
  <DocSecurity>0</DocSecurity>
  <Lines>251</Lines>
  <Paragraphs>70</Paragraphs>
  <ScaleCrop>false</ScaleCrop>
  <Company/>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Irene Rey</cp:lastModifiedBy>
  <cp:revision>41</cp:revision>
  <cp:lastPrinted>2023-09-09T09:53:00Z</cp:lastPrinted>
  <dcterms:created xsi:type="dcterms:W3CDTF">2024-10-08T09:15:00Z</dcterms:created>
  <dcterms:modified xsi:type="dcterms:W3CDTF">2024-10-08T09:33:00Z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0x0101000ED1C6BF2ECFE74585EFFEA9E6E27962010200D604D0565E1F5E40B72CF7EBFB3392B9</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b5e79c59-29ba-45df-a9b9-20819a1df62f</vt:lpwstr>
  </property>
  <property fmtid="{D5CDD505-2E9C-101B-9397-08002B2CF9AE}" pid="8" name="EsmaAudience">
    <vt:lpwstr>345;#Post-Trading Standing Committee|b4466ad1-2610-4bb4-b77e-13cd08e75663</vt:lpwstr>
  </property>
  <property fmtid="{D5CDD505-2E9C-101B-9397-08002B2CF9AE}" pid="9" name="ConfidentialityLevel">
    <vt:lpwstr>6;#Regular|07f1e362-856b-423d-bea6-a14079762141</vt:lpwstr>
  </property>
  <property fmtid="{D5CDD505-2E9C-101B-9397-08002B2CF9AE}" pid="10" name="DocumentType">
    <vt:lpwstr>54;#Call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vt:lpwstr>
  </property>
  <property fmtid="{D5CDD505-2E9C-101B-9397-08002B2CF9AE}" pid="14" name="SubTopic">
    <vt:lpwstr>323;#CSDR General - T + 1|a5a376d4-84eb-4354-ab81-b0766b380093</vt:lpwstr>
  </property>
  <property fmtid="{D5CDD505-2E9C-101B-9397-08002B2CF9AE}" pid="15" name="TeamTopic">
    <vt:lpwstr>17;#AIFMD|f2960fc6-3634-417f-bcec-215a90e7dd4c</vt:lpwstr>
  </property>
</Properties>
</file>