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1201EE">
            <w:trPr>
              <w:trHeight w:hRule="exact" w:val="1985"/>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250CAEA4" w:rsidR="006A5E48" w:rsidRPr="00FA64BE" w:rsidRDefault="001201EE" w:rsidP="00684412">
                <w:pPr>
                  <w:pStyle w:val="Title"/>
                  <w:spacing w:line="276" w:lineRule="auto"/>
                  <w:ind w:right="854"/>
                  <w:rPr>
                    <w:rFonts w:asciiTheme="minorHAnsi" w:hAnsiTheme="minorHAnsi" w:cstheme="minorHAnsi"/>
                    <w:sz w:val="24"/>
                    <w:szCs w:val="24"/>
                  </w:rPr>
                </w:pPr>
                <w:r>
                  <w:rPr>
                    <w:rFonts w:cs="Arial"/>
                    <w:bCs/>
                    <w:color w:val="auto"/>
                    <w:sz w:val="24"/>
                    <w:szCs w:val="24"/>
                  </w:rPr>
                  <w:t>to</w:t>
                </w:r>
                <w:r w:rsidR="00FA64BE" w:rsidRPr="00FA64BE">
                  <w:rPr>
                    <w:rFonts w:cs="Arial"/>
                    <w:color w:val="auto"/>
                    <w:sz w:val="24"/>
                    <w:szCs w:val="24"/>
                  </w:rPr>
                  <w:t xml:space="preserve"> </w:t>
                </w:r>
                <w:r w:rsidR="00FA64BE" w:rsidRPr="00FA64BE">
                  <w:rPr>
                    <w:rFonts w:cs="Arial"/>
                    <w:bCs/>
                    <w:color w:val="auto"/>
                    <w:sz w:val="24"/>
                    <w:szCs w:val="24"/>
                  </w:rPr>
                  <w:t>the</w:t>
                </w:r>
                <w:r w:rsidR="00684412">
                  <w:rPr>
                    <w:rFonts w:cs="Arial"/>
                    <w:bCs/>
                    <w:color w:val="auto"/>
                    <w:sz w:val="24"/>
                    <w:szCs w:val="24"/>
                  </w:rPr>
                  <w:t xml:space="preserve"> </w:t>
                </w:r>
                <w:r w:rsidR="00684412" w:rsidRPr="00684412">
                  <w:rPr>
                    <w:rFonts w:cs="Arial"/>
                    <w:bCs/>
                    <w:color w:val="auto"/>
                    <w:sz w:val="24"/>
                    <w:szCs w:val="24"/>
                  </w:rPr>
                  <w:t xml:space="preserve">Consultation Paper </w:t>
                </w:r>
                <w:r w:rsidR="00684412">
                  <w:rPr>
                    <w:rFonts w:cs="Arial"/>
                    <w:bCs/>
                    <w:color w:val="auto"/>
                    <w:sz w:val="24"/>
                    <w:szCs w:val="24"/>
                  </w:rPr>
                  <w:t>o</w:t>
                </w:r>
                <w:r w:rsidR="00684412" w:rsidRPr="00684412">
                  <w:rPr>
                    <w:rFonts w:cs="Arial"/>
                    <w:bCs/>
                    <w:color w:val="auto"/>
                    <w:sz w:val="24"/>
                    <w:szCs w:val="24"/>
                  </w:rPr>
                  <w:t xml:space="preserve">n the amendments to certain technical standards for commodity derivatives  </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68CA0"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1227A6B6"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w:t>
          </w:r>
          <w:r w:rsidRPr="00E925CA">
            <w:rPr>
              <w:rFonts w:asciiTheme="minorHAnsi" w:eastAsiaTheme="minorEastAsia" w:hAnsiTheme="minorHAnsi" w:cstheme="minorBidi"/>
              <w:sz w:val="18"/>
              <w:szCs w:val="16"/>
              <w:lang w:eastAsia="en-US"/>
            </w:rPr>
            <w:t xml:space="preserve">received by </w:t>
          </w:r>
          <w:r w:rsidR="00E925CA" w:rsidRPr="00E925CA">
            <w:rPr>
              <w:rFonts w:asciiTheme="minorHAnsi" w:eastAsiaTheme="minorEastAsia" w:hAnsiTheme="minorHAnsi" w:cstheme="minorBidi"/>
              <w:b/>
              <w:sz w:val="18"/>
              <w:szCs w:val="16"/>
              <w:lang w:eastAsia="en-US"/>
            </w:rPr>
            <w:t>23 August 2023</w:t>
          </w:r>
          <w:r w:rsidR="002C76AE" w:rsidRPr="00E925CA">
            <w:rPr>
              <w:rFonts w:asciiTheme="minorHAnsi" w:eastAsiaTheme="minorEastAsia" w:hAnsiTheme="minorHAnsi" w:cstheme="minorBidi"/>
              <w:b/>
              <w:sz w:val="18"/>
              <w:szCs w:val="16"/>
              <w:lang w:eastAsia="en-US"/>
            </w:rPr>
            <w:t>.</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331C603"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684412">
            <w:rPr>
              <w:rFonts w:eastAsiaTheme="minorEastAsia" w:cstheme="minorBidi"/>
              <w:sz w:val="18"/>
              <w:szCs w:val="16"/>
              <w:lang w:eastAsia="en-US"/>
            </w:rPr>
            <w:t>PMPR</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15D4B8A7"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684412">
            <w:rPr>
              <w:rFonts w:eastAsiaTheme="minorEastAsia" w:cstheme="minorBidi"/>
              <w:sz w:val="18"/>
              <w:szCs w:val="16"/>
              <w:lang w:eastAsia="en-US"/>
            </w:rPr>
            <w:t>PMPR</w:t>
          </w:r>
          <w:r w:rsidRPr="00A409C2">
            <w:rPr>
              <w:rFonts w:eastAsiaTheme="minorEastAsia" w:cstheme="minorBidi"/>
              <w:sz w:val="18"/>
              <w:szCs w:val="16"/>
              <w:lang w:eastAsia="en-US"/>
            </w:rPr>
            <w:t xml:space="preserve">_nameofrespondent_RESPONSEFORM. For example, for a respondent named </w:t>
          </w:r>
          <w:r w:rsidR="00684412">
            <w:rPr>
              <w:rFonts w:eastAsiaTheme="minorEastAsia" w:cstheme="minorBidi"/>
              <w:sz w:val="18"/>
              <w:szCs w:val="16"/>
              <w:lang w:eastAsia="en-US"/>
            </w:rPr>
            <w:t>‘</w:t>
          </w:r>
          <w:r w:rsidRPr="00A409C2">
            <w:rPr>
              <w:rFonts w:eastAsiaTheme="minorEastAsia" w:cstheme="minorBidi"/>
              <w:sz w:val="18"/>
              <w:szCs w:val="16"/>
              <w:lang w:eastAsia="en-US"/>
            </w:rPr>
            <w:t>ABCD</w:t>
          </w:r>
          <w:r w:rsidR="00684412">
            <w:rPr>
              <w:rFonts w:eastAsiaTheme="minorEastAsia" w:cstheme="minorBidi"/>
              <w:sz w:val="18"/>
              <w:szCs w:val="16"/>
              <w:lang w:eastAsia="en-US"/>
            </w:rPr>
            <w:t>’</w:t>
          </w:r>
          <w:r w:rsidRPr="00A409C2">
            <w:rPr>
              <w:rFonts w:eastAsiaTheme="minorEastAsia" w:cstheme="minorBidi"/>
              <w:sz w:val="18"/>
              <w:szCs w:val="16"/>
              <w:lang w:eastAsia="en-US"/>
            </w:rPr>
            <w:t>, the response form would be entitled ESMA_</w:t>
          </w:r>
          <w:r w:rsidR="00684412">
            <w:rPr>
              <w:rFonts w:eastAsiaTheme="minorEastAsia" w:cstheme="minorBidi"/>
              <w:sz w:val="18"/>
              <w:szCs w:val="16"/>
              <w:lang w:eastAsia="en-US"/>
            </w:rPr>
            <w:t>PMPR</w:t>
          </w:r>
          <w:r w:rsidRPr="00A409C2">
            <w:rPr>
              <w:rFonts w:eastAsiaTheme="minorEastAsia" w:cstheme="minorBidi"/>
              <w:sz w:val="18"/>
              <w:szCs w:val="16"/>
              <w:lang w:eastAsia="en-US"/>
            </w:rPr>
            <w:t>_ABCD_RESPONSEFORM.</w:t>
          </w:r>
        </w:p>
        <w:p w14:paraId="28EEA743" w14:textId="321C7B14" w:rsidR="00A02199" w:rsidRPr="00684412" w:rsidRDefault="00B16706" w:rsidP="00956774">
          <w:pPr>
            <w:pStyle w:val="ListParagraph"/>
            <w:numPr>
              <w:ilvl w:val="0"/>
              <w:numId w:val="29"/>
            </w:numPr>
            <w:spacing w:after="250" w:line="276" w:lineRule="auto"/>
            <w:rPr>
              <w:rFonts w:eastAsiaTheme="minorEastAsia" w:cstheme="minorBidi"/>
              <w:sz w:val="18"/>
              <w:szCs w:val="16"/>
              <w:lang w:eastAsia="en-US"/>
            </w:rPr>
          </w:pPr>
          <w:r w:rsidRPr="00684412">
            <w:rPr>
              <w:rFonts w:eastAsiaTheme="minorEastAsia" w:cstheme="minorBidi"/>
              <w:sz w:val="18"/>
              <w:szCs w:val="16"/>
              <w:lang w:eastAsia="en-US"/>
            </w:rPr>
            <w:t xml:space="preserve">Upload the form containing your responses, </w:t>
          </w:r>
          <w:r w:rsidRPr="00684412">
            <w:rPr>
              <w:rFonts w:eastAsiaTheme="minorEastAsia" w:cstheme="minorBidi"/>
              <w:b/>
              <w:bCs/>
              <w:sz w:val="18"/>
              <w:szCs w:val="16"/>
              <w:lang w:eastAsia="en-US"/>
            </w:rPr>
            <w:t>in Word format</w:t>
          </w:r>
          <w:r w:rsidRPr="00684412">
            <w:rPr>
              <w:rFonts w:eastAsiaTheme="minorEastAsia" w:cstheme="minorBidi"/>
              <w:sz w:val="18"/>
              <w:szCs w:val="16"/>
              <w:lang w:eastAsia="en-US"/>
            </w:rPr>
            <w:t xml:space="preserve">, to ESMA’s website (www.esma.europa.eu under the heading “Your input – Open Consultations” -&gt; </w:t>
          </w:r>
          <w:r w:rsidR="00684412">
            <w:rPr>
              <w:rFonts w:eastAsiaTheme="minorEastAsia" w:cstheme="minorBidi"/>
              <w:sz w:val="18"/>
              <w:szCs w:val="16"/>
              <w:lang w:eastAsia="en-US"/>
            </w:rPr>
            <w:t>“</w:t>
          </w:r>
          <w:r w:rsidR="00684412" w:rsidRPr="00684412">
            <w:rPr>
              <w:rFonts w:eastAsiaTheme="minorEastAsia" w:cstheme="minorBidi"/>
              <w:sz w:val="18"/>
              <w:szCs w:val="16"/>
              <w:lang w:eastAsia="en-US"/>
            </w:rPr>
            <w:t xml:space="preserve">Consultation Paper </w:t>
          </w:r>
          <w:r w:rsidR="00684412">
            <w:rPr>
              <w:rFonts w:eastAsiaTheme="minorEastAsia" w:cstheme="minorBidi"/>
              <w:sz w:val="18"/>
              <w:szCs w:val="16"/>
              <w:lang w:eastAsia="en-US"/>
            </w:rPr>
            <w:t>o</w:t>
          </w:r>
          <w:r w:rsidR="00684412" w:rsidRPr="00684412">
            <w:rPr>
              <w:rFonts w:eastAsiaTheme="minorEastAsia" w:cstheme="minorBidi"/>
              <w:sz w:val="18"/>
              <w:szCs w:val="16"/>
              <w:lang w:eastAsia="en-US"/>
            </w:rPr>
            <w:t>n the amendments to certain technical standards for commodity derivatives</w:t>
          </w:r>
          <w:r w:rsidR="00684412">
            <w:rPr>
              <w:rFonts w:eastAsiaTheme="minorEastAsia" w:cstheme="minorBidi"/>
              <w:sz w:val="18"/>
              <w:szCs w:val="16"/>
              <w:lang w:eastAsia="en-US"/>
            </w:rPr>
            <w:t>”</w:t>
          </w:r>
          <w:r w:rsidR="00A409C2" w:rsidRPr="0068441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3EBD0389" w14:textId="77777777" w:rsidR="00AF5B09" w:rsidRDefault="00AF5B09" w:rsidP="00AF2EF7">
          <w:pPr>
            <w:spacing w:after="250" w:line="276" w:lineRule="auto"/>
            <w:jc w:val="both"/>
            <w:rPr>
              <w:rFonts w:asciiTheme="minorHAnsi" w:eastAsiaTheme="minorEastAsia" w:hAnsiTheme="minorHAnsi" w:cstheme="minorBidi"/>
              <w:b/>
              <w:sz w:val="18"/>
              <w:szCs w:val="16"/>
              <w:lang w:eastAsia="en-US"/>
            </w:rPr>
          </w:pPr>
        </w:p>
        <w:p w14:paraId="144C43BA" w14:textId="3E899244"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lastRenderedPageBreak/>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3590402" w:rsidR="00C85C8B" w:rsidRDefault="008B29C3" w:rsidP="008279D3">
      <w:pPr>
        <w:pStyle w:val="Heading1"/>
        <w:numPr>
          <w:ilvl w:val="0"/>
          <w:numId w:val="0"/>
        </w:numPr>
        <w:spacing w:line="276" w:lineRule="auto"/>
        <w:rPr>
          <w:rFonts w:asciiTheme="minorHAnsi" w:hAnsiTheme="minorHAnsi" w:cstheme="minorHAnsi"/>
          <w:sz w:val="20"/>
          <w:szCs w:val="20"/>
        </w:rPr>
      </w:pPr>
      <w:r w:rsidRPr="008B29C3">
        <w:rPr>
          <w:rFonts w:ascii="Arial" w:eastAsia="Times New Roman" w:hAnsi="Arial" w:cs="Arial"/>
          <w:b w:val="0"/>
          <w:sz w:val="18"/>
          <w:szCs w:val="18"/>
          <w:lang w:eastAsia="it-IT"/>
        </w:rPr>
        <w:t xml:space="preserve">This consultation paper is primarily of interest to trading venues, investment firms and non-financial counterparties trading in commodity derivatives, but responses are also sought from any other market participant including trade associations, industry bodies and investors.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B76FB7">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6883BFE2" w:rsidR="00C85C8B" w:rsidRPr="00B16706" w:rsidRDefault="00172019" w:rsidP="00C85C8B">
                <w:pPr>
                  <w:rPr>
                    <w:rFonts w:ascii="Arial" w:hAnsi="Arial" w:cs="Arial"/>
                    <w:color w:val="808080"/>
                    <w:sz w:val="16"/>
                    <w:szCs w:val="20"/>
                    <w:lang w:eastAsia="de-DE"/>
                  </w:rPr>
                </w:pPr>
                <w:r>
                  <w:rPr>
                    <w:rFonts w:ascii="Arial" w:hAnsi="Arial" w:cs="Arial"/>
                    <w:color w:val="808080"/>
                    <w:sz w:val="16"/>
                    <w:szCs w:val="20"/>
                    <w:lang w:eastAsia="de-DE"/>
                  </w:rPr>
                  <w:t>European Venues and Intermediaries Association and LEBA</w:t>
                </w:r>
              </w:p>
            </w:tc>
          </w:sdtContent>
        </w:sdt>
      </w:tr>
      <w:tr w:rsidR="00C85C8B" w:rsidRPr="00B16706" w14:paraId="216F3E57" w14:textId="77777777" w:rsidTr="00B76FB7">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6EBE771C" w:rsidR="00C85C8B" w:rsidRPr="00B16706" w:rsidRDefault="00995414"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72019">
                  <w:rPr>
                    <w:rFonts w:ascii="Arial" w:hAnsi="Arial" w:cs="Arial"/>
                    <w:sz w:val="16"/>
                    <w:szCs w:val="20"/>
                    <w:lang w:eastAsia="de-DE"/>
                  </w:rPr>
                  <w:t>Regulated markets/Exchanges/Trading Systems</w:t>
                </w:r>
              </w:sdtContent>
            </w:sdt>
          </w:p>
        </w:tc>
      </w:tr>
      <w:tr w:rsidR="00C85C8B" w:rsidRPr="00B16706" w14:paraId="0D216581" w14:textId="77777777" w:rsidTr="00B76FB7">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5E4AF16A" w:rsidR="00C85C8B" w:rsidRPr="00B16706" w:rsidRDefault="00172019"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B76FB7">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2ADC3BA1" w:rsidR="00C85C8B" w:rsidRPr="00B16706" w:rsidRDefault="00172019" w:rsidP="00C85C8B">
                <w:pPr>
                  <w:rPr>
                    <w:rFonts w:ascii="Arial" w:hAnsi="Arial" w:cs="Arial"/>
                    <w:sz w:val="16"/>
                    <w:szCs w:val="20"/>
                    <w:lang w:eastAsia="de-DE"/>
                  </w:rPr>
                </w:pPr>
                <w:r>
                  <w:rPr>
                    <w:rFonts w:ascii="Arial" w:hAnsi="Arial" w:cs="Arial"/>
                    <w:sz w:val="16"/>
                    <w:szCs w:val="20"/>
                    <w:lang w:eastAsia="de-DE"/>
                  </w:rPr>
                  <w:t>Europe</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14C3989A" w14:textId="6AE21E3A" w:rsidR="001B1B48"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639B7C0A" w14:textId="77777777" w:rsidR="008B29C3" w:rsidRDefault="008B29C3">
      <w:pPr>
        <w:spacing w:after="120" w:line="264" w:lineRule="auto"/>
        <w:rPr>
          <w:rFonts w:ascii="Arial" w:hAnsi="Arial" w:cs="Arial"/>
          <w:b/>
          <w:sz w:val="22"/>
          <w:szCs w:val="22"/>
          <w:lang w:val="en-US" w:eastAsia="en-US"/>
        </w:rPr>
      </w:pPr>
    </w:p>
    <w:bookmarkEnd w:id="0"/>
    <w:p w14:paraId="28B47330" w14:textId="77777777" w:rsidR="008B29C3" w:rsidRDefault="008B29C3" w:rsidP="008B29C3">
      <w:pPr>
        <w:pStyle w:val="Questionstyle"/>
        <w:numPr>
          <w:ilvl w:val="0"/>
          <w:numId w:val="17"/>
        </w:numPr>
        <w:spacing w:after="240" w:line="256" w:lineRule="auto"/>
        <w:ind w:left="851" w:hanging="851"/>
      </w:pPr>
      <w:r>
        <w:t xml:space="preserve">Do you agree with ESMA’s proposal to extend the requirements to set, review and report accountability levels to trading venues trading derivatives on emission allowances? Do you have any other comments on ESMA’s proposed amendments? Please elaborate. </w:t>
      </w:r>
    </w:p>
    <w:p w14:paraId="2DB3CD7C" w14:textId="77777777" w:rsidR="008B29C3" w:rsidRDefault="008B29C3" w:rsidP="008B29C3">
      <w:r>
        <w:t>&lt;ESMA_QUESTION_PMPR_1&gt;</w:t>
      </w:r>
    </w:p>
    <w:p w14:paraId="4DE7D1F3" w14:textId="6585675B" w:rsidR="000A7CE4" w:rsidRDefault="006C7B3F" w:rsidP="008B29C3">
      <w:pPr>
        <w:rPr>
          <w:rFonts w:ascii="Roboto Light" w:hAnsi="Roboto Light"/>
        </w:rPr>
      </w:pPr>
      <w:permStart w:id="101661366" w:edGrp="everyone"/>
      <w:r w:rsidRPr="00001F99">
        <w:rPr>
          <w:rFonts w:ascii="Roboto Light" w:hAnsi="Roboto Light"/>
        </w:rPr>
        <w:t>No,</w:t>
      </w:r>
      <w:r w:rsidR="000A7CE4" w:rsidRPr="00001F99">
        <w:rPr>
          <w:rFonts w:ascii="Roboto Light" w:hAnsi="Roboto Light"/>
        </w:rPr>
        <w:t xml:space="preserve"> we disagree due to the </w:t>
      </w:r>
      <w:r w:rsidR="00001F99">
        <w:rPr>
          <w:rFonts w:ascii="Roboto Light" w:hAnsi="Roboto Light"/>
        </w:rPr>
        <w:t xml:space="preserve">language precluding any </w:t>
      </w:r>
      <w:r w:rsidR="000A7CE4" w:rsidRPr="00001F99">
        <w:rPr>
          <w:rFonts w:ascii="Roboto Light" w:hAnsi="Roboto Light"/>
        </w:rPr>
        <w:t>possibility of trading forwards on EUAs.</w:t>
      </w:r>
      <w:r w:rsidR="001929C9">
        <w:rPr>
          <w:rFonts w:ascii="Roboto Light" w:hAnsi="Roboto Light"/>
        </w:rPr>
        <w:t xml:space="preserve"> This would especially be the case for uncleared forwards traded on MTFs and OTFs</w:t>
      </w:r>
      <w:r w:rsidR="001D6EF3">
        <w:rPr>
          <w:rFonts w:ascii="Roboto Light" w:hAnsi="Roboto Light"/>
        </w:rPr>
        <w:t xml:space="preserve"> where the trades settle bilaterally and the </w:t>
      </w:r>
      <w:r w:rsidR="00B770C4">
        <w:rPr>
          <w:rFonts w:ascii="Roboto Light" w:hAnsi="Roboto Light"/>
        </w:rPr>
        <w:t>consequent</w:t>
      </w:r>
      <w:r w:rsidR="001D6EF3">
        <w:rPr>
          <w:rFonts w:ascii="Roboto Light" w:hAnsi="Roboto Light"/>
        </w:rPr>
        <w:t xml:space="preserve"> positions </w:t>
      </w:r>
      <w:r w:rsidR="008E5B76">
        <w:rPr>
          <w:rFonts w:ascii="Roboto Light" w:hAnsi="Roboto Light"/>
        </w:rPr>
        <w:t xml:space="preserve">under Credit Annexes (“CSA’s”) and Master Netting Agreements would be fungible </w:t>
      </w:r>
      <w:r w:rsidR="0038310A">
        <w:rPr>
          <w:rFonts w:ascii="Roboto Light" w:hAnsi="Roboto Light"/>
        </w:rPr>
        <w:t xml:space="preserve">such that no “Open Interest” is </w:t>
      </w:r>
      <w:r>
        <w:rPr>
          <w:rFonts w:ascii="Roboto Light" w:hAnsi="Roboto Light"/>
        </w:rPr>
        <w:t>formed,</w:t>
      </w:r>
      <w:r w:rsidR="0038310A">
        <w:rPr>
          <w:rFonts w:ascii="Roboto Light" w:hAnsi="Roboto Light"/>
        </w:rPr>
        <w:t xml:space="preserve"> and no single trading venue could claim rights or knowledge </w:t>
      </w:r>
      <w:r w:rsidR="00741962">
        <w:rPr>
          <w:rFonts w:ascii="Roboto Light" w:hAnsi="Roboto Light"/>
        </w:rPr>
        <w:t xml:space="preserve">of the positions across market participants and their </w:t>
      </w:r>
      <w:r w:rsidR="00B770C4">
        <w:rPr>
          <w:rFonts w:ascii="Roboto Light" w:hAnsi="Roboto Light"/>
        </w:rPr>
        <w:t>onwards</w:t>
      </w:r>
      <w:r w:rsidR="00741962">
        <w:rPr>
          <w:rFonts w:ascii="Roboto Light" w:hAnsi="Roboto Light"/>
        </w:rPr>
        <w:t xml:space="preserve"> clients.</w:t>
      </w:r>
    </w:p>
    <w:p w14:paraId="049135F8" w14:textId="77777777" w:rsidR="00001F99" w:rsidRPr="00001F99" w:rsidRDefault="00001F99" w:rsidP="008B29C3">
      <w:pPr>
        <w:rPr>
          <w:rFonts w:ascii="Roboto Light" w:hAnsi="Roboto Light"/>
        </w:rPr>
      </w:pPr>
    </w:p>
    <w:p w14:paraId="398B1641" w14:textId="6F60C451" w:rsidR="00EC445B" w:rsidRPr="00001F99" w:rsidRDefault="00EC445B" w:rsidP="008B29C3">
      <w:pPr>
        <w:rPr>
          <w:rFonts w:ascii="Roboto Light" w:hAnsi="Roboto Light"/>
        </w:rPr>
      </w:pPr>
      <w:r w:rsidRPr="00001F99">
        <w:rPr>
          <w:rFonts w:ascii="Roboto Light" w:hAnsi="Roboto Light"/>
        </w:rPr>
        <w:t xml:space="preserve">As with all of the MiFID II position limits, controls and reporting level two rules, ESMA remains insufficiently concise on the applicability of the rules across trading venue models, where rather the </w:t>
      </w:r>
      <w:r w:rsidRPr="00001F99">
        <w:rPr>
          <w:rFonts w:ascii="Roboto Light" w:hAnsi="Roboto Light"/>
        </w:rPr>
        <w:t>regulatory technical standards</w:t>
      </w:r>
      <w:r w:rsidRPr="00001F99">
        <w:rPr>
          <w:rFonts w:ascii="Roboto Light" w:hAnsi="Roboto Light"/>
        </w:rPr>
        <w:t xml:space="preserve"> should be co</w:t>
      </w:r>
      <w:r w:rsidR="002643F8" w:rsidRPr="00001F99">
        <w:rPr>
          <w:rFonts w:ascii="Roboto Light" w:hAnsi="Roboto Light"/>
        </w:rPr>
        <w:t>nstrained to CCP cleared contracts traded on designated Regul</w:t>
      </w:r>
      <w:r w:rsidR="002D1AAC" w:rsidRPr="00001F99">
        <w:rPr>
          <w:rFonts w:ascii="Roboto Light" w:hAnsi="Roboto Light"/>
        </w:rPr>
        <w:t>a</w:t>
      </w:r>
      <w:r w:rsidR="002643F8" w:rsidRPr="00001F99">
        <w:rPr>
          <w:rFonts w:ascii="Roboto Light" w:hAnsi="Roboto Light"/>
        </w:rPr>
        <w:t>ted Markets. That is, the so-called</w:t>
      </w:r>
      <w:r w:rsidR="002D1AAC" w:rsidRPr="00001F99">
        <w:rPr>
          <w:rFonts w:ascii="Roboto Light" w:hAnsi="Roboto Light"/>
        </w:rPr>
        <w:t>,</w:t>
      </w:r>
      <w:r w:rsidR="002643F8" w:rsidRPr="00001F99">
        <w:rPr>
          <w:rFonts w:ascii="Roboto Light" w:hAnsi="Roboto Light"/>
        </w:rPr>
        <w:t xml:space="preserve"> </w:t>
      </w:r>
      <w:r w:rsidR="002D1AAC" w:rsidRPr="00001F99">
        <w:rPr>
          <w:rFonts w:ascii="Roboto Light" w:hAnsi="Roboto Light"/>
        </w:rPr>
        <w:t>“</w:t>
      </w:r>
      <w:r w:rsidR="002643F8" w:rsidRPr="00001F99">
        <w:rPr>
          <w:rFonts w:ascii="Roboto Light" w:hAnsi="Roboto Light"/>
        </w:rPr>
        <w:t xml:space="preserve">vertical </w:t>
      </w:r>
      <w:r w:rsidR="00B770C4" w:rsidRPr="00001F99">
        <w:rPr>
          <w:rFonts w:ascii="Roboto Light" w:hAnsi="Roboto Light"/>
        </w:rPr>
        <w:t>silo</w:t>
      </w:r>
      <w:r w:rsidR="002643F8" w:rsidRPr="00001F99">
        <w:rPr>
          <w:rFonts w:ascii="Roboto Light" w:hAnsi="Roboto Light"/>
        </w:rPr>
        <w:t xml:space="preserve"> exchange model</w:t>
      </w:r>
      <w:r w:rsidR="002D1AAC" w:rsidRPr="00001F99">
        <w:rPr>
          <w:rFonts w:ascii="Roboto Light" w:hAnsi="Roboto Light"/>
        </w:rPr>
        <w:t>,”</w:t>
      </w:r>
      <w:r w:rsidR="002643F8" w:rsidRPr="00001F99">
        <w:rPr>
          <w:rFonts w:ascii="Roboto Light" w:hAnsi="Roboto Light"/>
        </w:rPr>
        <w:t xml:space="preserve"> which evidently accounts for almost all EUA trading.</w:t>
      </w:r>
    </w:p>
    <w:p w14:paraId="2EE88A06" w14:textId="658A99EA" w:rsidR="002643F8" w:rsidRPr="00001F99" w:rsidRDefault="002643F8" w:rsidP="008B29C3">
      <w:pPr>
        <w:rPr>
          <w:rFonts w:ascii="Roboto Light" w:hAnsi="Roboto Light"/>
        </w:rPr>
      </w:pPr>
      <w:r w:rsidRPr="00001F99">
        <w:rPr>
          <w:rFonts w:ascii="Roboto Light" w:hAnsi="Roboto Light"/>
        </w:rPr>
        <w:t xml:space="preserve">Whilst not at all common, but where any MTF or OTF trades derivatives on EUAs which would </w:t>
      </w:r>
      <w:r w:rsidR="002D1AAC" w:rsidRPr="00001F99">
        <w:rPr>
          <w:rFonts w:ascii="Roboto Light" w:hAnsi="Roboto Light"/>
        </w:rPr>
        <w:t xml:space="preserve">or could </w:t>
      </w:r>
      <w:r w:rsidRPr="00001F99">
        <w:rPr>
          <w:rFonts w:ascii="Roboto Light" w:hAnsi="Roboto Light"/>
        </w:rPr>
        <w:t xml:space="preserve">be in uncleared forwards, or where cleared at a third-party CCP; evidently it would not know the position of the client if the instrument </w:t>
      </w:r>
      <w:r w:rsidR="00B770C4" w:rsidRPr="00001F99">
        <w:rPr>
          <w:rFonts w:ascii="Roboto Light" w:hAnsi="Roboto Light"/>
        </w:rPr>
        <w:t>were</w:t>
      </w:r>
      <w:r w:rsidRPr="00001F99">
        <w:rPr>
          <w:rFonts w:ascii="Roboto Light" w:hAnsi="Roboto Light"/>
        </w:rPr>
        <w:t xml:space="preserve"> fungible and able to be traded elsewhere either bilaterally or at other trading venues.</w:t>
      </w:r>
    </w:p>
    <w:p w14:paraId="0CFE8E5E" w14:textId="77777777" w:rsidR="00001F99" w:rsidRDefault="00001F99" w:rsidP="008B29C3">
      <w:pPr>
        <w:rPr>
          <w:rFonts w:ascii="Roboto Light" w:hAnsi="Roboto Light"/>
        </w:rPr>
      </w:pPr>
    </w:p>
    <w:p w14:paraId="204D35A6" w14:textId="261BBD4B" w:rsidR="00EC445B" w:rsidRPr="00001F99" w:rsidRDefault="00B770C4" w:rsidP="008B29C3">
      <w:pPr>
        <w:rPr>
          <w:rFonts w:ascii="Roboto Light" w:hAnsi="Roboto Light"/>
        </w:rPr>
      </w:pPr>
      <w:r w:rsidRPr="00001F99">
        <w:rPr>
          <w:rFonts w:ascii="Roboto Light" w:hAnsi="Roboto Light"/>
        </w:rPr>
        <w:t>Therefore,</w:t>
      </w:r>
      <w:r w:rsidR="002643F8" w:rsidRPr="00001F99">
        <w:rPr>
          <w:rFonts w:ascii="Roboto Light" w:hAnsi="Roboto Light"/>
        </w:rPr>
        <w:t xml:space="preserve"> in the architecture of the RTS, it should be made clear that concepts such as, accountability levels and position controls under </w:t>
      </w:r>
      <w:r w:rsidR="00001F99">
        <w:rPr>
          <w:rFonts w:ascii="Roboto Light" w:hAnsi="Roboto Light"/>
        </w:rPr>
        <w:t xml:space="preserve">points (a - d) in </w:t>
      </w:r>
      <w:r w:rsidR="002643F8" w:rsidRPr="00001F99">
        <w:rPr>
          <w:rFonts w:ascii="Roboto Light" w:hAnsi="Roboto Light"/>
        </w:rPr>
        <w:t>Article 57(8) of MiFID II</w:t>
      </w:r>
      <w:r w:rsidR="002643F8" w:rsidRPr="00001F99">
        <w:rPr>
          <w:rFonts w:ascii="Roboto Light" w:hAnsi="Roboto Light"/>
        </w:rPr>
        <w:t xml:space="preserve"> could only apply </w:t>
      </w:r>
      <w:r w:rsidR="002D1AAC" w:rsidRPr="00001F99">
        <w:rPr>
          <w:rFonts w:ascii="Roboto Light" w:hAnsi="Roboto Light"/>
        </w:rPr>
        <w:t>to trading venues whose trades form cleared “Open Interest” at the level of a clearing member on an integrated</w:t>
      </w:r>
      <w:r w:rsidR="002D1AAC" w:rsidRPr="00001F99">
        <w:rPr>
          <w:rFonts w:ascii="Roboto Light" w:hAnsi="Roboto Light"/>
        </w:rPr>
        <w:t xml:space="preserve"> CCP</w:t>
      </w:r>
      <w:r w:rsidR="002D1AAC" w:rsidRPr="00001F99">
        <w:rPr>
          <w:rFonts w:ascii="Roboto Light" w:hAnsi="Roboto Light"/>
        </w:rPr>
        <w:t xml:space="preserve">. </w:t>
      </w:r>
      <w:r w:rsidR="009A518F">
        <w:rPr>
          <w:rFonts w:ascii="Roboto Light" w:hAnsi="Roboto Light"/>
        </w:rPr>
        <w:t xml:space="preserve">They could not be applied by a trading venue with participants rather than members, to bilateral forwards on spot EUAs for self-evident reasons. </w:t>
      </w:r>
      <w:r w:rsidR="002D1AAC" w:rsidRPr="00001F99">
        <w:rPr>
          <w:rFonts w:ascii="Roboto Light" w:hAnsi="Roboto Light"/>
        </w:rPr>
        <w:t xml:space="preserve">As </w:t>
      </w:r>
      <w:r w:rsidRPr="00001F99">
        <w:rPr>
          <w:rFonts w:ascii="Roboto Light" w:hAnsi="Roboto Light"/>
        </w:rPr>
        <w:t>drafted,</w:t>
      </w:r>
      <w:r w:rsidR="002D1AAC" w:rsidRPr="00001F99">
        <w:rPr>
          <w:rFonts w:ascii="Roboto Light" w:hAnsi="Roboto Light"/>
        </w:rPr>
        <w:t xml:space="preserve"> we cannot identify this limitation</w:t>
      </w:r>
      <w:r w:rsidR="00001F99">
        <w:rPr>
          <w:rFonts w:ascii="Roboto Light" w:hAnsi="Roboto Light"/>
        </w:rPr>
        <w:t xml:space="preserve"> only to those positions held as </w:t>
      </w:r>
      <w:r w:rsidR="00001F99" w:rsidRPr="00001F99">
        <w:rPr>
          <w:rFonts w:ascii="Roboto Light" w:hAnsi="Roboto Light"/>
        </w:rPr>
        <w:t>cleared “Open Interest”</w:t>
      </w:r>
      <w:r w:rsidR="002D1AAC" w:rsidRPr="00001F99">
        <w:rPr>
          <w:rFonts w:ascii="Roboto Light" w:hAnsi="Roboto Light"/>
        </w:rPr>
        <w:t>.</w:t>
      </w:r>
    </w:p>
    <w:p w14:paraId="3BAED10A" w14:textId="77777777" w:rsidR="002D1AAC" w:rsidRPr="00001F99" w:rsidRDefault="002D1AAC" w:rsidP="008B29C3">
      <w:pPr>
        <w:rPr>
          <w:rFonts w:ascii="Roboto Light" w:hAnsi="Roboto Light"/>
        </w:rPr>
      </w:pPr>
    </w:p>
    <w:p w14:paraId="65DEC7BD" w14:textId="516E3CBB" w:rsidR="008B29C3" w:rsidRDefault="008B29C3" w:rsidP="008B29C3">
      <w:r>
        <w:t>TYPE YOUR TEXT HERE</w:t>
      </w:r>
    </w:p>
    <w:permEnd w:id="101661366"/>
    <w:p w14:paraId="2EA1989E" w14:textId="77777777" w:rsidR="008B29C3" w:rsidRDefault="008B29C3" w:rsidP="008B29C3">
      <w:r>
        <w:t>&lt;ESMA_QUESTION_PMPR_1&gt;</w:t>
      </w:r>
    </w:p>
    <w:p w14:paraId="0868C203" w14:textId="77777777" w:rsidR="008B29C3" w:rsidRDefault="008B29C3" w:rsidP="008B29C3"/>
    <w:p w14:paraId="35E7B40C" w14:textId="77777777" w:rsidR="008B29C3" w:rsidRDefault="008B29C3" w:rsidP="008B29C3">
      <w:pPr>
        <w:pStyle w:val="Questionstyle"/>
        <w:numPr>
          <w:ilvl w:val="0"/>
          <w:numId w:val="17"/>
        </w:numPr>
        <w:spacing w:after="240" w:line="256" w:lineRule="auto"/>
        <w:ind w:left="851" w:hanging="851"/>
      </w:pPr>
      <w:r>
        <w:t>Do you foresee any challenges with the use of JSON format comparing to XML? Please provide estimates of the costs and benefits (short- and long term) related to potential transition to JSON?</w:t>
      </w:r>
    </w:p>
    <w:p w14:paraId="14F30ABA" w14:textId="77777777" w:rsidR="008B29C3" w:rsidRDefault="008B29C3" w:rsidP="008B29C3">
      <w:r>
        <w:t>&lt;ESMA_QUESTION_PMPR_2&gt;</w:t>
      </w:r>
    </w:p>
    <w:tbl>
      <w:tblPr>
        <w:tblpPr w:leftFromText="180" w:rightFromText="180" w:vertAnchor="text" w:tblpY="1"/>
        <w:tblOverlap w:val="never"/>
        <w:tblW w:w="9640" w:type="dxa"/>
        <w:tblLook w:val="04A0" w:firstRow="1" w:lastRow="0" w:firstColumn="1" w:lastColumn="0" w:noHBand="0" w:noVBand="1"/>
      </w:tblPr>
      <w:tblGrid>
        <w:gridCol w:w="9640"/>
      </w:tblGrid>
      <w:tr w:rsidR="00172019" w14:paraId="4CD146F5" w14:textId="77777777" w:rsidTr="00CF3D03">
        <w:trPr>
          <w:trHeight w:val="576"/>
        </w:trPr>
        <w:tc>
          <w:tcPr>
            <w:tcW w:w="5812" w:type="dxa"/>
            <w:tcBorders>
              <w:top w:val="nil"/>
              <w:left w:val="nil"/>
              <w:bottom w:val="single" w:sz="4" w:space="0" w:color="auto"/>
              <w:right w:val="single" w:sz="4" w:space="0" w:color="auto"/>
            </w:tcBorders>
          </w:tcPr>
          <w:p w14:paraId="6F06D0E3" w14:textId="357D35DF" w:rsidR="00A502FB" w:rsidRDefault="00172019" w:rsidP="00033CEF">
            <w:pPr>
              <w:spacing w:before="100" w:beforeAutospacing="1" w:after="100" w:afterAutospacing="1"/>
              <w:rPr>
                <w:rFonts w:ascii="Roboto Light" w:hAnsi="Roboto Light"/>
              </w:rPr>
            </w:pPr>
            <w:permStart w:id="1009454809" w:edGrp="everyone"/>
            <w:r w:rsidRPr="003C3FCC">
              <w:rPr>
                <w:rFonts w:ascii="Roboto Light" w:hAnsi="Roboto Light"/>
              </w:rPr>
              <w:t xml:space="preserve">Regarding data </w:t>
            </w:r>
            <w:r>
              <w:rPr>
                <w:rFonts w:ascii="Roboto Light" w:hAnsi="Roboto Light"/>
              </w:rPr>
              <w:t xml:space="preserve">transmission </w:t>
            </w:r>
            <w:r w:rsidRPr="003C3FCC">
              <w:rPr>
                <w:rFonts w:ascii="Roboto Light" w:hAnsi="Roboto Light"/>
              </w:rPr>
              <w:t>formats, we do not suggest that ESMA defines at this level of detail</w:t>
            </w:r>
            <w:r>
              <w:rPr>
                <w:rFonts w:ascii="Roboto Light" w:hAnsi="Roboto Light"/>
              </w:rPr>
              <w:t xml:space="preserve"> or restricts FIRDs accordingly. </w:t>
            </w:r>
            <w:r w:rsidR="00A502FB" w:rsidRPr="003C3FCC">
              <w:rPr>
                <w:rFonts w:ascii="Roboto Light" w:hAnsi="Roboto Light"/>
              </w:rPr>
              <w:t xml:space="preserve"> </w:t>
            </w:r>
            <w:r w:rsidR="00A502FB" w:rsidRPr="003C3FCC">
              <w:rPr>
                <w:rFonts w:ascii="Roboto Light" w:hAnsi="Roboto Light"/>
              </w:rPr>
              <w:t>The MiFI</w:t>
            </w:r>
            <w:r w:rsidR="00A502FB">
              <w:rPr>
                <w:rFonts w:ascii="Roboto Light" w:hAnsi="Roboto Light"/>
              </w:rPr>
              <w:t>D</w:t>
            </w:r>
            <w:r w:rsidR="00A502FB" w:rsidRPr="003C3FCC">
              <w:rPr>
                <w:rFonts w:ascii="Roboto Light" w:hAnsi="Roboto Light"/>
              </w:rPr>
              <w:t xml:space="preserve"> text is not specific as to whether it is </w:t>
            </w:r>
            <w:r w:rsidR="00A502FB" w:rsidRPr="003C3FCC">
              <w:rPr>
                <w:rFonts w:ascii="Roboto Light" w:hAnsi="Roboto Light"/>
              </w:rPr>
              <w:lastRenderedPageBreak/>
              <w:t>referring just to the application layer, the presentation layer or a combination of these with or without the session layer.</w:t>
            </w:r>
          </w:p>
          <w:p w14:paraId="7A32A86C" w14:textId="77777777" w:rsidR="00A502FB" w:rsidRDefault="00172019" w:rsidP="00033CEF">
            <w:pPr>
              <w:spacing w:before="100" w:beforeAutospacing="1" w:after="100" w:afterAutospacing="1"/>
              <w:rPr>
                <w:rFonts w:ascii="Roboto Light" w:hAnsi="Roboto Light"/>
              </w:rPr>
            </w:pPr>
            <w:r>
              <w:rPr>
                <w:rFonts w:ascii="Roboto Light" w:hAnsi="Roboto Light"/>
              </w:rPr>
              <w:t>Rather industry should develop a preferred global approach and adoption of data encoding layers and transport formats</w:t>
            </w:r>
            <w:r w:rsidR="00033CEF">
              <w:rPr>
                <w:rFonts w:ascii="Roboto Light" w:hAnsi="Roboto Light"/>
              </w:rPr>
              <w:t xml:space="preserve"> mindful that neither JSON, nor XML are commonly understood to ‘formats’ as such, although across the scope of the MiFIR review this term remains undefined notwithstanding any </w:t>
            </w:r>
            <w:r w:rsidR="00033CEF" w:rsidRPr="00033CEF">
              <w:rPr>
                <w:rFonts w:ascii="Roboto Light" w:hAnsi="Roboto Light"/>
              </w:rPr>
              <w:t>level 1 mandate</w:t>
            </w:r>
            <w:r w:rsidR="00033CEF">
              <w:rPr>
                <w:rFonts w:ascii="Roboto Light" w:hAnsi="Roboto Light"/>
              </w:rPr>
              <w:t xml:space="preserve"> which </w:t>
            </w:r>
            <w:r w:rsidR="00033CEF" w:rsidRPr="00033CEF">
              <w:rPr>
                <w:rFonts w:ascii="Roboto Light" w:hAnsi="Roboto Light"/>
              </w:rPr>
              <w:t>doesn’t define whether this applies to the business content (</w:t>
            </w:r>
            <w:r w:rsidR="00033CEF">
              <w:rPr>
                <w:rFonts w:ascii="Roboto Light" w:hAnsi="Roboto Light"/>
              </w:rPr>
              <w:t>“</w:t>
            </w:r>
            <w:r w:rsidR="00033CEF" w:rsidRPr="00033CEF">
              <w:rPr>
                <w:rFonts w:ascii="Roboto Light" w:hAnsi="Roboto Light"/>
              </w:rPr>
              <w:t>the application layer</w:t>
            </w:r>
            <w:r w:rsidR="00033CEF">
              <w:rPr>
                <w:rFonts w:ascii="Roboto Light" w:hAnsi="Roboto Light"/>
              </w:rPr>
              <w:t>”</w:t>
            </w:r>
            <w:r w:rsidR="00033CEF" w:rsidRPr="00033CEF">
              <w:rPr>
                <w:rFonts w:ascii="Roboto Light" w:hAnsi="Roboto Light"/>
              </w:rPr>
              <w:t>), the on-the-wire representation of that business content (</w:t>
            </w:r>
            <w:r w:rsidR="00033CEF">
              <w:rPr>
                <w:rFonts w:ascii="Roboto Light" w:hAnsi="Roboto Light"/>
              </w:rPr>
              <w:t>“</w:t>
            </w:r>
            <w:r w:rsidR="00033CEF" w:rsidRPr="00033CEF">
              <w:rPr>
                <w:rFonts w:ascii="Roboto Light" w:hAnsi="Roboto Light"/>
              </w:rPr>
              <w:t>the presentation layer</w:t>
            </w:r>
            <w:r w:rsidR="00033CEF">
              <w:rPr>
                <w:rFonts w:ascii="Roboto Light" w:hAnsi="Roboto Light"/>
              </w:rPr>
              <w:t>”</w:t>
            </w:r>
            <w:r w:rsidR="00033CEF" w:rsidRPr="00033CEF">
              <w:rPr>
                <w:rFonts w:ascii="Roboto Light" w:hAnsi="Roboto Light"/>
              </w:rPr>
              <w:t xml:space="preserve">) or both. </w:t>
            </w:r>
            <w:r w:rsidR="00033CEF">
              <w:rPr>
                <w:rFonts w:ascii="Roboto Light" w:hAnsi="Roboto Light"/>
              </w:rPr>
              <w:t xml:space="preserve">For the avoidance of doubt, our understanding has developed with the FIX Organisation that </w:t>
            </w:r>
            <w:r w:rsidR="00033CEF" w:rsidRPr="00033CEF">
              <w:rPr>
                <w:rFonts w:ascii="Roboto Light" w:hAnsi="Roboto Light"/>
              </w:rPr>
              <w:t>JSON is an encoding (</w:t>
            </w:r>
            <w:r w:rsidR="00033CEF">
              <w:rPr>
                <w:rFonts w:ascii="Roboto Light" w:hAnsi="Roboto Light"/>
              </w:rPr>
              <w:t>“</w:t>
            </w:r>
            <w:r w:rsidR="00033CEF" w:rsidRPr="00033CEF">
              <w:rPr>
                <w:rFonts w:ascii="Roboto Light" w:hAnsi="Roboto Light"/>
              </w:rPr>
              <w:t>presentation layer</w:t>
            </w:r>
            <w:r w:rsidR="00033CEF">
              <w:rPr>
                <w:rFonts w:ascii="Roboto Light" w:hAnsi="Roboto Light"/>
              </w:rPr>
              <w:t>”</w:t>
            </w:r>
            <w:r w:rsidR="00033CEF" w:rsidRPr="00033CEF">
              <w:rPr>
                <w:rFonts w:ascii="Roboto Light" w:hAnsi="Roboto Light"/>
              </w:rPr>
              <w:t>).</w:t>
            </w:r>
            <w:r w:rsidR="00A502FB">
              <w:rPr>
                <w:rFonts w:ascii="Roboto Light" w:hAnsi="Roboto Light"/>
              </w:rPr>
              <w:t xml:space="preserve"> </w:t>
            </w:r>
            <w:r w:rsidR="00A502FB" w:rsidRPr="003C3FCC">
              <w:rPr>
                <w:rFonts w:ascii="Roboto Light" w:hAnsi="Roboto Light"/>
              </w:rPr>
              <w:t xml:space="preserve"> </w:t>
            </w:r>
          </w:p>
          <w:p w14:paraId="3030D877" w14:textId="11C91CB2" w:rsidR="00172019" w:rsidRDefault="00172019" w:rsidP="00CF3D03">
            <w:pPr>
              <w:spacing w:before="100" w:beforeAutospacing="1" w:after="100" w:afterAutospacing="1"/>
              <w:rPr>
                <w:rFonts w:ascii="Roboto Light" w:hAnsi="Roboto Light"/>
              </w:rPr>
            </w:pPr>
            <w:r>
              <w:rPr>
                <w:rFonts w:ascii="Roboto Light" w:hAnsi="Roboto Light"/>
              </w:rPr>
              <w:t>Moreover, w</w:t>
            </w:r>
            <w:r w:rsidRPr="003C3FCC">
              <w:rPr>
                <w:rFonts w:ascii="Roboto Light" w:hAnsi="Roboto Light"/>
              </w:rPr>
              <w:t xml:space="preserve">e do not agree with JSON as being </w:t>
            </w:r>
            <w:r w:rsidR="00033CEF">
              <w:rPr>
                <w:rFonts w:ascii="Roboto Light" w:hAnsi="Roboto Light"/>
              </w:rPr>
              <w:t xml:space="preserve">the most </w:t>
            </w:r>
            <w:r w:rsidRPr="003C3FCC">
              <w:rPr>
                <w:rFonts w:ascii="Roboto Light" w:hAnsi="Roboto Light"/>
              </w:rPr>
              <w:t xml:space="preserve">suitable </w:t>
            </w:r>
            <w:r w:rsidR="00033CEF">
              <w:rPr>
                <w:rFonts w:ascii="Roboto Light" w:hAnsi="Roboto Light"/>
              </w:rPr>
              <w:t xml:space="preserve">layer </w:t>
            </w:r>
            <w:r w:rsidRPr="003C3FCC">
              <w:rPr>
                <w:rFonts w:ascii="Roboto Light" w:hAnsi="Roboto Light"/>
              </w:rPr>
              <w:t xml:space="preserve">for the </w:t>
            </w:r>
            <w:r>
              <w:rPr>
                <w:rFonts w:ascii="Roboto Light" w:hAnsi="Roboto Light"/>
              </w:rPr>
              <w:t xml:space="preserve">reference </w:t>
            </w:r>
            <w:r w:rsidRPr="003C3FCC">
              <w:rPr>
                <w:rFonts w:ascii="Roboto Light" w:hAnsi="Roboto Light"/>
              </w:rPr>
              <w:t xml:space="preserve">data </w:t>
            </w:r>
            <w:r>
              <w:rPr>
                <w:rFonts w:ascii="Roboto Light" w:hAnsi="Roboto Light"/>
              </w:rPr>
              <w:t xml:space="preserve">transmission </w:t>
            </w:r>
            <w:r w:rsidRPr="003C3FCC">
              <w:rPr>
                <w:rFonts w:ascii="Roboto Light" w:hAnsi="Roboto Light"/>
              </w:rPr>
              <w:t xml:space="preserve">requirements. The primary concern is </w:t>
            </w:r>
            <w:r>
              <w:rPr>
                <w:rFonts w:ascii="Roboto Light" w:hAnsi="Roboto Light"/>
              </w:rPr>
              <w:t>standardisation and universal adoption, but regarding effectiveness and speed</w:t>
            </w:r>
            <w:r w:rsidRPr="003C3FCC">
              <w:rPr>
                <w:rFonts w:ascii="Roboto Light" w:hAnsi="Roboto Light"/>
              </w:rPr>
              <w:t xml:space="preserve">, JSON </w:t>
            </w:r>
            <w:r>
              <w:rPr>
                <w:rFonts w:ascii="Roboto Light" w:hAnsi="Roboto Light"/>
              </w:rPr>
              <w:t>is</w:t>
            </w:r>
            <w:r w:rsidRPr="003C3FCC">
              <w:rPr>
                <w:rFonts w:ascii="Roboto Light" w:hAnsi="Roboto Light"/>
              </w:rPr>
              <w:t xml:space="preserve"> a relatively </w:t>
            </w:r>
            <w:r>
              <w:rPr>
                <w:rFonts w:ascii="Roboto Light" w:hAnsi="Roboto Light"/>
              </w:rPr>
              <w:t xml:space="preserve">more </w:t>
            </w:r>
            <w:r w:rsidRPr="003C3FCC">
              <w:rPr>
                <w:rFonts w:ascii="Roboto Light" w:hAnsi="Roboto Light"/>
              </w:rPr>
              <w:t xml:space="preserve">verbose presentation layer </w:t>
            </w:r>
            <w:r>
              <w:rPr>
                <w:rFonts w:ascii="Roboto Light" w:hAnsi="Roboto Light"/>
              </w:rPr>
              <w:t>than SBE which is preferable for a number of reasons</w:t>
            </w:r>
            <w:r w:rsidRPr="003C3FCC">
              <w:rPr>
                <w:rFonts w:ascii="Roboto Light" w:hAnsi="Roboto Light"/>
              </w:rPr>
              <w:t>.</w:t>
            </w:r>
            <w:r>
              <w:rPr>
                <w:rFonts w:ascii="Roboto Light" w:hAnsi="Roboto Light"/>
              </w:rPr>
              <w:t xml:space="preserve"> </w:t>
            </w:r>
            <w:r>
              <w:t xml:space="preserve"> </w:t>
            </w:r>
            <w:r w:rsidRPr="003C3FCC">
              <w:rPr>
                <w:rFonts w:ascii="Roboto Light" w:hAnsi="Roboto Light"/>
              </w:rPr>
              <w:t xml:space="preserve">Encodings such as FAST and SBE are compatible with </w:t>
            </w:r>
            <w:r w:rsidR="00033CEF">
              <w:rPr>
                <w:rFonts w:ascii="Roboto Light" w:hAnsi="Roboto Light"/>
              </w:rPr>
              <w:t xml:space="preserve">several industry applications including </w:t>
            </w:r>
            <w:r w:rsidRPr="003C3FCC">
              <w:rPr>
                <w:rFonts w:ascii="Roboto Light" w:hAnsi="Roboto Light"/>
              </w:rPr>
              <w:t xml:space="preserve">FIX and </w:t>
            </w:r>
            <w:r w:rsidR="00033CEF">
              <w:rPr>
                <w:rFonts w:ascii="Roboto Light" w:hAnsi="Roboto Light"/>
              </w:rPr>
              <w:t>all of these</w:t>
            </w:r>
            <w:r w:rsidRPr="003C3FCC">
              <w:rPr>
                <w:rFonts w:ascii="Roboto Light" w:hAnsi="Roboto Light"/>
              </w:rPr>
              <w:t xml:space="preserve"> protocols so can be used to encode ISO 20022 messages, for example.</w:t>
            </w:r>
          </w:p>
          <w:p w14:paraId="1B551841" w14:textId="4F4A000D" w:rsidR="00A502FB" w:rsidRPr="003C3FCC" w:rsidRDefault="00A502FB" w:rsidP="00A502FB">
            <w:pPr>
              <w:spacing w:before="100" w:beforeAutospacing="1" w:after="100" w:afterAutospacing="1"/>
              <w:rPr>
                <w:rFonts w:ascii="Roboto Light" w:hAnsi="Roboto Light"/>
              </w:rPr>
            </w:pPr>
            <w:r w:rsidRPr="003C3FCC">
              <w:rPr>
                <w:rFonts w:ascii="Roboto Light" w:hAnsi="Roboto Light"/>
              </w:rPr>
              <w:t xml:space="preserve">FAST and SBE </w:t>
            </w:r>
            <w:r>
              <w:rPr>
                <w:rFonts w:ascii="Roboto Light" w:hAnsi="Roboto Light"/>
              </w:rPr>
              <w:t>offer</w:t>
            </w:r>
            <w:r w:rsidRPr="003C3FCC">
              <w:rPr>
                <w:rFonts w:ascii="Roboto Light" w:hAnsi="Roboto Light"/>
              </w:rPr>
              <w:t xml:space="preserve"> different encodings</w:t>
            </w:r>
            <w:r>
              <w:rPr>
                <w:rFonts w:ascii="Roboto Light" w:hAnsi="Roboto Light"/>
              </w:rPr>
              <w:t xml:space="preserve"> and therefore form the alternatives to JSON rather than XML application per se. </w:t>
            </w:r>
            <w:r>
              <w:t xml:space="preserve"> </w:t>
            </w:r>
            <w:r w:rsidRPr="00A502FB">
              <w:rPr>
                <w:rFonts w:ascii="Roboto Light" w:hAnsi="Roboto Light"/>
              </w:rPr>
              <w:t>FAST and SBE are not proprietary standards; they are FIX technical standards and as such have a legal guarantee of being free to use and ‘open’ (in the sense that anybody can contribute design suggestions, and they are available under open licenses). SBE has recently been submitted to ISO/IEC JTC1 for consideration as a Publicly Available Standard (PAS).</w:t>
            </w:r>
            <w:r>
              <w:rPr>
                <w:rFonts w:ascii="Roboto Light" w:hAnsi="Roboto Light"/>
              </w:rPr>
              <w:t xml:space="preserve"> </w:t>
            </w:r>
            <w:r w:rsidRPr="00A502FB">
              <w:rPr>
                <w:rFonts w:ascii="Roboto Light" w:hAnsi="Roboto Light"/>
              </w:rPr>
              <w:t>Part of the SBE technical standard is the meta-data for defining SBE message schema which can capture any application layer message content. The SBE message schema allows the sender and receiver to understand how to interpret the content of the binary encoded message once it is decoded. SBE is "protocol compatible" as it does not define any business application content or protocol as part of the standard itself.</w:t>
            </w:r>
          </w:p>
          <w:p w14:paraId="0D5D591E" w14:textId="77777777" w:rsidR="00172019" w:rsidRPr="003C3FCC" w:rsidRDefault="00172019" w:rsidP="00CF3D03">
            <w:pPr>
              <w:spacing w:before="100" w:beforeAutospacing="1" w:after="100" w:afterAutospacing="1"/>
              <w:rPr>
                <w:rFonts w:ascii="Roboto Light" w:hAnsi="Roboto Light"/>
              </w:rPr>
            </w:pPr>
            <w:r w:rsidRPr="003C3FCC">
              <w:rPr>
                <w:rFonts w:ascii="Roboto Light" w:hAnsi="Roboto Light"/>
              </w:rPr>
              <w:t>The relevance of all of this to this question lies in the table of ‘categories defining quality of transmission protocols’ as these apply to these different levels. Performance and Compatibility can be a factor of all three of application, presentation and session layers, Security relates to presentation and session layers, and Reliability relates to the session layer.</w:t>
            </w:r>
          </w:p>
          <w:p w14:paraId="51307F6E" w14:textId="77777777" w:rsidR="00172019" w:rsidRDefault="00172019" w:rsidP="00CF3D03">
            <w:pPr>
              <w:spacing w:before="100" w:beforeAutospacing="1" w:after="100" w:afterAutospacing="1"/>
              <w:rPr>
                <w:rFonts w:ascii="Roboto Light" w:hAnsi="Roboto Light"/>
              </w:rPr>
            </w:pPr>
            <w:r w:rsidRPr="003C3FCC">
              <w:rPr>
                <w:rFonts w:ascii="Roboto Light" w:hAnsi="Roboto Light"/>
              </w:rPr>
              <w:t xml:space="preserve">The OSI defines messaging protocols as a layered stack with each layer representing a difference and clearly delineated component from business data all the way down to physical hardware. The OSI model has seven layers, but it is the top three that are the most relevant here – the ‘application’ layer (containing the business content), the ‘presentation’ layer (describing how the business content is represented on the wire, </w:t>
            </w:r>
            <w:r w:rsidRPr="003C3FCC">
              <w:rPr>
                <w:rFonts w:ascii="Roboto Light" w:hAnsi="Roboto Light"/>
              </w:rPr>
              <w:lastRenderedPageBreak/>
              <w:t xml:space="preserve">otherwise known as ‘encoding’) and the ‘session’ layer (which describes aspects such as authentication, message recoverability and similar). </w:t>
            </w:r>
          </w:p>
          <w:p w14:paraId="4C958D41" w14:textId="77777777" w:rsidR="00172019" w:rsidRDefault="00172019" w:rsidP="00CF3D03">
            <w:pPr>
              <w:spacing w:before="100" w:beforeAutospacing="1" w:after="100" w:afterAutospacing="1"/>
              <w:rPr>
                <w:rFonts w:ascii="Roboto Light" w:hAnsi="Roboto Light"/>
              </w:rPr>
            </w:pPr>
            <w:r w:rsidRPr="003C3FCC">
              <w:rPr>
                <w:rFonts w:ascii="Roboto Light" w:hAnsi="Roboto Light"/>
              </w:rPr>
              <w:t xml:space="preserve">By way of example, ISO 20022 has one application layer (its business domain model) and, at the time of writing, two encodings (XML and ASN.1) and no defined session layer. </w:t>
            </w:r>
          </w:p>
          <w:p w14:paraId="2058DED7" w14:textId="77777777" w:rsidR="00172019" w:rsidRDefault="00172019" w:rsidP="00CF3D03">
            <w:pPr>
              <w:spacing w:before="100" w:beforeAutospacing="1" w:after="100" w:afterAutospacing="1"/>
              <w:rPr>
                <w:rFonts w:ascii="Roboto Light" w:hAnsi="Roboto Light"/>
              </w:rPr>
            </w:pPr>
            <w:r w:rsidRPr="003C3FCC">
              <w:rPr>
                <w:rFonts w:ascii="Roboto Light" w:hAnsi="Roboto Light"/>
              </w:rPr>
              <w:t xml:space="preserve">The </w:t>
            </w:r>
            <w:r>
              <w:rPr>
                <w:rFonts w:ascii="Roboto Light" w:hAnsi="Roboto Light"/>
              </w:rPr>
              <w:t>commonly deployed “</w:t>
            </w:r>
            <w:r w:rsidRPr="003C3FCC">
              <w:rPr>
                <w:rFonts w:ascii="Roboto Light" w:hAnsi="Roboto Light"/>
                <w:i/>
                <w:iCs/>
              </w:rPr>
              <w:t>FIX messaging suite</w:t>
            </w:r>
            <w:r>
              <w:rPr>
                <w:rFonts w:ascii="Roboto Light" w:hAnsi="Roboto Light"/>
              </w:rPr>
              <w:t>”</w:t>
            </w:r>
            <w:r w:rsidRPr="003C3FCC">
              <w:rPr>
                <w:rFonts w:ascii="Roboto Light" w:hAnsi="Roboto Light"/>
              </w:rPr>
              <w:t xml:space="preserve"> similarly splits into the FIX Protocol (application layer), various encodings (including FIX’s own ISO 3531-1 FIX Tag</w:t>
            </w:r>
            <w:r>
              <w:rPr>
                <w:rFonts w:ascii="Roboto Light" w:hAnsi="Roboto Light"/>
              </w:rPr>
              <w:t>_</w:t>
            </w:r>
            <w:r w:rsidRPr="003C3FCC">
              <w:rPr>
                <w:rFonts w:ascii="Roboto Light" w:hAnsi="Roboto Light"/>
              </w:rPr>
              <w:t xml:space="preserve">Value encoding, Simple Binary Encoding and FIXML, but can equally be used with other encodings such as ASN.1, JSON and Google Protocol Buffers) </w:t>
            </w:r>
            <w:r>
              <w:rPr>
                <w:rFonts w:ascii="Roboto Light" w:hAnsi="Roboto Light"/>
              </w:rPr>
              <w:t>as well as</w:t>
            </w:r>
            <w:r w:rsidRPr="003C3FCC">
              <w:rPr>
                <w:rFonts w:ascii="Roboto Light" w:hAnsi="Roboto Light"/>
              </w:rPr>
              <w:t xml:space="preserve"> various sessions (including ISO 33531-2 FIX Session Layer, FIXP). </w:t>
            </w:r>
          </w:p>
          <w:p w14:paraId="0C69AAFC" w14:textId="77777777" w:rsidR="00172019" w:rsidRDefault="00172019" w:rsidP="00CF3D03">
            <w:pPr>
              <w:spacing w:before="100" w:beforeAutospacing="1" w:after="100" w:afterAutospacing="1"/>
              <w:rPr>
                <w:rFonts w:ascii="Roboto Light" w:hAnsi="Roboto Light"/>
              </w:rPr>
            </w:pPr>
          </w:p>
        </w:tc>
      </w:tr>
    </w:tbl>
    <w:p w14:paraId="3FEC8B51" w14:textId="77777777" w:rsidR="00172019" w:rsidRDefault="00172019" w:rsidP="008B29C3"/>
    <w:p w14:paraId="4AEF374B" w14:textId="329958B3" w:rsidR="008B29C3" w:rsidRDefault="008B29C3" w:rsidP="008B29C3">
      <w:r>
        <w:t>TYPE YOUR TEXT HERE</w:t>
      </w:r>
    </w:p>
    <w:permEnd w:id="1009454809"/>
    <w:p w14:paraId="56291B27" w14:textId="77777777" w:rsidR="008B29C3" w:rsidRDefault="008B29C3" w:rsidP="008B29C3">
      <w:r>
        <w:t>&lt;ESMA_QUESTION_PMPR_2&gt;</w:t>
      </w:r>
    </w:p>
    <w:p w14:paraId="02037805" w14:textId="77777777" w:rsidR="008B29C3" w:rsidRDefault="008B29C3" w:rsidP="008B29C3"/>
    <w:p w14:paraId="5A200AEB" w14:textId="77777777" w:rsidR="008B29C3" w:rsidRDefault="008B29C3" w:rsidP="008B29C3">
      <w:pPr>
        <w:pStyle w:val="Questionstyle"/>
        <w:numPr>
          <w:ilvl w:val="0"/>
          <w:numId w:val="17"/>
        </w:numPr>
        <w:spacing w:after="240" w:line="256" w:lineRule="auto"/>
        <w:ind w:left="851" w:hanging="851"/>
      </w:pPr>
      <w:r>
        <w:t xml:space="preserve">Do you agree with the other proposals to change ITS 4? Please use the reference number in the table above to provide comments on a specific proposal. In relation to the proposed change 5, are there other units of underlying to be added to the existing list including for reporting the information on emission allowances? In relation to the proposed change 7, are there other position types that should be added to provide more granular reporting, beyond the existing (futures, options and other)? In relation to the proposed change 8, do you foresee any scenarios in which the possibility to use the National ID should be retained? </w:t>
      </w:r>
    </w:p>
    <w:p w14:paraId="1A4FAE92" w14:textId="77777777" w:rsidR="008B29C3" w:rsidRDefault="008B29C3" w:rsidP="008B29C3">
      <w:r>
        <w:t>&lt;ESMA_QUESTION_PMPR_3&gt;</w:t>
      </w:r>
    </w:p>
    <w:p w14:paraId="5E3FE3F7" w14:textId="099F39EA" w:rsidR="00B2124C" w:rsidRDefault="00235E57" w:rsidP="008B29C3">
      <w:pPr>
        <w:rPr>
          <w:rFonts w:ascii="Roboto Light" w:hAnsi="Roboto Light"/>
        </w:rPr>
      </w:pPr>
      <w:permStart w:id="2115599768" w:edGrp="everyone"/>
      <w:r w:rsidRPr="00B04417">
        <w:rPr>
          <w:rFonts w:ascii="Roboto Light" w:hAnsi="Roboto Light"/>
        </w:rPr>
        <w:t>No, we disagree with those proposals in ITS4 which predicate a CCP-cleared exchange traded model, but are drafted such that they would apply to all MTF and OTF traded commodity derivatives</w:t>
      </w:r>
      <w:r w:rsidR="00696C6B" w:rsidRPr="00B04417">
        <w:rPr>
          <w:rFonts w:ascii="Roboto Light" w:hAnsi="Roboto Light"/>
        </w:rPr>
        <w:t xml:space="preserve"> despite being labelled for “Futures” under the [COMB] and [FUTR] flags</w:t>
      </w:r>
      <w:r w:rsidRPr="00B04417">
        <w:rPr>
          <w:rFonts w:ascii="Roboto Light" w:hAnsi="Roboto Light"/>
        </w:rPr>
        <w:t xml:space="preserve">. </w:t>
      </w:r>
      <w:r w:rsidR="00B2124C">
        <w:rPr>
          <w:rFonts w:ascii="Roboto Light" w:hAnsi="Roboto Light"/>
        </w:rPr>
        <w:t>The context of ITS4, which seeks to address post-trade quantum for derivatives, should be moved from MiFID to EMIR, or at least be constituted such that it is predicated on EMIR scope and definitions.</w:t>
      </w:r>
    </w:p>
    <w:p w14:paraId="6C5AE4DD" w14:textId="77777777" w:rsidR="00B2124C" w:rsidRDefault="00B2124C" w:rsidP="008B29C3">
      <w:pPr>
        <w:rPr>
          <w:rFonts w:ascii="Roboto Light" w:hAnsi="Roboto Light"/>
        </w:rPr>
      </w:pPr>
    </w:p>
    <w:p w14:paraId="2350E0D7" w14:textId="43C6DEFF" w:rsidR="00620FA4" w:rsidRDefault="00235E57" w:rsidP="00620FA4">
      <w:pPr>
        <w:rPr>
          <w:rFonts w:ascii="Roboto Light" w:hAnsi="Roboto Light"/>
        </w:rPr>
      </w:pPr>
      <w:r w:rsidRPr="00B04417">
        <w:rPr>
          <w:rFonts w:ascii="Roboto Light" w:hAnsi="Roboto Light"/>
        </w:rPr>
        <w:t xml:space="preserve">Specifically, where the trading does not </w:t>
      </w:r>
      <w:bookmarkStart w:id="1" w:name="_Hlk175264173"/>
      <w:r w:rsidRPr="00B04417">
        <w:rPr>
          <w:rFonts w:ascii="Roboto Light" w:hAnsi="Roboto Light"/>
        </w:rPr>
        <w:t xml:space="preserve">form </w:t>
      </w:r>
      <w:r w:rsidRPr="00B04417">
        <w:rPr>
          <w:rFonts w:ascii="Roboto Light" w:hAnsi="Roboto Light"/>
        </w:rPr>
        <w:t>CCP-cleared</w:t>
      </w:r>
      <w:r w:rsidRPr="00B04417">
        <w:rPr>
          <w:rFonts w:ascii="Roboto Light" w:hAnsi="Roboto Light"/>
        </w:rPr>
        <w:t xml:space="preserve"> Open Interest </w:t>
      </w:r>
      <w:bookmarkEnd w:id="1"/>
      <w:r w:rsidRPr="00B04417">
        <w:rPr>
          <w:rFonts w:ascii="Roboto Light" w:hAnsi="Roboto Light"/>
        </w:rPr>
        <w:t>in a vertically integrated model, the scope of the provisions in ITS4 should be clarified in order to enable any Competent Authority to take a proportionate approach to authorisation and supervision.</w:t>
      </w:r>
      <w:r w:rsidR="00C32E4F" w:rsidRPr="00B04417">
        <w:rPr>
          <w:rFonts w:ascii="Roboto Light" w:hAnsi="Roboto Light"/>
        </w:rPr>
        <w:t xml:space="preserve"> </w:t>
      </w:r>
      <w:r w:rsidR="00620FA4">
        <w:rPr>
          <w:rFonts w:ascii="Roboto Light" w:hAnsi="Roboto Light"/>
        </w:rPr>
        <w:t xml:space="preserve">This would especially be the case for uncleared forwards traded on MTFs and OTFs where the trades settle bilaterally and the </w:t>
      </w:r>
      <w:r w:rsidR="00B770C4">
        <w:rPr>
          <w:rFonts w:ascii="Roboto Light" w:hAnsi="Roboto Light"/>
        </w:rPr>
        <w:t>consequent</w:t>
      </w:r>
      <w:r w:rsidR="00620FA4">
        <w:rPr>
          <w:rFonts w:ascii="Roboto Light" w:hAnsi="Roboto Light"/>
        </w:rPr>
        <w:t xml:space="preserve"> positions under Credit Annexes (“CSA’s”) and Master Netting Agreements would be fungible such that no “Open Interest” is </w:t>
      </w:r>
      <w:r w:rsidR="006C7B3F">
        <w:rPr>
          <w:rFonts w:ascii="Roboto Light" w:hAnsi="Roboto Light"/>
        </w:rPr>
        <w:t>formed,</w:t>
      </w:r>
      <w:r w:rsidR="00620FA4">
        <w:rPr>
          <w:rFonts w:ascii="Roboto Light" w:hAnsi="Roboto Light"/>
        </w:rPr>
        <w:t xml:space="preserve"> and no single trading venue could claim rights or knowledge of the positions across market participants and their </w:t>
      </w:r>
      <w:r w:rsidR="00B770C4">
        <w:rPr>
          <w:rFonts w:ascii="Roboto Light" w:hAnsi="Roboto Light"/>
        </w:rPr>
        <w:t>onwards</w:t>
      </w:r>
      <w:r w:rsidR="00620FA4">
        <w:rPr>
          <w:rFonts w:ascii="Roboto Light" w:hAnsi="Roboto Light"/>
        </w:rPr>
        <w:t xml:space="preserve"> clients.</w:t>
      </w:r>
    </w:p>
    <w:p w14:paraId="6D95B515" w14:textId="77777777" w:rsidR="00620FA4" w:rsidRPr="00B04417" w:rsidRDefault="00620FA4" w:rsidP="008B29C3">
      <w:pPr>
        <w:rPr>
          <w:rFonts w:ascii="Roboto Light" w:hAnsi="Roboto Light"/>
        </w:rPr>
      </w:pPr>
    </w:p>
    <w:p w14:paraId="349AFDF4" w14:textId="77777777" w:rsidR="00235E57" w:rsidRPr="00B04417" w:rsidRDefault="00235E57" w:rsidP="008B29C3">
      <w:pPr>
        <w:rPr>
          <w:rFonts w:ascii="Roboto Light" w:hAnsi="Roboto Light"/>
        </w:rPr>
      </w:pPr>
    </w:p>
    <w:p w14:paraId="151BABD0" w14:textId="15AC7D76" w:rsidR="00F3399E" w:rsidRPr="00B04417" w:rsidRDefault="00F3399E" w:rsidP="008B29C3">
      <w:pPr>
        <w:rPr>
          <w:rFonts w:ascii="Roboto Light" w:hAnsi="Roboto Light"/>
        </w:rPr>
      </w:pPr>
      <w:r w:rsidRPr="00B04417">
        <w:rPr>
          <w:rFonts w:ascii="Roboto Light" w:hAnsi="Roboto Light"/>
        </w:rPr>
        <w:lastRenderedPageBreak/>
        <w:t xml:space="preserve">For </w:t>
      </w:r>
      <w:r w:rsidR="00696C6B" w:rsidRPr="00B04417">
        <w:rPr>
          <w:rFonts w:ascii="Roboto Light" w:hAnsi="Roboto Light"/>
        </w:rPr>
        <w:t xml:space="preserve">change ID </w:t>
      </w:r>
      <w:r w:rsidRPr="00B04417">
        <w:rPr>
          <w:rFonts w:ascii="Roboto Light" w:hAnsi="Roboto Light"/>
        </w:rPr>
        <w:t xml:space="preserve">fields [1,2,3,] the term “option” should be clarified as to mean a CCP-cleared option traded on a vertically integrated exchange. Where any option, especially if not </w:t>
      </w:r>
      <w:r w:rsidR="00696C6B" w:rsidRPr="00B04417">
        <w:rPr>
          <w:rFonts w:ascii="Roboto Light" w:hAnsi="Roboto Light"/>
        </w:rPr>
        <w:t xml:space="preserve">a </w:t>
      </w:r>
      <w:r w:rsidRPr="00B04417">
        <w:rPr>
          <w:rFonts w:ascii="Roboto Light" w:hAnsi="Roboto Light"/>
        </w:rPr>
        <w:t>straightforward put or call, is traded on an MTF or OTF for bilateral settlement, or where traded on venue for clearing on a third-party CCP, so the venue could not know the position of the underlying beneficial owner</w:t>
      </w:r>
      <w:r w:rsidR="00C32E4F" w:rsidRPr="00B04417">
        <w:rPr>
          <w:rFonts w:ascii="Roboto Light" w:hAnsi="Roboto Light"/>
        </w:rPr>
        <w:t xml:space="preserve"> other than the immediate market participant.</w:t>
      </w:r>
    </w:p>
    <w:p w14:paraId="55F1B96A" w14:textId="77777777" w:rsidR="00696C6B" w:rsidRPr="00B04417" w:rsidRDefault="00696C6B" w:rsidP="008B29C3">
      <w:pPr>
        <w:rPr>
          <w:rFonts w:ascii="Roboto Light" w:hAnsi="Roboto Light"/>
        </w:rPr>
      </w:pPr>
    </w:p>
    <w:p w14:paraId="4B35729F" w14:textId="5D9E96F1" w:rsidR="00696C6B" w:rsidRPr="00B04417" w:rsidRDefault="00696C6B" w:rsidP="008B29C3">
      <w:pPr>
        <w:rPr>
          <w:rFonts w:ascii="Roboto Light" w:hAnsi="Roboto Light"/>
        </w:rPr>
      </w:pPr>
      <w:r w:rsidRPr="00B04417">
        <w:rPr>
          <w:rFonts w:ascii="Roboto Light" w:hAnsi="Roboto Light"/>
        </w:rPr>
        <w:t xml:space="preserve">In respect of </w:t>
      </w:r>
      <w:r w:rsidRPr="00B04417">
        <w:rPr>
          <w:rFonts w:ascii="Roboto Light" w:hAnsi="Roboto Light"/>
        </w:rPr>
        <w:t>change ID field [</w:t>
      </w:r>
      <w:r w:rsidRPr="00B04417">
        <w:rPr>
          <w:rFonts w:ascii="Roboto Light" w:hAnsi="Roboto Light"/>
        </w:rPr>
        <w:t>5</w:t>
      </w:r>
      <w:r w:rsidRPr="00B04417">
        <w:rPr>
          <w:rFonts w:ascii="Roboto Light" w:hAnsi="Roboto Light"/>
        </w:rPr>
        <w:t>,]</w:t>
      </w:r>
      <w:r w:rsidRPr="00B04417">
        <w:rPr>
          <w:rFonts w:ascii="Roboto Light" w:hAnsi="Roboto Light"/>
        </w:rPr>
        <w:t xml:space="preserve"> concerning </w:t>
      </w:r>
      <w:r w:rsidRPr="00B04417">
        <w:rPr>
          <w:rFonts w:ascii="Roboto Light" w:hAnsi="Roboto Light"/>
        </w:rPr>
        <w:t>positions in derivatives on electricity and natural gas</w:t>
      </w:r>
      <w:r w:rsidRPr="00B04417">
        <w:rPr>
          <w:rFonts w:ascii="Roboto Light" w:hAnsi="Roboto Light"/>
        </w:rPr>
        <w:t xml:space="preserve"> these should be explicitly limited to those positions which </w:t>
      </w:r>
      <w:r w:rsidRPr="00B04417">
        <w:rPr>
          <w:rFonts w:ascii="Roboto Light" w:hAnsi="Roboto Light"/>
        </w:rPr>
        <w:t>form CCP-cleared Open Interest</w:t>
      </w:r>
      <w:r w:rsidRPr="00B04417">
        <w:rPr>
          <w:rFonts w:ascii="Roboto Light" w:hAnsi="Roboto Light"/>
        </w:rPr>
        <w:t xml:space="preserve"> bearing in mind that a number of regional power markets are traded on a financially settled basis (Italy, Spain, CE4) but entirely bilateral. These markets </w:t>
      </w:r>
      <w:r w:rsidR="00B72EC6" w:rsidRPr="00B04417">
        <w:rPr>
          <w:rFonts w:ascii="Roboto Light" w:hAnsi="Roboto Light"/>
        </w:rPr>
        <w:t xml:space="preserve">do not fall under the MiFID C6 WEP exemption, but could not comply with ITS4. Similarly certain cleared power markets, notably HUDEX use of ECC, are deemed to be traded on OTFs and similarly </w:t>
      </w:r>
      <w:r w:rsidR="00B72EC6" w:rsidRPr="00B04417">
        <w:rPr>
          <w:rFonts w:ascii="Roboto Light" w:hAnsi="Roboto Light"/>
        </w:rPr>
        <w:t>could not comply with ITS4</w:t>
      </w:r>
      <w:r w:rsidR="00B72EC6" w:rsidRPr="00B04417">
        <w:rPr>
          <w:rFonts w:ascii="Roboto Light" w:hAnsi="Roboto Light"/>
        </w:rPr>
        <w:t>.</w:t>
      </w:r>
    </w:p>
    <w:p w14:paraId="58EE4DE5" w14:textId="77777777" w:rsidR="00696C6B" w:rsidRPr="00B04417" w:rsidRDefault="00696C6B" w:rsidP="008B29C3">
      <w:pPr>
        <w:rPr>
          <w:rFonts w:ascii="Roboto Light" w:hAnsi="Roboto Light"/>
        </w:rPr>
      </w:pPr>
    </w:p>
    <w:p w14:paraId="1EA0C06C" w14:textId="0C363D2D" w:rsidR="00B72EC6" w:rsidRPr="00B04417" w:rsidRDefault="00B72EC6" w:rsidP="00B72EC6">
      <w:pPr>
        <w:rPr>
          <w:rFonts w:ascii="Roboto Light" w:hAnsi="Roboto Light"/>
        </w:rPr>
      </w:pPr>
      <w:r w:rsidRPr="00B04417">
        <w:rPr>
          <w:rFonts w:ascii="Roboto Light" w:hAnsi="Roboto Light"/>
        </w:rPr>
        <w:t>For change ID fields [</w:t>
      </w:r>
      <w:r w:rsidRPr="00B04417">
        <w:rPr>
          <w:rFonts w:ascii="Roboto Light" w:hAnsi="Roboto Light"/>
        </w:rPr>
        <w:t>6, 7, 8</w:t>
      </w:r>
      <w:r w:rsidRPr="00B04417">
        <w:rPr>
          <w:rFonts w:ascii="Roboto Light" w:hAnsi="Roboto Light"/>
        </w:rPr>
        <w:t>,] the fields “Position quantity</w:t>
      </w:r>
      <w:r w:rsidRPr="00B04417">
        <w:rPr>
          <w:rFonts w:ascii="Roboto Light" w:hAnsi="Roboto Light"/>
        </w:rPr>
        <w:t>,</w:t>
      </w:r>
      <w:r w:rsidRPr="00B04417">
        <w:rPr>
          <w:rFonts w:ascii="Roboto Light" w:hAnsi="Roboto Light"/>
        </w:rPr>
        <w:t>” “Notation of the position quantity</w:t>
      </w:r>
      <w:r w:rsidRPr="00B04417">
        <w:rPr>
          <w:rFonts w:ascii="Roboto Light" w:hAnsi="Roboto Light"/>
        </w:rPr>
        <w:t>,</w:t>
      </w:r>
      <w:r w:rsidRPr="00B04417">
        <w:rPr>
          <w:rFonts w:ascii="Roboto Light" w:hAnsi="Roboto Light"/>
        </w:rPr>
        <w:t>”</w:t>
      </w:r>
      <w:r w:rsidRPr="00B04417">
        <w:rPr>
          <w:rFonts w:ascii="Roboto Light" w:hAnsi="Roboto Light"/>
        </w:rPr>
        <w:t xml:space="preserve"> </w:t>
      </w:r>
      <w:r w:rsidRPr="00B04417">
        <w:rPr>
          <w:rFonts w:ascii="Roboto Light" w:hAnsi="Roboto Light"/>
        </w:rPr>
        <w:t>“Position type”, “Position maturity</w:t>
      </w:r>
      <w:r w:rsidRPr="00B04417">
        <w:rPr>
          <w:rFonts w:ascii="Roboto Light" w:hAnsi="Roboto Light"/>
        </w:rPr>
        <w:t>,</w:t>
      </w:r>
      <w:r w:rsidRPr="00B04417">
        <w:rPr>
          <w:rFonts w:ascii="Roboto Light" w:hAnsi="Roboto Light"/>
        </w:rPr>
        <w:t>” “Delta equivalent position quantity</w:t>
      </w:r>
      <w:r w:rsidRPr="00B04417">
        <w:rPr>
          <w:rFonts w:ascii="Roboto Light" w:hAnsi="Roboto Light"/>
        </w:rPr>
        <w:t>,</w:t>
      </w:r>
      <w:r w:rsidRPr="00B04417">
        <w:rPr>
          <w:rFonts w:ascii="Roboto Light" w:hAnsi="Roboto Light"/>
        </w:rPr>
        <w:t>”</w:t>
      </w:r>
      <w:r w:rsidRPr="00B04417">
        <w:rPr>
          <w:rFonts w:ascii="Roboto Light" w:hAnsi="Roboto Light"/>
        </w:rPr>
        <w:t xml:space="preserve"> </w:t>
      </w:r>
      <w:r w:rsidRPr="00B04417">
        <w:rPr>
          <w:rFonts w:ascii="Roboto Light" w:hAnsi="Roboto Light"/>
        </w:rPr>
        <w:t>“Position holder ID”, “Reporting entity ID” and “Ultimate parent ID”</w:t>
      </w:r>
      <w:r w:rsidRPr="00B04417">
        <w:rPr>
          <w:rFonts w:ascii="Roboto Light" w:hAnsi="Roboto Light"/>
        </w:rPr>
        <w:t xml:space="preserve"> </w:t>
      </w:r>
      <w:r w:rsidRPr="00B04417">
        <w:rPr>
          <w:rFonts w:ascii="Roboto Light" w:hAnsi="Roboto Light"/>
        </w:rPr>
        <w:t xml:space="preserve">could not be known by the trading venue where it is not a </w:t>
      </w:r>
      <w:r w:rsidRPr="00B04417">
        <w:rPr>
          <w:rFonts w:ascii="Roboto Light" w:hAnsi="Roboto Light"/>
        </w:rPr>
        <w:t xml:space="preserve">vertically integrated exchange and therefore should </w:t>
      </w:r>
      <w:r w:rsidR="00B04417" w:rsidRPr="00B04417">
        <w:rPr>
          <w:rFonts w:ascii="Roboto Light" w:hAnsi="Roboto Light"/>
        </w:rPr>
        <w:t xml:space="preserve">similarly </w:t>
      </w:r>
      <w:r w:rsidRPr="00B04417">
        <w:rPr>
          <w:rFonts w:ascii="Roboto Light" w:hAnsi="Roboto Light"/>
        </w:rPr>
        <w:t xml:space="preserve">be limited </w:t>
      </w:r>
      <w:r w:rsidR="00B04417" w:rsidRPr="00B04417">
        <w:rPr>
          <w:rFonts w:ascii="Roboto Light" w:hAnsi="Roboto Light"/>
        </w:rPr>
        <w:t>to “exchange traded derivatives” as defined by EMIR, or otherwise disapplied to MTFs and OTFs under MiFID.</w:t>
      </w:r>
    </w:p>
    <w:p w14:paraId="77BF6F20" w14:textId="77777777" w:rsidR="00B72EC6" w:rsidRPr="00B04417" w:rsidRDefault="00B72EC6" w:rsidP="008B29C3">
      <w:pPr>
        <w:rPr>
          <w:rFonts w:ascii="Roboto Light" w:hAnsi="Roboto Light"/>
        </w:rPr>
      </w:pPr>
    </w:p>
    <w:p w14:paraId="33CE2718" w14:textId="1A4F731E" w:rsidR="00696C6B" w:rsidRPr="00B04417" w:rsidRDefault="00B72EC6" w:rsidP="008B29C3">
      <w:pPr>
        <w:rPr>
          <w:rFonts w:ascii="Roboto Light" w:hAnsi="Roboto Light"/>
        </w:rPr>
      </w:pPr>
      <w:r w:rsidRPr="00B04417">
        <w:rPr>
          <w:rFonts w:ascii="Roboto Light" w:hAnsi="Roboto Light"/>
        </w:rPr>
        <w:t>G</w:t>
      </w:r>
      <w:r w:rsidRPr="00B04417">
        <w:rPr>
          <w:rFonts w:ascii="Roboto Light" w:hAnsi="Roboto Light"/>
        </w:rPr>
        <w:t>iven that MiFID II has hitherto scoped together forwards and futures in its implementation of Perimeter Guidance</w:t>
      </w:r>
      <w:r w:rsidRPr="00B04417">
        <w:rPr>
          <w:rFonts w:ascii="Roboto Light" w:hAnsi="Roboto Light"/>
        </w:rPr>
        <w:t>, both t</w:t>
      </w:r>
      <w:r w:rsidR="00696C6B" w:rsidRPr="00B04417">
        <w:rPr>
          <w:rFonts w:ascii="Roboto Light" w:hAnsi="Roboto Light"/>
        </w:rPr>
        <w:t xml:space="preserve">he ITS and associated RTS should make explicit reference to the limitation of ITS4 to exchange traded futures, </w:t>
      </w:r>
      <w:r w:rsidRPr="00B04417">
        <w:rPr>
          <w:rFonts w:ascii="Roboto Light" w:hAnsi="Roboto Light"/>
        </w:rPr>
        <w:t>and offer competent authorities clarity as to where and how to disapply these provisions.</w:t>
      </w:r>
    </w:p>
    <w:p w14:paraId="1B267746" w14:textId="77777777" w:rsidR="00001F99" w:rsidRPr="00B04417" w:rsidRDefault="00001F99" w:rsidP="008B29C3">
      <w:pPr>
        <w:rPr>
          <w:rFonts w:ascii="Roboto Light" w:hAnsi="Roboto Light"/>
        </w:rPr>
      </w:pPr>
    </w:p>
    <w:p w14:paraId="7DE8CF4F" w14:textId="58792B4E" w:rsidR="008B29C3" w:rsidRDefault="008B29C3" w:rsidP="008B29C3">
      <w:r>
        <w:t>TYPE YOUR TEXT HERE</w:t>
      </w:r>
    </w:p>
    <w:permEnd w:id="2115599768"/>
    <w:p w14:paraId="6765F359" w14:textId="77777777" w:rsidR="008B29C3" w:rsidRDefault="008B29C3" w:rsidP="008B29C3">
      <w:r>
        <w:t>&lt;ESMA_QUESTION_PMPR_3&gt;</w:t>
      </w:r>
    </w:p>
    <w:p w14:paraId="4D357BAB" w14:textId="77777777" w:rsidR="008B29C3" w:rsidRDefault="008B29C3" w:rsidP="008B29C3"/>
    <w:p w14:paraId="17D61CE6" w14:textId="77777777" w:rsidR="008B29C3" w:rsidRDefault="008B29C3" w:rsidP="008B29C3">
      <w:pPr>
        <w:pStyle w:val="Questionstyle"/>
        <w:numPr>
          <w:ilvl w:val="0"/>
          <w:numId w:val="17"/>
        </w:numPr>
        <w:spacing w:after="240" w:line="256" w:lineRule="auto"/>
        <w:ind w:left="851" w:hanging="851"/>
      </w:pPr>
      <w:r>
        <w:t>Do you support the draft Technical Advice related to Article 83 of CDR 2017/5654?</w:t>
      </w:r>
    </w:p>
    <w:p w14:paraId="0C1F6BDD" w14:textId="77777777" w:rsidR="008B29C3" w:rsidRDefault="008B29C3" w:rsidP="008B29C3">
      <w:r>
        <w:t>&lt;ESMA_QUESTION_PMPR_4&gt;</w:t>
      </w:r>
    </w:p>
    <w:p w14:paraId="0FB5194A" w14:textId="711F38AF" w:rsidR="00B04417" w:rsidRDefault="00B04417" w:rsidP="008B29C3">
      <w:pPr>
        <w:rPr>
          <w:rFonts w:ascii="Roboto Light" w:hAnsi="Roboto Light"/>
        </w:rPr>
      </w:pPr>
      <w:permStart w:id="291460008" w:edGrp="everyone"/>
      <w:r w:rsidRPr="00B04417">
        <w:rPr>
          <w:rFonts w:ascii="Roboto Light" w:hAnsi="Roboto Light"/>
        </w:rPr>
        <w:t>No, we disagree with those proposals in ITS4 which predicate a CCP-cleared exchange traded model, but are drafted such that they would apply to all MTF and OTF traded commodity derivatives</w:t>
      </w:r>
      <w:r>
        <w:rPr>
          <w:rFonts w:ascii="Roboto Light" w:hAnsi="Roboto Light"/>
        </w:rPr>
        <w:t>.</w:t>
      </w:r>
    </w:p>
    <w:p w14:paraId="6FCCBBB2" w14:textId="77777777" w:rsidR="00B04417" w:rsidRDefault="00B04417" w:rsidP="008B29C3">
      <w:pPr>
        <w:rPr>
          <w:rFonts w:ascii="Roboto Light" w:hAnsi="Roboto Light"/>
        </w:rPr>
      </w:pPr>
    </w:p>
    <w:p w14:paraId="52B24844" w14:textId="587B2FBC" w:rsidR="00B04417" w:rsidRDefault="00B04417" w:rsidP="008B29C3">
      <w:pPr>
        <w:rPr>
          <w:rFonts w:ascii="Roboto Light" w:hAnsi="Roboto Light"/>
        </w:rPr>
      </w:pPr>
      <w:r>
        <w:rPr>
          <w:rFonts w:ascii="Roboto Light" w:hAnsi="Roboto Light"/>
        </w:rPr>
        <w:t xml:space="preserve">It follows from our answers above that unless the </w:t>
      </w:r>
      <w:r w:rsidRPr="00B04417">
        <w:rPr>
          <w:rFonts w:ascii="Roboto Light" w:hAnsi="Roboto Light"/>
        </w:rPr>
        <w:t>trading venue</w:t>
      </w:r>
      <w:r>
        <w:rPr>
          <w:rFonts w:ascii="Roboto Light" w:hAnsi="Roboto Light"/>
        </w:rPr>
        <w:t xml:space="preserve"> cited in </w:t>
      </w:r>
      <w:r w:rsidRPr="00B04417">
        <w:rPr>
          <w:rFonts w:ascii="Roboto Light" w:hAnsi="Roboto Light"/>
        </w:rPr>
        <w:t xml:space="preserve">Article 83 </w:t>
      </w:r>
      <w:r>
        <w:rPr>
          <w:rFonts w:ascii="Roboto Light" w:hAnsi="Roboto Light"/>
        </w:rPr>
        <w:t xml:space="preserve">(1) </w:t>
      </w:r>
      <w:r w:rsidRPr="00B04417">
        <w:rPr>
          <w:rFonts w:ascii="Roboto Light" w:hAnsi="Roboto Light"/>
        </w:rPr>
        <w:t>of CDR 2017/5654</w:t>
      </w:r>
      <w:r>
        <w:rPr>
          <w:rFonts w:ascii="Roboto Light" w:hAnsi="Roboto Light"/>
        </w:rPr>
        <w:t xml:space="preserve"> </w:t>
      </w:r>
      <w:r w:rsidRPr="00B04417">
        <w:rPr>
          <w:rFonts w:ascii="Roboto Light" w:hAnsi="Roboto Light"/>
        </w:rPr>
        <w:t>is a vertically integrated exchange</w:t>
      </w:r>
      <w:r>
        <w:rPr>
          <w:rFonts w:ascii="Roboto Light" w:hAnsi="Roboto Light"/>
        </w:rPr>
        <w:t xml:space="preserve"> with full visibility over a non-fungible pool of cleared open interest, it could not know any of the metrics in points (a) and (b). Indeed point (b) is entirely couched in exchange traded terms of “open interest” and “lots” (despite the ESMA advice for power and gas positions notation even when traded on </w:t>
      </w:r>
      <w:r w:rsidR="006F2DF2">
        <w:rPr>
          <w:rFonts w:ascii="Roboto Light" w:hAnsi="Roboto Light"/>
        </w:rPr>
        <w:t>RM-exchange).</w:t>
      </w:r>
    </w:p>
    <w:p w14:paraId="0C64B896" w14:textId="77777777" w:rsidR="006F2DF2" w:rsidRDefault="006F2DF2" w:rsidP="008B29C3">
      <w:pPr>
        <w:rPr>
          <w:rFonts w:ascii="Roboto Light" w:hAnsi="Roboto Light"/>
        </w:rPr>
      </w:pPr>
    </w:p>
    <w:p w14:paraId="377DC4D1" w14:textId="77F5CA97" w:rsidR="006F2DF2" w:rsidRDefault="006F2DF2" w:rsidP="006F2DF2">
      <w:pPr>
        <w:rPr>
          <w:rFonts w:ascii="Roboto Light" w:hAnsi="Roboto Light"/>
        </w:rPr>
      </w:pPr>
      <w:r>
        <w:rPr>
          <w:rFonts w:ascii="Roboto Light" w:hAnsi="Roboto Light"/>
        </w:rPr>
        <w:lastRenderedPageBreak/>
        <w:t xml:space="preserve">Rather, </w:t>
      </w:r>
      <w:r>
        <w:rPr>
          <w:rFonts w:ascii="Roboto Light" w:hAnsi="Roboto Light"/>
        </w:rPr>
        <w:t xml:space="preserve">in </w:t>
      </w:r>
      <w:r w:rsidRPr="00B04417">
        <w:rPr>
          <w:rFonts w:ascii="Roboto Light" w:hAnsi="Roboto Light"/>
        </w:rPr>
        <w:t>Article 83 of CDR 2017/5654</w:t>
      </w:r>
      <w:r>
        <w:rPr>
          <w:rFonts w:ascii="Roboto Light" w:hAnsi="Roboto Light"/>
        </w:rPr>
        <w:t xml:space="preserve"> should </w:t>
      </w:r>
      <w:r w:rsidRPr="00B04417">
        <w:rPr>
          <w:rFonts w:ascii="Roboto Light" w:hAnsi="Roboto Light"/>
        </w:rPr>
        <w:t xml:space="preserve">be limited to “exchange traded derivatives” as defined by EMIR, or otherwise </w:t>
      </w:r>
      <w:r>
        <w:rPr>
          <w:rFonts w:ascii="Roboto Light" w:hAnsi="Roboto Light"/>
        </w:rPr>
        <w:t xml:space="preserve">term “trading venue” in point (1) be changed to regulated market in order to </w:t>
      </w:r>
      <w:r w:rsidRPr="00B04417">
        <w:rPr>
          <w:rFonts w:ascii="Roboto Light" w:hAnsi="Roboto Light"/>
        </w:rPr>
        <w:t>disappl</w:t>
      </w:r>
      <w:r>
        <w:rPr>
          <w:rFonts w:ascii="Roboto Light" w:hAnsi="Roboto Light"/>
        </w:rPr>
        <w:t>y</w:t>
      </w:r>
      <w:r w:rsidRPr="00B04417">
        <w:rPr>
          <w:rFonts w:ascii="Roboto Light" w:hAnsi="Roboto Light"/>
        </w:rPr>
        <w:t xml:space="preserve"> to MTFs and OTFs under MiFID.</w:t>
      </w:r>
      <w:r>
        <w:rPr>
          <w:rFonts w:ascii="Roboto Light" w:hAnsi="Roboto Light"/>
        </w:rPr>
        <w:t xml:space="preserve"> Similarly, and mindful that MiFID II combined “futures” and “forwards”, under points (a) and (b) the terms “</w:t>
      </w:r>
      <w:r w:rsidRPr="006F2DF2">
        <w:rPr>
          <w:rFonts w:ascii="Roboto Light" w:hAnsi="Roboto Light"/>
        </w:rPr>
        <w:t>futures and options</w:t>
      </w:r>
      <w:r>
        <w:rPr>
          <w:rFonts w:ascii="Roboto Light" w:hAnsi="Roboto Light"/>
        </w:rPr>
        <w:t>” should each be clarified by the preposition “exchange traded … ”</w:t>
      </w:r>
    </w:p>
    <w:p w14:paraId="109C155C" w14:textId="6EF44A08" w:rsidR="006F2DF2" w:rsidRPr="00B04417" w:rsidRDefault="006F2DF2" w:rsidP="008B29C3">
      <w:pPr>
        <w:rPr>
          <w:rFonts w:ascii="Roboto Light" w:hAnsi="Roboto Light"/>
        </w:rPr>
      </w:pPr>
    </w:p>
    <w:p w14:paraId="2B9FAFBD" w14:textId="77777777" w:rsidR="00B04417" w:rsidRPr="00B04417" w:rsidRDefault="00B04417" w:rsidP="008B29C3">
      <w:pPr>
        <w:rPr>
          <w:rFonts w:ascii="Roboto Light" w:hAnsi="Roboto Light"/>
        </w:rPr>
      </w:pPr>
    </w:p>
    <w:p w14:paraId="2C79BBA1" w14:textId="3197E7AD" w:rsidR="008B29C3" w:rsidRDefault="008B29C3" w:rsidP="008B29C3">
      <w:r>
        <w:t>TYPE YOUR TEXT HERE</w:t>
      </w:r>
    </w:p>
    <w:permEnd w:id="291460008"/>
    <w:p w14:paraId="551FC7C2" w14:textId="77777777" w:rsidR="008B29C3" w:rsidRDefault="008B29C3" w:rsidP="008B29C3">
      <w:r>
        <w:t>&lt;ESMA_QUESTION_PMPR_4&gt;</w:t>
      </w:r>
    </w:p>
    <w:p w14:paraId="3F3F4720" w14:textId="77777777" w:rsidR="008B29C3" w:rsidRDefault="008B29C3" w:rsidP="008B29C3"/>
    <w:p w14:paraId="799874CF" w14:textId="77777777" w:rsidR="008B29C3" w:rsidRDefault="008B29C3" w:rsidP="008B29C3"/>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23CDD" w14:textId="77777777" w:rsidR="00E91010" w:rsidRDefault="00E91010" w:rsidP="007E7997">
      <w:r>
        <w:separator/>
      </w:r>
    </w:p>
  </w:endnote>
  <w:endnote w:type="continuationSeparator" w:id="0">
    <w:p w14:paraId="14D9828F" w14:textId="77777777" w:rsidR="00E91010" w:rsidRDefault="00E91010" w:rsidP="007E7997">
      <w:r>
        <w:continuationSeparator/>
      </w:r>
    </w:p>
  </w:endnote>
  <w:endnote w:type="continuationNotice" w:id="1">
    <w:p w14:paraId="77AEC756" w14:textId="77777777" w:rsidR="00E91010" w:rsidRDefault="00E91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Roboto Light">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5A9F2" w14:textId="77777777" w:rsidR="00E91010" w:rsidRDefault="00E91010" w:rsidP="007E7997">
      <w:r>
        <w:separator/>
      </w:r>
    </w:p>
  </w:footnote>
  <w:footnote w:type="continuationSeparator" w:id="0">
    <w:p w14:paraId="2EAB4FF4" w14:textId="77777777" w:rsidR="00E91010" w:rsidRDefault="00E91010" w:rsidP="007E7997">
      <w:r>
        <w:continuationSeparator/>
      </w:r>
    </w:p>
  </w:footnote>
  <w:footnote w:type="continuationNotice" w:id="1">
    <w:p w14:paraId="60130FD2" w14:textId="77777777" w:rsidR="00E91010" w:rsidRDefault="00E910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923F5" w14:textId="0510F4CB"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684412">
      <w:rPr>
        <w:rFonts w:asciiTheme="minorHAnsi" w:eastAsiaTheme="minorEastAsia" w:hAnsiTheme="minorHAnsi" w:cstheme="minorBidi"/>
        <w:bCs/>
        <w:caps/>
        <w:noProof/>
        <w:color w:val="000000" w:themeColor="text1" w:themeShade="80"/>
        <w:sz w:val="16"/>
        <w:szCs w:val="20"/>
        <w:highlight w:val="yellow"/>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E925CA">
      <w:rPr>
        <w:rFonts w:asciiTheme="minorHAnsi" w:eastAsiaTheme="minorEastAsia" w:hAnsiTheme="minorHAnsi" w:cstheme="minorBidi"/>
        <w:color w:val="000000" w:themeColor="text1" w:themeShade="80"/>
        <w:sz w:val="16"/>
        <w:szCs w:val="20"/>
        <w:lang w:eastAsia="en-US"/>
      </w:rPr>
      <w:t>23 May 2024</w:t>
    </w:r>
    <w:r w:rsidR="00C00D4F">
      <w:rPr>
        <w:rFonts w:asciiTheme="minorHAnsi" w:eastAsiaTheme="minorEastAsia" w:hAnsiTheme="minorHAnsi" w:cstheme="minorBidi"/>
        <w:color w:val="000000" w:themeColor="text1" w:themeShade="80"/>
        <w:sz w:val="16"/>
        <w:szCs w:val="20"/>
        <w:lang w:eastAsia="en-US"/>
      </w:rPr>
      <w:br/>
    </w:r>
    <w:r w:rsidR="00BE3CDD" w:rsidRPr="00BE3CDD">
      <w:rPr>
        <w:rFonts w:asciiTheme="minorHAnsi" w:eastAsiaTheme="minorEastAsia" w:hAnsiTheme="minorHAnsi" w:cstheme="minorBidi"/>
        <w:color w:val="000000" w:themeColor="text1" w:themeShade="80"/>
        <w:sz w:val="16"/>
        <w:szCs w:val="20"/>
        <w:lang w:eastAsia="en-US"/>
      </w:rPr>
      <w:t>ESMA74-2134169708-7270</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D74EF"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E1720"/>
    <w:multiLevelType w:val="hybridMultilevel"/>
    <w:tmpl w:val="E604EEA8"/>
    <w:lvl w:ilvl="0" w:tplc="359287E8">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7"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3"/>
  </w:num>
  <w:num w:numId="2" w16cid:durableId="1495532731">
    <w:abstractNumId w:val="3"/>
  </w:num>
  <w:num w:numId="3" w16cid:durableId="994409496">
    <w:abstractNumId w:val="23"/>
  </w:num>
  <w:num w:numId="4" w16cid:durableId="1880320868">
    <w:abstractNumId w:val="4"/>
  </w:num>
  <w:num w:numId="5" w16cid:durableId="290864581">
    <w:abstractNumId w:val="13"/>
  </w:num>
  <w:num w:numId="6" w16cid:durableId="952590553">
    <w:abstractNumId w:val="25"/>
  </w:num>
  <w:num w:numId="7" w16cid:durableId="1159686949">
    <w:abstractNumId w:val="12"/>
  </w:num>
  <w:num w:numId="8" w16cid:durableId="765269892">
    <w:abstractNumId w:val="6"/>
  </w:num>
  <w:num w:numId="9" w16cid:durableId="1301960395">
    <w:abstractNumId w:val="9"/>
  </w:num>
  <w:num w:numId="10" w16cid:durableId="1228616548">
    <w:abstractNumId w:val="8"/>
  </w:num>
  <w:num w:numId="11" w16cid:durableId="2051027016">
    <w:abstractNumId w:val="7"/>
  </w:num>
  <w:num w:numId="12" w16cid:durableId="83380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6"/>
  </w:num>
  <w:num w:numId="15" w16cid:durableId="986476960">
    <w:abstractNumId w:val="20"/>
  </w:num>
  <w:num w:numId="16" w16cid:durableId="398749299">
    <w:abstractNumId w:val="24"/>
  </w:num>
  <w:num w:numId="17" w16cid:durableId="14076118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1"/>
  </w:num>
  <w:num w:numId="19" w16cid:durableId="558588771">
    <w:abstractNumId w:val="25"/>
  </w:num>
  <w:num w:numId="20" w16cid:durableId="1306933315">
    <w:abstractNumId w:val="11"/>
  </w:num>
  <w:num w:numId="21" w16cid:durableId="1623876054">
    <w:abstractNumId w:val="22"/>
  </w:num>
  <w:num w:numId="22" w16cid:durableId="783383837">
    <w:abstractNumId w:val="14"/>
  </w:num>
  <w:num w:numId="23" w16cid:durableId="2112964618">
    <w:abstractNumId w:val="19"/>
  </w:num>
  <w:num w:numId="24" w16cid:durableId="1958565453">
    <w:abstractNumId w:val="1"/>
  </w:num>
  <w:num w:numId="25" w16cid:durableId="1372725395">
    <w:abstractNumId w:val="18"/>
  </w:num>
  <w:num w:numId="26" w16cid:durableId="1686445133">
    <w:abstractNumId w:val="16"/>
  </w:num>
  <w:num w:numId="27" w16cid:durableId="1247768697">
    <w:abstractNumId w:val="10"/>
  </w:num>
  <w:num w:numId="28" w16cid:durableId="954170948">
    <w:abstractNumId w:val="2"/>
  </w:num>
  <w:num w:numId="29" w16cid:durableId="837424337">
    <w:abstractNumId w:val="17"/>
  </w:num>
  <w:num w:numId="30" w16cid:durableId="299657983">
    <w:abstractNumId w:val="5"/>
  </w:num>
  <w:num w:numId="31" w16cid:durableId="699822250">
    <w:abstractNumId w:val="15"/>
  </w:num>
  <w:num w:numId="32" w16cid:durableId="159763942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njzl0iiA09f/UD3YUTGfCejyrmp0PhMms1Nk7G5PxDkw9B+deRKs26e1nuGIOVKhiMmMSoCSg6VBKJlIuH8tEg==" w:salt="88GvVrzKOep3kRCIRN0XG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GUIDELINESANDRECOMMENDATIONS_TEMPLATE_REGULAR"/>
  </w:docVars>
  <w:rsids>
    <w:rsidRoot w:val="004B1842"/>
    <w:rsid w:val="00001F99"/>
    <w:rsid w:val="0000380B"/>
    <w:rsid w:val="00005505"/>
    <w:rsid w:val="00006275"/>
    <w:rsid w:val="00006971"/>
    <w:rsid w:val="00011F6C"/>
    <w:rsid w:val="0001249B"/>
    <w:rsid w:val="00012D68"/>
    <w:rsid w:val="000140DB"/>
    <w:rsid w:val="000142BB"/>
    <w:rsid w:val="0001633D"/>
    <w:rsid w:val="0001726F"/>
    <w:rsid w:val="00020098"/>
    <w:rsid w:val="00020300"/>
    <w:rsid w:val="00021A9A"/>
    <w:rsid w:val="00022ADA"/>
    <w:rsid w:val="00026327"/>
    <w:rsid w:val="00027EC9"/>
    <w:rsid w:val="00033934"/>
    <w:rsid w:val="00033CEF"/>
    <w:rsid w:val="00036C09"/>
    <w:rsid w:val="000372BF"/>
    <w:rsid w:val="00040A52"/>
    <w:rsid w:val="000419E9"/>
    <w:rsid w:val="00044C5A"/>
    <w:rsid w:val="00044E0A"/>
    <w:rsid w:val="00047C57"/>
    <w:rsid w:val="00054E00"/>
    <w:rsid w:val="00061B2B"/>
    <w:rsid w:val="000627C5"/>
    <w:rsid w:val="0006448C"/>
    <w:rsid w:val="0006449B"/>
    <w:rsid w:val="000655AD"/>
    <w:rsid w:val="00066144"/>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A7CE4"/>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178C"/>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1EE"/>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2019"/>
    <w:rsid w:val="001735B8"/>
    <w:rsid w:val="00177AA7"/>
    <w:rsid w:val="00180917"/>
    <w:rsid w:val="00180E53"/>
    <w:rsid w:val="00181CB7"/>
    <w:rsid w:val="001862A5"/>
    <w:rsid w:val="00186A70"/>
    <w:rsid w:val="00191035"/>
    <w:rsid w:val="001918E5"/>
    <w:rsid w:val="001929C9"/>
    <w:rsid w:val="00192A7A"/>
    <w:rsid w:val="00197AAF"/>
    <w:rsid w:val="001A1EF4"/>
    <w:rsid w:val="001A7046"/>
    <w:rsid w:val="001A710D"/>
    <w:rsid w:val="001A7E6F"/>
    <w:rsid w:val="001B0A77"/>
    <w:rsid w:val="001B16F1"/>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D6EF3"/>
    <w:rsid w:val="001E1ECD"/>
    <w:rsid w:val="001E3E0D"/>
    <w:rsid w:val="001E4A45"/>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57"/>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3F8"/>
    <w:rsid w:val="002645A8"/>
    <w:rsid w:val="0026493B"/>
    <w:rsid w:val="00265566"/>
    <w:rsid w:val="00265F44"/>
    <w:rsid w:val="002665E3"/>
    <w:rsid w:val="0027199C"/>
    <w:rsid w:val="00272C4E"/>
    <w:rsid w:val="002751FC"/>
    <w:rsid w:val="002753BD"/>
    <w:rsid w:val="00282B3A"/>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1AAC"/>
    <w:rsid w:val="002D2992"/>
    <w:rsid w:val="002D37A0"/>
    <w:rsid w:val="002D5AB5"/>
    <w:rsid w:val="002D6667"/>
    <w:rsid w:val="002D761A"/>
    <w:rsid w:val="002D79F3"/>
    <w:rsid w:val="002E1C11"/>
    <w:rsid w:val="002E3D0B"/>
    <w:rsid w:val="002E3E7D"/>
    <w:rsid w:val="002E6A8E"/>
    <w:rsid w:val="002F6279"/>
    <w:rsid w:val="00300C3F"/>
    <w:rsid w:val="003013B7"/>
    <w:rsid w:val="00301993"/>
    <w:rsid w:val="00301E55"/>
    <w:rsid w:val="00307397"/>
    <w:rsid w:val="003101EF"/>
    <w:rsid w:val="00312BDD"/>
    <w:rsid w:val="00314117"/>
    <w:rsid w:val="00317EDF"/>
    <w:rsid w:val="003279E7"/>
    <w:rsid w:val="00327B62"/>
    <w:rsid w:val="00331FE9"/>
    <w:rsid w:val="0033324D"/>
    <w:rsid w:val="00334627"/>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10A"/>
    <w:rsid w:val="0038331A"/>
    <w:rsid w:val="0039135B"/>
    <w:rsid w:val="003A34E7"/>
    <w:rsid w:val="003A3CB1"/>
    <w:rsid w:val="003A3D55"/>
    <w:rsid w:val="003A73A4"/>
    <w:rsid w:val="003B102E"/>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315D"/>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4802"/>
    <w:rsid w:val="00526E5D"/>
    <w:rsid w:val="00527517"/>
    <w:rsid w:val="00531432"/>
    <w:rsid w:val="00532BC8"/>
    <w:rsid w:val="005333E8"/>
    <w:rsid w:val="00534912"/>
    <w:rsid w:val="005370E7"/>
    <w:rsid w:val="005409B7"/>
    <w:rsid w:val="00545E62"/>
    <w:rsid w:val="00551070"/>
    <w:rsid w:val="00552C8A"/>
    <w:rsid w:val="00554CBC"/>
    <w:rsid w:val="00555156"/>
    <w:rsid w:val="0055535B"/>
    <w:rsid w:val="00560A96"/>
    <w:rsid w:val="005619CB"/>
    <w:rsid w:val="00561B71"/>
    <w:rsid w:val="00561F98"/>
    <w:rsid w:val="00564607"/>
    <w:rsid w:val="00565193"/>
    <w:rsid w:val="005664AB"/>
    <w:rsid w:val="005665F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13BF6"/>
    <w:rsid w:val="00616D27"/>
    <w:rsid w:val="00620FA4"/>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4412"/>
    <w:rsid w:val="00687BF0"/>
    <w:rsid w:val="006904CF"/>
    <w:rsid w:val="006912FB"/>
    <w:rsid w:val="00695AF2"/>
    <w:rsid w:val="00696A2B"/>
    <w:rsid w:val="00696BD5"/>
    <w:rsid w:val="00696C6B"/>
    <w:rsid w:val="006A04AE"/>
    <w:rsid w:val="006A0AE4"/>
    <w:rsid w:val="006A23F3"/>
    <w:rsid w:val="006A2CF3"/>
    <w:rsid w:val="006A395A"/>
    <w:rsid w:val="006A5047"/>
    <w:rsid w:val="006A5E48"/>
    <w:rsid w:val="006A7A10"/>
    <w:rsid w:val="006B0DA4"/>
    <w:rsid w:val="006B1B6B"/>
    <w:rsid w:val="006B2C57"/>
    <w:rsid w:val="006B391B"/>
    <w:rsid w:val="006B79E0"/>
    <w:rsid w:val="006C0B2D"/>
    <w:rsid w:val="006C1633"/>
    <w:rsid w:val="006C5BF8"/>
    <w:rsid w:val="006C7B3F"/>
    <w:rsid w:val="006C7CCB"/>
    <w:rsid w:val="006D3F14"/>
    <w:rsid w:val="006D3FDF"/>
    <w:rsid w:val="006D6009"/>
    <w:rsid w:val="006D7D41"/>
    <w:rsid w:val="006E2F4D"/>
    <w:rsid w:val="006E33A1"/>
    <w:rsid w:val="006E3FDD"/>
    <w:rsid w:val="006E58FB"/>
    <w:rsid w:val="006E5D82"/>
    <w:rsid w:val="006E66B2"/>
    <w:rsid w:val="006E6C50"/>
    <w:rsid w:val="006E7A69"/>
    <w:rsid w:val="006E7DE4"/>
    <w:rsid w:val="006F2DF2"/>
    <w:rsid w:val="006F53E8"/>
    <w:rsid w:val="006F5FB8"/>
    <w:rsid w:val="0070017B"/>
    <w:rsid w:val="0070427E"/>
    <w:rsid w:val="007047B9"/>
    <w:rsid w:val="00704D53"/>
    <w:rsid w:val="007056C3"/>
    <w:rsid w:val="00706072"/>
    <w:rsid w:val="00713644"/>
    <w:rsid w:val="007148CC"/>
    <w:rsid w:val="00715D9D"/>
    <w:rsid w:val="00721256"/>
    <w:rsid w:val="007217AD"/>
    <w:rsid w:val="00723BA1"/>
    <w:rsid w:val="00724A1B"/>
    <w:rsid w:val="0073173E"/>
    <w:rsid w:val="007319C3"/>
    <w:rsid w:val="0073454F"/>
    <w:rsid w:val="00735C00"/>
    <w:rsid w:val="007364C6"/>
    <w:rsid w:val="00740BF3"/>
    <w:rsid w:val="00741962"/>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7F7947"/>
    <w:rsid w:val="00800A7F"/>
    <w:rsid w:val="0080285D"/>
    <w:rsid w:val="00806641"/>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656"/>
    <w:rsid w:val="00877DE4"/>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9C3"/>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D5EFE"/>
    <w:rsid w:val="008E00A6"/>
    <w:rsid w:val="008E2D26"/>
    <w:rsid w:val="008E4076"/>
    <w:rsid w:val="008E5B76"/>
    <w:rsid w:val="008E7DBA"/>
    <w:rsid w:val="008F1993"/>
    <w:rsid w:val="008F3386"/>
    <w:rsid w:val="008F3AD9"/>
    <w:rsid w:val="008F4642"/>
    <w:rsid w:val="008F4C29"/>
    <w:rsid w:val="008F4E00"/>
    <w:rsid w:val="008F6163"/>
    <w:rsid w:val="008F761D"/>
    <w:rsid w:val="00900D44"/>
    <w:rsid w:val="00902520"/>
    <w:rsid w:val="00906DC4"/>
    <w:rsid w:val="0091457F"/>
    <w:rsid w:val="0091729E"/>
    <w:rsid w:val="0093261E"/>
    <w:rsid w:val="009349C2"/>
    <w:rsid w:val="0094008E"/>
    <w:rsid w:val="00941C0C"/>
    <w:rsid w:val="009437F2"/>
    <w:rsid w:val="0094528B"/>
    <w:rsid w:val="00960A8B"/>
    <w:rsid w:val="00965128"/>
    <w:rsid w:val="00973F43"/>
    <w:rsid w:val="0097785D"/>
    <w:rsid w:val="0098011D"/>
    <w:rsid w:val="00981912"/>
    <w:rsid w:val="009819C0"/>
    <w:rsid w:val="009835AD"/>
    <w:rsid w:val="00987A75"/>
    <w:rsid w:val="00990C72"/>
    <w:rsid w:val="00991A8A"/>
    <w:rsid w:val="00992611"/>
    <w:rsid w:val="00994303"/>
    <w:rsid w:val="0099526D"/>
    <w:rsid w:val="00995414"/>
    <w:rsid w:val="00996C8B"/>
    <w:rsid w:val="009A0054"/>
    <w:rsid w:val="009A0F6E"/>
    <w:rsid w:val="009A518F"/>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2FB"/>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AF5B09"/>
    <w:rsid w:val="00B0014A"/>
    <w:rsid w:val="00B00B50"/>
    <w:rsid w:val="00B00DB2"/>
    <w:rsid w:val="00B016E3"/>
    <w:rsid w:val="00B02B0B"/>
    <w:rsid w:val="00B03817"/>
    <w:rsid w:val="00B04283"/>
    <w:rsid w:val="00B04417"/>
    <w:rsid w:val="00B05BA8"/>
    <w:rsid w:val="00B0741D"/>
    <w:rsid w:val="00B07AD8"/>
    <w:rsid w:val="00B07B20"/>
    <w:rsid w:val="00B1081B"/>
    <w:rsid w:val="00B14F01"/>
    <w:rsid w:val="00B15525"/>
    <w:rsid w:val="00B15C0B"/>
    <w:rsid w:val="00B16706"/>
    <w:rsid w:val="00B174BA"/>
    <w:rsid w:val="00B17AF3"/>
    <w:rsid w:val="00B2124C"/>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3379"/>
    <w:rsid w:val="00B648F2"/>
    <w:rsid w:val="00B655D1"/>
    <w:rsid w:val="00B72EC6"/>
    <w:rsid w:val="00B73FF2"/>
    <w:rsid w:val="00B74CBA"/>
    <w:rsid w:val="00B74ED3"/>
    <w:rsid w:val="00B768CF"/>
    <w:rsid w:val="00B770C4"/>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3CDD"/>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98A"/>
    <w:rsid w:val="00C17E6C"/>
    <w:rsid w:val="00C249CC"/>
    <w:rsid w:val="00C24E5F"/>
    <w:rsid w:val="00C255B6"/>
    <w:rsid w:val="00C26F3A"/>
    <w:rsid w:val="00C2770B"/>
    <w:rsid w:val="00C30296"/>
    <w:rsid w:val="00C3170E"/>
    <w:rsid w:val="00C31947"/>
    <w:rsid w:val="00C32E4F"/>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1E57"/>
    <w:rsid w:val="00DA3413"/>
    <w:rsid w:val="00DA426E"/>
    <w:rsid w:val="00DA4339"/>
    <w:rsid w:val="00DA4B1B"/>
    <w:rsid w:val="00DA4EFC"/>
    <w:rsid w:val="00DA648D"/>
    <w:rsid w:val="00DA726D"/>
    <w:rsid w:val="00DB1B8D"/>
    <w:rsid w:val="00DB3DEA"/>
    <w:rsid w:val="00DB40BD"/>
    <w:rsid w:val="00DB4B8E"/>
    <w:rsid w:val="00DB4F4B"/>
    <w:rsid w:val="00DC070F"/>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010"/>
    <w:rsid w:val="00E91FC1"/>
    <w:rsid w:val="00E925CA"/>
    <w:rsid w:val="00E92D54"/>
    <w:rsid w:val="00E9323C"/>
    <w:rsid w:val="00E95FD8"/>
    <w:rsid w:val="00EA0283"/>
    <w:rsid w:val="00EA5DE1"/>
    <w:rsid w:val="00EB0C86"/>
    <w:rsid w:val="00EB0E16"/>
    <w:rsid w:val="00EB1A57"/>
    <w:rsid w:val="00EB236F"/>
    <w:rsid w:val="00EB237E"/>
    <w:rsid w:val="00EC1546"/>
    <w:rsid w:val="00EC15D5"/>
    <w:rsid w:val="00EC445B"/>
    <w:rsid w:val="00EC4D18"/>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EF79BE"/>
    <w:rsid w:val="00F03FA7"/>
    <w:rsid w:val="00F048EF"/>
    <w:rsid w:val="00F06AAD"/>
    <w:rsid w:val="00F144F5"/>
    <w:rsid w:val="00F146BE"/>
    <w:rsid w:val="00F22013"/>
    <w:rsid w:val="00F22356"/>
    <w:rsid w:val="00F226E0"/>
    <w:rsid w:val="00F2522F"/>
    <w:rsid w:val="00F30180"/>
    <w:rsid w:val="00F31A29"/>
    <w:rsid w:val="00F3279A"/>
    <w:rsid w:val="00F3399E"/>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6384"/>
    <w:rsid w:val="00FC6733"/>
    <w:rsid w:val="00FD2677"/>
    <w:rsid w:val="00FD28B8"/>
    <w:rsid w:val="00FD4D00"/>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26215133">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iFID-MiFIR Policy Document" ma:contentTypeID="0x0101008D9E5D2C101BA04B85C7EB08C6516E40030200B9651BAF2BFB244DBC0F4F054EB34AF3" ma:contentTypeVersion="35" ma:contentTypeDescription="" ma:contentTypeScope="" ma:versionID="c0a7cd79389bb885c719371fc6f98a50">
  <xsd:schema xmlns:xsd="http://www.w3.org/2001/XMLSchema" xmlns:xs="http://www.w3.org/2001/XMLSchema" xmlns:p="http://schemas.microsoft.com/office/2006/metadata/properties" xmlns:ns1="http://schemas.microsoft.com/sharepoint/v3" xmlns:ns2="d0fb0f98-34f9-4d57-9559-eb8efd17aa5e" xmlns:ns3="http://schemas.microsoft.com/sharepoint/v4" xmlns:ns4="f5465789-808f-433c-88e1-b70fe6f2db64" targetNamespace="http://schemas.microsoft.com/office/2006/metadata/properties" ma:root="true" ma:fieldsID="d75a36110dc4f923b26af48241ed9926" ns1:_="" ns2:_="" ns3:_="" ns4:_="">
    <xsd:import namespace="http://schemas.microsoft.com/sharepoint/v3"/>
    <xsd:import namespace="d0fb0f98-34f9-4d57-9559-eb8efd17aa5e"/>
    <xsd:import namespace="http://schemas.microsoft.com/sharepoint/v4"/>
    <xsd:import namespace="f5465789-808f-433c-88e1-b70fe6f2db64"/>
    <xsd:element name="properties">
      <xsd:complexType>
        <xsd:sequence>
          <xsd:element name="documentManagement">
            <xsd:complexType>
              <xsd:all>
                <xsd:element ref="ns2:TaxCatchAll" minOccurs="0"/>
                <xsd:element ref="ns3:IconOverlay" minOccurs="0"/>
                <xsd:element ref="ns2:Year"/>
                <xsd:element ref="ns2:MeetingDate" minOccurs="0"/>
                <xsd:element ref="ns1:_vti_ItemDeclaredRecord" minOccurs="0"/>
                <xsd:element ref="ns1:_vti_ItemHoldRecordStatus" minOccurs="0"/>
                <xsd:element ref="ns2:TaxCatchAllLabel" minOccurs="0"/>
                <xsd:element ref="ns2:caa5aeb1a6644849b60fbe2335e12657" minOccurs="0"/>
                <xsd:element ref="ns2:n644e5dfaa29486bad4a4fc019c6d2df" minOccurs="0"/>
                <xsd:element ref="ns2:bce29119141747ccb9ac7d87218ed4af" minOccurs="0"/>
                <xsd:element ref="ns2:eed0a0b2ea6941718a34434e243f3d8f" minOccurs="0"/>
                <xsd:element ref="ns2:j69a081f486747f6ac8a5aeed63facfd" minOccurs="0"/>
                <xsd:element ref="ns2:a9b3b1dad23b4ba58c3f3e36a96e1d9c" minOccurs="0"/>
                <xsd:element ref="ns2:_dlc_DocId" minOccurs="0"/>
                <xsd:element ref="ns2:_dlc_DocIdUrl" minOccurs="0"/>
                <xsd:element ref="ns2:_dlc_DocIdPersistId" minOccurs="0"/>
                <xsd:element ref="ns2:SharedWithUsers" minOccurs="0"/>
                <xsd:element ref="ns2:SharedWithDetails" minOccurs="0"/>
                <xsd:element ref="ns4:MediaServiceMetadata" minOccurs="0"/>
                <xsd:element ref="ns4:MediaServiceFastMetadata" minOccurs="0"/>
                <xsd:element ref="ns4:lcf76f155ced4ddcb4097134ff3c332f" minOccurs="0"/>
                <xsd:element ref="ns4:MediaServiceGenerationTime" minOccurs="0"/>
                <xsd:element ref="ns4:MediaServiceEventHashCod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8" nillable="true" ma:displayName="Declared Record" ma:description="" ma:hidden="true" ma:internalName="_vti_ItemDeclaredRecord" ma:readOnly="true">
      <xsd:simpleType>
        <xsd:restriction base="dms:DateTime"/>
      </xsd:simpleType>
    </xsd:element>
    <xsd:element name="_vti_ItemHoldRecordStatus" ma:index="1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TaxCatchAll" ma:index="4"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Year" ma:index="14" ma:displayName="Year" ma:default="" ma:indexed="true" ma:internalName="Year" ma:readOnly="false">
      <xsd:simpleType>
        <xsd:restriction base="dms:Text">
          <xsd:maxLength value="4"/>
        </xsd:restriction>
      </xsd:simpleType>
    </xsd:element>
    <xsd:element name="MeetingDate" ma:index="16" nillable="true" ma:displayName="Meeting Date" ma:format="DateOnly" ma:internalName="MeetingDate" ma:readOnly="false">
      <xsd:simpleType>
        <xsd:restriction base="dms:DateTime"/>
      </xsd:simpleType>
    </xsd:element>
    <xsd:element name="TaxCatchAllLabel" ma:index="20"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caa5aeb1a6644849b60fbe2335e12657" ma:index="21" nillable="true" ma:taxonomy="true" ma:internalName="caa5aeb1a6644849b60fbe2335e12657" ma:taxonomyFieldName="Topic" ma:displayName="Topic" ma:indexed="true" ma:readOnly="false" ma:fieldId="{caa5aeb1-a664-4849-b60f-be2335e12657}" ma:sspId="d4b01e31-ead0-4f68-a8e9-2aaca35f2e62"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2" nillable="true" ma:taxonomy="true" ma:internalName="n644e5dfaa29486bad4a4fc019c6d2df" ma:taxonomyFieldName="SubTopic" ma:displayName="Sub Topic" ma:readOnly="false" ma:fieldId="{7644e5df-aa29-486b-ad4a-4fc019c6d2df}" ma:sspId="d4b01e31-ead0-4f68-a8e9-2aaca35f2e62"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3" ma:taxonomy="true" ma:internalName="bce29119141747ccb9ac7d87218ed4af" ma:taxonomyFieldName="TeamName" ma:displayName="Team Name" ma:readOnly="false" ma:default="-1;#Secondary Markets|0116aa60-aa30-4997-8f0f-29abf5f5f198"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24"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5"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6"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465789-808f-433c-88e1-b70fe6f2db64" elementFormDefault="qualified">
    <xsd:import namespace="http://schemas.microsoft.com/office/2006/documentManagement/types"/>
    <xsd:import namespace="http://schemas.microsoft.com/office/infopath/2007/PartnerControls"/>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d0fb0f98-34f9-4d57-9559-eb8efd17aa5e">ESMA74-2134169708-7270</_dlc_DocId>
    <TaxCatchAll xmlns="d0fb0f98-34f9-4d57-9559-eb8efd17aa5e">
      <Value>6</Value>
      <Value>100</Value>
      <Value>9</Value>
      <Value>443</Value>
      <Value>421</Value>
    </TaxCatchAll>
    <_dlc_DocIdUrl xmlns="d0fb0f98-34f9-4d57-9559-eb8efd17aa5e">
      <Url>https://securitiesandmarketsauth.sharepoint.com/sites/sherpa-trdu/_layouts/15/DocIdRedir.aspx?ID=ESMA74-2134169708-7270</Url>
      <Description>ESMA74-2134169708-7270</Description>
    </_dlc_DocIdUrl>
    <Year xmlns="d0fb0f98-34f9-4d57-9559-eb8efd17aa5e">2021</Year>
    <MeetingDate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Commodity - Position Management Controls</TermName>
          <TermId xmlns="http://schemas.microsoft.com/office/infopath/2007/PartnerControls">1301e07e-6049-4957-87c8-d3a6357dc906</TermId>
        </TermInfo>
      </Terms>
    </n644e5dfaa29486bad4a4fc019c6d2df>
    <lcf76f155ced4ddcb4097134ff3c332f xmlns="f5465789-808f-433c-88e1-b70fe6f2db64">
      <Terms xmlns="http://schemas.microsoft.com/office/infopath/2007/PartnerControls"/>
    </lcf76f155ced4ddcb4097134ff3c332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d0fb0f98-34f9-4d57-9559-eb8efd17aa5e">
      <Terms xmlns="http://schemas.microsoft.com/office/infopath/2007/PartnerControls"/>
    </a9b3b1dad23b4ba58c3f3e36a96e1d9c>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Commodity</TermName>
          <TermId xmlns="http://schemas.microsoft.com/office/infopath/2007/PartnerControls">729cc5dc-fc40-4e6f-89b7-0bed773f437e</TermId>
        </TermInfo>
      </Terms>
    </caa5aeb1a6644849b60fbe2335e12657>
    <SharedWithUsers xmlns="d0fb0f98-34f9-4d57-9559-eb8efd17aa5e">
      <UserInfo>
        <DisplayName>Iris Hude</DisplayName>
        <AccountId>186</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5AA33-045F-422A-917C-D04E24890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fb0f98-34f9-4d57-9559-eb8efd17aa5e"/>
    <ds:schemaRef ds:uri="http://schemas.microsoft.com/sharepoint/v4"/>
    <ds:schemaRef ds:uri="f5465789-808f-433c-88e1-b70fe6f2d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3.xml><?xml version="1.0" encoding="utf-8"?>
<ds:datastoreItem xmlns:ds="http://schemas.openxmlformats.org/officeDocument/2006/customXml" ds:itemID="{8337F5EE-E87B-49CE-96B5-F95CE63A0DF2}">
  <ds:schemaRefs>
    <ds:schemaRef ds:uri="http://schemas.microsoft.com/office/2006/documentManagement/types"/>
    <ds:schemaRef ds:uri="d0fb0f98-34f9-4d57-9559-eb8efd17aa5e"/>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microsoft.com/sharepoint/v4"/>
    <ds:schemaRef ds:uri="http://schemas.openxmlformats.org/package/2006/metadata/core-properties"/>
    <ds:schemaRef ds:uri="f5465789-808f-433c-88e1-b70fe6f2db64"/>
    <ds:schemaRef ds:uri="http://schemas.microsoft.com/sharepoint/v3"/>
    <ds:schemaRef ds:uri="http://purl.org/dc/dcmitype/"/>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TotalTime>
  <Pages>9</Pages>
  <Words>2129</Words>
  <Characters>12140</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Alexander McDonald</cp:lastModifiedBy>
  <cp:revision>2</cp:revision>
  <cp:lastPrinted>2024-08-23T17:56:00Z</cp:lastPrinted>
  <dcterms:created xsi:type="dcterms:W3CDTF">2024-08-23T17:57:00Z</dcterms:created>
  <dcterms:modified xsi:type="dcterms:W3CDTF">2024-08-23T17:57:00Z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6;#Regular|07f1e362-856b-423d-bea6-a14079762141</vt:lpwstr>
  </property>
  <property fmtid="{D5CDD505-2E9C-101B-9397-08002B2CF9AE}" pid="4" name="ContentTypeId">
    <vt:lpwstr>0x0101008D9E5D2C101BA04B85C7EB08C6516E40030200B9651BAF2BFB244DBC0F4F054EB34AF3</vt:lpwstr>
  </property>
  <property fmtid="{D5CDD505-2E9C-101B-9397-08002B2CF9AE}" pid="5" name="_dlc_DocIdItemGuid">
    <vt:lpwstr>99e64f01-a6e3-47be-8d25-289d03a11015</vt:lpwstr>
  </property>
  <property fmtid="{D5CDD505-2E9C-101B-9397-08002B2CF9AE}" pid="6" name="DocumentType">
    <vt:lpwstr>100;#Report|78753201-1e9e-4a21-a088-6ff602b5c999</vt:lpwstr>
  </property>
  <property fmtid="{D5CDD505-2E9C-101B-9397-08002B2CF9AE}" pid="7" name="Topic">
    <vt:lpwstr>421;#Commodity|729cc5dc-fc40-4e6f-89b7-0bed773f437e</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9;#Trading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443;#Commodity - Position Management Controls|1301e07e-6049-4957-87c8-d3a6357dc906</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y fmtid="{D5CDD505-2E9C-101B-9397-08002B2CF9AE}" pid="21" name="MediaServiceImageTags">
    <vt:lpwstr/>
  </property>
</Properties>
</file>