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250CAEA4" w:rsidR="006A5E48" w:rsidRPr="00FA64BE" w:rsidRDefault="001201EE" w:rsidP="00684412">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w:t>
                </w:r>
                <w:r w:rsidR="00684412">
                  <w:rPr>
                    <w:rFonts w:cs="Arial"/>
                    <w:bCs/>
                    <w:color w:val="auto"/>
                    <w:sz w:val="24"/>
                    <w:szCs w:val="24"/>
                  </w:rPr>
                  <w:t xml:space="preserve"> </w:t>
                </w:r>
                <w:r w:rsidR="00684412" w:rsidRPr="00684412">
                  <w:rPr>
                    <w:rFonts w:cs="Arial"/>
                    <w:bCs/>
                    <w:color w:val="auto"/>
                    <w:sz w:val="24"/>
                    <w:szCs w:val="24"/>
                  </w:rPr>
                  <w:t xml:space="preserve">Consultation Paper </w:t>
                </w:r>
                <w:r w:rsidR="00684412">
                  <w:rPr>
                    <w:rFonts w:cs="Arial"/>
                    <w:bCs/>
                    <w:color w:val="auto"/>
                    <w:sz w:val="24"/>
                    <w:szCs w:val="24"/>
                  </w:rPr>
                  <w:t>o</w:t>
                </w:r>
                <w:r w:rsidR="00684412" w:rsidRPr="00684412">
                  <w:rPr>
                    <w:rFonts w:cs="Arial"/>
                    <w:bCs/>
                    <w:color w:val="auto"/>
                    <w:sz w:val="24"/>
                    <w:szCs w:val="24"/>
                  </w:rPr>
                  <w:t xml:space="preserve">n the amendments to certain technical standards for commodity derivatives  </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A2A3"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227A6B6"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w:t>
          </w:r>
          <w:r w:rsidRPr="00E925CA">
            <w:rPr>
              <w:rFonts w:asciiTheme="minorHAnsi" w:eastAsiaTheme="minorEastAsia" w:hAnsiTheme="minorHAnsi" w:cstheme="minorBidi"/>
              <w:sz w:val="18"/>
              <w:szCs w:val="16"/>
              <w:lang w:eastAsia="en-US"/>
            </w:rPr>
            <w:t xml:space="preserve">received by </w:t>
          </w:r>
          <w:r w:rsidR="00E925CA" w:rsidRPr="00E925CA">
            <w:rPr>
              <w:rFonts w:asciiTheme="minorHAnsi" w:eastAsiaTheme="minorEastAsia" w:hAnsiTheme="minorHAnsi" w:cstheme="minorBidi"/>
              <w:b/>
              <w:sz w:val="18"/>
              <w:szCs w:val="16"/>
              <w:lang w:eastAsia="en-US"/>
            </w:rPr>
            <w:t>23 August 2023</w:t>
          </w:r>
          <w:r w:rsidR="002C76AE" w:rsidRPr="00E925CA">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331C603"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684412">
            <w:rPr>
              <w:rFonts w:eastAsiaTheme="minorEastAsia" w:cstheme="minorBidi"/>
              <w:sz w:val="18"/>
              <w:szCs w:val="16"/>
              <w:lang w:eastAsia="en-US"/>
            </w:rPr>
            <w:t>PMPR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5D4B8A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684412">
            <w:rPr>
              <w:rFonts w:eastAsiaTheme="minorEastAsia" w:cstheme="minorBidi"/>
              <w:sz w:val="18"/>
              <w:szCs w:val="16"/>
              <w:lang w:eastAsia="en-US"/>
            </w:rPr>
            <w:t>PMPR</w:t>
          </w:r>
          <w:r w:rsidRPr="00A409C2">
            <w:rPr>
              <w:rFonts w:eastAsiaTheme="minorEastAsia" w:cstheme="minorBidi"/>
              <w:sz w:val="18"/>
              <w:szCs w:val="16"/>
              <w:lang w:eastAsia="en-US"/>
            </w:rPr>
            <w:t xml:space="preserve">_nameofrespondent_RESPONSEFORM. For example, for a respondent named </w:t>
          </w:r>
          <w:r w:rsidR="00684412">
            <w:rPr>
              <w:rFonts w:eastAsiaTheme="minorEastAsia" w:cstheme="minorBidi"/>
              <w:sz w:val="18"/>
              <w:szCs w:val="16"/>
              <w:lang w:eastAsia="en-US"/>
            </w:rPr>
            <w:t>‘</w:t>
          </w:r>
          <w:r w:rsidRPr="00A409C2">
            <w:rPr>
              <w:rFonts w:eastAsiaTheme="minorEastAsia" w:cstheme="minorBidi"/>
              <w:sz w:val="18"/>
              <w:szCs w:val="16"/>
              <w:lang w:eastAsia="en-US"/>
            </w:rPr>
            <w:t>ABCD</w:t>
          </w:r>
          <w:r w:rsidR="00684412">
            <w:rPr>
              <w:rFonts w:eastAsiaTheme="minorEastAsia" w:cstheme="minorBidi"/>
              <w:sz w:val="18"/>
              <w:szCs w:val="16"/>
              <w:lang w:eastAsia="en-US"/>
            </w:rPr>
            <w:t>’</w:t>
          </w:r>
          <w:r w:rsidRPr="00A409C2">
            <w:rPr>
              <w:rFonts w:eastAsiaTheme="minorEastAsia" w:cstheme="minorBidi"/>
              <w:sz w:val="18"/>
              <w:szCs w:val="16"/>
              <w:lang w:eastAsia="en-US"/>
            </w:rPr>
            <w:t>, the response form would be entitled ESMA_</w:t>
          </w:r>
          <w:r w:rsidR="00684412">
            <w:rPr>
              <w:rFonts w:eastAsiaTheme="minorEastAsia" w:cstheme="minorBidi"/>
              <w:sz w:val="18"/>
              <w:szCs w:val="16"/>
              <w:lang w:eastAsia="en-US"/>
            </w:rPr>
            <w:t>PMPR</w:t>
          </w:r>
          <w:r w:rsidRPr="00A409C2">
            <w:rPr>
              <w:rFonts w:eastAsiaTheme="minorEastAsia" w:cstheme="minorBidi"/>
              <w:sz w:val="18"/>
              <w:szCs w:val="16"/>
              <w:lang w:eastAsia="en-US"/>
            </w:rPr>
            <w:t>_ABCD_RESPONSEFORM.</w:t>
          </w:r>
        </w:p>
        <w:p w14:paraId="28EEA743" w14:textId="321C7B14" w:rsidR="00A02199" w:rsidRPr="00684412" w:rsidRDefault="00B16706" w:rsidP="00956774">
          <w:pPr>
            <w:pStyle w:val="ListParagraph"/>
            <w:numPr>
              <w:ilvl w:val="0"/>
              <w:numId w:val="29"/>
            </w:numPr>
            <w:spacing w:after="250" w:line="276" w:lineRule="auto"/>
            <w:rPr>
              <w:rFonts w:eastAsiaTheme="minorEastAsia" w:cstheme="minorBidi"/>
              <w:sz w:val="18"/>
              <w:szCs w:val="16"/>
              <w:lang w:eastAsia="en-US"/>
            </w:rPr>
          </w:pPr>
          <w:r w:rsidRPr="00684412">
            <w:rPr>
              <w:rFonts w:eastAsiaTheme="minorEastAsia" w:cstheme="minorBidi"/>
              <w:sz w:val="18"/>
              <w:szCs w:val="16"/>
              <w:lang w:eastAsia="en-US"/>
            </w:rPr>
            <w:t xml:space="preserve">Upload the form containing your responses, </w:t>
          </w:r>
          <w:r w:rsidRPr="00684412">
            <w:rPr>
              <w:rFonts w:eastAsiaTheme="minorEastAsia" w:cstheme="minorBidi"/>
              <w:b/>
              <w:bCs/>
              <w:sz w:val="18"/>
              <w:szCs w:val="16"/>
              <w:lang w:eastAsia="en-US"/>
            </w:rPr>
            <w:t>in Word format</w:t>
          </w:r>
          <w:r w:rsidRPr="00684412">
            <w:rPr>
              <w:rFonts w:eastAsiaTheme="minorEastAsia" w:cstheme="minorBidi"/>
              <w:sz w:val="18"/>
              <w:szCs w:val="16"/>
              <w:lang w:eastAsia="en-US"/>
            </w:rPr>
            <w:t xml:space="preserve">, to ESMA’s website (www.esma.europa.eu under the heading “Your input – Open Consultations” -&gt; </w:t>
          </w:r>
          <w:r w:rsidR="00684412">
            <w:rPr>
              <w:rFonts w:eastAsiaTheme="minorEastAsia" w:cstheme="minorBidi"/>
              <w:sz w:val="18"/>
              <w:szCs w:val="16"/>
              <w:lang w:eastAsia="en-US"/>
            </w:rPr>
            <w:t>“</w:t>
          </w:r>
          <w:r w:rsidR="00684412" w:rsidRPr="00684412">
            <w:rPr>
              <w:rFonts w:eastAsiaTheme="minorEastAsia" w:cstheme="minorBidi"/>
              <w:sz w:val="18"/>
              <w:szCs w:val="16"/>
              <w:lang w:eastAsia="en-US"/>
            </w:rPr>
            <w:t xml:space="preserve">Consultation Paper </w:t>
          </w:r>
          <w:r w:rsidR="00684412">
            <w:rPr>
              <w:rFonts w:eastAsiaTheme="minorEastAsia" w:cstheme="minorBidi"/>
              <w:sz w:val="18"/>
              <w:szCs w:val="16"/>
              <w:lang w:eastAsia="en-US"/>
            </w:rPr>
            <w:t>o</w:t>
          </w:r>
          <w:r w:rsidR="00684412" w:rsidRPr="00684412">
            <w:rPr>
              <w:rFonts w:eastAsiaTheme="minorEastAsia" w:cstheme="minorBidi"/>
              <w:sz w:val="18"/>
              <w:szCs w:val="16"/>
              <w:lang w:eastAsia="en-US"/>
            </w:rPr>
            <w:t>n the amendments to certain technical standards for commodity derivatives</w:t>
          </w:r>
          <w:r w:rsidR="00684412">
            <w:rPr>
              <w:rFonts w:eastAsiaTheme="minorEastAsia" w:cstheme="minorBidi"/>
              <w:sz w:val="18"/>
              <w:szCs w:val="16"/>
              <w:lang w:eastAsia="en-US"/>
            </w:rPr>
            <w:t>”</w:t>
          </w:r>
          <w:r w:rsidR="00A409C2" w:rsidRPr="0068441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9"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0"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3590402" w:rsidR="00C85C8B" w:rsidRDefault="008B29C3" w:rsidP="008279D3">
      <w:pPr>
        <w:pStyle w:val="Heading1"/>
        <w:numPr>
          <w:ilvl w:val="0"/>
          <w:numId w:val="0"/>
        </w:numPr>
        <w:spacing w:line="276" w:lineRule="auto"/>
        <w:rPr>
          <w:rFonts w:asciiTheme="minorHAnsi" w:hAnsiTheme="minorHAnsi" w:cstheme="minorHAnsi"/>
          <w:sz w:val="20"/>
          <w:szCs w:val="20"/>
        </w:rPr>
      </w:pPr>
      <w:r w:rsidRPr="008B29C3">
        <w:rPr>
          <w:rFonts w:ascii="Arial" w:eastAsia="Times New Roman" w:hAnsi="Arial" w:cs="Arial"/>
          <w:b w:val="0"/>
          <w:sz w:val="18"/>
          <w:szCs w:val="18"/>
          <w:lang w:eastAsia="it-IT"/>
        </w:rPr>
        <w:t xml:space="preserve">This consultation paper is primarily of interest to trading venues, investment firms and non-financial counterparties trading in commodity derivatives, but responses are also sought from any other market participant including trade associations, industry bodies and investors.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4259A9D6" w:rsidR="00C85C8B" w:rsidRPr="00B16706" w:rsidRDefault="0056422B" w:rsidP="00C85C8B">
                <w:pPr>
                  <w:rPr>
                    <w:rFonts w:ascii="Arial" w:hAnsi="Arial" w:cs="Arial"/>
                    <w:color w:val="808080"/>
                    <w:sz w:val="16"/>
                    <w:szCs w:val="20"/>
                    <w:lang w:eastAsia="de-DE"/>
                  </w:rPr>
                </w:pPr>
                <w:r>
                  <w:rPr>
                    <w:rFonts w:ascii="Arial" w:hAnsi="Arial" w:cs="Arial"/>
                    <w:color w:val="808080"/>
                    <w:sz w:val="16"/>
                    <w:szCs w:val="20"/>
                    <w:lang w:eastAsia="de-DE"/>
                  </w:rPr>
                  <w:t>Euronext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86FB716" w:rsidR="00C85C8B" w:rsidRPr="00B16706" w:rsidRDefault="00A26D62"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6422B">
                  <w:rPr>
                    <w:rFonts w:ascii="Arial" w:hAnsi="Arial" w:cs="Arial"/>
                    <w:sz w:val="16"/>
                    <w:szCs w:val="20"/>
                    <w:lang w:eastAsia="de-DE"/>
                  </w:rPr>
                  <w:t>Regulated markets/Exchanges/Trading Systems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4BAEE699" w:rsidR="00C85C8B" w:rsidRPr="00B16706" w:rsidRDefault="0056422B"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E514EE2" w:rsidR="00C85C8B" w:rsidRPr="00B16706" w:rsidRDefault="00EC69C2"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14C3989A" w14:textId="6AE21E3A" w:rsidR="001B1B48"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639B7C0A" w14:textId="77777777" w:rsidR="008B29C3" w:rsidRDefault="008B29C3">
      <w:pPr>
        <w:spacing w:after="120" w:line="264" w:lineRule="auto"/>
        <w:rPr>
          <w:rFonts w:ascii="Arial" w:hAnsi="Arial" w:cs="Arial"/>
          <w:b/>
          <w:sz w:val="22"/>
          <w:szCs w:val="22"/>
          <w:lang w:val="en-US" w:eastAsia="en-US"/>
        </w:rPr>
      </w:pPr>
    </w:p>
    <w:bookmarkEnd w:id="0"/>
    <w:p w14:paraId="28B47330" w14:textId="77777777" w:rsidR="008B29C3" w:rsidRDefault="008B29C3" w:rsidP="008B29C3">
      <w:pPr>
        <w:pStyle w:val="Questionstyle"/>
        <w:numPr>
          <w:ilvl w:val="0"/>
          <w:numId w:val="17"/>
        </w:numPr>
        <w:spacing w:after="240" w:line="256" w:lineRule="auto"/>
        <w:ind w:left="851" w:hanging="851"/>
      </w:pPr>
      <w:r>
        <w:t xml:space="preserve">Do you agree with ESMA’s proposal to extend the requirements to set, review and report accountability levels to trading venues trading derivatives on emission allowances? Do you have any other comments on ESMA’s proposed amendments? Please elaborate. </w:t>
      </w:r>
    </w:p>
    <w:p w14:paraId="2DB3CD7C" w14:textId="77777777" w:rsidR="008B29C3" w:rsidRDefault="008B29C3" w:rsidP="008B29C3">
      <w:r>
        <w:t>&lt;ESMA_QUESTION_PMPR_1&gt;</w:t>
      </w:r>
    </w:p>
    <w:p w14:paraId="19F72243" w14:textId="42273430" w:rsidR="003A68E3" w:rsidRPr="000C7053" w:rsidRDefault="003A68E3" w:rsidP="003A68E3">
      <w:pPr>
        <w:autoSpaceDE w:val="0"/>
        <w:autoSpaceDN w:val="0"/>
        <w:adjustRightInd w:val="0"/>
        <w:jc w:val="both"/>
        <w:rPr>
          <w:rFonts w:ascii="Verdana" w:hAnsi="Verdana"/>
          <w:sz w:val="20"/>
          <w:szCs w:val="20"/>
        </w:rPr>
      </w:pPr>
      <w:permStart w:id="101661366" w:edGrp="everyone"/>
      <w:r w:rsidRPr="000C7053">
        <w:rPr>
          <w:rFonts w:ascii="Verdana" w:hAnsi="Verdana"/>
          <w:sz w:val="20"/>
          <w:szCs w:val="20"/>
        </w:rPr>
        <w:t xml:space="preserve">Euronext </w:t>
      </w:r>
      <w:r>
        <w:rPr>
          <w:rFonts w:ascii="Verdana" w:hAnsi="Verdana"/>
          <w:sz w:val="20"/>
          <w:szCs w:val="20"/>
        </w:rPr>
        <w:t xml:space="preserve">does not </w:t>
      </w:r>
      <w:r w:rsidRPr="000C7053">
        <w:rPr>
          <w:rFonts w:ascii="Verdana" w:hAnsi="Verdana"/>
          <w:sz w:val="20"/>
          <w:szCs w:val="20"/>
        </w:rPr>
        <w:t>ha</w:t>
      </w:r>
      <w:r>
        <w:rPr>
          <w:rFonts w:ascii="Verdana" w:hAnsi="Verdana"/>
          <w:sz w:val="20"/>
          <w:szCs w:val="20"/>
        </w:rPr>
        <w:t>ve</w:t>
      </w:r>
      <w:r w:rsidRPr="000C7053">
        <w:rPr>
          <w:rFonts w:ascii="Verdana" w:hAnsi="Verdana"/>
          <w:sz w:val="20"/>
          <w:szCs w:val="20"/>
        </w:rPr>
        <w:t xml:space="preserve"> specific comments on ESMA’s proposal to extend the requirements to set, review and report accountability levels to trading venues trading derivatives on emission allowances. </w:t>
      </w:r>
    </w:p>
    <w:p w14:paraId="38EA2707" w14:textId="77777777" w:rsidR="003A68E3" w:rsidRPr="000C7053" w:rsidRDefault="003A68E3" w:rsidP="003A68E3">
      <w:pPr>
        <w:autoSpaceDE w:val="0"/>
        <w:autoSpaceDN w:val="0"/>
        <w:adjustRightInd w:val="0"/>
        <w:jc w:val="both"/>
        <w:rPr>
          <w:rFonts w:ascii="Verdana" w:hAnsi="Verdana"/>
          <w:sz w:val="20"/>
          <w:szCs w:val="20"/>
        </w:rPr>
      </w:pPr>
    </w:p>
    <w:p w14:paraId="65DEC7BD" w14:textId="265F8C50" w:rsidR="008B29C3" w:rsidRPr="003A68E3" w:rsidRDefault="003A68E3" w:rsidP="003A68E3">
      <w:pPr>
        <w:autoSpaceDE w:val="0"/>
        <w:autoSpaceDN w:val="0"/>
        <w:adjustRightInd w:val="0"/>
        <w:jc w:val="both"/>
        <w:rPr>
          <w:rFonts w:ascii="Verdana" w:hAnsi="Verdana"/>
          <w:sz w:val="20"/>
          <w:szCs w:val="20"/>
        </w:rPr>
      </w:pPr>
      <w:r w:rsidRPr="000C7053">
        <w:rPr>
          <w:rFonts w:ascii="Verdana" w:hAnsi="Verdana"/>
          <w:sz w:val="20"/>
          <w:szCs w:val="20"/>
        </w:rPr>
        <w:t>As a general comment, we wish to stress that we supported the conclusions from the 2020 ESMA report on the MiFID II Review on position limits and position management, which reinforced the changes that were subsequently introduced in the MiFID “quick fix”. These changes made commodity derivative markets much more efficient and flexible. As such, we do not see a need for bigger changes in the future in the way position limits and position management controls work</w:t>
      </w:r>
      <w:r>
        <w:rPr>
          <w:rFonts w:ascii="Verdana" w:hAnsi="Verdana"/>
          <w:sz w:val="20"/>
          <w:szCs w:val="20"/>
        </w:rPr>
        <w:t>,</w:t>
      </w:r>
      <w:r w:rsidRPr="000C7053">
        <w:rPr>
          <w:rFonts w:ascii="Verdana" w:hAnsi="Verdana"/>
          <w:sz w:val="20"/>
          <w:szCs w:val="20"/>
        </w:rPr>
        <w:t xml:space="preserve"> apart from those included in this ESMA consultation paper. The system is currently working as intended.</w:t>
      </w:r>
    </w:p>
    <w:permEnd w:id="101661366"/>
    <w:p w14:paraId="2EA1989E" w14:textId="77777777" w:rsidR="008B29C3" w:rsidRDefault="008B29C3" w:rsidP="008B29C3">
      <w:r>
        <w:t>&lt;ESMA_QUESTION_PMPR_1&gt;</w:t>
      </w:r>
    </w:p>
    <w:p w14:paraId="0868C203" w14:textId="77777777" w:rsidR="008B29C3" w:rsidRDefault="008B29C3" w:rsidP="008B29C3"/>
    <w:p w14:paraId="35E7B40C" w14:textId="77777777" w:rsidR="008B29C3" w:rsidRDefault="008B29C3" w:rsidP="008B29C3">
      <w:pPr>
        <w:pStyle w:val="Questionstyle"/>
        <w:numPr>
          <w:ilvl w:val="0"/>
          <w:numId w:val="17"/>
        </w:numPr>
        <w:spacing w:after="240" w:line="256" w:lineRule="auto"/>
        <w:ind w:left="851" w:hanging="851"/>
      </w:pPr>
      <w:r>
        <w:t>Do you foresee any challenges with the use of JSON format comparing to XML? Please provide estimates of the costs and benefits (short- and long term) related to potential transition to JSON?</w:t>
      </w:r>
    </w:p>
    <w:p w14:paraId="14F30ABA" w14:textId="77777777" w:rsidR="008B29C3" w:rsidRDefault="008B29C3" w:rsidP="008B29C3">
      <w:r>
        <w:t>&lt;ESMA_QUESTION_PMPR_2&gt;</w:t>
      </w:r>
    </w:p>
    <w:p w14:paraId="14B87150" w14:textId="2412394C" w:rsidR="0076380C" w:rsidRPr="0076380C" w:rsidRDefault="0076380C" w:rsidP="0076380C">
      <w:pPr>
        <w:jc w:val="both"/>
        <w:rPr>
          <w:rFonts w:ascii="Verdana" w:hAnsi="Verdana"/>
          <w:sz w:val="20"/>
          <w:szCs w:val="20"/>
        </w:rPr>
      </w:pPr>
      <w:permStart w:id="1009454809" w:edGrp="everyone"/>
      <w:r w:rsidRPr="0076380C">
        <w:rPr>
          <w:rFonts w:ascii="Verdana" w:hAnsi="Verdana"/>
          <w:sz w:val="20"/>
          <w:szCs w:val="20"/>
        </w:rPr>
        <w:t xml:space="preserve">Euronext notes that ESMA is considering the use of JSON format for reporting in </w:t>
      </w:r>
      <w:proofErr w:type="gramStart"/>
      <w:r w:rsidRPr="0076380C">
        <w:rPr>
          <w:rFonts w:ascii="Verdana" w:hAnsi="Verdana"/>
          <w:sz w:val="20"/>
          <w:szCs w:val="20"/>
        </w:rPr>
        <w:t>a number of</w:t>
      </w:r>
      <w:proofErr w:type="gramEnd"/>
      <w:r w:rsidRPr="0076380C">
        <w:rPr>
          <w:rFonts w:ascii="Verdana" w:hAnsi="Verdana"/>
          <w:sz w:val="20"/>
          <w:szCs w:val="20"/>
        </w:rPr>
        <w:t xml:space="preserve"> areas (i.e. RTS3, RTS21, RTS23). It is critical that any approach ESMA decides to take in relation to reporting formats must be holistic and seek to progressively extend to all areas and reporting layers; otherwise, it will not produce benefits and instead would lead to additional complexity and unnecessary cost. Fundamentally, any evolution towards the JSON format must as a prerequisite receive full endorsement from all NCAs and commitment that they will all also adjust their practices and requirements in favour of a new unique format. </w:t>
      </w:r>
    </w:p>
    <w:p w14:paraId="24F2DCF0" w14:textId="77777777" w:rsidR="0076380C" w:rsidRPr="0076380C" w:rsidRDefault="0076380C" w:rsidP="0076380C">
      <w:pPr>
        <w:jc w:val="both"/>
        <w:rPr>
          <w:rFonts w:ascii="Verdana" w:hAnsi="Verdana"/>
          <w:sz w:val="20"/>
          <w:szCs w:val="20"/>
        </w:rPr>
      </w:pPr>
    </w:p>
    <w:p w14:paraId="4AEF374B" w14:textId="35A0457E" w:rsidR="008B29C3" w:rsidRDefault="0076380C" w:rsidP="0076380C">
      <w:pPr>
        <w:jc w:val="both"/>
      </w:pPr>
      <w:r w:rsidRPr="0076380C">
        <w:rPr>
          <w:rFonts w:ascii="Verdana" w:hAnsi="Verdana"/>
          <w:sz w:val="20"/>
          <w:szCs w:val="20"/>
        </w:rPr>
        <w:t xml:space="preserve">Euronext has experienced inefficiencies linked to NCAs that currently sometimes require and request different reporting formats for operational reasons for the same reporting purposes. A broader evolution towards JSON can only be meaningful and successful if such discrepancies are dismantled in favour of a unique format that is used by all. Lastly, given that this would be a significant structural change, it is important that sufficient implementation time be provided for </w:t>
      </w:r>
      <w:r w:rsidR="00845E1D">
        <w:rPr>
          <w:rFonts w:ascii="Verdana" w:hAnsi="Verdana"/>
          <w:sz w:val="20"/>
          <w:szCs w:val="20"/>
        </w:rPr>
        <w:t xml:space="preserve">any </w:t>
      </w:r>
      <w:r w:rsidRPr="0076380C">
        <w:rPr>
          <w:rFonts w:ascii="Verdana" w:hAnsi="Verdana"/>
          <w:sz w:val="20"/>
          <w:szCs w:val="20"/>
        </w:rPr>
        <w:t>transition (between 6 – 12 months at a minimum) and it is necessary that any evolutions towards this only be taken in a context where it can be confirmed to the industry by ESMA that JSON would be the go-to format for the foreseeable future and that at a minimum no new reporting format would be introduced or required in the coming 5 to 8 years</w:t>
      </w:r>
      <w:r>
        <w:t>.</w:t>
      </w:r>
    </w:p>
    <w:permEnd w:id="1009454809"/>
    <w:p w14:paraId="56291B27" w14:textId="77777777" w:rsidR="008B29C3" w:rsidRDefault="008B29C3" w:rsidP="008B29C3">
      <w:r>
        <w:t>&lt;ESMA_QUESTION_PMPR_2&gt;</w:t>
      </w:r>
    </w:p>
    <w:p w14:paraId="02037805" w14:textId="77777777" w:rsidR="008B29C3" w:rsidRDefault="008B29C3" w:rsidP="008B29C3"/>
    <w:p w14:paraId="5A200AEB" w14:textId="77777777" w:rsidR="008B29C3" w:rsidRDefault="008B29C3" w:rsidP="008B29C3">
      <w:pPr>
        <w:pStyle w:val="Questionstyle"/>
        <w:numPr>
          <w:ilvl w:val="0"/>
          <w:numId w:val="17"/>
        </w:numPr>
        <w:spacing w:after="240" w:line="256" w:lineRule="auto"/>
        <w:ind w:left="851" w:hanging="851"/>
      </w:pPr>
      <w:r>
        <w:t xml:space="preserve">Do you agree with the other proposals to change ITS 4? Please use the reference number in the table above to provide comments on a specific </w:t>
      </w:r>
      <w:r>
        <w:lastRenderedPageBreak/>
        <w:t xml:space="preserve">proposal. In relation to the proposed change 5, are there other units of underlying to be added to the existing list including for reporting the information on emission allowances? In relation to the proposed change 7, are there other position types that should be added to provide more granular reporting, beyond the existing (futures, options and other)? In relation to the proposed change 8, do you foresee any scenarios in which the possibility to use the National ID should be retained? </w:t>
      </w:r>
    </w:p>
    <w:p w14:paraId="1A4FAE92" w14:textId="77777777" w:rsidR="008B29C3" w:rsidRDefault="008B29C3" w:rsidP="008B29C3">
      <w:r>
        <w:t>&lt;ESMA_QUESTION_PMPR_3&gt;</w:t>
      </w:r>
    </w:p>
    <w:p w14:paraId="67BE940D" w14:textId="77777777" w:rsidR="005D42E8" w:rsidRDefault="00340A9A" w:rsidP="005D42E8">
      <w:pPr>
        <w:jc w:val="both"/>
      </w:pPr>
      <w:permStart w:id="2115599768" w:edGrp="everyone"/>
      <w:r w:rsidRPr="00340A9A">
        <w:rPr>
          <w:rFonts w:ascii="Verdana" w:hAnsi="Verdana"/>
          <w:sz w:val="20"/>
          <w:szCs w:val="20"/>
        </w:rPr>
        <w:t>Regarding change 5, we note that it is proposed that the field regarding the “notation of the position quantity” is to be amended to specify that positions in derivatives on electricity and natural gas should be expressed in units of underlying and that positions in other derivatives should be expressed in lots. We would like to underline, however, that there appears to be a discrepancy between the language and explanations provided in the table on page 16 and article 83 as the maximum threshold expressed in point (b) only refers to lots. We would suggest that this discrepancy be clarified and consider that it would be most appropriate for thresholds also to be expressed in MWHO, MBTU and THMS in point b</w:t>
      </w:r>
      <w:r w:rsidRPr="00340A9A">
        <w:t xml:space="preserve">. </w:t>
      </w:r>
    </w:p>
    <w:permEnd w:id="2115599768"/>
    <w:p w14:paraId="6765F359" w14:textId="727759D7" w:rsidR="008B29C3" w:rsidRDefault="008B29C3" w:rsidP="008B29C3">
      <w:r>
        <w:t>&lt;ESMA_QUESTION_PMPR_3&gt;</w:t>
      </w:r>
    </w:p>
    <w:p w14:paraId="4D357BAB" w14:textId="77777777" w:rsidR="008B29C3" w:rsidRDefault="008B29C3" w:rsidP="008B29C3"/>
    <w:p w14:paraId="17D61CE6" w14:textId="77777777" w:rsidR="008B29C3" w:rsidRDefault="008B29C3" w:rsidP="008B29C3">
      <w:pPr>
        <w:pStyle w:val="Questionstyle"/>
        <w:numPr>
          <w:ilvl w:val="0"/>
          <w:numId w:val="17"/>
        </w:numPr>
        <w:spacing w:after="240" w:line="256" w:lineRule="auto"/>
        <w:ind w:left="851" w:hanging="851"/>
      </w:pPr>
      <w:r>
        <w:t>Do you support the draft Technical Advice related to Article 83 of CDR 2017/5654?</w:t>
      </w:r>
    </w:p>
    <w:p w14:paraId="0C1F6BDD" w14:textId="77777777" w:rsidR="008B29C3" w:rsidRDefault="008B29C3" w:rsidP="008B29C3">
      <w:r>
        <w:t>&lt;ESMA_QUESTION_PMPR_4&gt;</w:t>
      </w:r>
    </w:p>
    <w:p w14:paraId="328FE08C" w14:textId="440E4A1F" w:rsidR="00A26D62" w:rsidRPr="000C7053" w:rsidRDefault="00A26D62" w:rsidP="00A26D62">
      <w:pPr>
        <w:autoSpaceDE w:val="0"/>
        <w:autoSpaceDN w:val="0"/>
        <w:adjustRightInd w:val="0"/>
        <w:jc w:val="both"/>
        <w:rPr>
          <w:rFonts w:ascii="Verdana" w:hAnsi="Verdana" w:cs="Arial"/>
          <w:color w:val="171717"/>
          <w:sz w:val="20"/>
          <w:szCs w:val="20"/>
        </w:rPr>
      </w:pPr>
      <w:permStart w:id="291460008" w:edGrp="everyone"/>
      <w:r w:rsidRPr="000C7053">
        <w:rPr>
          <w:rFonts w:ascii="Verdana" w:hAnsi="Verdana" w:cs="Arial"/>
          <w:color w:val="171717"/>
          <w:sz w:val="20"/>
          <w:szCs w:val="20"/>
        </w:rPr>
        <w:t xml:space="preserve">Yes, Euronext generally supports ESMA but would like to seek clarification on article 83 and the related thresholds for the weekly reports.  </w:t>
      </w:r>
    </w:p>
    <w:p w14:paraId="54A618E6" w14:textId="77777777" w:rsidR="00A26D62" w:rsidRPr="000C7053" w:rsidRDefault="00A26D62" w:rsidP="00A26D62">
      <w:pPr>
        <w:autoSpaceDE w:val="0"/>
        <w:autoSpaceDN w:val="0"/>
        <w:adjustRightInd w:val="0"/>
        <w:jc w:val="both"/>
        <w:rPr>
          <w:rFonts w:ascii="Verdana" w:hAnsi="Verdana" w:cs="Arial"/>
          <w:color w:val="171717"/>
          <w:sz w:val="20"/>
          <w:szCs w:val="20"/>
        </w:rPr>
      </w:pPr>
    </w:p>
    <w:p w14:paraId="031618AF" w14:textId="77777777" w:rsidR="00A26D62" w:rsidRPr="000C7053" w:rsidRDefault="00A26D62" w:rsidP="00A26D62">
      <w:pPr>
        <w:autoSpaceDE w:val="0"/>
        <w:autoSpaceDN w:val="0"/>
        <w:adjustRightInd w:val="0"/>
        <w:jc w:val="both"/>
        <w:rPr>
          <w:rFonts w:ascii="Verdana" w:hAnsi="Verdana" w:cs="Arial"/>
          <w:color w:val="171717"/>
          <w:sz w:val="20"/>
          <w:szCs w:val="20"/>
        </w:rPr>
      </w:pPr>
      <w:r w:rsidRPr="000C7053">
        <w:rPr>
          <w:rFonts w:ascii="Verdana" w:hAnsi="Verdana" w:cs="Arial"/>
          <w:color w:val="171717"/>
          <w:sz w:val="20"/>
          <w:szCs w:val="20"/>
        </w:rPr>
        <w:t xml:space="preserve">It is our understanding that for the first weekly report relating to both futures and options combined the obligation to make such a report public will apply when </w:t>
      </w:r>
      <w:proofErr w:type="gramStart"/>
      <w:r w:rsidRPr="000C7053">
        <w:rPr>
          <w:rFonts w:ascii="Verdana" w:hAnsi="Verdana" w:cs="Arial"/>
          <w:color w:val="171717"/>
          <w:sz w:val="20"/>
          <w:szCs w:val="20"/>
        </w:rPr>
        <w:t>both of the two</w:t>
      </w:r>
      <w:proofErr w:type="gramEnd"/>
      <w:r w:rsidRPr="000C7053">
        <w:rPr>
          <w:rFonts w:ascii="Verdana" w:hAnsi="Verdana" w:cs="Arial"/>
          <w:color w:val="171717"/>
          <w:sz w:val="20"/>
          <w:szCs w:val="20"/>
        </w:rPr>
        <w:t xml:space="preserve"> following thresholds are met: 1) 20 open positions exist futures and options combined, and 2) the absolute amount exceeds 10 000 lots of futures and options combined. </w:t>
      </w:r>
    </w:p>
    <w:p w14:paraId="01BD9EFC" w14:textId="77777777" w:rsidR="00A26D62" w:rsidRPr="000C7053" w:rsidRDefault="00A26D62" w:rsidP="00A26D62">
      <w:pPr>
        <w:autoSpaceDE w:val="0"/>
        <w:autoSpaceDN w:val="0"/>
        <w:adjustRightInd w:val="0"/>
        <w:jc w:val="both"/>
        <w:rPr>
          <w:rFonts w:ascii="Verdana" w:hAnsi="Verdana" w:cs="Arial"/>
          <w:color w:val="171717"/>
          <w:sz w:val="20"/>
          <w:szCs w:val="20"/>
        </w:rPr>
      </w:pPr>
    </w:p>
    <w:p w14:paraId="6288DFDF" w14:textId="77777777" w:rsidR="00A26D62" w:rsidRPr="000C7053" w:rsidRDefault="00A26D62" w:rsidP="00A26D62">
      <w:pPr>
        <w:autoSpaceDE w:val="0"/>
        <w:autoSpaceDN w:val="0"/>
        <w:adjustRightInd w:val="0"/>
        <w:jc w:val="both"/>
        <w:rPr>
          <w:rFonts w:ascii="Verdana" w:hAnsi="Verdana" w:cs="Arial"/>
          <w:color w:val="171717"/>
          <w:sz w:val="20"/>
          <w:szCs w:val="20"/>
        </w:rPr>
      </w:pPr>
      <w:r w:rsidRPr="000C7053">
        <w:rPr>
          <w:rFonts w:ascii="Verdana" w:hAnsi="Verdana" w:cs="Arial"/>
          <w:color w:val="171717"/>
          <w:sz w:val="20"/>
          <w:szCs w:val="20"/>
        </w:rPr>
        <w:t xml:space="preserve">It is our understanding that for the second weekly reports which excludes options the obligation to make such a report public will apply when </w:t>
      </w:r>
      <w:proofErr w:type="gramStart"/>
      <w:r w:rsidRPr="000C7053">
        <w:rPr>
          <w:rFonts w:ascii="Verdana" w:hAnsi="Verdana" w:cs="Arial"/>
          <w:color w:val="171717"/>
          <w:sz w:val="20"/>
          <w:szCs w:val="20"/>
        </w:rPr>
        <w:t>both of the two</w:t>
      </w:r>
      <w:proofErr w:type="gramEnd"/>
      <w:r w:rsidRPr="000C7053">
        <w:rPr>
          <w:rFonts w:ascii="Verdana" w:hAnsi="Verdana" w:cs="Arial"/>
          <w:color w:val="171717"/>
          <w:sz w:val="20"/>
          <w:szCs w:val="20"/>
        </w:rPr>
        <w:t xml:space="preserve"> following thresholds are met: 1) 20 open positions exist for futures; 2) the absolute amount exceeds 10 000 lots of futures. </w:t>
      </w:r>
    </w:p>
    <w:p w14:paraId="380152F0" w14:textId="77777777" w:rsidR="00A26D62" w:rsidRPr="000C7053" w:rsidRDefault="00A26D62" w:rsidP="00A26D62">
      <w:pPr>
        <w:autoSpaceDE w:val="0"/>
        <w:autoSpaceDN w:val="0"/>
        <w:adjustRightInd w:val="0"/>
        <w:jc w:val="both"/>
        <w:rPr>
          <w:rFonts w:ascii="Verdana" w:hAnsi="Verdana" w:cs="Arial"/>
          <w:color w:val="171717"/>
          <w:sz w:val="20"/>
          <w:szCs w:val="20"/>
        </w:rPr>
      </w:pPr>
    </w:p>
    <w:p w14:paraId="2C79BBA1" w14:textId="056ABF7B" w:rsidR="008B29C3" w:rsidRPr="00A26D62" w:rsidRDefault="00A26D62" w:rsidP="00A26D62">
      <w:pPr>
        <w:autoSpaceDE w:val="0"/>
        <w:autoSpaceDN w:val="0"/>
        <w:adjustRightInd w:val="0"/>
        <w:jc w:val="both"/>
        <w:rPr>
          <w:rFonts w:ascii="Verdana" w:hAnsi="Verdana" w:cs="Arial"/>
          <w:color w:val="171717"/>
          <w:sz w:val="20"/>
          <w:szCs w:val="20"/>
        </w:rPr>
      </w:pPr>
      <w:bookmarkStart w:id="1" w:name="_Hlk173486941"/>
      <w:r w:rsidRPr="000C7053">
        <w:rPr>
          <w:rFonts w:ascii="Verdana" w:hAnsi="Verdana" w:cs="Arial"/>
          <w:color w:val="171717"/>
          <w:sz w:val="20"/>
          <w:szCs w:val="20"/>
        </w:rPr>
        <w:t>We propose that this point to be clarified explicitly in the final report.</w:t>
      </w:r>
      <w:bookmarkEnd w:id="1"/>
    </w:p>
    <w:permEnd w:id="291460008"/>
    <w:p w14:paraId="551FC7C2" w14:textId="77777777" w:rsidR="008B29C3" w:rsidRDefault="008B29C3" w:rsidP="008B29C3">
      <w:r>
        <w:t>&lt;ESMA_QUESTION_PMPR_4&gt;</w:t>
      </w:r>
    </w:p>
    <w:p w14:paraId="3F3F4720" w14:textId="77777777" w:rsidR="008B29C3" w:rsidRDefault="008B29C3" w:rsidP="008B29C3"/>
    <w:p w14:paraId="799874CF" w14:textId="77777777" w:rsidR="008B29C3" w:rsidRDefault="008B29C3" w:rsidP="008B29C3"/>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1"/>
      <w:footerReference w:type="even" r:id="rId22"/>
      <w:footerReference w:type="default" r:id="rId23"/>
      <w:footerReference w:type="firs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23CDD" w14:textId="77777777" w:rsidR="00E91010" w:rsidRDefault="00E91010" w:rsidP="007E7997">
      <w:r>
        <w:separator/>
      </w:r>
    </w:p>
  </w:endnote>
  <w:endnote w:type="continuationSeparator" w:id="0">
    <w:p w14:paraId="14D9828F" w14:textId="77777777" w:rsidR="00E91010" w:rsidRDefault="00E91010" w:rsidP="007E7997">
      <w:r>
        <w:continuationSeparator/>
      </w:r>
    </w:p>
  </w:endnote>
  <w:endnote w:type="continuationNotice" w:id="1">
    <w:p w14:paraId="77AEC756" w14:textId="77777777" w:rsidR="00E91010" w:rsidRDefault="00E91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8DFF" w14:textId="77777777" w:rsidR="002878A4" w:rsidRDefault="00287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2BA5" w14:textId="77777777" w:rsidR="002878A4" w:rsidRDefault="002878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28D2" w14:textId="77777777" w:rsidR="002878A4" w:rsidRDefault="00287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5A9F2" w14:textId="77777777" w:rsidR="00E91010" w:rsidRDefault="00E91010" w:rsidP="007E7997">
      <w:r>
        <w:separator/>
      </w:r>
    </w:p>
  </w:footnote>
  <w:footnote w:type="continuationSeparator" w:id="0">
    <w:p w14:paraId="2EAB4FF4" w14:textId="77777777" w:rsidR="00E91010" w:rsidRDefault="00E91010" w:rsidP="007E7997">
      <w:r>
        <w:continuationSeparator/>
      </w:r>
    </w:p>
  </w:footnote>
  <w:footnote w:type="continuationNotice" w:id="1">
    <w:p w14:paraId="60130FD2" w14:textId="77777777" w:rsidR="00E91010" w:rsidRDefault="00E91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510F4C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684412">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925CA">
      <w:rPr>
        <w:rFonts w:asciiTheme="minorHAnsi" w:eastAsiaTheme="minorEastAsia" w:hAnsiTheme="minorHAnsi" w:cstheme="minorBidi"/>
        <w:color w:val="000000" w:themeColor="text1" w:themeShade="80"/>
        <w:sz w:val="16"/>
        <w:szCs w:val="20"/>
        <w:lang w:eastAsia="en-US"/>
      </w:rPr>
      <w:t>23 May 2024</w:t>
    </w:r>
    <w:r w:rsidR="00C00D4F">
      <w:rPr>
        <w:rFonts w:asciiTheme="minorHAnsi" w:eastAsiaTheme="minorEastAsia" w:hAnsiTheme="minorHAnsi" w:cstheme="minorBidi"/>
        <w:color w:val="000000" w:themeColor="text1" w:themeShade="80"/>
        <w:sz w:val="16"/>
        <w:szCs w:val="20"/>
        <w:lang w:eastAsia="en-US"/>
      </w:rPr>
      <w:br/>
    </w:r>
    <w:r w:rsidR="00BE3CDD" w:rsidRPr="00BE3CDD">
      <w:rPr>
        <w:rFonts w:asciiTheme="minorHAnsi" w:eastAsiaTheme="minorEastAsia" w:hAnsiTheme="minorHAnsi" w:cstheme="minorBidi"/>
        <w:color w:val="000000" w:themeColor="text1" w:themeShade="80"/>
        <w:sz w:val="16"/>
        <w:szCs w:val="20"/>
        <w:lang w:eastAsia="en-US"/>
      </w:rPr>
      <w:t>ESMA74-2134169708-7270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0F1BC"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1"/>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15976394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jzl0iiA09f/UD3YUTGfCejyrmp0PhMms1Nk7G5PxDkw9B+deRKs26e1nuGIOVKhiMmMSoCSg6VBKJlIuH8tEg==" w:salt="88GvVrzKOep3kRCIRN0XG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0DB"/>
    <w:rsid w:val="000142BB"/>
    <w:rsid w:val="0001633D"/>
    <w:rsid w:val="0001726F"/>
    <w:rsid w:val="00020098"/>
    <w:rsid w:val="00020300"/>
    <w:rsid w:val="00021A9A"/>
    <w:rsid w:val="00022ADA"/>
    <w:rsid w:val="00026327"/>
    <w:rsid w:val="00027EC9"/>
    <w:rsid w:val="00033934"/>
    <w:rsid w:val="00036C09"/>
    <w:rsid w:val="000372BF"/>
    <w:rsid w:val="00040A52"/>
    <w:rsid w:val="000419E9"/>
    <w:rsid w:val="00044C5A"/>
    <w:rsid w:val="00044E0A"/>
    <w:rsid w:val="00047C57"/>
    <w:rsid w:val="00054E00"/>
    <w:rsid w:val="00061B2B"/>
    <w:rsid w:val="000627C5"/>
    <w:rsid w:val="0006448C"/>
    <w:rsid w:val="0006449B"/>
    <w:rsid w:val="000655AD"/>
    <w:rsid w:val="00066144"/>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4DE"/>
    <w:rsid w:val="000D0850"/>
    <w:rsid w:val="000D1038"/>
    <w:rsid w:val="000D11A9"/>
    <w:rsid w:val="000D2D7B"/>
    <w:rsid w:val="000D7F6F"/>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6F1"/>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1BE3"/>
    <w:rsid w:val="00272C4E"/>
    <w:rsid w:val="002751FC"/>
    <w:rsid w:val="002753BD"/>
    <w:rsid w:val="00282B3A"/>
    <w:rsid w:val="00282D38"/>
    <w:rsid w:val="00282FBE"/>
    <w:rsid w:val="00284AF2"/>
    <w:rsid w:val="0028536B"/>
    <w:rsid w:val="00285CED"/>
    <w:rsid w:val="00285EB5"/>
    <w:rsid w:val="002878A4"/>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4627"/>
    <w:rsid w:val="0033587C"/>
    <w:rsid w:val="00336BF9"/>
    <w:rsid w:val="003371E8"/>
    <w:rsid w:val="00337471"/>
    <w:rsid w:val="00340A9A"/>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68E3"/>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22B"/>
    <w:rsid w:val="00564607"/>
    <w:rsid w:val="00565193"/>
    <w:rsid w:val="005664AB"/>
    <w:rsid w:val="005665F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42E8"/>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441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3644"/>
    <w:rsid w:val="007148CC"/>
    <w:rsid w:val="00715D9D"/>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380C"/>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5E1D"/>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9C3"/>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D5EFE"/>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457F"/>
    <w:rsid w:val="0091729E"/>
    <w:rsid w:val="0093261E"/>
    <w:rsid w:val="009349C2"/>
    <w:rsid w:val="0094008E"/>
    <w:rsid w:val="00941C0C"/>
    <w:rsid w:val="009437F2"/>
    <w:rsid w:val="0094528B"/>
    <w:rsid w:val="00960A8B"/>
    <w:rsid w:val="00965128"/>
    <w:rsid w:val="00965579"/>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26D62"/>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B0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3CDD"/>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010"/>
    <w:rsid w:val="00E91FC1"/>
    <w:rsid w:val="00E925CA"/>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9C2"/>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EF79BE"/>
    <w:rsid w:val="00F03FA7"/>
    <w:rsid w:val="00F048EF"/>
    <w:rsid w:val="00F06AAD"/>
    <w:rsid w:val="00F144F5"/>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26215133">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0fb0f98-34f9-4d57-9559-eb8efd17aa5e">ESMA74-2134169708-7270</_dlc_DocId>
    <TaxCatchAll xmlns="d0fb0f98-34f9-4d57-9559-eb8efd17aa5e">
      <Value>6</Value>
      <Value>100</Value>
      <Value>9</Value>
      <Value>443</Value>
      <Value>421</Value>
    </TaxCatchAll>
    <_dlc_DocIdUrl xmlns="d0fb0f98-34f9-4d57-9559-eb8efd17aa5e">
      <Url>https://securitiesandmarketsauth.sharepoint.com/sites/sherpa-trdu/_layouts/15/DocIdRedir.aspx?ID=ESMA74-2134169708-7270</Url>
      <Description>ESMA74-2134169708-7270</Description>
    </_dlc_DocIdUrl>
    <Year xmlns="d0fb0f98-34f9-4d57-9559-eb8efd17aa5e">2021</Year>
    <MeetingDate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Commodity - Position Management Controls</TermName>
          <TermId xmlns="http://schemas.microsoft.com/office/infopath/2007/PartnerControls">1301e07e-6049-4957-87c8-d3a6357dc906</TermId>
        </TermInfo>
      </Terms>
    </n644e5dfaa29486bad4a4fc019c6d2df>
    <lcf76f155ced4ddcb4097134ff3c332f xmlns="f5465789-808f-433c-88e1-b70fe6f2db64">
      <Terms xmlns="http://schemas.microsoft.com/office/infopath/2007/PartnerControls"/>
    </lcf76f155ced4ddcb4097134ff3c332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Commodity</TermName>
          <TermId xmlns="http://schemas.microsoft.com/office/infopath/2007/PartnerControls">729cc5dc-fc40-4e6f-89b7-0bed773f437e</TermId>
        </TermInfo>
      </Terms>
    </caa5aeb1a6644849b60fbe2335e12657>
    <SharedWithUsers xmlns="d0fb0f98-34f9-4d57-9559-eb8efd17aa5e">
      <UserInfo>
        <DisplayName>Iris Hude</DisplayName>
        <AccountId>186</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5465789-808f-433c-88e1-b70fe6f2db64"/>
    <ds:schemaRef ds:uri="http://schemas.microsoft.com/sharepoint/v3"/>
    <ds:schemaRef ds:uri="http://schemas.microsoft.com/sharepoint/v4"/>
    <ds:schemaRef ds:uri="http://purl.org/dc/terms/"/>
    <ds:schemaRef ds:uri="d0fb0f98-34f9-4d57-9559-eb8efd17aa5e"/>
    <ds:schemaRef ds:uri="http://www.w3.org/XML/1998/namespace"/>
    <ds:schemaRef ds:uri="http://purl.org/dc/dcmitype/"/>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B9E5AA33-045F-422A-917C-D04E2489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6</TotalTime>
  <Pages>6</Pages>
  <Words>1230</Words>
  <Characters>7015</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Lucie Gallagher</cp:lastModifiedBy>
  <cp:revision>10</cp:revision>
  <cp:lastPrinted>2017-07-24T14:47:00Z</cp:lastPrinted>
  <dcterms:created xsi:type="dcterms:W3CDTF">2024-08-08T14:48:00Z</dcterms:created>
  <dcterms:modified xsi:type="dcterms:W3CDTF">2024-08-08T14:54:00Z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0x0101008D9E5D2C101BA04B85C7EB08C6516E40030200B9651BAF2BFB244DBC0F4F054EB34AF3</vt:lpwstr>
  </property>
  <property fmtid="{D5CDD505-2E9C-101B-9397-08002B2CF9AE}" pid="5" name="_dlc_DocIdItemGuid">
    <vt:lpwstr>99e64f01-a6e3-47be-8d25-289d03a11015</vt:lpwstr>
  </property>
  <property fmtid="{D5CDD505-2E9C-101B-9397-08002B2CF9AE}" pid="6" name="DocumentType">
    <vt:lpwstr>100;#Report|78753201-1e9e-4a21-a088-6ff602b5c999</vt:lpwstr>
  </property>
  <property fmtid="{D5CDD505-2E9C-101B-9397-08002B2CF9AE}" pid="7" name="Topic">
    <vt:lpwstr>421;#Commodity|729cc5dc-fc40-4e6f-89b7-0bed773f437e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443;#Commodity - Position Management Controls|1301e07e-6049-4957-87c8-d3a6357dc906</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ediaServiceImageTags">
    <vt:lpwstr/>
  </property>
  <property fmtid="{D5CDD505-2E9C-101B-9397-08002B2CF9AE}" pid="22" name="MSIP_Label_ac0b9ce6-6e99-42a1-af95-429494370cbc_Enabled">
    <vt:lpwstr>true</vt:lpwstr>
  </property>
  <property fmtid="{D5CDD505-2E9C-101B-9397-08002B2CF9AE}" pid="23" name="MSIP_Label_ac0b9ce6-6e99-42a1-af95-429494370cbc_SetDate">
    <vt:lpwstr>2024-08-08T14:48:17Z</vt:lpwstr>
  </property>
  <property fmtid="{D5CDD505-2E9C-101B-9397-08002B2CF9AE}" pid="24" name="MSIP_Label_ac0b9ce6-6e99-42a1-af95-429494370cbc_Method">
    <vt:lpwstr>Standard</vt:lpwstr>
  </property>
  <property fmtid="{D5CDD505-2E9C-101B-9397-08002B2CF9AE}" pid="25" name="MSIP_Label_ac0b9ce6-6e99-42a1-af95-429494370cbc_Name">
    <vt:lpwstr>ac0b9ce6-6e99-42a1-af95-429494370cbc</vt:lpwstr>
  </property>
  <property fmtid="{D5CDD505-2E9C-101B-9397-08002B2CF9AE}" pid="26" name="MSIP_Label_ac0b9ce6-6e99-42a1-af95-429494370cbc_SiteId">
    <vt:lpwstr>315b1ee5-c224-498b-871e-c140611d6d07</vt:lpwstr>
  </property>
  <property fmtid="{D5CDD505-2E9C-101B-9397-08002B2CF9AE}" pid="27" name="MSIP_Label_ac0b9ce6-6e99-42a1-af95-429494370cbc_ActionId">
    <vt:lpwstr>223b64b6-ecfb-4719-ae35-9aecc8899193</vt:lpwstr>
  </property>
  <property fmtid="{D5CDD505-2E9C-101B-9397-08002B2CF9AE}" pid="28" name="MSIP_Label_ac0b9ce6-6e99-42a1-af95-429494370cbc_ContentBits">
    <vt:lpwstr>2</vt:lpwstr>
  </property>
</Properties>
</file>