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1201EE">
            <w:trPr>
              <w:trHeight w:hRule="exact" w:val="1985"/>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250CAEA4" w:rsidR="006A5E48" w:rsidRPr="00FA64BE" w:rsidRDefault="001201EE" w:rsidP="00684412">
                <w:pPr>
                  <w:pStyle w:val="Title"/>
                  <w:spacing w:line="276" w:lineRule="auto"/>
                  <w:ind w:right="854"/>
                  <w:rPr>
                    <w:rFonts w:asciiTheme="minorHAnsi" w:hAnsiTheme="minorHAnsi" w:cstheme="minorHAnsi"/>
                    <w:sz w:val="24"/>
                    <w:szCs w:val="24"/>
                  </w:rPr>
                </w:pPr>
                <w:r>
                  <w:rPr>
                    <w:rFonts w:cs="Arial"/>
                    <w:bCs/>
                    <w:color w:val="auto"/>
                    <w:sz w:val="24"/>
                    <w:szCs w:val="24"/>
                  </w:rPr>
                  <w:t>to</w:t>
                </w:r>
                <w:r w:rsidR="00FA64BE" w:rsidRPr="00FA64BE">
                  <w:rPr>
                    <w:rFonts w:cs="Arial"/>
                    <w:color w:val="auto"/>
                    <w:sz w:val="24"/>
                    <w:szCs w:val="24"/>
                  </w:rPr>
                  <w:t xml:space="preserve"> </w:t>
                </w:r>
                <w:r w:rsidR="00FA64BE" w:rsidRPr="00FA64BE">
                  <w:rPr>
                    <w:rFonts w:cs="Arial"/>
                    <w:bCs/>
                    <w:color w:val="auto"/>
                    <w:sz w:val="24"/>
                    <w:szCs w:val="24"/>
                  </w:rPr>
                  <w:t>the</w:t>
                </w:r>
                <w:r w:rsidR="00684412">
                  <w:rPr>
                    <w:rFonts w:cs="Arial"/>
                    <w:bCs/>
                    <w:color w:val="auto"/>
                    <w:sz w:val="24"/>
                    <w:szCs w:val="24"/>
                  </w:rPr>
                  <w:t xml:space="preserve"> </w:t>
                </w:r>
                <w:r w:rsidR="00684412" w:rsidRPr="00684412">
                  <w:rPr>
                    <w:rFonts w:cs="Arial"/>
                    <w:bCs/>
                    <w:color w:val="auto"/>
                    <w:sz w:val="24"/>
                    <w:szCs w:val="24"/>
                  </w:rPr>
                  <w:t xml:space="preserve">Consultation Paper </w:t>
                </w:r>
                <w:r w:rsidR="00684412">
                  <w:rPr>
                    <w:rFonts w:cs="Arial"/>
                    <w:bCs/>
                    <w:color w:val="auto"/>
                    <w:sz w:val="24"/>
                    <w:szCs w:val="24"/>
                  </w:rPr>
                  <w:t>o</w:t>
                </w:r>
                <w:r w:rsidR="00684412" w:rsidRPr="00684412">
                  <w:rPr>
                    <w:rFonts w:cs="Arial"/>
                    <w:bCs/>
                    <w:color w:val="auto"/>
                    <w:sz w:val="24"/>
                    <w:szCs w:val="24"/>
                  </w:rPr>
                  <w:t xml:space="preserve">n the amendments to certain technical standards for commodity derivatives  </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FA2A3"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1227A6B6"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w:t>
          </w:r>
          <w:r w:rsidRPr="00E925CA">
            <w:rPr>
              <w:rFonts w:asciiTheme="minorHAnsi" w:eastAsiaTheme="minorEastAsia" w:hAnsiTheme="minorHAnsi" w:cstheme="minorBidi"/>
              <w:sz w:val="18"/>
              <w:szCs w:val="16"/>
              <w:lang w:eastAsia="en-US"/>
            </w:rPr>
            <w:t xml:space="preserve">received by </w:t>
          </w:r>
          <w:r w:rsidR="00E925CA" w:rsidRPr="00E925CA">
            <w:rPr>
              <w:rFonts w:asciiTheme="minorHAnsi" w:eastAsiaTheme="minorEastAsia" w:hAnsiTheme="minorHAnsi" w:cstheme="minorBidi"/>
              <w:b/>
              <w:sz w:val="18"/>
              <w:szCs w:val="16"/>
              <w:lang w:eastAsia="en-US"/>
            </w:rPr>
            <w:t>23 August 2023</w:t>
          </w:r>
          <w:r w:rsidR="002C76AE" w:rsidRPr="00E925CA">
            <w:rPr>
              <w:rFonts w:asciiTheme="minorHAnsi" w:eastAsiaTheme="minorEastAsia" w:hAnsiTheme="minorHAnsi" w:cstheme="minorBidi"/>
              <w:b/>
              <w:sz w:val="18"/>
              <w:szCs w:val="16"/>
              <w:lang w:eastAsia="en-US"/>
            </w:rPr>
            <w:t>.</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331C603"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684412">
            <w:rPr>
              <w:rFonts w:eastAsiaTheme="minorEastAsia" w:cstheme="minorBidi"/>
              <w:sz w:val="18"/>
              <w:szCs w:val="16"/>
              <w:lang w:eastAsia="en-US"/>
            </w:rPr>
            <w:t>PMPR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5D4B8A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684412">
            <w:rPr>
              <w:rFonts w:eastAsiaTheme="minorEastAsia" w:cstheme="minorBidi"/>
              <w:sz w:val="18"/>
              <w:szCs w:val="16"/>
              <w:lang w:eastAsia="en-US"/>
            </w:rPr>
            <w:t>PMPR</w:t>
          </w:r>
          <w:r w:rsidRPr="00A409C2">
            <w:rPr>
              <w:rFonts w:eastAsiaTheme="minorEastAsia" w:cstheme="minorBidi"/>
              <w:sz w:val="18"/>
              <w:szCs w:val="16"/>
              <w:lang w:eastAsia="en-US"/>
            </w:rPr>
            <w:t xml:space="preserve">_nameofrespondent_RESPONSEFORM. For example, for a respondent named </w:t>
          </w:r>
          <w:r w:rsidR="00684412">
            <w:rPr>
              <w:rFonts w:eastAsiaTheme="minorEastAsia" w:cstheme="minorBidi"/>
              <w:sz w:val="18"/>
              <w:szCs w:val="16"/>
              <w:lang w:eastAsia="en-US"/>
            </w:rPr>
            <w:t>‘</w:t>
          </w:r>
          <w:r w:rsidRPr="00A409C2">
            <w:rPr>
              <w:rFonts w:eastAsiaTheme="minorEastAsia" w:cstheme="minorBidi"/>
              <w:sz w:val="18"/>
              <w:szCs w:val="16"/>
              <w:lang w:eastAsia="en-US"/>
            </w:rPr>
            <w:t>ABCD</w:t>
          </w:r>
          <w:r w:rsidR="00684412">
            <w:rPr>
              <w:rFonts w:eastAsiaTheme="minorEastAsia" w:cstheme="minorBidi"/>
              <w:sz w:val="18"/>
              <w:szCs w:val="16"/>
              <w:lang w:eastAsia="en-US"/>
            </w:rPr>
            <w:t>’</w:t>
          </w:r>
          <w:r w:rsidRPr="00A409C2">
            <w:rPr>
              <w:rFonts w:eastAsiaTheme="minorEastAsia" w:cstheme="minorBidi"/>
              <w:sz w:val="18"/>
              <w:szCs w:val="16"/>
              <w:lang w:eastAsia="en-US"/>
            </w:rPr>
            <w:t>, the response form would be entitled ESMA_</w:t>
          </w:r>
          <w:r w:rsidR="00684412">
            <w:rPr>
              <w:rFonts w:eastAsiaTheme="minorEastAsia" w:cstheme="minorBidi"/>
              <w:sz w:val="18"/>
              <w:szCs w:val="16"/>
              <w:lang w:eastAsia="en-US"/>
            </w:rPr>
            <w:t>PMPR</w:t>
          </w:r>
          <w:r w:rsidRPr="00A409C2">
            <w:rPr>
              <w:rFonts w:eastAsiaTheme="minorEastAsia" w:cstheme="minorBidi"/>
              <w:sz w:val="18"/>
              <w:szCs w:val="16"/>
              <w:lang w:eastAsia="en-US"/>
            </w:rPr>
            <w:t>_ABCD_RESPONSEFORM.</w:t>
          </w:r>
        </w:p>
        <w:p w14:paraId="28EEA743" w14:textId="321C7B14" w:rsidR="00A02199" w:rsidRPr="00684412" w:rsidRDefault="00B16706" w:rsidP="00956774">
          <w:pPr>
            <w:pStyle w:val="ListParagraph"/>
            <w:numPr>
              <w:ilvl w:val="0"/>
              <w:numId w:val="29"/>
            </w:numPr>
            <w:spacing w:after="250" w:line="276" w:lineRule="auto"/>
            <w:rPr>
              <w:rFonts w:eastAsiaTheme="minorEastAsia" w:cstheme="minorBidi"/>
              <w:sz w:val="18"/>
              <w:szCs w:val="16"/>
              <w:lang w:eastAsia="en-US"/>
            </w:rPr>
          </w:pPr>
          <w:r w:rsidRPr="00684412">
            <w:rPr>
              <w:rFonts w:eastAsiaTheme="minorEastAsia" w:cstheme="minorBidi"/>
              <w:sz w:val="18"/>
              <w:szCs w:val="16"/>
              <w:lang w:eastAsia="en-US"/>
            </w:rPr>
            <w:t xml:space="preserve">Upload the form containing your responses, </w:t>
          </w:r>
          <w:r w:rsidRPr="00684412">
            <w:rPr>
              <w:rFonts w:eastAsiaTheme="minorEastAsia" w:cstheme="minorBidi"/>
              <w:b/>
              <w:bCs/>
              <w:sz w:val="18"/>
              <w:szCs w:val="16"/>
              <w:lang w:eastAsia="en-US"/>
            </w:rPr>
            <w:t>in Word format</w:t>
          </w:r>
          <w:r w:rsidRPr="00684412">
            <w:rPr>
              <w:rFonts w:eastAsiaTheme="minorEastAsia" w:cstheme="minorBidi"/>
              <w:sz w:val="18"/>
              <w:szCs w:val="16"/>
              <w:lang w:eastAsia="en-US"/>
            </w:rPr>
            <w:t xml:space="preserve">, to ESMA’s website (www.esma.europa.eu under the heading “Your input – Open Consultations” -&gt; </w:t>
          </w:r>
          <w:r w:rsidR="00684412">
            <w:rPr>
              <w:rFonts w:eastAsiaTheme="minorEastAsia" w:cstheme="minorBidi"/>
              <w:sz w:val="18"/>
              <w:szCs w:val="16"/>
              <w:lang w:eastAsia="en-US"/>
            </w:rPr>
            <w:t>“</w:t>
          </w:r>
          <w:r w:rsidR="00684412" w:rsidRPr="00684412">
            <w:rPr>
              <w:rFonts w:eastAsiaTheme="minorEastAsia" w:cstheme="minorBidi"/>
              <w:sz w:val="18"/>
              <w:szCs w:val="16"/>
              <w:lang w:eastAsia="en-US"/>
            </w:rPr>
            <w:t xml:space="preserve">Consultation Paper </w:t>
          </w:r>
          <w:r w:rsidR="00684412">
            <w:rPr>
              <w:rFonts w:eastAsiaTheme="minorEastAsia" w:cstheme="minorBidi"/>
              <w:sz w:val="18"/>
              <w:szCs w:val="16"/>
              <w:lang w:eastAsia="en-US"/>
            </w:rPr>
            <w:t>o</w:t>
          </w:r>
          <w:r w:rsidR="00684412" w:rsidRPr="00684412">
            <w:rPr>
              <w:rFonts w:eastAsiaTheme="minorEastAsia" w:cstheme="minorBidi"/>
              <w:sz w:val="18"/>
              <w:szCs w:val="16"/>
              <w:lang w:eastAsia="en-US"/>
            </w:rPr>
            <w:t>n the amendments to certain technical standards for commodity derivatives</w:t>
          </w:r>
          <w:r w:rsidR="00684412">
            <w:rPr>
              <w:rFonts w:eastAsiaTheme="minorEastAsia" w:cstheme="minorBidi"/>
              <w:sz w:val="18"/>
              <w:szCs w:val="16"/>
              <w:lang w:eastAsia="en-US"/>
            </w:rPr>
            <w:t>”</w:t>
          </w:r>
          <w:r w:rsidR="00A409C2" w:rsidRPr="0068441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EBD0389" w14:textId="77777777" w:rsidR="00AF5B09" w:rsidRDefault="00AF5B09" w:rsidP="00AF2EF7">
          <w:pPr>
            <w:spacing w:after="250" w:line="276" w:lineRule="auto"/>
            <w:jc w:val="both"/>
            <w:rPr>
              <w:rFonts w:asciiTheme="minorHAnsi" w:eastAsiaTheme="minorEastAsia" w:hAnsiTheme="minorHAnsi" w:cstheme="minorBidi"/>
              <w:b/>
              <w:sz w:val="18"/>
              <w:szCs w:val="16"/>
              <w:lang w:eastAsia="en-US"/>
            </w:rPr>
          </w:pPr>
        </w:p>
        <w:p w14:paraId="144C43BA" w14:textId="3E899244"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lastRenderedPageBreak/>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3590402" w:rsidR="00C85C8B" w:rsidRDefault="008B29C3" w:rsidP="008279D3">
      <w:pPr>
        <w:pStyle w:val="Heading1"/>
        <w:numPr>
          <w:ilvl w:val="0"/>
          <w:numId w:val="0"/>
        </w:numPr>
        <w:spacing w:line="276" w:lineRule="auto"/>
        <w:rPr>
          <w:rFonts w:asciiTheme="minorHAnsi" w:hAnsiTheme="minorHAnsi" w:cstheme="minorHAnsi"/>
          <w:sz w:val="20"/>
          <w:szCs w:val="20"/>
        </w:rPr>
      </w:pPr>
      <w:r w:rsidRPr="008B29C3">
        <w:rPr>
          <w:rFonts w:ascii="Arial" w:eastAsia="Times New Roman" w:hAnsi="Arial" w:cs="Arial"/>
          <w:b w:val="0"/>
          <w:sz w:val="18"/>
          <w:szCs w:val="18"/>
          <w:lang w:eastAsia="it-IT"/>
        </w:rPr>
        <w:t xml:space="preserve">This consultation paper is primarily of interest to trading venues, investment firms and non-financial counterparties trading in commodity derivatives, but responses are also sought from any other market participant including trade associations, industry bodies and investors.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106DE1AF" w:rsidR="00C85C8B" w:rsidRPr="00B16706" w:rsidRDefault="0026477E" w:rsidP="00C85C8B">
                <w:pPr>
                  <w:rPr>
                    <w:rFonts w:ascii="Arial" w:hAnsi="Arial" w:cs="Arial"/>
                    <w:color w:val="808080"/>
                    <w:sz w:val="16"/>
                    <w:szCs w:val="20"/>
                    <w:lang w:eastAsia="de-DE"/>
                  </w:rPr>
                </w:pPr>
                <w:r>
                  <w:rPr>
                    <w:rFonts w:ascii="Arial" w:hAnsi="Arial" w:cs="Arial"/>
                    <w:color w:val="808080"/>
                    <w:sz w:val="16"/>
                    <w:szCs w:val="20"/>
                    <w:lang w:eastAsia="de-DE"/>
                  </w:rPr>
                  <w:t>EUROPEX</w:t>
                </w:r>
                <w:r w:rsidR="001C76D1">
                  <w:rPr>
                    <w:rFonts w:ascii="Arial" w:hAnsi="Arial" w:cs="Arial"/>
                    <w:color w:val="808080"/>
                    <w:sz w:val="16"/>
                    <w:szCs w:val="20"/>
                    <w:lang w:eastAsia="de-DE"/>
                  </w:rPr>
                  <w:t xml:space="preserve"> – Association of European Energy Exchanges</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3AC6E682"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26477E">
                  <w:rPr>
                    <w:rFonts w:ascii="Arial" w:hAnsi="Arial" w:cs="Arial"/>
                    <w:sz w:val="16"/>
                    <w:szCs w:val="20"/>
                    <w:lang w:eastAsia="de-DE"/>
                  </w:rPr>
                  <w:t>Regulated markets/Exchanges/Trading Systems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656D57C0" w:rsidR="00C85C8B" w:rsidRPr="00B16706" w:rsidRDefault="0026477E"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462B2DB0" w:rsidR="00C85C8B" w:rsidRPr="00B16706" w:rsidRDefault="0026477E" w:rsidP="00C85C8B">
                <w:pPr>
                  <w:rPr>
                    <w:rFonts w:ascii="Arial" w:hAnsi="Arial" w:cs="Arial"/>
                    <w:sz w:val="16"/>
                    <w:szCs w:val="20"/>
                    <w:lang w:eastAsia="de-DE"/>
                  </w:rPr>
                </w:pPr>
                <w:r>
                  <w:rPr>
                    <w:rFonts w:ascii="Arial" w:hAnsi="Arial" w:cs="Arial"/>
                    <w:sz w:val="16"/>
                    <w:szCs w:val="20"/>
                    <w:lang w:eastAsia="de-DE"/>
                  </w:rPr>
                  <w:t>BELGIUM</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14C3989A" w14:textId="6AE21E3A" w:rsidR="001B1B48"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639B7C0A" w14:textId="77777777" w:rsidR="008B29C3" w:rsidRDefault="008B29C3">
      <w:pPr>
        <w:spacing w:after="120" w:line="264" w:lineRule="auto"/>
        <w:rPr>
          <w:rFonts w:ascii="Arial" w:hAnsi="Arial" w:cs="Arial"/>
          <w:b/>
          <w:sz w:val="22"/>
          <w:szCs w:val="22"/>
          <w:lang w:val="en-US" w:eastAsia="en-US"/>
        </w:rPr>
      </w:pPr>
    </w:p>
    <w:bookmarkEnd w:id="0"/>
    <w:p w14:paraId="28B47330" w14:textId="77777777" w:rsidR="008B29C3" w:rsidRDefault="008B29C3" w:rsidP="008B29C3">
      <w:pPr>
        <w:pStyle w:val="Questionstyle"/>
        <w:numPr>
          <w:ilvl w:val="0"/>
          <w:numId w:val="17"/>
        </w:numPr>
        <w:spacing w:after="240" w:line="256" w:lineRule="auto"/>
        <w:ind w:left="851" w:hanging="851"/>
      </w:pPr>
      <w:r>
        <w:t xml:space="preserve">Do you agree with ESMA’s proposal to extend the requirements to set, review and report accountability levels to trading venues trading derivatives on emission allowances? Do you have any other comments on ESMA’s proposed amendments? Please elaborate. </w:t>
      </w:r>
    </w:p>
    <w:p w14:paraId="2DB3CD7C" w14:textId="77777777" w:rsidR="008B29C3" w:rsidRDefault="008B29C3" w:rsidP="008B29C3">
      <w:r>
        <w:t>&lt;ESMA_QUESTION_PMPR_1&gt;</w:t>
      </w:r>
    </w:p>
    <w:p w14:paraId="1D8058B5" w14:textId="77777777" w:rsidR="0026477E" w:rsidRDefault="0026477E" w:rsidP="0026477E">
      <w:pPr>
        <w:jc w:val="both"/>
      </w:pPr>
      <w:permStart w:id="101661366" w:edGrp="everyone"/>
      <w:r w:rsidRPr="0026477E">
        <w:t xml:space="preserve">We agree with the ESMA proposal </w:t>
      </w:r>
      <w:r w:rsidRPr="0026477E">
        <w:rPr>
          <w:highlight w:val="red"/>
        </w:rPr>
        <w:t>to extend the requirements to set, review and report accountability levels to trading venues offering derivatives on emission</w:t>
      </w:r>
      <w:r w:rsidRPr="0026477E">
        <w:rPr>
          <w:highlight w:val="red"/>
        </w:rPr>
        <w:t xml:space="preserve"> </w:t>
      </w:r>
      <w:r w:rsidRPr="0026477E">
        <w:rPr>
          <w:highlight w:val="red"/>
        </w:rPr>
        <w:t>allowance</w:t>
      </w:r>
      <w:r>
        <w:t>s</w:t>
      </w:r>
    </w:p>
    <w:permEnd w:id="101661366"/>
    <w:p w14:paraId="2EA1989E" w14:textId="199FAB6E" w:rsidR="008B29C3" w:rsidRDefault="008B29C3" w:rsidP="008B29C3">
      <w:r>
        <w:t>&lt;ESMA_QUESTION_PMPR_1&gt;</w:t>
      </w:r>
    </w:p>
    <w:p w14:paraId="0868C203" w14:textId="77777777" w:rsidR="008B29C3" w:rsidRDefault="008B29C3" w:rsidP="008B29C3"/>
    <w:p w14:paraId="35E7B40C" w14:textId="77777777" w:rsidR="008B29C3" w:rsidRDefault="008B29C3" w:rsidP="008B29C3">
      <w:pPr>
        <w:pStyle w:val="Questionstyle"/>
        <w:numPr>
          <w:ilvl w:val="0"/>
          <w:numId w:val="17"/>
        </w:numPr>
        <w:spacing w:after="240" w:line="256" w:lineRule="auto"/>
        <w:ind w:left="851" w:hanging="851"/>
      </w:pPr>
      <w:r>
        <w:t>Do you foresee any challenges with the use of JSON format comparing to XML? Please provide estimates of the costs and benefits (short- and long term) related to potential transition to JSON?</w:t>
      </w:r>
    </w:p>
    <w:p w14:paraId="14F30ABA" w14:textId="77777777" w:rsidR="008B29C3" w:rsidRDefault="008B29C3" w:rsidP="008B29C3">
      <w:r>
        <w:t>&lt;ESMA_QUESTION_PMPR_2&gt;</w:t>
      </w:r>
    </w:p>
    <w:p w14:paraId="5464E834" w14:textId="77777777" w:rsidR="0026477E" w:rsidRDefault="0026477E" w:rsidP="0026477E">
      <w:pPr>
        <w:jc w:val="both"/>
      </w:pPr>
      <w:permStart w:id="1009454809" w:edGrp="everyone"/>
      <w:r w:rsidRPr="0026477E">
        <w:t xml:space="preserve">As a general consideration, we appreciate the ESMA’s ongoing efforts in consulting stakeholders on the amended technical standards in a prompt manner. We believe that the potential changes to ITS 4 must include an implementation period of at least six months from the time when these changes are adopted by the co-legislators </w:t>
      </w:r>
      <w:proofErr w:type="gramStart"/>
      <w:r w:rsidRPr="0026477E">
        <w:t>in order to</w:t>
      </w:r>
      <w:proofErr w:type="gramEnd"/>
      <w:r w:rsidRPr="0026477E">
        <w:t xml:space="preserve"> take into account the preparation of the new requirements, discussions with the project owner and transition to the project developer. This is particularly the case in case a change from XML to JSON files is required, a change which – also pointed out by ESMA in the consultation paper – requires a gradual transition to properly migrate and ensure data consistency. </w:t>
      </w:r>
    </w:p>
    <w:p w14:paraId="18367F44" w14:textId="77777777" w:rsidR="001130E1" w:rsidRDefault="001130E1" w:rsidP="0026477E">
      <w:pPr>
        <w:jc w:val="both"/>
      </w:pPr>
    </w:p>
    <w:p w14:paraId="2CF7381D" w14:textId="2A779D77" w:rsidR="0026477E" w:rsidRDefault="0026477E" w:rsidP="0026477E">
      <w:pPr>
        <w:jc w:val="both"/>
      </w:pPr>
      <w:r w:rsidRPr="0026477E">
        <w:t>The only major challenge we envisage in using the JSON format file is the time needed to execute the migration. Therefore, we believe that an implementation period of at least six months must be foreseen</w:t>
      </w:r>
      <w:r>
        <w:t>.</w:t>
      </w:r>
    </w:p>
    <w:permEnd w:id="1009454809"/>
    <w:p w14:paraId="56291B27" w14:textId="4B44E44D" w:rsidR="008B29C3" w:rsidRDefault="008B29C3" w:rsidP="008B29C3">
      <w:r>
        <w:t>&lt;ESMA_QUESTION_PMPR_2&gt;</w:t>
      </w:r>
    </w:p>
    <w:p w14:paraId="02037805" w14:textId="77777777" w:rsidR="008B29C3" w:rsidRDefault="008B29C3" w:rsidP="008B29C3"/>
    <w:p w14:paraId="5A200AEB" w14:textId="77777777" w:rsidR="008B29C3" w:rsidRDefault="008B29C3" w:rsidP="008B29C3">
      <w:pPr>
        <w:pStyle w:val="Questionstyle"/>
        <w:numPr>
          <w:ilvl w:val="0"/>
          <w:numId w:val="17"/>
        </w:numPr>
        <w:spacing w:after="240" w:line="256" w:lineRule="auto"/>
        <w:ind w:left="851" w:hanging="851"/>
      </w:pPr>
      <w:r>
        <w:t xml:space="preserve">Do you agree with the other proposals to change ITS 4? Please use the reference number in the table above to provide comments on a specific proposal. In relation to the proposed change 5, are there other units of underlying to be added to the existing list including for reporting the information on emission allowances? In relation to the proposed change 7, are there other position types that should be added to provide more granular reporting, beyond the existing (futures, options and other)? In relation to the proposed change 8, do you foresee any scenarios in which the possibility to use the National ID should be retained? </w:t>
      </w:r>
    </w:p>
    <w:p w14:paraId="1A4FAE92" w14:textId="77777777" w:rsidR="008B29C3" w:rsidRDefault="008B29C3" w:rsidP="008B29C3">
      <w:r>
        <w:t>&lt;ESMA_QUESTION_PMPR_3&gt;</w:t>
      </w:r>
    </w:p>
    <w:p w14:paraId="63C041E3" w14:textId="363B0D6F" w:rsidR="001755C4" w:rsidRPr="00326FEB" w:rsidRDefault="001755C4" w:rsidP="001755C4">
      <w:pPr>
        <w:pStyle w:val="ListParagraph"/>
        <w:numPr>
          <w:ilvl w:val="0"/>
          <w:numId w:val="33"/>
        </w:numPr>
        <w:tabs>
          <w:tab w:val="clear" w:pos="0"/>
          <w:tab w:val="clear" w:pos="142"/>
          <w:tab w:val="clear" w:pos="284"/>
          <w:tab w:val="clear" w:pos="567"/>
        </w:tabs>
        <w:autoSpaceDE/>
        <w:autoSpaceDN/>
        <w:adjustRightInd/>
        <w:spacing w:after="160" w:line="278" w:lineRule="auto"/>
        <w:ind w:left="360"/>
        <w:contextualSpacing/>
        <w:rPr>
          <w:rFonts w:ascii="Aptos" w:hAnsi="Aptos"/>
          <w:b/>
          <w:bCs/>
          <w:color w:val="000000" w:themeColor="text1"/>
        </w:rPr>
      </w:pPr>
      <w:permStart w:id="2115599768" w:edGrp="everyone"/>
      <w:r w:rsidRPr="00326FEB">
        <w:rPr>
          <w:b/>
          <w:bCs/>
          <w:color w:val="000000" w:themeColor="text1"/>
        </w:rPr>
        <w:t xml:space="preserve">Add a field “Report type” in Table 1 of Annex I of ITS 4 to reflect the existence of two weekly reports, one excluding options. </w:t>
      </w:r>
    </w:p>
    <w:p w14:paraId="61AC8963" w14:textId="77777777" w:rsidR="001755C4" w:rsidRPr="001755C4" w:rsidRDefault="001755C4" w:rsidP="001755C4">
      <w:pPr>
        <w:jc w:val="both"/>
        <w:rPr>
          <w:color w:val="000000" w:themeColor="text1"/>
        </w:rPr>
      </w:pPr>
      <w:r w:rsidRPr="001755C4">
        <w:rPr>
          <w:color w:val="000000" w:themeColor="text1"/>
        </w:rPr>
        <w:t xml:space="preserve">We are fine with it. </w:t>
      </w:r>
    </w:p>
    <w:p w14:paraId="331F98B2" w14:textId="77777777" w:rsidR="001755C4" w:rsidRPr="001755C4" w:rsidRDefault="001755C4" w:rsidP="001755C4">
      <w:pPr>
        <w:jc w:val="both"/>
        <w:rPr>
          <w:color w:val="000000" w:themeColor="text1"/>
        </w:rPr>
      </w:pPr>
    </w:p>
    <w:p w14:paraId="5E31B68F" w14:textId="77777777" w:rsidR="001755C4" w:rsidRPr="001755C4" w:rsidRDefault="001755C4" w:rsidP="001755C4">
      <w:pPr>
        <w:pStyle w:val="ListParagraph"/>
        <w:numPr>
          <w:ilvl w:val="0"/>
          <w:numId w:val="33"/>
        </w:numPr>
        <w:tabs>
          <w:tab w:val="clear" w:pos="0"/>
          <w:tab w:val="clear" w:pos="142"/>
          <w:tab w:val="clear" w:pos="284"/>
          <w:tab w:val="clear" w:pos="567"/>
        </w:tabs>
        <w:autoSpaceDE/>
        <w:autoSpaceDN/>
        <w:adjustRightInd/>
        <w:spacing w:after="160" w:line="278" w:lineRule="auto"/>
        <w:ind w:left="360"/>
        <w:contextualSpacing/>
        <w:rPr>
          <w:rFonts w:ascii="Times New Roman" w:hAnsi="Times New Roman" w:cs="Times New Roman"/>
          <w:b/>
          <w:bCs/>
          <w:color w:val="000000" w:themeColor="text1"/>
          <w:sz w:val="24"/>
          <w:szCs w:val="24"/>
        </w:rPr>
      </w:pPr>
      <w:r w:rsidRPr="001755C4">
        <w:rPr>
          <w:rFonts w:ascii="Times New Roman" w:hAnsi="Times New Roman" w:cs="Times New Roman"/>
          <w:b/>
          <w:bCs/>
          <w:color w:val="000000" w:themeColor="text1"/>
          <w:sz w:val="24"/>
          <w:szCs w:val="24"/>
        </w:rPr>
        <w:t xml:space="preserve">Add a field “Report type” in Table 3 of Annex I of ITS 4 to reflect the existence of two weekly reports, one excluding options. This field takes the value ‘COMB’ for the report combining futures and options, and the value ‘FUTR’ for the report excluding options. </w:t>
      </w:r>
    </w:p>
    <w:p w14:paraId="34357A3F" w14:textId="77777777" w:rsidR="001755C4" w:rsidRPr="001755C4" w:rsidRDefault="001755C4" w:rsidP="001755C4">
      <w:pPr>
        <w:jc w:val="both"/>
        <w:rPr>
          <w:color w:val="000000" w:themeColor="text1"/>
        </w:rPr>
      </w:pPr>
      <w:r w:rsidRPr="001755C4">
        <w:rPr>
          <w:color w:val="000000" w:themeColor="text1"/>
        </w:rPr>
        <w:t xml:space="preserve">We are fine with it. </w:t>
      </w:r>
    </w:p>
    <w:p w14:paraId="029F84C1" w14:textId="77777777" w:rsidR="001755C4" w:rsidRPr="001755C4" w:rsidRDefault="001755C4" w:rsidP="001755C4">
      <w:pPr>
        <w:jc w:val="both"/>
        <w:rPr>
          <w:color w:val="000000" w:themeColor="text1"/>
        </w:rPr>
      </w:pPr>
    </w:p>
    <w:p w14:paraId="3CB486A1" w14:textId="77777777" w:rsidR="001755C4" w:rsidRPr="001755C4" w:rsidRDefault="001755C4" w:rsidP="001755C4">
      <w:pPr>
        <w:pStyle w:val="ListParagraph"/>
        <w:numPr>
          <w:ilvl w:val="0"/>
          <w:numId w:val="33"/>
        </w:numPr>
        <w:tabs>
          <w:tab w:val="clear" w:pos="0"/>
          <w:tab w:val="clear" w:pos="142"/>
          <w:tab w:val="clear" w:pos="284"/>
          <w:tab w:val="clear" w:pos="567"/>
        </w:tabs>
        <w:autoSpaceDE/>
        <w:autoSpaceDN/>
        <w:adjustRightInd/>
        <w:spacing w:after="160" w:line="278" w:lineRule="auto"/>
        <w:ind w:left="360"/>
        <w:contextualSpacing/>
        <w:rPr>
          <w:rFonts w:ascii="Times New Roman" w:hAnsi="Times New Roman" w:cs="Times New Roman"/>
          <w:b/>
          <w:bCs/>
          <w:color w:val="000000" w:themeColor="text1"/>
          <w:sz w:val="24"/>
          <w:szCs w:val="24"/>
        </w:rPr>
      </w:pPr>
      <w:r w:rsidRPr="001755C4">
        <w:rPr>
          <w:rFonts w:ascii="Times New Roman" w:hAnsi="Times New Roman" w:cs="Times New Roman"/>
          <w:b/>
          <w:bCs/>
          <w:color w:val="000000" w:themeColor="text1"/>
          <w:sz w:val="24"/>
          <w:szCs w:val="24"/>
        </w:rPr>
        <w:t xml:space="preserve">Amend the description of the field “number of positions” in Table 3 of Annex I of ITS 4 to reflect the existence of two weekly reports, as follows “If the field “Report type” is equal to ‘COMB’, option contracts shall be included in the aggregation and reported on a delta-equivalent basis. If the field “Report type” is equal to ‘FUTR’, option contracts shall not be included in the aggregation.” </w:t>
      </w:r>
    </w:p>
    <w:p w14:paraId="749D8FE6" w14:textId="77777777" w:rsidR="001755C4" w:rsidRPr="001755C4" w:rsidRDefault="001755C4" w:rsidP="001755C4">
      <w:pPr>
        <w:pStyle w:val="ListParagraph"/>
        <w:numPr>
          <w:ilvl w:val="0"/>
          <w:numId w:val="0"/>
        </w:numPr>
        <w:ind w:left="360"/>
        <w:rPr>
          <w:rFonts w:ascii="Times New Roman" w:hAnsi="Times New Roman" w:cs="Times New Roman"/>
          <w:b/>
          <w:bCs/>
          <w:color w:val="000000" w:themeColor="text1"/>
          <w:sz w:val="24"/>
          <w:szCs w:val="24"/>
        </w:rPr>
      </w:pPr>
    </w:p>
    <w:p w14:paraId="5BA67159" w14:textId="77777777" w:rsidR="001755C4" w:rsidRDefault="001755C4" w:rsidP="001755C4">
      <w:pPr>
        <w:jc w:val="both"/>
        <w:rPr>
          <w:color w:val="000000" w:themeColor="text1"/>
        </w:rPr>
      </w:pPr>
      <w:r w:rsidRPr="001755C4">
        <w:rPr>
          <w:color w:val="000000" w:themeColor="text1"/>
        </w:rPr>
        <w:t xml:space="preserve">We are fine with it. </w:t>
      </w:r>
    </w:p>
    <w:p w14:paraId="42E77FAF" w14:textId="77777777" w:rsidR="001755C4" w:rsidRPr="001755C4" w:rsidRDefault="001755C4" w:rsidP="001755C4">
      <w:pPr>
        <w:jc w:val="both"/>
        <w:rPr>
          <w:color w:val="000000" w:themeColor="text1"/>
        </w:rPr>
      </w:pPr>
    </w:p>
    <w:p w14:paraId="1B575AD8" w14:textId="77777777" w:rsidR="001755C4" w:rsidRPr="001755C4" w:rsidRDefault="001755C4" w:rsidP="001755C4">
      <w:pPr>
        <w:jc w:val="both"/>
        <w:rPr>
          <w:color w:val="000000" w:themeColor="text1"/>
        </w:rPr>
      </w:pPr>
    </w:p>
    <w:p w14:paraId="0144DF73" w14:textId="77777777" w:rsidR="001755C4" w:rsidRDefault="001755C4" w:rsidP="001755C4">
      <w:pPr>
        <w:pStyle w:val="ListParagraph"/>
        <w:numPr>
          <w:ilvl w:val="0"/>
          <w:numId w:val="33"/>
        </w:numPr>
        <w:tabs>
          <w:tab w:val="clear" w:pos="0"/>
          <w:tab w:val="clear" w:pos="142"/>
          <w:tab w:val="clear" w:pos="284"/>
          <w:tab w:val="clear" w:pos="567"/>
        </w:tabs>
        <w:autoSpaceDE/>
        <w:autoSpaceDN/>
        <w:adjustRightInd/>
        <w:spacing w:after="160" w:line="278" w:lineRule="auto"/>
        <w:ind w:left="360"/>
        <w:contextualSpacing/>
        <w:rPr>
          <w:rFonts w:ascii="Times New Roman" w:hAnsi="Times New Roman" w:cs="Times New Roman"/>
          <w:b/>
          <w:bCs/>
          <w:color w:val="000000" w:themeColor="text1"/>
          <w:sz w:val="24"/>
          <w:szCs w:val="24"/>
        </w:rPr>
      </w:pPr>
      <w:r w:rsidRPr="001755C4">
        <w:rPr>
          <w:rFonts w:ascii="Times New Roman" w:hAnsi="Times New Roman" w:cs="Times New Roman"/>
          <w:b/>
          <w:bCs/>
          <w:color w:val="000000" w:themeColor="text1"/>
          <w:sz w:val="24"/>
          <w:szCs w:val="24"/>
        </w:rPr>
        <w:t xml:space="preserve">Delete references to emission allowances (spot) in ITS 4 </w:t>
      </w:r>
    </w:p>
    <w:p w14:paraId="3C207276" w14:textId="77777777" w:rsidR="001755C4" w:rsidRPr="001755C4" w:rsidRDefault="001755C4" w:rsidP="001755C4">
      <w:pPr>
        <w:pStyle w:val="ListParagraph"/>
        <w:numPr>
          <w:ilvl w:val="0"/>
          <w:numId w:val="0"/>
        </w:numPr>
        <w:tabs>
          <w:tab w:val="clear" w:pos="0"/>
          <w:tab w:val="clear" w:pos="142"/>
          <w:tab w:val="clear" w:pos="284"/>
          <w:tab w:val="clear" w:pos="567"/>
        </w:tabs>
        <w:autoSpaceDE/>
        <w:autoSpaceDN/>
        <w:adjustRightInd/>
        <w:spacing w:after="160" w:line="278" w:lineRule="auto"/>
        <w:ind w:left="360"/>
        <w:contextualSpacing/>
        <w:rPr>
          <w:rFonts w:ascii="Times New Roman" w:hAnsi="Times New Roman" w:cs="Times New Roman"/>
          <w:b/>
          <w:bCs/>
          <w:color w:val="000000" w:themeColor="text1"/>
          <w:sz w:val="24"/>
          <w:szCs w:val="24"/>
        </w:rPr>
      </w:pPr>
    </w:p>
    <w:p w14:paraId="4A3CDD1F" w14:textId="77777777" w:rsidR="001755C4" w:rsidRPr="001755C4" w:rsidRDefault="001755C4" w:rsidP="001755C4">
      <w:pPr>
        <w:jc w:val="both"/>
        <w:rPr>
          <w:color w:val="000000" w:themeColor="text1"/>
        </w:rPr>
      </w:pPr>
      <w:r w:rsidRPr="001755C4">
        <w:rPr>
          <w:color w:val="000000" w:themeColor="text1"/>
        </w:rPr>
        <w:t xml:space="preserve">We are fine with it. </w:t>
      </w:r>
    </w:p>
    <w:p w14:paraId="1BFBDDC2" w14:textId="77777777" w:rsidR="001755C4" w:rsidRPr="001755C4" w:rsidRDefault="001755C4" w:rsidP="001755C4">
      <w:pPr>
        <w:ind w:left="-360"/>
        <w:jc w:val="both"/>
        <w:rPr>
          <w:color w:val="000000" w:themeColor="text1"/>
        </w:rPr>
      </w:pPr>
    </w:p>
    <w:p w14:paraId="28772535" w14:textId="77777777" w:rsidR="001755C4" w:rsidRPr="001755C4" w:rsidRDefault="001755C4" w:rsidP="001755C4">
      <w:pPr>
        <w:pStyle w:val="ListParagraph"/>
        <w:numPr>
          <w:ilvl w:val="0"/>
          <w:numId w:val="33"/>
        </w:numPr>
        <w:tabs>
          <w:tab w:val="clear" w:pos="0"/>
          <w:tab w:val="clear" w:pos="142"/>
          <w:tab w:val="clear" w:pos="284"/>
          <w:tab w:val="clear" w:pos="567"/>
        </w:tabs>
        <w:autoSpaceDE/>
        <w:autoSpaceDN/>
        <w:adjustRightInd/>
        <w:spacing w:after="160" w:line="278" w:lineRule="auto"/>
        <w:ind w:left="360"/>
        <w:contextualSpacing/>
        <w:rPr>
          <w:rFonts w:ascii="Times New Roman" w:hAnsi="Times New Roman" w:cs="Times New Roman"/>
          <w:b/>
          <w:bCs/>
          <w:color w:val="000000" w:themeColor="text1"/>
          <w:sz w:val="24"/>
          <w:szCs w:val="24"/>
        </w:rPr>
      </w:pPr>
      <w:r w:rsidRPr="001755C4">
        <w:rPr>
          <w:rFonts w:ascii="Times New Roman" w:hAnsi="Times New Roman" w:cs="Times New Roman"/>
          <w:b/>
          <w:bCs/>
          <w:color w:val="000000" w:themeColor="text1"/>
          <w:sz w:val="24"/>
          <w:szCs w:val="24"/>
        </w:rPr>
        <w:t xml:space="preserve">Amend the description of the field “Notation of the position quantity” in Table 3 of Annex I of ITS 4 (weekly position reports) to specify that positions in derivatives on electricity and natural gas should be expressed in units of underlying and that positions in other derivatives should be expressed in lots. In the same field, amend the format accordingly. </w:t>
      </w:r>
    </w:p>
    <w:p w14:paraId="7DDB31E6" w14:textId="77777777" w:rsidR="001755C4" w:rsidRPr="001755C4" w:rsidRDefault="001755C4" w:rsidP="001755C4">
      <w:pPr>
        <w:jc w:val="both"/>
        <w:rPr>
          <w:rFonts w:eastAsia="Aptos"/>
          <w:color w:val="000000" w:themeColor="text1"/>
        </w:rPr>
      </w:pPr>
      <w:r w:rsidRPr="001755C4">
        <w:rPr>
          <w:rFonts w:eastAsia="Aptos"/>
          <w:color w:val="000000" w:themeColor="text1"/>
        </w:rPr>
        <w:t xml:space="preserve">We agree that harmonising the unit of reporting would be beneficial for all users of the weekly position reports. </w:t>
      </w:r>
      <w:proofErr w:type="gramStart"/>
      <w:r w:rsidRPr="001755C4">
        <w:rPr>
          <w:rFonts w:eastAsia="Aptos"/>
          <w:color w:val="000000" w:themeColor="text1"/>
        </w:rPr>
        <w:t>In order to</w:t>
      </w:r>
      <w:proofErr w:type="gramEnd"/>
      <w:r w:rsidRPr="001755C4">
        <w:rPr>
          <w:rFonts w:eastAsia="Aptos"/>
          <w:color w:val="000000" w:themeColor="text1"/>
        </w:rPr>
        <w:t xml:space="preserve"> easily compare weekly position reports, we believe it makes most sense to report all these contracts in MWh.</w:t>
      </w:r>
    </w:p>
    <w:p w14:paraId="5D1647FA" w14:textId="77777777" w:rsidR="001755C4" w:rsidRPr="001755C4" w:rsidRDefault="001755C4" w:rsidP="001755C4">
      <w:pPr>
        <w:jc w:val="both"/>
        <w:rPr>
          <w:color w:val="000000" w:themeColor="text1"/>
        </w:rPr>
      </w:pPr>
      <w:r w:rsidRPr="001755C4">
        <w:rPr>
          <w:rFonts w:eastAsia="Aptos"/>
          <w:color w:val="000000" w:themeColor="text1"/>
        </w:rPr>
        <w:t>In this context, w</w:t>
      </w:r>
      <w:r w:rsidRPr="001755C4">
        <w:rPr>
          <w:color w:val="000000" w:themeColor="text1"/>
        </w:rPr>
        <w:t xml:space="preserve">e would appreciate it if ESMA would clarify what the threshold is for publishing weekly position reports. While </w:t>
      </w:r>
      <w:proofErr w:type="gramStart"/>
      <w:r w:rsidRPr="001755C4">
        <w:rPr>
          <w:color w:val="000000" w:themeColor="text1"/>
        </w:rPr>
        <w:t>it is clear that in</w:t>
      </w:r>
      <w:proofErr w:type="gramEnd"/>
      <w:r w:rsidRPr="001755C4">
        <w:rPr>
          <w:color w:val="000000" w:themeColor="text1"/>
        </w:rPr>
        <w:t xml:space="preserve"> lots the threshold is 10.000, it is not clear to us what the threshold is if MWh is used. Furthermore, we would like to highlight that if one unit of measurement prevailed, there would be no need for a code. </w:t>
      </w:r>
    </w:p>
    <w:p w14:paraId="3AD43297" w14:textId="5F90653F" w:rsidR="001755C4" w:rsidRPr="001755C4" w:rsidRDefault="001755C4" w:rsidP="001755C4">
      <w:pPr>
        <w:jc w:val="both"/>
        <w:rPr>
          <w:color w:val="000000" w:themeColor="text1"/>
        </w:rPr>
      </w:pPr>
      <w:r w:rsidRPr="001755C4">
        <w:rPr>
          <w:color w:val="000000" w:themeColor="text1"/>
        </w:rPr>
        <w:t>To the question whether there are other units of underlying to be added to the existing list including for reporting the information on emission allowances</w:t>
      </w:r>
      <w:r>
        <w:rPr>
          <w:color w:val="000000" w:themeColor="text1"/>
        </w:rPr>
        <w:t xml:space="preserve">, we respond that there </w:t>
      </w:r>
      <w:proofErr w:type="gramStart"/>
      <w:r>
        <w:rPr>
          <w:color w:val="000000" w:themeColor="text1"/>
        </w:rPr>
        <w:t>is</w:t>
      </w:r>
      <w:proofErr w:type="gramEnd"/>
      <w:r>
        <w:rPr>
          <w:color w:val="000000" w:themeColor="text1"/>
        </w:rPr>
        <w:t xml:space="preserve"> </w:t>
      </w:r>
      <w:proofErr w:type="spellStart"/>
      <w:r>
        <w:rPr>
          <w:color w:val="000000" w:themeColor="text1"/>
        </w:rPr>
        <w:t>not</w:t>
      </w:r>
      <w:proofErr w:type="spellEnd"/>
      <w:r>
        <w:rPr>
          <w:color w:val="000000" w:themeColor="text1"/>
        </w:rPr>
        <w:t xml:space="preserve"> other units</w:t>
      </w:r>
      <w:r w:rsidRPr="001755C4">
        <w:rPr>
          <w:color w:val="000000" w:themeColor="text1"/>
        </w:rPr>
        <w:t>.</w:t>
      </w:r>
    </w:p>
    <w:p w14:paraId="79A58C7D" w14:textId="77777777" w:rsidR="001755C4" w:rsidRPr="001755C4" w:rsidRDefault="001755C4" w:rsidP="001755C4">
      <w:pPr>
        <w:jc w:val="both"/>
        <w:rPr>
          <w:color w:val="000000" w:themeColor="text1"/>
        </w:rPr>
      </w:pPr>
    </w:p>
    <w:p w14:paraId="5F0B9C1B" w14:textId="77777777" w:rsidR="001755C4" w:rsidRPr="001755C4" w:rsidRDefault="001755C4" w:rsidP="001755C4">
      <w:pPr>
        <w:pStyle w:val="ListParagraph"/>
        <w:numPr>
          <w:ilvl w:val="0"/>
          <w:numId w:val="33"/>
        </w:numPr>
        <w:tabs>
          <w:tab w:val="clear" w:pos="0"/>
          <w:tab w:val="clear" w:pos="142"/>
          <w:tab w:val="clear" w:pos="284"/>
          <w:tab w:val="clear" w:pos="567"/>
        </w:tabs>
        <w:autoSpaceDE/>
        <w:autoSpaceDN/>
        <w:adjustRightInd/>
        <w:spacing w:after="160" w:line="278" w:lineRule="auto"/>
        <w:ind w:left="360"/>
        <w:contextualSpacing/>
        <w:rPr>
          <w:rFonts w:ascii="Times New Roman" w:hAnsi="Times New Roman" w:cs="Times New Roman"/>
          <w:b/>
          <w:bCs/>
          <w:color w:val="000000" w:themeColor="text1"/>
          <w:sz w:val="24"/>
          <w:szCs w:val="24"/>
        </w:rPr>
      </w:pPr>
      <w:r w:rsidRPr="001755C4">
        <w:rPr>
          <w:rFonts w:ascii="Times New Roman" w:hAnsi="Times New Roman" w:cs="Times New Roman"/>
          <w:b/>
          <w:bCs/>
          <w:color w:val="000000" w:themeColor="text1"/>
          <w:sz w:val="24"/>
          <w:szCs w:val="24"/>
        </w:rPr>
        <w:t xml:space="preserve">Amend the descriptions and formats of the fields “Position quantity” and “Notation of the position quantity” in Table 2 of Annex II of ITS 4 (daily position reports), to align with the above changes on weekly position reports. </w:t>
      </w:r>
    </w:p>
    <w:p w14:paraId="5B70AC05" w14:textId="77777777" w:rsidR="001755C4" w:rsidRPr="001755C4" w:rsidRDefault="001755C4" w:rsidP="001755C4">
      <w:pPr>
        <w:jc w:val="both"/>
        <w:rPr>
          <w:color w:val="000000" w:themeColor="text1"/>
        </w:rPr>
      </w:pPr>
    </w:p>
    <w:p w14:paraId="0C843175" w14:textId="49E5484D" w:rsidR="001755C4" w:rsidRPr="001755C4" w:rsidRDefault="001755C4" w:rsidP="001755C4">
      <w:pPr>
        <w:jc w:val="both"/>
        <w:rPr>
          <w:color w:val="000000" w:themeColor="text1"/>
        </w:rPr>
      </w:pPr>
      <w:r w:rsidRPr="001755C4">
        <w:rPr>
          <w:color w:val="000000" w:themeColor="text1"/>
        </w:rPr>
        <w:t xml:space="preserve">We refer to our response </w:t>
      </w:r>
      <w:r>
        <w:rPr>
          <w:color w:val="000000" w:themeColor="text1"/>
        </w:rPr>
        <w:t xml:space="preserve">right </w:t>
      </w:r>
      <w:r w:rsidRPr="001755C4">
        <w:rPr>
          <w:color w:val="000000" w:themeColor="text1"/>
        </w:rPr>
        <w:t>above in questions 5</w:t>
      </w:r>
      <w:r>
        <w:rPr>
          <w:color w:val="000000" w:themeColor="text1"/>
        </w:rPr>
        <w:t xml:space="preserve">. </w:t>
      </w:r>
    </w:p>
    <w:p w14:paraId="466A0FB9" w14:textId="77777777" w:rsidR="001755C4" w:rsidRPr="001755C4" w:rsidRDefault="001755C4" w:rsidP="001755C4">
      <w:pPr>
        <w:jc w:val="both"/>
        <w:rPr>
          <w:color w:val="000000" w:themeColor="text1"/>
        </w:rPr>
      </w:pPr>
    </w:p>
    <w:p w14:paraId="6DEA0B37" w14:textId="77777777" w:rsidR="001755C4" w:rsidRPr="001755C4" w:rsidRDefault="001755C4" w:rsidP="001755C4">
      <w:pPr>
        <w:pStyle w:val="ListParagraph"/>
        <w:numPr>
          <w:ilvl w:val="0"/>
          <w:numId w:val="33"/>
        </w:numPr>
        <w:tabs>
          <w:tab w:val="clear" w:pos="0"/>
          <w:tab w:val="clear" w:pos="142"/>
          <w:tab w:val="clear" w:pos="284"/>
          <w:tab w:val="clear" w:pos="567"/>
        </w:tabs>
        <w:autoSpaceDE/>
        <w:autoSpaceDN/>
        <w:adjustRightInd/>
        <w:spacing w:after="160" w:line="278" w:lineRule="auto"/>
        <w:ind w:left="360"/>
        <w:contextualSpacing/>
        <w:rPr>
          <w:rFonts w:ascii="Times New Roman" w:hAnsi="Times New Roman" w:cs="Times New Roman"/>
          <w:b/>
          <w:bCs/>
          <w:color w:val="000000" w:themeColor="text1"/>
          <w:sz w:val="24"/>
          <w:szCs w:val="24"/>
        </w:rPr>
      </w:pPr>
      <w:r w:rsidRPr="001755C4">
        <w:rPr>
          <w:rFonts w:ascii="Times New Roman" w:hAnsi="Times New Roman" w:cs="Times New Roman"/>
          <w:b/>
          <w:bCs/>
          <w:color w:val="000000" w:themeColor="text1"/>
          <w:sz w:val="24"/>
          <w:szCs w:val="24"/>
        </w:rPr>
        <w:t xml:space="preserve">Drafting changes to fields “Position type”, “Position maturity” and “Delta equivalent position quantity” in Table 2 of Annex II of ITS 4 (daily position reports): deletion of reference to emission allowances, and deletion of code ‘EMIS’ </w:t>
      </w:r>
    </w:p>
    <w:p w14:paraId="46BD231C" w14:textId="77777777" w:rsidR="001755C4" w:rsidRDefault="001755C4" w:rsidP="001755C4">
      <w:pPr>
        <w:jc w:val="both"/>
        <w:rPr>
          <w:rFonts w:eastAsia="Aptos"/>
          <w:color w:val="000000" w:themeColor="text1"/>
        </w:rPr>
      </w:pPr>
      <w:r w:rsidRPr="001755C4">
        <w:rPr>
          <w:rFonts w:eastAsia="Aptos"/>
          <w:color w:val="000000" w:themeColor="text1"/>
        </w:rPr>
        <w:t xml:space="preserve">The proposed change 7 may create an issue that is not documented in the consultation. Today, futures based on emission allowances are categorised as Position Type “EMIS”. EMIS positions only have a position maturity of “SPOT”. With the suggested withdrawal of the EMIS category, emission allowance futures will be changed to be Position Type FUTR and will need to be reported with position maturities of SPOT (the spot month contract) and OTHR (all other contract maturities). In this case, </w:t>
      </w:r>
      <w:proofErr w:type="spellStart"/>
      <w:r w:rsidRPr="001755C4">
        <w:rPr>
          <w:rFonts w:eastAsia="Aptos"/>
          <w:color w:val="000000" w:themeColor="text1"/>
        </w:rPr>
        <w:t>Europex</w:t>
      </w:r>
      <w:proofErr w:type="spellEnd"/>
      <w:r w:rsidRPr="001755C4">
        <w:rPr>
          <w:rFonts w:eastAsia="Aptos"/>
          <w:color w:val="000000" w:themeColor="text1"/>
        </w:rPr>
        <w:t xml:space="preserve"> strongly recommends specifying that in emissions allowance futures the spot month of a contract is the December maturity, as the main futures contract maturity traded in emissions allowances is typically the December contract. This approach is in line with position management arrangements of exchanges, which sets separate accountability levels for the December emission allowances contract (the spot month contract) and all other contract maturities. </w:t>
      </w:r>
    </w:p>
    <w:p w14:paraId="4FE7E60A" w14:textId="77777777" w:rsidR="001130E1" w:rsidRPr="001755C4" w:rsidRDefault="001130E1" w:rsidP="001755C4">
      <w:pPr>
        <w:jc w:val="both"/>
        <w:rPr>
          <w:rFonts w:eastAsia="Aptos"/>
          <w:color w:val="000000" w:themeColor="text1"/>
        </w:rPr>
      </w:pPr>
    </w:p>
    <w:p w14:paraId="60F8B2D3" w14:textId="77777777" w:rsidR="001755C4" w:rsidRPr="001755C4" w:rsidRDefault="001755C4" w:rsidP="001755C4">
      <w:pPr>
        <w:jc w:val="both"/>
        <w:rPr>
          <w:rFonts w:eastAsia="Aptos"/>
          <w:color w:val="000000" w:themeColor="text1"/>
          <w:highlight w:val="yellow"/>
        </w:rPr>
      </w:pPr>
      <w:r w:rsidRPr="001755C4">
        <w:rPr>
          <w:rFonts w:eastAsia="Aptos"/>
          <w:color w:val="000000" w:themeColor="text1"/>
        </w:rPr>
        <w:t xml:space="preserve">Without the above-described correct identification of the spot month contract in emission allowance futures, </w:t>
      </w:r>
      <w:proofErr w:type="spellStart"/>
      <w:r w:rsidRPr="001755C4">
        <w:rPr>
          <w:rFonts w:eastAsia="Aptos"/>
          <w:color w:val="000000" w:themeColor="text1"/>
        </w:rPr>
        <w:t>Europex</w:t>
      </w:r>
      <w:proofErr w:type="spellEnd"/>
      <w:r w:rsidRPr="001755C4">
        <w:rPr>
          <w:rFonts w:eastAsia="Aptos"/>
          <w:color w:val="000000" w:themeColor="text1"/>
        </w:rPr>
        <w:t xml:space="preserve"> does not support withdrawing the EMIS category. The incorrect classification of the spot month contract would create an artificial division that doesn’t reflect how the emission allowance futures market operates.</w:t>
      </w:r>
    </w:p>
    <w:p w14:paraId="3FF137B2" w14:textId="77777777" w:rsidR="001755C4" w:rsidRPr="001755C4" w:rsidRDefault="001755C4" w:rsidP="001755C4">
      <w:pPr>
        <w:jc w:val="both"/>
        <w:rPr>
          <w:color w:val="000000" w:themeColor="text1"/>
        </w:rPr>
      </w:pPr>
    </w:p>
    <w:p w14:paraId="23F288D9" w14:textId="77777777" w:rsidR="001755C4" w:rsidRPr="001755C4" w:rsidRDefault="001755C4" w:rsidP="001755C4">
      <w:pPr>
        <w:pStyle w:val="ListParagraph"/>
        <w:numPr>
          <w:ilvl w:val="0"/>
          <w:numId w:val="33"/>
        </w:numPr>
        <w:tabs>
          <w:tab w:val="clear" w:pos="0"/>
          <w:tab w:val="clear" w:pos="142"/>
          <w:tab w:val="clear" w:pos="284"/>
          <w:tab w:val="clear" w:pos="567"/>
        </w:tabs>
        <w:autoSpaceDE/>
        <w:autoSpaceDN/>
        <w:adjustRightInd/>
        <w:spacing w:after="160" w:line="278" w:lineRule="auto"/>
        <w:ind w:left="360"/>
        <w:contextualSpacing/>
        <w:rPr>
          <w:rFonts w:ascii="Times New Roman" w:hAnsi="Times New Roman" w:cs="Times New Roman"/>
          <w:b/>
          <w:bCs/>
          <w:color w:val="000000" w:themeColor="text1"/>
          <w:sz w:val="24"/>
          <w:szCs w:val="24"/>
        </w:rPr>
      </w:pPr>
      <w:r w:rsidRPr="001755C4">
        <w:rPr>
          <w:rFonts w:ascii="Times New Roman" w:hAnsi="Times New Roman" w:cs="Times New Roman"/>
          <w:b/>
          <w:bCs/>
          <w:color w:val="000000" w:themeColor="text1"/>
          <w:sz w:val="24"/>
          <w:szCs w:val="24"/>
        </w:rPr>
        <w:t>Drafting changes to the fields “Position holder ID”, “Reporting entity ID” and “Ultimate parent ID” in Table 2 of Annex II of ITS 4 (daily position reports): clarifying when the National ID is expected to be used</w:t>
      </w:r>
    </w:p>
    <w:p w14:paraId="2A78B6DD" w14:textId="77777777" w:rsidR="001755C4" w:rsidRPr="001755C4" w:rsidRDefault="001755C4" w:rsidP="001755C4">
      <w:pPr>
        <w:jc w:val="both"/>
        <w:rPr>
          <w:color w:val="000000" w:themeColor="text1"/>
        </w:rPr>
      </w:pPr>
      <w:r w:rsidRPr="001755C4">
        <w:rPr>
          <w:color w:val="000000" w:themeColor="text1"/>
        </w:rPr>
        <w:t xml:space="preserve">We are fine with it. To the question whether we foresee any scenarios in which the possibility to use the National ID should be retained, we do not foresee it. In this context, we believe it should only be retained for position holder and ultimate parent. </w:t>
      </w:r>
    </w:p>
    <w:p w14:paraId="740C0171" w14:textId="77777777" w:rsidR="001755C4" w:rsidRPr="001755C4" w:rsidRDefault="001755C4" w:rsidP="001755C4">
      <w:pPr>
        <w:jc w:val="both"/>
        <w:rPr>
          <w:color w:val="000000" w:themeColor="text1"/>
        </w:rPr>
      </w:pPr>
    </w:p>
    <w:p w14:paraId="0BA03EFF" w14:textId="77777777" w:rsidR="001755C4" w:rsidRPr="001755C4" w:rsidRDefault="001755C4" w:rsidP="001755C4">
      <w:pPr>
        <w:pStyle w:val="ListParagraph"/>
        <w:numPr>
          <w:ilvl w:val="0"/>
          <w:numId w:val="33"/>
        </w:numPr>
        <w:tabs>
          <w:tab w:val="clear" w:pos="0"/>
          <w:tab w:val="clear" w:pos="142"/>
          <w:tab w:val="clear" w:pos="284"/>
          <w:tab w:val="clear" w:pos="567"/>
        </w:tabs>
        <w:autoSpaceDE/>
        <w:autoSpaceDN/>
        <w:adjustRightInd/>
        <w:spacing w:after="160" w:line="278" w:lineRule="auto"/>
        <w:ind w:left="360"/>
        <w:contextualSpacing/>
        <w:rPr>
          <w:rFonts w:ascii="Times New Roman" w:hAnsi="Times New Roman" w:cs="Times New Roman"/>
          <w:b/>
          <w:bCs/>
          <w:color w:val="000000" w:themeColor="text1"/>
          <w:sz w:val="24"/>
          <w:szCs w:val="24"/>
        </w:rPr>
      </w:pPr>
      <w:r w:rsidRPr="001755C4">
        <w:rPr>
          <w:rFonts w:ascii="Times New Roman" w:hAnsi="Times New Roman" w:cs="Times New Roman"/>
          <w:b/>
          <w:bCs/>
          <w:color w:val="000000" w:themeColor="text1"/>
          <w:sz w:val="24"/>
          <w:szCs w:val="24"/>
        </w:rPr>
        <w:t xml:space="preserve">Change the format requirements of daily and weekly reports (Article 3 of ITS 4) from XML to JSON </w:t>
      </w:r>
    </w:p>
    <w:p w14:paraId="1D9D622E" w14:textId="77777777" w:rsidR="001755C4" w:rsidRPr="001755C4" w:rsidRDefault="001755C4" w:rsidP="001755C4">
      <w:pPr>
        <w:pStyle w:val="ListParagraph"/>
        <w:numPr>
          <w:ilvl w:val="0"/>
          <w:numId w:val="0"/>
        </w:numPr>
        <w:ind w:left="360"/>
        <w:rPr>
          <w:rFonts w:ascii="Times New Roman" w:hAnsi="Times New Roman" w:cs="Times New Roman"/>
          <w:b/>
          <w:bCs/>
          <w:color w:val="000000" w:themeColor="text1"/>
          <w:sz w:val="24"/>
          <w:szCs w:val="24"/>
        </w:rPr>
      </w:pPr>
    </w:p>
    <w:p w14:paraId="6E5A53E4" w14:textId="4DFC625A" w:rsidR="001755C4" w:rsidRDefault="001755C4" w:rsidP="001755C4">
      <w:pPr>
        <w:jc w:val="both"/>
        <w:rPr>
          <w:color w:val="000000" w:themeColor="text1"/>
        </w:rPr>
      </w:pPr>
      <w:r w:rsidRPr="001755C4">
        <w:rPr>
          <w:color w:val="000000" w:themeColor="text1"/>
        </w:rPr>
        <w:t>The only major challenge we envisage in using the JSON format file is the time needed to execute the migration. Therefore, we believe that an additional period of six months must be granted</w:t>
      </w:r>
      <w:r>
        <w:rPr>
          <w:color w:val="000000" w:themeColor="text1"/>
        </w:rPr>
        <w:t>.</w:t>
      </w:r>
    </w:p>
    <w:p w14:paraId="321EC789" w14:textId="77777777" w:rsidR="001755C4" w:rsidRPr="001755C4" w:rsidRDefault="001755C4" w:rsidP="008B29C3">
      <w:pPr>
        <w:rPr>
          <w:color w:val="000000" w:themeColor="text1"/>
        </w:rPr>
      </w:pPr>
    </w:p>
    <w:permEnd w:id="2115599768"/>
    <w:p w14:paraId="6765F359" w14:textId="0FE9A27E" w:rsidR="008B29C3" w:rsidRDefault="008B29C3" w:rsidP="008B29C3">
      <w:r>
        <w:t>&lt;ESMA_QUESTION_PMPR_3&gt;</w:t>
      </w:r>
    </w:p>
    <w:p w14:paraId="4D357BAB" w14:textId="77777777" w:rsidR="008B29C3" w:rsidRDefault="008B29C3" w:rsidP="008B29C3"/>
    <w:p w14:paraId="17D61CE6" w14:textId="77777777" w:rsidR="008B29C3" w:rsidRDefault="008B29C3" w:rsidP="008B29C3">
      <w:pPr>
        <w:pStyle w:val="Questionstyle"/>
        <w:numPr>
          <w:ilvl w:val="0"/>
          <w:numId w:val="17"/>
        </w:numPr>
        <w:spacing w:after="240" w:line="256" w:lineRule="auto"/>
        <w:ind w:left="851" w:hanging="851"/>
      </w:pPr>
      <w:r>
        <w:t>Do you support the draft Technical Advice related to Article 83 of CDR 2017/5654?</w:t>
      </w:r>
    </w:p>
    <w:p w14:paraId="0C1F6BDD" w14:textId="77777777" w:rsidR="008B29C3" w:rsidRDefault="008B29C3" w:rsidP="008B29C3">
      <w:r>
        <w:t>&lt;ESMA_QUESTION_PMPR_4&gt;</w:t>
      </w:r>
    </w:p>
    <w:p w14:paraId="196CC937" w14:textId="77777777" w:rsidR="001755C4" w:rsidRPr="001755C4" w:rsidRDefault="001755C4" w:rsidP="001755C4">
      <w:pPr>
        <w:jc w:val="both"/>
        <w:rPr>
          <w:color w:val="000000" w:themeColor="text1"/>
        </w:rPr>
      </w:pPr>
      <w:permStart w:id="291460008" w:edGrp="everyone"/>
      <w:r w:rsidRPr="001755C4">
        <w:rPr>
          <w:color w:val="000000" w:themeColor="text1"/>
        </w:rPr>
        <w:t xml:space="preserve">We would appreciate it if ESMA would clarify the threshold for publishing weekly position reports, in terms of MWh for power and gas contracts, and in terms of lots for all other </w:t>
      </w:r>
      <w:r w:rsidRPr="001755C4">
        <w:rPr>
          <w:color w:val="000000" w:themeColor="text1"/>
        </w:rPr>
        <w:lastRenderedPageBreak/>
        <w:t xml:space="preserve">commodity derivative contracts. While </w:t>
      </w:r>
      <w:proofErr w:type="gramStart"/>
      <w:r w:rsidRPr="001755C4">
        <w:rPr>
          <w:color w:val="000000" w:themeColor="text1"/>
        </w:rPr>
        <w:t>it is clear that the</w:t>
      </w:r>
      <w:proofErr w:type="gramEnd"/>
      <w:r w:rsidRPr="001755C4">
        <w:rPr>
          <w:color w:val="000000" w:themeColor="text1"/>
        </w:rPr>
        <w:t xml:space="preserve"> latter is 10.000 lots, it is not clear to us what the threshold is if we use a different unit of measurement.</w:t>
      </w:r>
    </w:p>
    <w:permEnd w:id="291460008"/>
    <w:p w14:paraId="551FC7C2" w14:textId="77777777" w:rsidR="008B29C3" w:rsidRDefault="008B29C3" w:rsidP="008B29C3">
      <w:r>
        <w:t>&lt;ESMA_QUESTION_PMPR_4&gt;</w:t>
      </w:r>
    </w:p>
    <w:p w14:paraId="3F3F4720" w14:textId="77777777" w:rsidR="008B29C3" w:rsidRDefault="008B29C3" w:rsidP="008B29C3"/>
    <w:p w14:paraId="799874CF" w14:textId="77777777" w:rsidR="008B29C3" w:rsidRDefault="008B29C3" w:rsidP="008B29C3"/>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39D68" w14:textId="77777777" w:rsidR="00186E97" w:rsidRDefault="00186E97" w:rsidP="007E7997">
      <w:r>
        <w:separator/>
      </w:r>
    </w:p>
  </w:endnote>
  <w:endnote w:type="continuationSeparator" w:id="0">
    <w:p w14:paraId="4707915A" w14:textId="77777777" w:rsidR="00186E97" w:rsidRDefault="00186E97" w:rsidP="007E7997">
      <w:r>
        <w:continuationSeparator/>
      </w:r>
    </w:p>
  </w:endnote>
  <w:endnote w:type="continuationNotice" w:id="1">
    <w:p w14:paraId="63C28F7A" w14:textId="77777777" w:rsidR="00186E97" w:rsidRDefault="00186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782D8" w14:textId="77777777" w:rsidR="00186E97" w:rsidRDefault="00186E97" w:rsidP="007E7997">
      <w:r>
        <w:separator/>
      </w:r>
    </w:p>
  </w:footnote>
  <w:footnote w:type="continuationSeparator" w:id="0">
    <w:p w14:paraId="52B4090F" w14:textId="77777777" w:rsidR="00186E97" w:rsidRDefault="00186E97" w:rsidP="007E7997">
      <w:r>
        <w:continuationSeparator/>
      </w:r>
    </w:p>
  </w:footnote>
  <w:footnote w:type="continuationNotice" w:id="1">
    <w:p w14:paraId="3FBFBDBE" w14:textId="77777777" w:rsidR="00186E97" w:rsidRDefault="00186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23F5" w14:textId="0510F4C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684412">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925CA">
      <w:rPr>
        <w:rFonts w:asciiTheme="minorHAnsi" w:eastAsiaTheme="minorEastAsia" w:hAnsiTheme="minorHAnsi" w:cstheme="minorBidi"/>
        <w:color w:val="000000" w:themeColor="text1" w:themeShade="80"/>
        <w:sz w:val="16"/>
        <w:szCs w:val="20"/>
        <w:lang w:eastAsia="en-US"/>
      </w:rPr>
      <w:t>23 May 2024</w:t>
    </w:r>
    <w:r w:rsidR="00C00D4F">
      <w:rPr>
        <w:rFonts w:asciiTheme="minorHAnsi" w:eastAsiaTheme="minorEastAsia" w:hAnsiTheme="minorHAnsi" w:cstheme="minorBidi"/>
        <w:color w:val="000000" w:themeColor="text1" w:themeShade="80"/>
        <w:sz w:val="16"/>
        <w:szCs w:val="20"/>
        <w:lang w:eastAsia="en-US"/>
      </w:rPr>
      <w:br/>
    </w:r>
    <w:r w:rsidR="00BE3CDD" w:rsidRPr="00BE3CDD">
      <w:rPr>
        <w:rFonts w:asciiTheme="minorHAnsi" w:eastAsiaTheme="minorEastAsia" w:hAnsiTheme="minorHAnsi" w:cstheme="minorBidi"/>
        <w:color w:val="000000" w:themeColor="text1" w:themeShade="80"/>
        <w:sz w:val="16"/>
        <w:szCs w:val="20"/>
        <w:lang w:eastAsia="en-US"/>
      </w:rPr>
      <w:t>ESMA74-2134169708-7270</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0F1BC"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1720"/>
    <w:multiLevelType w:val="hybridMultilevel"/>
    <w:tmpl w:val="E604EEA8"/>
    <w:lvl w:ilvl="0" w:tplc="359287E8">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83F32"/>
    <w:multiLevelType w:val="hybridMultilevel"/>
    <w:tmpl w:val="66763118"/>
    <w:lvl w:ilvl="0" w:tplc="EE5AB04E">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4"/>
  </w:num>
  <w:num w:numId="2" w16cid:durableId="1495532731">
    <w:abstractNumId w:val="4"/>
  </w:num>
  <w:num w:numId="3" w16cid:durableId="994409496">
    <w:abstractNumId w:val="24"/>
  </w:num>
  <w:num w:numId="4" w16cid:durableId="1880320868">
    <w:abstractNumId w:val="5"/>
  </w:num>
  <w:num w:numId="5" w16cid:durableId="290864581">
    <w:abstractNumId w:val="14"/>
  </w:num>
  <w:num w:numId="6" w16cid:durableId="952590553">
    <w:abstractNumId w:val="26"/>
  </w:num>
  <w:num w:numId="7" w16cid:durableId="1159686949">
    <w:abstractNumId w:val="13"/>
  </w:num>
  <w:num w:numId="8" w16cid:durableId="765269892">
    <w:abstractNumId w:val="7"/>
  </w:num>
  <w:num w:numId="9" w16cid:durableId="1301960395">
    <w:abstractNumId w:val="10"/>
  </w:num>
  <w:num w:numId="10" w16cid:durableId="1228616548">
    <w:abstractNumId w:val="9"/>
  </w:num>
  <w:num w:numId="11" w16cid:durableId="2051027016">
    <w:abstractNumId w:val="8"/>
  </w:num>
  <w:num w:numId="12" w16cid:durableId="8338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7"/>
  </w:num>
  <w:num w:numId="15" w16cid:durableId="986476960">
    <w:abstractNumId w:val="21"/>
  </w:num>
  <w:num w:numId="16" w16cid:durableId="398749299">
    <w:abstractNumId w:val="25"/>
  </w:num>
  <w:num w:numId="17" w16cid:durableId="1407611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2"/>
  </w:num>
  <w:num w:numId="19" w16cid:durableId="558588771">
    <w:abstractNumId w:val="26"/>
  </w:num>
  <w:num w:numId="20" w16cid:durableId="1306933315">
    <w:abstractNumId w:val="12"/>
  </w:num>
  <w:num w:numId="21" w16cid:durableId="1623876054">
    <w:abstractNumId w:val="23"/>
  </w:num>
  <w:num w:numId="22" w16cid:durableId="783383837">
    <w:abstractNumId w:val="15"/>
  </w:num>
  <w:num w:numId="23" w16cid:durableId="2112964618">
    <w:abstractNumId w:val="20"/>
  </w:num>
  <w:num w:numId="24" w16cid:durableId="1958565453">
    <w:abstractNumId w:val="1"/>
  </w:num>
  <w:num w:numId="25" w16cid:durableId="1372725395">
    <w:abstractNumId w:val="19"/>
  </w:num>
  <w:num w:numId="26" w16cid:durableId="1686445133">
    <w:abstractNumId w:val="17"/>
  </w:num>
  <w:num w:numId="27" w16cid:durableId="1247768697">
    <w:abstractNumId w:val="11"/>
  </w:num>
  <w:num w:numId="28" w16cid:durableId="954170948">
    <w:abstractNumId w:val="2"/>
  </w:num>
  <w:num w:numId="29" w16cid:durableId="837424337">
    <w:abstractNumId w:val="18"/>
  </w:num>
  <w:num w:numId="30" w16cid:durableId="299657983">
    <w:abstractNumId w:val="6"/>
  </w:num>
  <w:num w:numId="31" w16cid:durableId="699822250">
    <w:abstractNumId w:val="16"/>
  </w:num>
  <w:num w:numId="32" w16cid:durableId="1597639425">
    <w:abstractNumId w:val="0"/>
  </w:num>
  <w:num w:numId="33" w16cid:durableId="546375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jzl0iiA09f/UD3YUTGfCejyrmp0PhMms1Nk7G5PxDkw9B+deRKs26e1nuGIOVKhiMmMSoCSg6VBKJlIuH8tEg==" w:salt="88GvVrzKOep3kRCIRN0XG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GUIDELINESANDRECOMMENDATIONS_TEMPLATE_REGULAR"/>
  </w:docVars>
  <w:rsids>
    <w:rsidRoot w:val="004B1842"/>
    <w:rsid w:val="0000380B"/>
    <w:rsid w:val="00005505"/>
    <w:rsid w:val="00006275"/>
    <w:rsid w:val="00006971"/>
    <w:rsid w:val="00011F6C"/>
    <w:rsid w:val="0001249B"/>
    <w:rsid w:val="00012D68"/>
    <w:rsid w:val="000140DB"/>
    <w:rsid w:val="000142BB"/>
    <w:rsid w:val="0001633D"/>
    <w:rsid w:val="0001726F"/>
    <w:rsid w:val="00020098"/>
    <w:rsid w:val="00020300"/>
    <w:rsid w:val="00021A9A"/>
    <w:rsid w:val="00022ADA"/>
    <w:rsid w:val="00026327"/>
    <w:rsid w:val="00027EC9"/>
    <w:rsid w:val="00033934"/>
    <w:rsid w:val="00036C09"/>
    <w:rsid w:val="000372BF"/>
    <w:rsid w:val="00040A52"/>
    <w:rsid w:val="000419E9"/>
    <w:rsid w:val="00044C5A"/>
    <w:rsid w:val="00044E0A"/>
    <w:rsid w:val="00047C57"/>
    <w:rsid w:val="00054E00"/>
    <w:rsid w:val="00061B2B"/>
    <w:rsid w:val="000627C5"/>
    <w:rsid w:val="0006448C"/>
    <w:rsid w:val="0006449B"/>
    <w:rsid w:val="000655AD"/>
    <w:rsid w:val="00066144"/>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178C"/>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0E1"/>
    <w:rsid w:val="00113D82"/>
    <w:rsid w:val="001201EE"/>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55C4"/>
    <w:rsid w:val="00177AA7"/>
    <w:rsid w:val="00180917"/>
    <w:rsid w:val="00180E53"/>
    <w:rsid w:val="00181CB7"/>
    <w:rsid w:val="001862A5"/>
    <w:rsid w:val="00186A70"/>
    <w:rsid w:val="00186E97"/>
    <w:rsid w:val="00191035"/>
    <w:rsid w:val="001918E5"/>
    <w:rsid w:val="00192A7A"/>
    <w:rsid w:val="00197AAF"/>
    <w:rsid w:val="001A1EF4"/>
    <w:rsid w:val="001A7046"/>
    <w:rsid w:val="001A710D"/>
    <w:rsid w:val="001A7E6F"/>
    <w:rsid w:val="001B0A77"/>
    <w:rsid w:val="001B16F1"/>
    <w:rsid w:val="001B1727"/>
    <w:rsid w:val="001B1B48"/>
    <w:rsid w:val="001B2151"/>
    <w:rsid w:val="001B3CFF"/>
    <w:rsid w:val="001B4957"/>
    <w:rsid w:val="001B4996"/>
    <w:rsid w:val="001C0E59"/>
    <w:rsid w:val="001C432D"/>
    <w:rsid w:val="001C469E"/>
    <w:rsid w:val="001C56C3"/>
    <w:rsid w:val="001C5D8C"/>
    <w:rsid w:val="001C76D1"/>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221"/>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77E"/>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4627"/>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315D"/>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4802"/>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665F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441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7B9"/>
    <w:rsid w:val="00704D53"/>
    <w:rsid w:val="007056C3"/>
    <w:rsid w:val="00706072"/>
    <w:rsid w:val="00713644"/>
    <w:rsid w:val="007148CC"/>
    <w:rsid w:val="00715D9D"/>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3778"/>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641"/>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9C3"/>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D5EFE"/>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457F"/>
    <w:rsid w:val="0091729E"/>
    <w:rsid w:val="0093261E"/>
    <w:rsid w:val="009349C2"/>
    <w:rsid w:val="0094008E"/>
    <w:rsid w:val="00941C0C"/>
    <w:rsid w:val="009437F2"/>
    <w:rsid w:val="0094528B"/>
    <w:rsid w:val="00960A8B"/>
    <w:rsid w:val="0096512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5B09"/>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3CDD"/>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18BA"/>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1E57"/>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010"/>
    <w:rsid w:val="00E91FC1"/>
    <w:rsid w:val="00E925CA"/>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1403"/>
    <w:rsid w:val="00ED3DCD"/>
    <w:rsid w:val="00ED3DD5"/>
    <w:rsid w:val="00ED56BE"/>
    <w:rsid w:val="00ED74D7"/>
    <w:rsid w:val="00EE40F8"/>
    <w:rsid w:val="00EE6DD6"/>
    <w:rsid w:val="00EF0867"/>
    <w:rsid w:val="00EF1A10"/>
    <w:rsid w:val="00EF1A9F"/>
    <w:rsid w:val="00EF1B27"/>
    <w:rsid w:val="00EF4370"/>
    <w:rsid w:val="00EF5AD7"/>
    <w:rsid w:val="00EF79BE"/>
    <w:rsid w:val="00F03FA7"/>
    <w:rsid w:val="00F048EF"/>
    <w:rsid w:val="00F06AAD"/>
    <w:rsid w:val="00F144F5"/>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26215133">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0fb0f98-34f9-4d57-9559-eb8efd17aa5e">ESMA74-2134169708-7270</_dlc_DocId>
    <TaxCatchAll xmlns="d0fb0f98-34f9-4d57-9559-eb8efd17aa5e">
      <Value>6</Value>
      <Value>100</Value>
      <Value>9</Value>
      <Value>443</Value>
      <Value>421</Value>
    </TaxCatchAll>
    <_dlc_DocIdUrl xmlns="d0fb0f98-34f9-4d57-9559-eb8efd17aa5e">
      <Url>https://securitiesandmarketsauth.sharepoint.com/sites/sherpa-trdu/_layouts/15/DocIdRedir.aspx?ID=ESMA74-2134169708-7270</Url>
      <Description>ESMA74-2134169708-7270</Description>
    </_dlc_DocIdUrl>
    <Year xmlns="d0fb0f98-34f9-4d57-9559-eb8efd17aa5e">2021</Year>
    <MeetingDate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Commodity - Position Management Controls</TermName>
          <TermId xmlns="http://schemas.microsoft.com/office/infopath/2007/PartnerControls">1301e07e-6049-4957-87c8-d3a6357dc906</TermId>
        </TermInfo>
      </Terms>
    </n644e5dfaa29486bad4a4fc019c6d2df>
    <lcf76f155ced4ddcb4097134ff3c332f xmlns="f5465789-808f-433c-88e1-b70fe6f2db64">
      <Terms xmlns="http://schemas.microsoft.com/office/infopath/2007/PartnerControls"/>
    </lcf76f155ced4ddcb4097134ff3c332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Commodity</TermName>
          <TermId xmlns="http://schemas.microsoft.com/office/infopath/2007/PartnerControls">729cc5dc-fc40-4e6f-89b7-0bed773f437e</TermId>
        </TermInfo>
      </Terms>
    </caa5aeb1a6644849b60fbe2335e12657>
    <SharedWithUsers xmlns="d0fb0f98-34f9-4d57-9559-eb8efd17aa5e">
      <UserInfo>
        <DisplayName>Iris Hude</DisplayName>
        <AccountId>186</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B9E5AA33-045F-422A-917C-D04E24890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3</TotalTime>
  <Pages>8</Pages>
  <Words>1579</Words>
  <Characters>9006</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Jorge Vecino</cp:lastModifiedBy>
  <cp:revision>7</cp:revision>
  <cp:lastPrinted>2017-07-24T14:47:00Z</cp:lastPrinted>
  <dcterms:created xsi:type="dcterms:W3CDTF">2024-07-26T08:55:00Z</dcterms:created>
  <dcterms:modified xsi:type="dcterms:W3CDTF">2024-07-26T09:02:00Z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0x0101008D9E5D2C101BA04B85C7EB08C6516E40030200B9651BAF2BFB244DBC0F4F054EB34AF3</vt:lpwstr>
  </property>
  <property fmtid="{D5CDD505-2E9C-101B-9397-08002B2CF9AE}" pid="5" name="_dlc_DocIdItemGuid">
    <vt:lpwstr>99e64f01-a6e3-47be-8d25-289d03a11015</vt:lpwstr>
  </property>
  <property fmtid="{D5CDD505-2E9C-101B-9397-08002B2CF9AE}" pid="6" name="DocumentType">
    <vt:lpwstr>100;#Report|78753201-1e9e-4a21-a088-6ff602b5c999</vt:lpwstr>
  </property>
  <property fmtid="{D5CDD505-2E9C-101B-9397-08002B2CF9AE}" pid="7" name="Topic">
    <vt:lpwstr>421;#Commodity|729cc5dc-fc40-4e6f-89b7-0bed773f437e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443;#Commodity - Position Management Controls|1301e07e-6049-4957-87c8-d3a6357dc906</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ediaServiceImageTags">
    <vt:lpwstr/>
  </property>
</Properties>
</file>