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1201EE">
            <w:trPr>
              <w:trHeight w:hRule="exact" w:val="1985"/>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250CAEA4" w:rsidR="006A5E48" w:rsidRPr="00FA64BE" w:rsidRDefault="001201EE" w:rsidP="00684412">
                <w:pPr>
                  <w:pStyle w:val="Title"/>
                  <w:spacing w:line="276" w:lineRule="auto"/>
                  <w:ind w:right="854"/>
                  <w:rPr>
                    <w:rFonts w:asciiTheme="minorHAnsi" w:hAnsiTheme="minorHAnsi" w:cstheme="minorHAnsi"/>
                    <w:sz w:val="24"/>
                    <w:szCs w:val="24"/>
                  </w:rPr>
                </w:pPr>
                <w:r>
                  <w:rPr>
                    <w:rFonts w:cs="Arial"/>
                    <w:bCs/>
                    <w:color w:val="auto"/>
                    <w:sz w:val="24"/>
                    <w:szCs w:val="24"/>
                  </w:rPr>
                  <w:t>to</w:t>
                </w:r>
                <w:r w:rsidR="00FA64BE" w:rsidRPr="00FA64BE">
                  <w:rPr>
                    <w:rFonts w:cs="Arial"/>
                    <w:color w:val="auto"/>
                    <w:sz w:val="24"/>
                    <w:szCs w:val="24"/>
                  </w:rPr>
                  <w:t xml:space="preserve"> </w:t>
                </w:r>
                <w:r w:rsidR="00FA64BE" w:rsidRPr="00FA64BE">
                  <w:rPr>
                    <w:rFonts w:cs="Arial"/>
                    <w:bCs/>
                    <w:color w:val="auto"/>
                    <w:sz w:val="24"/>
                    <w:szCs w:val="24"/>
                  </w:rPr>
                  <w:t>the</w:t>
                </w:r>
                <w:r w:rsidR="00684412">
                  <w:rPr>
                    <w:rFonts w:cs="Arial"/>
                    <w:bCs/>
                    <w:color w:val="auto"/>
                    <w:sz w:val="24"/>
                    <w:szCs w:val="24"/>
                  </w:rPr>
                  <w:t xml:space="preserve"> </w:t>
                </w:r>
                <w:r w:rsidR="00684412" w:rsidRPr="00684412">
                  <w:rPr>
                    <w:rFonts w:cs="Arial"/>
                    <w:bCs/>
                    <w:color w:val="auto"/>
                    <w:sz w:val="24"/>
                    <w:szCs w:val="24"/>
                  </w:rPr>
                  <w:t xml:space="preserve">Consultation Paper </w:t>
                </w:r>
                <w:r w:rsidR="00684412">
                  <w:rPr>
                    <w:rFonts w:cs="Arial"/>
                    <w:bCs/>
                    <w:color w:val="auto"/>
                    <w:sz w:val="24"/>
                    <w:szCs w:val="24"/>
                  </w:rPr>
                  <w:t>o</w:t>
                </w:r>
                <w:r w:rsidR="00684412" w:rsidRPr="00684412">
                  <w:rPr>
                    <w:rFonts w:cs="Arial"/>
                    <w:bCs/>
                    <w:color w:val="auto"/>
                    <w:sz w:val="24"/>
                    <w:szCs w:val="24"/>
                  </w:rPr>
                  <w:t xml:space="preserve">n the amendments to certain technical standards for commodity derivatives  </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79381"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1227A6B6"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w:t>
          </w:r>
          <w:r w:rsidRPr="00E925CA">
            <w:rPr>
              <w:rFonts w:asciiTheme="minorHAnsi" w:eastAsiaTheme="minorEastAsia" w:hAnsiTheme="minorHAnsi" w:cstheme="minorBidi"/>
              <w:sz w:val="18"/>
              <w:szCs w:val="16"/>
              <w:lang w:eastAsia="en-US"/>
            </w:rPr>
            <w:t xml:space="preserve">received by </w:t>
          </w:r>
          <w:r w:rsidR="00E925CA" w:rsidRPr="00E925CA">
            <w:rPr>
              <w:rFonts w:asciiTheme="minorHAnsi" w:eastAsiaTheme="minorEastAsia" w:hAnsiTheme="minorHAnsi" w:cstheme="minorBidi"/>
              <w:b/>
              <w:sz w:val="18"/>
              <w:szCs w:val="16"/>
              <w:lang w:eastAsia="en-US"/>
            </w:rPr>
            <w:t>23 August 2023</w:t>
          </w:r>
          <w:r w:rsidR="002C76AE" w:rsidRPr="00E925CA">
            <w:rPr>
              <w:rFonts w:asciiTheme="minorHAnsi" w:eastAsiaTheme="minorEastAsia" w:hAnsiTheme="minorHAnsi" w:cstheme="minorBidi"/>
              <w:b/>
              <w:sz w:val="18"/>
              <w:szCs w:val="16"/>
              <w:lang w:eastAsia="en-US"/>
            </w:rPr>
            <w:t>.</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331C603"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684412">
            <w:rPr>
              <w:rFonts w:eastAsiaTheme="minorEastAsia" w:cstheme="minorBidi"/>
              <w:sz w:val="18"/>
              <w:szCs w:val="16"/>
              <w:lang w:eastAsia="en-US"/>
            </w:rPr>
            <w:t>PMPR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15D4B8A7"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684412">
            <w:rPr>
              <w:rFonts w:eastAsiaTheme="minorEastAsia" w:cstheme="minorBidi"/>
              <w:sz w:val="18"/>
              <w:szCs w:val="16"/>
              <w:lang w:eastAsia="en-US"/>
            </w:rPr>
            <w:t>PMPR</w:t>
          </w:r>
          <w:r w:rsidRPr="00A409C2">
            <w:rPr>
              <w:rFonts w:eastAsiaTheme="minorEastAsia" w:cstheme="minorBidi"/>
              <w:sz w:val="18"/>
              <w:szCs w:val="16"/>
              <w:lang w:eastAsia="en-US"/>
            </w:rPr>
            <w:t xml:space="preserve">_nameofrespondent_RESPONSEFORM. For example, for a respondent named </w:t>
          </w:r>
          <w:r w:rsidR="00684412">
            <w:rPr>
              <w:rFonts w:eastAsiaTheme="minorEastAsia" w:cstheme="minorBidi"/>
              <w:sz w:val="18"/>
              <w:szCs w:val="16"/>
              <w:lang w:eastAsia="en-US"/>
            </w:rPr>
            <w:t>‘</w:t>
          </w:r>
          <w:r w:rsidRPr="00A409C2">
            <w:rPr>
              <w:rFonts w:eastAsiaTheme="minorEastAsia" w:cstheme="minorBidi"/>
              <w:sz w:val="18"/>
              <w:szCs w:val="16"/>
              <w:lang w:eastAsia="en-US"/>
            </w:rPr>
            <w:t>ABCD</w:t>
          </w:r>
          <w:r w:rsidR="00684412">
            <w:rPr>
              <w:rFonts w:eastAsiaTheme="minorEastAsia" w:cstheme="minorBidi"/>
              <w:sz w:val="18"/>
              <w:szCs w:val="16"/>
              <w:lang w:eastAsia="en-US"/>
            </w:rPr>
            <w:t>’</w:t>
          </w:r>
          <w:r w:rsidRPr="00A409C2">
            <w:rPr>
              <w:rFonts w:eastAsiaTheme="minorEastAsia" w:cstheme="minorBidi"/>
              <w:sz w:val="18"/>
              <w:szCs w:val="16"/>
              <w:lang w:eastAsia="en-US"/>
            </w:rPr>
            <w:t>, the response form would be entitled ESMA_</w:t>
          </w:r>
          <w:r w:rsidR="00684412">
            <w:rPr>
              <w:rFonts w:eastAsiaTheme="minorEastAsia" w:cstheme="minorBidi"/>
              <w:sz w:val="18"/>
              <w:szCs w:val="16"/>
              <w:lang w:eastAsia="en-US"/>
            </w:rPr>
            <w:t>PMPR</w:t>
          </w:r>
          <w:r w:rsidRPr="00A409C2">
            <w:rPr>
              <w:rFonts w:eastAsiaTheme="minorEastAsia" w:cstheme="minorBidi"/>
              <w:sz w:val="18"/>
              <w:szCs w:val="16"/>
              <w:lang w:eastAsia="en-US"/>
            </w:rPr>
            <w:t>_ABCD_RESPONSEFORM.</w:t>
          </w:r>
        </w:p>
        <w:p w14:paraId="28EEA743" w14:textId="321C7B14" w:rsidR="00A02199" w:rsidRPr="00684412" w:rsidRDefault="00B16706" w:rsidP="00956774">
          <w:pPr>
            <w:pStyle w:val="ListParagraph"/>
            <w:numPr>
              <w:ilvl w:val="0"/>
              <w:numId w:val="29"/>
            </w:numPr>
            <w:spacing w:after="250" w:line="276" w:lineRule="auto"/>
            <w:rPr>
              <w:rFonts w:eastAsiaTheme="minorEastAsia" w:cstheme="minorBidi"/>
              <w:sz w:val="18"/>
              <w:szCs w:val="16"/>
              <w:lang w:eastAsia="en-US"/>
            </w:rPr>
          </w:pPr>
          <w:r w:rsidRPr="00684412">
            <w:rPr>
              <w:rFonts w:eastAsiaTheme="minorEastAsia" w:cstheme="minorBidi"/>
              <w:sz w:val="18"/>
              <w:szCs w:val="16"/>
              <w:lang w:eastAsia="en-US"/>
            </w:rPr>
            <w:t xml:space="preserve">Upload the form containing your responses, </w:t>
          </w:r>
          <w:r w:rsidRPr="00684412">
            <w:rPr>
              <w:rFonts w:eastAsiaTheme="minorEastAsia" w:cstheme="minorBidi"/>
              <w:b/>
              <w:bCs/>
              <w:sz w:val="18"/>
              <w:szCs w:val="16"/>
              <w:lang w:eastAsia="en-US"/>
            </w:rPr>
            <w:t>in Word format</w:t>
          </w:r>
          <w:r w:rsidRPr="00684412">
            <w:rPr>
              <w:rFonts w:eastAsiaTheme="minorEastAsia" w:cstheme="minorBidi"/>
              <w:sz w:val="18"/>
              <w:szCs w:val="16"/>
              <w:lang w:eastAsia="en-US"/>
            </w:rPr>
            <w:t xml:space="preserve">, to ESMA’s website (www.esma.europa.eu under the heading “Your input – Open Consultations” -&gt; </w:t>
          </w:r>
          <w:r w:rsidR="00684412">
            <w:rPr>
              <w:rFonts w:eastAsiaTheme="minorEastAsia" w:cstheme="minorBidi"/>
              <w:sz w:val="18"/>
              <w:szCs w:val="16"/>
              <w:lang w:eastAsia="en-US"/>
            </w:rPr>
            <w:t>“</w:t>
          </w:r>
          <w:r w:rsidR="00684412" w:rsidRPr="00684412">
            <w:rPr>
              <w:rFonts w:eastAsiaTheme="minorEastAsia" w:cstheme="minorBidi"/>
              <w:sz w:val="18"/>
              <w:szCs w:val="16"/>
              <w:lang w:eastAsia="en-US"/>
            </w:rPr>
            <w:t xml:space="preserve">Consultation Paper </w:t>
          </w:r>
          <w:r w:rsidR="00684412">
            <w:rPr>
              <w:rFonts w:eastAsiaTheme="minorEastAsia" w:cstheme="minorBidi"/>
              <w:sz w:val="18"/>
              <w:szCs w:val="16"/>
              <w:lang w:eastAsia="en-US"/>
            </w:rPr>
            <w:t>o</w:t>
          </w:r>
          <w:r w:rsidR="00684412" w:rsidRPr="00684412">
            <w:rPr>
              <w:rFonts w:eastAsiaTheme="minorEastAsia" w:cstheme="minorBidi"/>
              <w:sz w:val="18"/>
              <w:szCs w:val="16"/>
              <w:lang w:eastAsia="en-US"/>
            </w:rPr>
            <w:t>n the amendments to certain technical standards for commodity derivatives</w:t>
          </w:r>
          <w:r w:rsidR="00684412">
            <w:rPr>
              <w:rFonts w:eastAsiaTheme="minorEastAsia" w:cstheme="minorBidi"/>
              <w:sz w:val="18"/>
              <w:szCs w:val="16"/>
              <w:lang w:eastAsia="en-US"/>
            </w:rPr>
            <w:t>”</w:t>
          </w:r>
          <w:r w:rsidR="00A409C2" w:rsidRPr="0068441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EBD0389" w14:textId="77777777" w:rsidR="00AF5B09" w:rsidRDefault="00AF5B09" w:rsidP="00AF2EF7">
          <w:pPr>
            <w:spacing w:after="250" w:line="276" w:lineRule="auto"/>
            <w:jc w:val="both"/>
            <w:rPr>
              <w:rFonts w:asciiTheme="minorHAnsi" w:eastAsiaTheme="minorEastAsia" w:hAnsiTheme="minorHAnsi" w:cstheme="minorBidi"/>
              <w:b/>
              <w:sz w:val="18"/>
              <w:szCs w:val="16"/>
              <w:lang w:eastAsia="en-US"/>
            </w:rPr>
          </w:pPr>
        </w:p>
        <w:p w14:paraId="144C43BA" w14:textId="3E899244"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lastRenderedPageBreak/>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3590402" w:rsidR="00C85C8B" w:rsidRDefault="008B29C3" w:rsidP="008279D3">
      <w:pPr>
        <w:pStyle w:val="Heading1"/>
        <w:numPr>
          <w:ilvl w:val="0"/>
          <w:numId w:val="0"/>
        </w:numPr>
        <w:spacing w:line="276" w:lineRule="auto"/>
        <w:rPr>
          <w:rFonts w:asciiTheme="minorHAnsi" w:hAnsiTheme="minorHAnsi" w:cstheme="minorHAnsi"/>
          <w:sz w:val="20"/>
          <w:szCs w:val="20"/>
        </w:rPr>
      </w:pPr>
      <w:r w:rsidRPr="008B29C3">
        <w:rPr>
          <w:rFonts w:ascii="Arial" w:eastAsia="Times New Roman" w:hAnsi="Arial" w:cs="Arial"/>
          <w:b w:val="0"/>
          <w:sz w:val="18"/>
          <w:szCs w:val="18"/>
          <w:lang w:eastAsia="it-IT"/>
        </w:rPr>
        <w:t xml:space="preserve">This consultation paper is primarily of interest to trading venues, investment firms and non-financial counterparties trading in commodity derivatives, but responses are also sought from any other market participant including trade associations, industry bodies and investors.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2EFD5074" w:rsidR="00C85C8B" w:rsidRPr="00B16706" w:rsidRDefault="00331ECD" w:rsidP="00C85C8B">
                <w:pPr>
                  <w:rPr>
                    <w:rFonts w:ascii="Arial" w:hAnsi="Arial" w:cs="Arial"/>
                    <w:color w:val="808080"/>
                    <w:sz w:val="16"/>
                    <w:szCs w:val="20"/>
                    <w:lang w:eastAsia="de-DE"/>
                  </w:rPr>
                </w:pPr>
                <w:r w:rsidRPr="00331ECD">
                  <w:rPr>
                    <w:rFonts w:ascii="Arial" w:hAnsi="Arial" w:cs="Arial"/>
                    <w:color w:val="808080"/>
                    <w:sz w:val="16"/>
                    <w:szCs w:val="20"/>
                    <w:lang w:eastAsia="de-DE"/>
                  </w:rPr>
                  <w:t>Intercontinental Exchange (‘ICE’)</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75F39DCD"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FA5CD6">
                  <w:rPr>
                    <w:rFonts w:ascii="Arial" w:hAnsi="Arial" w:cs="Arial"/>
                    <w:sz w:val="16"/>
                    <w:szCs w:val="20"/>
                    <w:lang w:eastAsia="de-DE"/>
                  </w:rPr>
                  <w:t>Regulated markets/Exchanges/Trading Systems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Content>
            <w:tc>
              <w:tcPr>
                <w:tcW w:w="5595" w:type="dxa"/>
                <w:shd w:val="clear" w:color="auto" w:fill="auto"/>
              </w:tcPr>
              <w:p w14:paraId="6C4423E1" w14:textId="1D95AC7F" w:rsidR="00C85C8B" w:rsidRPr="00B16706" w:rsidRDefault="00FA5CD6"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46E0CDE8" w:rsidR="00C85C8B" w:rsidRPr="00B16706" w:rsidRDefault="00FA5CD6" w:rsidP="00C85C8B">
                <w:pPr>
                  <w:rPr>
                    <w:rFonts w:ascii="Arial" w:hAnsi="Arial" w:cs="Arial"/>
                    <w:sz w:val="16"/>
                    <w:szCs w:val="20"/>
                    <w:lang w:eastAsia="de-DE"/>
                  </w:rPr>
                </w:pPr>
                <w:r>
                  <w:rPr>
                    <w:rFonts w:ascii="Arial" w:hAnsi="Arial" w:cs="Arial"/>
                    <w:sz w:val="16"/>
                    <w:szCs w:val="20"/>
                    <w:lang w:eastAsia="de-DE"/>
                  </w:rPr>
                  <w:t>Netherlands</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14C3989A" w14:textId="6AE21E3A" w:rsidR="001B1B48"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639B7C0A" w14:textId="77777777" w:rsidR="008B29C3" w:rsidRDefault="008B29C3">
      <w:pPr>
        <w:spacing w:after="120" w:line="264" w:lineRule="auto"/>
        <w:rPr>
          <w:rFonts w:ascii="Arial" w:hAnsi="Arial" w:cs="Arial"/>
          <w:b/>
          <w:sz w:val="22"/>
          <w:szCs w:val="22"/>
          <w:lang w:val="en-US" w:eastAsia="en-US"/>
        </w:rPr>
      </w:pPr>
    </w:p>
    <w:bookmarkEnd w:id="0"/>
    <w:p w14:paraId="28B47330" w14:textId="77777777" w:rsidR="008B29C3" w:rsidRDefault="008B29C3" w:rsidP="008B29C3">
      <w:pPr>
        <w:pStyle w:val="Questionstyle"/>
        <w:numPr>
          <w:ilvl w:val="0"/>
          <w:numId w:val="17"/>
        </w:numPr>
        <w:spacing w:after="240" w:line="256" w:lineRule="auto"/>
        <w:ind w:left="851" w:hanging="851"/>
      </w:pPr>
      <w:r>
        <w:t xml:space="preserve">Do you agree with ESMA’s proposal to extend the requirements to set, review and report accountability levels to trading venues trading derivatives on emission allowances? Do you have any other comments on ESMA’s proposed amendments? Please elaborate. </w:t>
      </w:r>
    </w:p>
    <w:p w14:paraId="2DB3CD7C" w14:textId="77777777" w:rsidR="008B29C3" w:rsidRDefault="008B29C3" w:rsidP="008B29C3">
      <w:r>
        <w:t>&lt;ESMA_QUESTION_PMPR_1&gt;</w:t>
      </w:r>
    </w:p>
    <w:p w14:paraId="2681103B" w14:textId="7A3896C6" w:rsidR="00B8442A" w:rsidRDefault="00B8442A" w:rsidP="00B8442A">
      <w:pPr>
        <w:jc w:val="both"/>
        <w:rPr>
          <w:sz w:val="22"/>
          <w:szCs w:val="22"/>
          <w:lang w:eastAsia="en-US"/>
        </w:rPr>
      </w:pPr>
      <w:permStart w:id="101661366" w:edGrp="everyone"/>
      <w:r>
        <w:t>Intercontinental Exchange (‘ICE’) agrees with the ESMA proposal to extend the requirements to set, review and report accountability levels to trading venues offering derivatives on emission allowances. Following the publication of the ESMA technical standards for commodity derivatives</w:t>
      </w:r>
      <w:r>
        <w:rPr>
          <w:rStyle w:val="FootnoteReference"/>
          <w:rFonts w:eastAsiaTheme="majorEastAsia"/>
        </w:rPr>
        <w:footnoteReference w:id="2"/>
      </w:r>
      <w:r>
        <w:t xml:space="preserve"> in 2021 and in line with the policy recommendation to extend position management controls to EUA derivatives in ESMA’s final report on the EU Carbon Market</w:t>
      </w:r>
      <w:r>
        <w:rPr>
          <w:rStyle w:val="FootnoteReference"/>
          <w:rFonts w:eastAsiaTheme="majorEastAsia"/>
        </w:rPr>
        <w:footnoteReference w:id="3"/>
      </w:r>
      <w:r>
        <w:t xml:space="preserve">, ICE </w:t>
      </w:r>
      <w:proofErr w:type="spellStart"/>
      <w:r>
        <w:t>Endex</w:t>
      </w:r>
      <w:proofErr w:type="spellEnd"/>
      <w:r>
        <w:t xml:space="preserve"> revised its framework for position management controls in April 2022. As part of the revision, all derivatives traded on ICE </w:t>
      </w:r>
      <w:proofErr w:type="spellStart"/>
      <w:r>
        <w:t>Endex</w:t>
      </w:r>
      <w:proofErr w:type="spellEnd"/>
      <w:r>
        <w:t>, including derivatives based on emission allowances, have since been subjected to position management controls</w:t>
      </w:r>
      <w:bookmarkStart w:id="1" w:name="OLE_LINK2"/>
      <w:bookmarkStart w:id="2" w:name="OLE_LINK1"/>
      <w:r>
        <w:t>.</w:t>
      </w:r>
      <w:bookmarkEnd w:id="1"/>
      <w:bookmarkEnd w:id="2"/>
    </w:p>
    <w:permEnd w:id="101661366"/>
    <w:p w14:paraId="2EA1989E" w14:textId="77777777" w:rsidR="008B29C3" w:rsidRDefault="008B29C3" w:rsidP="008B29C3">
      <w:r>
        <w:t>&lt;ESMA_QUESTION_PMPR_1&gt;</w:t>
      </w:r>
    </w:p>
    <w:p w14:paraId="0868C203" w14:textId="77777777" w:rsidR="008B29C3" w:rsidRDefault="008B29C3" w:rsidP="008B29C3"/>
    <w:p w14:paraId="35E7B40C" w14:textId="77777777" w:rsidR="008B29C3" w:rsidRDefault="008B29C3" w:rsidP="008B29C3">
      <w:pPr>
        <w:pStyle w:val="Questionstyle"/>
        <w:numPr>
          <w:ilvl w:val="0"/>
          <w:numId w:val="17"/>
        </w:numPr>
        <w:spacing w:after="240" w:line="256" w:lineRule="auto"/>
        <w:ind w:left="851" w:hanging="851"/>
      </w:pPr>
      <w:r>
        <w:t>Do you foresee any challenges with the use of JSON format comparing to XML? Please provide estimates of the costs and benefits (short- and long term) related to potential transition to JSON?</w:t>
      </w:r>
    </w:p>
    <w:p w14:paraId="14F30ABA" w14:textId="77777777" w:rsidR="008B29C3" w:rsidRDefault="008B29C3" w:rsidP="008B29C3">
      <w:r>
        <w:t>&lt;ESMA_QUESTION_PMPR_2&gt;</w:t>
      </w:r>
    </w:p>
    <w:p w14:paraId="5D3F1DD5" w14:textId="59685A0E" w:rsidR="006F6923" w:rsidRDefault="006F6923" w:rsidP="008B29C3">
      <w:permStart w:id="1009454809" w:edGrp="everyone"/>
      <w:r>
        <w:t>ICE does not envisage any significant challenges in using a JSON format file as opposed to xml</w:t>
      </w:r>
      <w:r>
        <w:t>.</w:t>
      </w:r>
    </w:p>
    <w:permEnd w:id="1009454809"/>
    <w:p w14:paraId="56291B27" w14:textId="07C9A156" w:rsidR="008B29C3" w:rsidRDefault="008B29C3" w:rsidP="008B29C3">
      <w:r>
        <w:t>&lt;ESMA_QUESTION_PMPR_2&gt;</w:t>
      </w:r>
    </w:p>
    <w:p w14:paraId="02037805" w14:textId="77777777" w:rsidR="008B29C3" w:rsidRDefault="008B29C3" w:rsidP="008B29C3"/>
    <w:p w14:paraId="5A200AEB" w14:textId="77777777" w:rsidR="008B29C3" w:rsidRDefault="008B29C3" w:rsidP="008B29C3">
      <w:pPr>
        <w:pStyle w:val="Questionstyle"/>
        <w:numPr>
          <w:ilvl w:val="0"/>
          <w:numId w:val="17"/>
        </w:numPr>
        <w:spacing w:after="240" w:line="256" w:lineRule="auto"/>
        <w:ind w:left="851" w:hanging="851"/>
      </w:pPr>
      <w:r>
        <w:t xml:space="preserve">Do you agree with the other proposals to change ITS 4? Please use the reference number in the table above to provide comments on a specific proposal. In relation to the proposed change 5, are there other units of underlying to be added to the existing list including for reporting the information on emission allowances? In relation to the proposed change 7, are there other position types that should be added to provide more granular reporting, beyond the existing (futures, options and other)? In relation to the proposed change 8, do you foresee any scenarios in which the possibility to use the National ID should be retained? </w:t>
      </w:r>
    </w:p>
    <w:p w14:paraId="1A4FAE92" w14:textId="77777777" w:rsidR="008B29C3" w:rsidRDefault="008B29C3" w:rsidP="008B29C3">
      <w:r>
        <w:t>&lt;ESMA_QUESTION_PMPR_3&gt;</w:t>
      </w:r>
    </w:p>
    <w:p w14:paraId="16A7B32F" w14:textId="77777777" w:rsidR="00384D8A" w:rsidRDefault="00384D8A" w:rsidP="00384D8A">
      <w:pPr>
        <w:jc w:val="both"/>
        <w:rPr>
          <w:sz w:val="22"/>
          <w:szCs w:val="22"/>
          <w:lang w:eastAsia="en-US"/>
        </w:rPr>
      </w:pPr>
      <w:permStart w:id="2115599768" w:edGrp="everyone"/>
      <w:r>
        <w:t xml:space="preserve">ICE believes that all positions in TTF gas derivatives are being reported in MWh today and can be compared across trading venues. Unclarity may arise from the naming structure where the only schema provided was one published by the FCA which limited the units of measure to “lots”, “units” and “other”.  ICE </w:t>
      </w:r>
      <w:proofErr w:type="spellStart"/>
      <w:r>
        <w:t>Endex</w:t>
      </w:r>
      <w:proofErr w:type="spellEnd"/>
      <w:r>
        <w:t xml:space="preserve"> therefore reports positions in MWh using the unit of measure of “other”.</w:t>
      </w:r>
    </w:p>
    <w:p w14:paraId="3A91CBD8" w14:textId="77777777" w:rsidR="00384D8A" w:rsidRDefault="00384D8A" w:rsidP="00384D8A">
      <w:pPr>
        <w:jc w:val="both"/>
      </w:pPr>
      <w:r>
        <w:lastRenderedPageBreak/>
        <w:t xml:space="preserve">The proposed changes to ITS 2 may create an issue that is not documented in the consultation. Today, futures based on emission allowances are categorised as Position Type “EMIS”. EMIS positions only have a position maturity of “SPOT”. With the suggested withdrawal of the EMIS category, emission allowance futures will be changed to be Position Type FUTR and will need to be reported with position maturities of SPOT (the spot month contract) and OTHR (all other contract maturities). ICE strongly recommends specifying that in emissions allowance futures the spot month of a contract is the December maturity, as the main futures contract maturity traded in emissions allowances is typically the December contract. This approach is in line with ICE’s position management arrangements, which sets separate accountability levels for the December emission allowances contract (the spot month contract) and all other contract maturities. </w:t>
      </w:r>
    </w:p>
    <w:p w14:paraId="07EAE5B9" w14:textId="77777777" w:rsidR="00384D8A" w:rsidRDefault="00384D8A" w:rsidP="00384D8A">
      <w:pPr>
        <w:jc w:val="both"/>
      </w:pPr>
    </w:p>
    <w:p w14:paraId="0645F909" w14:textId="77777777" w:rsidR="00384D8A" w:rsidRDefault="00384D8A" w:rsidP="00384D8A">
      <w:pPr>
        <w:jc w:val="both"/>
      </w:pPr>
      <w:r>
        <w:t>Without the above-described correct identification of the spot month contract in emission allowance futures, ICE does not support withdrawing the EMIS category. The incorrect classification of the spot month contract would create an artificial division that doesn’t reflect how the emission allowance futures market operates.</w:t>
      </w:r>
    </w:p>
    <w:p w14:paraId="75E7398C" w14:textId="77777777" w:rsidR="00384D8A" w:rsidRDefault="00384D8A" w:rsidP="00384D8A">
      <w:pPr>
        <w:jc w:val="both"/>
      </w:pPr>
    </w:p>
    <w:p w14:paraId="456F8066" w14:textId="77777777" w:rsidR="00384D8A" w:rsidRDefault="00384D8A" w:rsidP="00384D8A">
      <w:pPr>
        <w:jc w:val="both"/>
      </w:pPr>
      <w:r>
        <w:t>ICE has no issues with the other changes to the daily and weekly reports.</w:t>
      </w:r>
    </w:p>
    <w:permEnd w:id="2115599768"/>
    <w:p w14:paraId="6765F359" w14:textId="77777777" w:rsidR="008B29C3" w:rsidRDefault="008B29C3" w:rsidP="008B29C3">
      <w:r>
        <w:t>&lt;ESMA_QUESTION_PMPR_3&gt;</w:t>
      </w:r>
    </w:p>
    <w:p w14:paraId="4D357BAB" w14:textId="77777777" w:rsidR="008B29C3" w:rsidRDefault="008B29C3" w:rsidP="008B29C3"/>
    <w:p w14:paraId="17D61CE6" w14:textId="77777777" w:rsidR="008B29C3" w:rsidRDefault="008B29C3" w:rsidP="008B29C3">
      <w:pPr>
        <w:pStyle w:val="Questionstyle"/>
        <w:numPr>
          <w:ilvl w:val="0"/>
          <w:numId w:val="17"/>
        </w:numPr>
        <w:spacing w:after="240" w:line="256" w:lineRule="auto"/>
        <w:ind w:left="851" w:hanging="851"/>
      </w:pPr>
      <w:r>
        <w:t>Do you support the draft Technical Advice related to Article 83 of CDR 2017/5654?</w:t>
      </w:r>
    </w:p>
    <w:p w14:paraId="0C1F6BDD" w14:textId="77777777" w:rsidR="008B29C3" w:rsidRDefault="008B29C3" w:rsidP="008B29C3">
      <w:r>
        <w:t>&lt;ESMA_QUESTION_PMPR_4&gt;</w:t>
      </w:r>
    </w:p>
    <w:p w14:paraId="2C79BBA1" w14:textId="77777777" w:rsidR="008B29C3" w:rsidRDefault="008B29C3" w:rsidP="008B29C3">
      <w:permStart w:id="291460008" w:edGrp="everyone"/>
      <w:r>
        <w:t>TYPE YOUR TEXT HERE</w:t>
      </w:r>
    </w:p>
    <w:permEnd w:id="291460008"/>
    <w:p w14:paraId="551FC7C2" w14:textId="77777777" w:rsidR="008B29C3" w:rsidRDefault="008B29C3" w:rsidP="008B29C3">
      <w:r>
        <w:t>&lt;ESMA_QUESTION_PMPR_4&gt;</w:t>
      </w:r>
    </w:p>
    <w:p w14:paraId="3F3F4720" w14:textId="77777777" w:rsidR="008B29C3" w:rsidRDefault="008B29C3" w:rsidP="008B29C3"/>
    <w:p w14:paraId="799874CF" w14:textId="77777777" w:rsidR="008B29C3" w:rsidRDefault="008B29C3" w:rsidP="008B29C3"/>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4A197" w14:textId="77777777" w:rsidR="00BC49E6" w:rsidRDefault="00BC49E6" w:rsidP="007E7997">
      <w:r>
        <w:separator/>
      </w:r>
    </w:p>
  </w:endnote>
  <w:endnote w:type="continuationSeparator" w:id="0">
    <w:p w14:paraId="327EE35A" w14:textId="77777777" w:rsidR="00BC49E6" w:rsidRDefault="00BC49E6" w:rsidP="007E7997">
      <w:r>
        <w:continuationSeparator/>
      </w:r>
    </w:p>
  </w:endnote>
  <w:endnote w:type="continuationNotice" w:id="1">
    <w:p w14:paraId="0B1B648D" w14:textId="77777777" w:rsidR="00BC49E6" w:rsidRDefault="00BC4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48311" w14:textId="77777777" w:rsidR="00BC49E6" w:rsidRDefault="00BC49E6" w:rsidP="007E7997">
      <w:r>
        <w:separator/>
      </w:r>
    </w:p>
  </w:footnote>
  <w:footnote w:type="continuationSeparator" w:id="0">
    <w:p w14:paraId="5349CE6F" w14:textId="77777777" w:rsidR="00BC49E6" w:rsidRDefault="00BC49E6" w:rsidP="007E7997">
      <w:r>
        <w:continuationSeparator/>
      </w:r>
    </w:p>
  </w:footnote>
  <w:footnote w:type="continuationNotice" w:id="1">
    <w:p w14:paraId="6ABB1599" w14:textId="77777777" w:rsidR="00BC49E6" w:rsidRDefault="00BC49E6"/>
  </w:footnote>
  <w:footnote w:id="2">
    <w:p w14:paraId="40587A14" w14:textId="77777777" w:rsidR="00B8442A" w:rsidRPr="00384D8A" w:rsidRDefault="00B8442A" w:rsidP="00B8442A">
      <w:pPr>
        <w:pStyle w:val="Default"/>
        <w:rPr>
          <w:rFonts w:asciiTheme="minorHAnsi" w:hAnsiTheme="minorHAnsi"/>
          <w:sz w:val="18"/>
          <w:szCs w:val="18"/>
        </w:rPr>
      </w:pPr>
      <w:r w:rsidRPr="00384D8A">
        <w:rPr>
          <w:rStyle w:val="FootnoteReference"/>
          <w:rFonts w:asciiTheme="minorHAnsi" w:hAnsiTheme="minorHAnsi"/>
          <w:sz w:val="18"/>
          <w:szCs w:val="18"/>
        </w:rPr>
        <w:footnoteRef/>
      </w:r>
      <w:r w:rsidRPr="00384D8A">
        <w:rPr>
          <w:rFonts w:asciiTheme="minorHAnsi" w:hAnsiTheme="minorHAnsi"/>
          <w:sz w:val="18"/>
          <w:szCs w:val="18"/>
        </w:rPr>
        <w:t xml:space="preserve"> Technical standards for commodity derivatives, 19 November 2021. ESMA70-156-4710.</w:t>
      </w:r>
    </w:p>
  </w:footnote>
  <w:footnote w:id="3">
    <w:p w14:paraId="1D503885" w14:textId="77777777" w:rsidR="00B8442A" w:rsidRDefault="00B8442A" w:rsidP="00B8442A">
      <w:pPr>
        <w:pStyle w:val="FootnoteText"/>
        <w:rPr>
          <w:rFonts w:asciiTheme="minorHAnsi" w:hAnsiTheme="minorHAnsi"/>
          <w:sz w:val="20"/>
          <w:szCs w:val="20"/>
          <w:lang w:val="en-US"/>
        </w:rPr>
      </w:pPr>
      <w:r w:rsidRPr="00384D8A">
        <w:rPr>
          <w:rStyle w:val="FootnoteReference"/>
          <w:rFonts w:eastAsiaTheme="majorEastAsia"/>
          <w:sz w:val="18"/>
          <w:szCs w:val="18"/>
        </w:rPr>
        <w:footnoteRef/>
      </w:r>
      <w:r w:rsidRPr="00384D8A">
        <w:rPr>
          <w:sz w:val="18"/>
          <w:szCs w:val="18"/>
        </w:rPr>
        <w:t xml:space="preserve"> ESMA’s final report emission allowances and associated derivatives, 28 March 2022. ESMA70-445-38.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923F5" w14:textId="0510F4CB"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684412">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925CA">
      <w:rPr>
        <w:rFonts w:asciiTheme="minorHAnsi" w:eastAsiaTheme="minorEastAsia" w:hAnsiTheme="minorHAnsi" w:cstheme="minorBidi"/>
        <w:color w:val="000000" w:themeColor="text1" w:themeShade="80"/>
        <w:sz w:val="16"/>
        <w:szCs w:val="20"/>
        <w:lang w:eastAsia="en-US"/>
      </w:rPr>
      <w:t>23 May 2024</w:t>
    </w:r>
    <w:r w:rsidR="00C00D4F">
      <w:rPr>
        <w:rFonts w:asciiTheme="minorHAnsi" w:eastAsiaTheme="minorEastAsia" w:hAnsiTheme="minorHAnsi" w:cstheme="minorBidi"/>
        <w:color w:val="000000" w:themeColor="text1" w:themeShade="80"/>
        <w:sz w:val="16"/>
        <w:szCs w:val="20"/>
        <w:lang w:eastAsia="en-US"/>
      </w:rPr>
      <w:br/>
    </w:r>
    <w:r w:rsidR="00BE3CDD" w:rsidRPr="00BE3CDD">
      <w:rPr>
        <w:rFonts w:asciiTheme="minorHAnsi" w:eastAsiaTheme="minorEastAsia" w:hAnsiTheme="minorHAnsi" w:cstheme="minorBidi"/>
        <w:color w:val="000000" w:themeColor="text1" w:themeShade="80"/>
        <w:sz w:val="16"/>
        <w:szCs w:val="20"/>
        <w:lang w:eastAsia="en-US"/>
      </w:rPr>
      <w:t>ESMA74-2134169708-7270</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84E7E"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1720"/>
    <w:multiLevelType w:val="hybridMultilevel"/>
    <w:tmpl w:val="E604EEA8"/>
    <w:lvl w:ilvl="0" w:tplc="359287E8">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3"/>
  </w:num>
  <w:num w:numId="2" w16cid:durableId="1495532731">
    <w:abstractNumId w:val="3"/>
  </w:num>
  <w:num w:numId="3" w16cid:durableId="994409496">
    <w:abstractNumId w:val="23"/>
  </w:num>
  <w:num w:numId="4" w16cid:durableId="1880320868">
    <w:abstractNumId w:val="4"/>
  </w:num>
  <w:num w:numId="5" w16cid:durableId="290864581">
    <w:abstractNumId w:val="13"/>
  </w:num>
  <w:num w:numId="6" w16cid:durableId="952590553">
    <w:abstractNumId w:val="25"/>
  </w:num>
  <w:num w:numId="7" w16cid:durableId="1159686949">
    <w:abstractNumId w:val="12"/>
  </w:num>
  <w:num w:numId="8" w16cid:durableId="765269892">
    <w:abstractNumId w:val="6"/>
  </w:num>
  <w:num w:numId="9" w16cid:durableId="1301960395">
    <w:abstractNumId w:val="9"/>
  </w:num>
  <w:num w:numId="10" w16cid:durableId="1228616548">
    <w:abstractNumId w:val="8"/>
  </w:num>
  <w:num w:numId="11" w16cid:durableId="2051027016">
    <w:abstractNumId w:val="7"/>
  </w:num>
  <w:num w:numId="12" w16cid:durableId="8338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6"/>
  </w:num>
  <w:num w:numId="15" w16cid:durableId="986476960">
    <w:abstractNumId w:val="20"/>
  </w:num>
  <w:num w:numId="16" w16cid:durableId="398749299">
    <w:abstractNumId w:val="24"/>
  </w:num>
  <w:num w:numId="17" w16cid:durableId="1407611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1"/>
  </w:num>
  <w:num w:numId="19" w16cid:durableId="558588771">
    <w:abstractNumId w:val="25"/>
  </w:num>
  <w:num w:numId="20" w16cid:durableId="1306933315">
    <w:abstractNumId w:val="11"/>
  </w:num>
  <w:num w:numId="21" w16cid:durableId="1623876054">
    <w:abstractNumId w:val="22"/>
  </w:num>
  <w:num w:numId="22" w16cid:durableId="783383837">
    <w:abstractNumId w:val="14"/>
  </w:num>
  <w:num w:numId="23" w16cid:durableId="2112964618">
    <w:abstractNumId w:val="19"/>
  </w:num>
  <w:num w:numId="24" w16cid:durableId="1958565453">
    <w:abstractNumId w:val="1"/>
  </w:num>
  <w:num w:numId="25" w16cid:durableId="1372725395">
    <w:abstractNumId w:val="18"/>
  </w:num>
  <w:num w:numId="26" w16cid:durableId="1686445133">
    <w:abstractNumId w:val="16"/>
  </w:num>
  <w:num w:numId="27" w16cid:durableId="1247768697">
    <w:abstractNumId w:val="10"/>
  </w:num>
  <w:num w:numId="28" w16cid:durableId="954170948">
    <w:abstractNumId w:val="2"/>
  </w:num>
  <w:num w:numId="29" w16cid:durableId="837424337">
    <w:abstractNumId w:val="17"/>
  </w:num>
  <w:num w:numId="30" w16cid:durableId="299657983">
    <w:abstractNumId w:val="5"/>
  </w:num>
  <w:num w:numId="31" w16cid:durableId="699822250">
    <w:abstractNumId w:val="15"/>
  </w:num>
  <w:num w:numId="32" w16cid:durableId="159763942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njzl0iiA09f/UD3YUTGfCejyrmp0PhMms1Nk7G5PxDkw9B+deRKs26e1nuGIOVKhiMmMSoCSg6VBKJlIuH8tEg==" w:salt="88GvVrzKOep3kRCIRN0XG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GUIDELINESANDRECOMMENDATIONS_TEMPLATE_REGULAR"/>
  </w:docVars>
  <w:rsids>
    <w:rsidRoot w:val="004B1842"/>
    <w:rsid w:val="0000380B"/>
    <w:rsid w:val="00005505"/>
    <w:rsid w:val="00006275"/>
    <w:rsid w:val="00006971"/>
    <w:rsid w:val="00011F6C"/>
    <w:rsid w:val="0001249B"/>
    <w:rsid w:val="00012D68"/>
    <w:rsid w:val="000140DB"/>
    <w:rsid w:val="000142BB"/>
    <w:rsid w:val="0001633D"/>
    <w:rsid w:val="0001726F"/>
    <w:rsid w:val="00020098"/>
    <w:rsid w:val="00020300"/>
    <w:rsid w:val="00021A9A"/>
    <w:rsid w:val="00022ADA"/>
    <w:rsid w:val="00026327"/>
    <w:rsid w:val="00027EC9"/>
    <w:rsid w:val="000320FA"/>
    <w:rsid w:val="00033934"/>
    <w:rsid w:val="00036C09"/>
    <w:rsid w:val="000372BF"/>
    <w:rsid w:val="00040A52"/>
    <w:rsid w:val="000419E9"/>
    <w:rsid w:val="00044C5A"/>
    <w:rsid w:val="00044E0A"/>
    <w:rsid w:val="00047C57"/>
    <w:rsid w:val="00054E00"/>
    <w:rsid w:val="00061B2B"/>
    <w:rsid w:val="000627C5"/>
    <w:rsid w:val="0006448C"/>
    <w:rsid w:val="0006449B"/>
    <w:rsid w:val="000655AD"/>
    <w:rsid w:val="00066144"/>
    <w:rsid w:val="00066FD1"/>
    <w:rsid w:val="00072BF9"/>
    <w:rsid w:val="00073DF9"/>
    <w:rsid w:val="0007767E"/>
    <w:rsid w:val="0007796D"/>
    <w:rsid w:val="000830DA"/>
    <w:rsid w:val="00083FBB"/>
    <w:rsid w:val="00086F71"/>
    <w:rsid w:val="00091D3C"/>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178C"/>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1EE"/>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6F1"/>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3ECC"/>
    <w:rsid w:val="00307397"/>
    <w:rsid w:val="003101EF"/>
    <w:rsid w:val="00312BDD"/>
    <w:rsid w:val="00314117"/>
    <w:rsid w:val="00317EDF"/>
    <w:rsid w:val="003265EF"/>
    <w:rsid w:val="003279E7"/>
    <w:rsid w:val="00327B62"/>
    <w:rsid w:val="00331ECD"/>
    <w:rsid w:val="00331FE9"/>
    <w:rsid w:val="0033324D"/>
    <w:rsid w:val="00334627"/>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84D8A"/>
    <w:rsid w:val="0039135B"/>
    <w:rsid w:val="003A34E7"/>
    <w:rsid w:val="003A3CB1"/>
    <w:rsid w:val="003A3D55"/>
    <w:rsid w:val="003A73A4"/>
    <w:rsid w:val="003B102E"/>
    <w:rsid w:val="003B4E3D"/>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4A6A"/>
    <w:rsid w:val="00487DCE"/>
    <w:rsid w:val="00492701"/>
    <w:rsid w:val="004950B7"/>
    <w:rsid w:val="0049534D"/>
    <w:rsid w:val="00497FEA"/>
    <w:rsid w:val="004A315D"/>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4802"/>
    <w:rsid w:val="00526E5D"/>
    <w:rsid w:val="00527517"/>
    <w:rsid w:val="00531432"/>
    <w:rsid w:val="00532BC8"/>
    <w:rsid w:val="005333E8"/>
    <w:rsid w:val="00534912"/>
    <w:rsid w:val="005370E7"/>
    <w:rsid w:val="005409B7"/>
    <w:rsid w:val="00545E62"/>
    <w:rsid w:val="00551070"/>
    <w:rsid w:val="00552C8A"/>
    <w:rsid w:val="00553903"/>
    <w:rsid w:val="00555156"/>
    <w:rsid w:val="0055535B"/>
    <w:rsid w:val="00560A96"/>
    <w:rsid w:val="005619CB"/>
    <w:rsid w:val="00561B71"/>
    <w:rsid w:val="00561F98"/>
    <w:rsid w:val="00564607"/>
    <w:rsid w:val="00565193"/>
    <w:rsid w:val="005664AB"/>
    <w:rsid w:val="005665FB"/>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13BF6"/>
    <w:rsid w:val="00616D27"/>
    <w:rsid w:val="006234FE"/>
    <w:rsid w:val="00623840"/>
    <w:rsid w:val="006255EC"/>
    <w:rsid w:val="00625A25"/>
    <w:rsid w:val="0062736A"/>
    <w:rsid w:val="0063565E"/>
    <w:rsid w:val="00636E02"/>
    <w:rsid w:val="00640691"/>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441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6F6923"/>
    <w:rsid w:val="0070017B"/>
    <w:rsid w:val="0070427E"/>
    <w:rsid w:val="007047B9"/>
    <w:rsid w:val="00704D53"/>
    <w:rsid w:val="007056C3"/>
    <w:rsid w:val="00706072"/>
    <w:rsid w:val="00713644"/>
    <w:rsid w:val="007148CC"/>
    <w:rsid w:val="00715D9D"/>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1744"/>
    <w:rsid w:val="00764582"/>
    <w:rsid w:val="00765FA3"/>
    <w:rsid w:val="00766961"/>
    <w:rsid w:val="00766B5A"/>
    <w:rsid w:val="0077026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641"/>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9C3"/>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D5EFE"/>
    <w:rsid w:val="008E00A6"/>
    <w:rsid w:val="008E2D26"/>
    <w:rsid w:val="008E4076"/>
    <w:rsid w:val="008E7DBA"/>
    <w:rsid w:val="008F1993"/>
    <w:rsid w:val="008F3386"/>
    <w:rsid w:val="008F3AD9"/>
    <w:rsid w:val="008F4642"/>
    <w:rsid w:val="008F4C29"/>
    <w:rsid w:val="008F4E00"/>
    <w:rsid w:val="008F6163"/>
    <w:rsid w:val="008F761D"/>
    <w:rsid w:val="00900D44"/>
    <w:rsid w:val="00902520"/>
    <w:rsid w:val="00906DC4"/>
    <w:rsid w:val="0091457F"/>
    <w:rsid w:val="0091729E"/>
    <w:rsid w:val="0093261E"/>
    <w:rsid w:val="009349C2"/>
    <w:rsid w:val="0094008E"/>
    <w:rsid w:val="00941C0C"/>
    <w:rsid w:val="009437F2"/>
    <w:rsid w:val="0094528B"/>
    <w:rsid w:val="00960A8B"/>
    <w:rsid w:val="0096512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5B09"/>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442A"/>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49E6"/>
    <w:rsid w:val="00BC5128"/>
    <w:rsid w:val="00BC5608"/>
    <w:rsid w:val="00BD04C9"/>
    <w:rsid w:val="00BD3536"/>
    <w:rsid w:val="00BD37FD"/>
    <w:rsid w:val="00BE0B46"/>
    <w:rsid w:val="00BE225E"/>
    <w:rsid w:val="00BE237E"/>
    <w:rsid w:val="00BE3703"/>
    <w:rsid w:val="00BE3CDD"/>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1E57"/>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1010"/>
    <w:rsid w:val="00E91FC1"/>
    <w:rsid w:val="00E925CA"/>
    <w:rsid w:val="00E92D54"/>
    <w:rsid w:val="00E9323C"/>
    <w:rsid w:val="00E95FD8"/>
    <w:rsid w:val="00EA0283"/>
    <w:rsid w:val="00EA5DE1"/>
    <w:rsid w:val="00EB0C86"/>
    <w:rsid w:val="00EB0E16"/>
    <w:rsid w:val="00EB1A57"/>
    <w:rsid w:val="00EB236F"/>
    <w:rsid w:val="00EB237E"/>
    <w:rsid w:val="00EC1546"/>
    <w:rsid w:val="00EC15D5"/>
    <w:rsid w:val="00EC425F"/>
    <w:rsid w:val="00EC4D18"/>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EF79BE"/>
    <w:rsid w:val="00F03FA7"/>
    <w:rsid w:val="00F048EF"/>
    <w:rsid w:val="00F0632D"/>
    <w:rsid w:val="00F06AAD"/>
    <w:rsid w:val="00F144F5"/>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5CD6"/>
    <w:rsid w:val="00FA64BE"/>
    <w:rsid w:val="00FA74C6"/>
    <w:rsid w:val="00FB24ED"/>
    <w:rsid w:val="00FB29AF"/>
    <w:rsid w:val="00FB313D"/>
    <w:rsid w:val="00FB4003"/>
    <w:rsid w:val="00FB4EBA"/>
    <w:rsid w:val="00FB7086"/>
    <w:rsid w:val="00FC6384"/>
    <w:rsid w:val="00FC6733"/>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Default">
    <w:name w:val="Default"/>
    <w:rsid w:val="00B8442A"/>
    <w:pPr>
      <w:autoSpaceDE w:val="0"/>
      <w:autoSpaceDN w:val="0"/>
      <w:adjustRightInd w:val="0"/>
      <w:spacing w:after="0" w:line="240" w:lineRule="auto"/>
    </w:pPr>
    <w:rPr>
      <w:rFonts w:ascii="Arial" w:eastAsiaTheme="minorHAnsi" w:hAnsi="Arial" w:cs="Arial"/>
      <w:color w:val="000000"/>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26215133">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693966771">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3949449">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868134824">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d0fb0f98-34f9-4d57-9559-eb8efd17aa5e">ESMA74-2134169708-7270</_dlc_DocId>
    <TaxCatchAll xmlns="d0fb0f98-34f9-4d57-9559-eb8efd17aa5e">
      <Value>6</Value>
      <Value>100</Value>
      <Value>9</Value>
      <Value>443</Value>
      <Value>421</Value>
    </TaxCatchAll>
    <_dlc_DocIdUrl xmlns="d0fb0f98-34f9-4d57-9559-eb8efd17aa5e">
      <Url>https://securitiesandmarketsauth.sharepoint.com/sites/sherpa-trdu/_layouts/15/DocIdRedir.aspx?ID=ESMA74-2134169708-7270</Url>
      <Description>ESMA74-2134169708-7270</Description>
    </_dlc_DocIdUrl>
    <Year xmlns="d0fb0f98-34f9-4d57-9559-eb8efd17aa5e">2021</Year>
    <MeetingDate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Commodity - Position Management Controls</TermName>
          <TermId xmlns="http://schemas.microsoft.com/office/infopath/2007/PartnerControls">1301e07e-6049-4957-87c8-d3a6357dc906</TermId>
        </TermInfo>
      </Terms>
    </n644e5dfaa29486bad4a4fc019c6d2df>
    <lcf76f155ced4ddcb4097134ff3c332f xmlns="f5465789-808f-433c-88e1-b70fe6f2db64">
      <Terms xmlns="http://schemas.microsoft.com/office/infopath/2007/PartnerControls"/>
    </lcf76f155ced4ddcb4097134ff3c332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a9b3b1dad23b4ba58c3f3e36a96e1d9c xmlns="d0fb0f98-34f9-4d57-9559-eb8efd17aa5e">
      <Terms xmlns="http://schemas.microsoft.com/office/infopath/2007/PartnerControls"/>
    </a9b3b1dad23b4ba58c3f3e36a96e1d9c>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Commodity</TermName>
          <TermId xmlns="http://schemas.microsoft.com/office/infopath/2007/PartnerControls">729cc5dc-fc40-4e6f-89b7-0bed773f437e</TermId>
        </TermInfo>
      </Terms>
    </caa5aeb1a6644849b60fbe2335e12657>
    <SharedWithUsers xmlns="d0fb0f98-34f9-4d57-9559-eb8efd17aa5e">
      <UserInfo>
        <DisplayName>Iris Hude</DisplayName>
        <AccountId>186</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iFID-MiFIR Policy Document" ma:contentTypeID="0x0101008D9E5D2C101BA04B85C7EB08C6516E40030200B9651BAF2BFB244DBC0F4F054EB34AF3" ma:contentTypeVersion="35" ma:contentTypeDescription="" ma:contentTypeScope="" ma:versionID="c0a7cd79389bb885c719371fc6f98a50">
  <xsd:schema xmlns:xsd="http://www.w3.org/2001/XMLSchema" xmlns:xs="http://www.w3.org/2001/XMLSchema" xmlns:p="http://schemas.microsoft.com/office/2006/metadata/properties" xmlns:ns1="http://schemas.microsoft.com/sharepoint/v3" xmlns:ns2="d0fb0f98-34f9-4d57-9559-eb8efd17aa5e" xmlns:ns3="http://schemas.microsoft.com/sharepoint/v4" xmlns:ns4="f5465789-808f-433c-88e1-b70fe6f2db64" targetNamespace="http://schemas.microsoft.com/office/2006/metadata/properties" ma:root="true" ma:fieldsID="d75a36110dc4f923b26af48241ed9926" ns1:_="" ns2:_="" ns3:_="" ns4:_="">
    <xsd:import namespace="http://schemas.microsoft.com/sharepoint/v3"/>
    <xsd:import namespace="d0fb0f98-34f9-4d57-9559-eb8efd17aa5e"/>
    <xsd:import namespace="http://schemas.microsoft.com/sharepoint/v4"/>
    <xsd:import namespace="f5465789-808f-433c-88e1-b70fe6f2db64"/>
    <xsd:element name="properties">
      <xsd:complexType>
        <xsd:sequence>
          <xsd:element name="documentManagement">
            <xsd:complexType>
              <xsd:all>
                <xsd:element ref="ns2:TaxCatchAll" minOccurs="0"/>
                <xsd:element ref="ns3:IconOverlay" minOccurs="0"/>
                <xsd:element ref="ns2:Year"/>
                <xsd:element ref="ns2:MeetingDate" minOccurs="0"/>
                <xsd:element ref="ns1:_vti_ItemDeclaredRecord" minOccurs="0"/>
                <xsd:element ref="ns1:_vti_ItemHoldRecordStatus" minOccurs="0"/>
                <xsd:element ref="ns2:TaxCatchAllLabel" minOccurs="0"/>
                <xsd:element ref="ns2:caa5aeb1a6644849b60fbe2335e12657" minOccurs="0"/>
                <xsd:element ref="ns2:n644e5dfaa29486bad4a4fc019c6d2df" minOccurs="0"/>
                <xsd:element ref="ns2:bce29119141747ccb9ac7d87218ed4af"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Year" ma:index="14" ma:displayName="Year" ma:default="" ma:indexed="true" ma:internalName="Year" ma:readOnly="false">
      <xsd:simpleType>
        <xsd:restriction base="dms:Text">
          <xsd:maxLength value="4"/>
        </xsd:restriction>
      </xsd:simpleType>
    </xsd:element>
    <xsd:element name="MeetingDate" ma:index="16" nillable="true" ma:displayName="Meeting Date" ma:format="DateOnly" ma:internalName="MeetingDate" ma:readOnly="false">
      <xsd:simpleType>
        <xsd:restriction base="dms:DateTime"/>
      </xsd:simpleType>
    </xsd:element>
    <xsd:element name="TaxCatchAllLabel" ma:index="20"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caa5aeb1a6644849b60fbe2335e12657" ma:index="21" nillable="true" ma:taxonomy="true" ma:internalName="caa5aeb1a6644849b60fbe2335e12657" ma:taxonomyFieldName="Topic" ma:displayName="Topic" ma:indexed="true" ma:readOnly="false" ma:fieldId="{caa5aeb1-a664-4849-b60f-be2335e12657}" ma:sspId="d4b01e31-ead0-4f68-a8e9-2aaca35f2e62"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2" nillable="true" ma:taxonomy="true" ma:internalName="n644e5dfaa29486bad4a4fc019c6d2df" ma:taxonomyFieldName="SubTopic" ma:displayName="Sub Topic" ma:readOnly="false" ma:fieldId="{7644e5df-aa29-486b-ad4a-4fc019c6d2df}" ma:sspId="d4b01e31-ead0-4f68-a8e9-2aaca35f2e62"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3" ma:taxonomy="true" ma:internalName="bce29119141747ccb9ac7d87218ed4af" ma:taxonomyFieldName="TeamName" ma:displayName="Team Name" ma:readOnly="false" ma:default="-1;#Secondary Markets|0116aa60-aa30-4997-8f0f-29abf5f5f198"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24"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5"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6"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65789-808f-433c-88e1-b70fe6f2db64"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d0fb0f98-34f9-4d57-9559-eb8efd17aa5e"/>
    <ds:schemaRef ds:uri="f5465789-808f-433c-88e1-b70fe6f2db64"/>
  </ds:schemaRefs>
</ds:datastoreItem>
</file>

<file path=customXml/itemProps4.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5.xml><?xml version="1.0" encoding="utf-8"?>
<ds:datastoreItem xmlns:ds="http://schemas.openxmlformats.org/officeDocument/2006/customXml" ds:itemID="{B9E5AA33-045F-422A-917C-D04E24890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5465789-808f-433c-88e1-b70fe6f2d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7</TotalTime>
  <Pages>6</Pages>
  <Words>1046</Words>
  <Characters>5966</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Jethro van Hardeveld</cp:lastModifiedBy>
  <cp:revision>8</cp:revision>
  <cp:lastPrinted>2017-07-24T14:47:00Z</cp:lastPrinted>
  <dcterms:created xsi:type="dcterms:W3CDTF">2024-07-19T07:26:00Z</dcterms:created>
  <dcterms:modified xsi:type="dcterms:W3CDTF">2024-07-19T07:33:00Z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0x0101008D9E5D2C101BA04B85C7EB08C6516E40030200B9651BAF2BFB244DBC0F4F054EB34AF3</vt:lpwstr>
  </property>
  <property fmtid="{D5CDD505-2E9C-101B-9397-08002B2CF9AE}" pid="5" name="_dlc_DocIdItemGuid">
    <vt:lpwstr>99e64f01-a6e3-47be-8d25-289d03a11015</vt:lpwstr>
  </property>
  <property fmtid="{D5CDD505-2E9C-101B-9397-08002B2CF9AE}" pid="6" name="DocumentType">
    <vt:lpwstr>100;#Report|78753201-1e9e-4a21-a088-6ff602b5c999</vt:lpwstr>
  </property>
  <property fmtid="{D5CDD505-2E9C-101B-9397-08002B2CF9AE}" pid="7" name="Topic">
    <vt:lpwstr>421;#Commodity|729cc5dc-fc40-4e6f-89b7-0bed773f437e</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443;#Commodity - Position Management Controls|1301e07e-6049-4957-87c8-d3a6357dc906</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ediaServiceImageTags">
    <vt:lpwstr/>
  </property>
</Properties>
</file>