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Untertitel"/>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enabsatz"/>
        <w:numPr>
          <w:ilvl w:val="0"/>
          <w:numId w:val="39"/>
        </w:numPr>
        <w:contextualSpacing w:val="0"/>
      </w:pPr>
      <w:r w:rsidRPr="005B6B12">
        <w:t>respond to the question stated;</w:t>
      </w:r>
    </w:p>
    <w:p w14:paraId="73161343" w14:textId="77777777" w:rsidR="00E70E2E" w:rsidRPr="005B6B12" w:rsidRDefault="00E70E2E" w:rsidP="00E70E2E">
      <w:pPr>
        <w:pStyle w:val="Listenabsatz"/>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enabsatz"/>
        <w:numPr>
          <w:ilvl w:val="0"/>
          <w:numId w:val="39"/>
        </w:numPr>
        <w:contextualSpacing w:val="0"/>
      </w:pPr>
      <w:r w:rsidRPr="005B6B12">
        <w:t>contain a clear rationale; and</w:t>
      </w:r>
    </w:p>
    <w:p w14:paraId="30D73002" w14:textId="77777777" w:rsidR="00E70E2E" w:rsidRPr="005B6B12" w:rsidRDefault="00E70E2E" w:rsidP="00E70E2E">
      <w:pPr>
        <w:pStyle w:val="Listenabsatz"/>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enabsatz"/>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enabsatz"/>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enabsatz"/>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enabsatz"/>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enabsatz"/>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enabsatz"/>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color w:val="808080"/>
            </w:rPr>
            <w:id w:val="651570699"/>
            <w:text/>
          </w:sdtPr>
          <w:sdtContent>
            <w:tc>
              <w:tcPr>
                <w:tcW w:w="5595" w:type="dxa"/>
                <w:shd w:val="clear" w:color="auto" w:fill="auto"/>
                <w:vAlign w:val="center"/>
              </w:tcPr>
              <w:p w14:paraId="633DB1B6" w14:textId="1ED11C00" w:rsidR="00C2682A" w:rsidRPr="00104E00" w:rsidRDefault="00253199" w:rsidP="00104E00">
                <w:pPr>
                  <w:jc w:val="left"/>
                  <w:rPr>
                    <w:rStyle w:val="Platzhaltertext"/>
                  </w:rPr>
                </w:pPr>
                <w:r w:rsidRPr="00253199">
                  <w:rPr>
                    <w:color w:val="808080"/>
                  </w:rPr>
                  <w:t>Bundesverband der Wertpapierfirmen (bwf)</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46C6F37" w:rsidR="00C2682A" w:rsidRPr="00104E00" w:rsidRDefault="00FD04D9"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53199">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230CCA73" w:rsidR="00C2682A" w:rsidRPr="00104E00" w:rsidRDefault="0025319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AAD9E04" w:rsidR="00C2682A" w:rsidRPr="00104E00" w:rsidRDefault="00253199" w:rsidP="00104E00">
                <w:pPr>
                  <w:jc w:val="left"/>
                </w:pPr>
                <w:r>
                  <w:t>Germany</w:t>
                </w:r>
              </w:p>
            </w:tc>
          </w:sdtContent>
        </w:sdt>
      </w:tr>
      <w:permEnd w:id="1727412903"/>
    </w:tbl>
    <w:p w14:paraId="398E9C9E" w14:textId="10C9CC3D" w:rsidR="00C2682A" w:rsidRDefault="00C2682A" w:rsidP="00F716D4"/>
    <w:p w14:paraId="293D9661" w14:textId="08A2F101" w:rsidR="00BB1973" w:rsidRDefault="00BB1973" w:rsidP="00BB1973">
      <w:pPr>
        <w:pStyle w:val="berschrift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1C6BC7D6" w14:textId="77777777" w:rsidR="00253199" w:rsidRDefault="00253199" w:rsidP="00253199">
      <w:pPr>
        <w:spacing w:before="120" w:after="0"/>
      </w:pPr>
      <w:permStart w:id="124340805" w:edGrp="everyone"/>
    </w:p>
    <w:p w14:paraId="6DDE0B32" w14:textId="77777777" w:rsidR="00253199" w:rsidRPr="00281D1B" w:rsidRDefault="00253199" w:rsidP="00253199">
      <w:pPr>
        <w:spacing w:before="120" w:after="0"/>
      </w:pPr>
      <w:r w:rsidRPr="00281D1B">
        <w:t>While we generally agree with the proposed framework, additional considerations should be taken into account. Specifically, the assessment should also evaluate the flexibility and extensibility of the protocols to accommodate future changes and evolving market needs.</w:t>
      </w:r>
    </w:p>
    <w:p w14:paraId="7A606EAD" w14:textId="77777777" w:rsidR="00253199" w:rsidRPr="00281D1B" w:rsidRDefault="00253199" w:rsidP="00253199">
      <w:pPr>
        <w:spacing w:before="120" w:after="0"/>
      </w:pP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6A85CBFB" w14:textId="77777777" w:rsidR="00253199" w:rsidRDefault="00253199" w:rsidP="00253199">
      <w:pPr>
        <w:spacing w:before="120" w:after="0"/>
      </w:pPr>
      <w:permStart w:id="1947404220" w:edGrp="everyone"/>
    </w:p>
    <w:p w14:paraId="29EF5B0A" w14:textId="77777777" w:rsidR="00253199" w:rsidRPr="00281D1B" w:rsidRDefault="00253199" w:rsidP="00253199">
      <w:pPr>
        <w:spacing w:before="120" w:after="0"/>
      </w:pPr>
      <w:r w:rsidRPr="00281D1B">
        <w:t>In addition to the proposed criteria, the assessment should consider the protocol's flexibility and extensibility. This will ensure that the protocol can adapt to future changes and accommodate new features or requirements without requiring major modifications.</w:t>
      </w:r>
    </w:p>
    <w:p w14:paraId="5E8455F7" w14:textId="77777777" w:rsidR="00253199" w:rsidRPr="00281D1B" w:rsidRDefault="00253199" w:rsidP="00253199">
      <w:pPr>
        <w:spacing w:before="120" w:after="0"/>
      </w:pP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lastRenderedPageBreak/>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3B638817" w14:textId="77777777" w:rsidR="00253199" w:rsidRDefault="00253199" w:rsidP="00253199">
      <w:pPr>
        <w:spacing w:before="120" w:after="0"/>
      </w:pPr>
      <w:permStart w:id="2005885194" w:edGrp="everyone"/>
    </w:p>
    <w:p w14:paraId="7468A249" w14:textId="77777777" w:rsidR="00253199" w:rsidRPr="00281D1B" w:rsidRDefault="00253199" w:rsidP="00253199">
      <w:pPr>
        <w:spacing w:before="120" w:after="0"/>
      </w:pPr>
      <w:r w:rsidRPr="00281D1B">
        <w:t>While a single set of requirements can be technically feasible, it is essential to ensure that the protocol is sufficiently flexible and extensible to accommodate the specific needs of different asset classes. If necessary, additional data fields or modifications can be introduced to tailor the protocol to each asset class.</w:t>
      </w:r>
    </w:p>
    <w:p w14:paraId="6D26B2BE" w14:textId="77777777" w:rsidR="00253199" w:rsidRPr="00281D1B" w:rsidRDefault="00253199" w:rsidP="00253199">
      <w:pPr>
        <w:spacing w:before="120" w:after="0"/>
      </w:pP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3E34A29F" w14:textId="77777777" w:rsidR="00253199" w:rsidRPr="00281D1B" w:rsidRDefault="00253199" w:rsidP="00253199">
      <w:pPr>
        <w:spacing w:before="120" w:after="0"/>
      </w:pPr>
      <w:permStart w:id="1235513680" w:edGrp="everyone"/>
    </w:p>
    <w:p w14:paraId="044F9158" w14:textId="77777777" w:rsidR="00253199" w:rsidRPr="00281D1B" w:rsidRDefault="00253199" w:rsidP="00253199">
      <w:pPr>
        <w:spacing w:before="120" w:after="0"/>
      </w:pPr>
      <w:r w:rsidRPr="00281D1B">
        <w:t>While the proposed minimum requirements for performance are generally appropriate, we suggest adding specific requirements related to data availability and connection quality. These factors can significantly impact the overall quality of data transmission and should be considered in the assessment process.</w:t>
      </w:r>
      <w:r>
        <w:t xml:space="preserve"> </w:t>
      </w:r>
      <w:r w:rsidRPr="00281D1B">
        <w:t>Shall the requirements be met on average? Or 95%, 99%, 100% of the time?</w:t>
      </w:r>
    </w:p>
    <w:p w14:paraId="7B879FCD" w14:textId="77777777" w:rsidR="00253199" w:rsidRPr="00281D1B" w:rsidRDefault="00253199" w:rsidP="00253199">
      <w:pPr>
        <w:spacing w:before="120" w:after="0"/>
      </w:pP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1459C170" w14:textId="77777777" w:rsidR="00253199" w:rsidRPr="00281D1B" w:rsidRDefault="00253199" w:rsidP="00253199">
      <w:pPr>
        <w:spacing w:before="120" w:after="0"/>
      </w:pPr>
      <w:permStart w:id="864513806" w:edGrp="everyone"/>
    </w:p>
    <w:p w14:paraId="525E9D95" w14:textId="77777777" w:rsidR="00253199" w:rsidRPr="00281D1B" w:rsidRDefault="00253199" w:rsidP="00253199">
      <w:pPr>
        <w:spacing w:before="120" w:after="0"/>
      </w:pPr>
      <w:r w:rsidRPr="00281D1B">
        <w:t>We agree with the proposed minimum requirements for reliability.</w:t>
      </w:r>
    </w:p>
    <w:p w14:paraId="12D04A4D" w14:textId="77777777" w:rsidR="00253199" w:rsidRPr="00281D1B" w:rsidRDefault="00253199" w:rsidP="00253199">
      <w:pPr>
        <w:spacing w:before="120" w:after="0"/>
      </w:pP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1294FA98" w14:textId="77777777" w:rsidR="00253199" w:rsidRDefault="00253199" w:rsidP="00253199">
      <w:pPr>
        <w:spacing w:before="120" w:after="0"/>
      </w:pPr>
      <w:permStart w:id="1293775397" w:edGrp="everyone"/>
    </w:p>
    <w:p w14:paraId="785E62A5" w14:textId="77777777" w:rsidR="00253199" w:rsidRPr="00281D1B" w:rsidRDefault="00253199" w:rsidP="00253199">
      <w:pPr>
        <w:spacing w:before="120" w:after="0"/>
      </w:pPr>
      <w:r w:rsidRPr="00281D1B">
        <w:t>We agree with the proposed minimum requirements for security.</w:t>
      </w:r>
    </w:p>
    <w:p w14:paraId="57FB5471" w14:textId="77777777" w:rsidR="00253199" w:rsidRPr="00281D1B" w:rsidRDefault="00253199" w:rsidP="00253199">
      <w:pPr>
        <w:spacing w:before="120" w:after="0"/>
      </w:pP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4CB6B8D1" w14:textId="77777777" w:rsidR="00253199" w:rsidRPr="00281D1B" w:rsidRDefault="00253199" w:rsidP="00253199">
      <w:pPr>
        <w:spacing w:before="120" w:after="0"/>
      </w:pPr>
      <w:permStart w:id="1076438526" w:edGrp="everyone"/>
    </w:p>
    <w:p w14:paraId="18DD1719" w14:textId="77777777" w:rsidR="00253199" w:rsidRPr="00281D1B" w:rsidRDefault="00253199" w:rsidP="00253199">
      <w:pPr>
        <w:spacing w:before="120" w:after="0"/>
      </w:pPr>
      <w:r w:rsidRPr="00281D1B">
        <w:t>We agree with the proposed minimum requirements for compatibility.</w:t>
      </w:r>
    </w:p>
    <w:p w14:paraId="74CBE682" w14:textId="77777777" w:rsidR="00253199" w:rsidRPr="00281D1B" w:rsidRDefault="00253199" w:rsidP="00253199">
      <w:pPr>
        <w:spacing w:before="120" w:after="0"/>
      </w:pP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1DC86AA7" w14:textId="77777777" w:rsidR="00253199" w:rsidRPr="00281D1B" w:rsidRDefault="00253199" w:rsidP="00253199">
      <w:pPr>
        <w:spacing w:before="120" w:after="0"/>
      </w:pPr>
      <w:permStart w:id="1516253385" w:edGrp="everyone"/>
    </w:p>
    <w:p w14:paraId="2CB0503A" w14:textId="77777777" w:rsidR="00253199" w:rsidRPr="00281D1B" w:rsidRDefault="00253199" w:rsidP="00253199">
      <w:pPr>
        <w:spacing w:before="120" w:after="0"/>
      </w:pPr>
      <w:r w:rsidRPr="00281D1B">
        <w:t>While we generally agree with the proposed definition, we believe it is essential to clarify that "real time" may have different interpretations depending on the specific use case. For post-trade OTC transactions, a slightly relaxed definition may be appropriate to account for the complexities involved in processing and reporting these transactions.</w:t>
      </w:r>
    </w:p>
    <w:p w14:paraId="03028675" w14:textId="77777777" w:rsidR="00253199" w:rsidRPr="00281D1B" w:rsidRDefault="00253199" w:rsidP="00253199">
      <w:pPr>
        <w:spacing w:before="120" w:after="0"/>
      </w:pPr>
      <w:r w:rsidRPr="00281D1B">
        <w:t xml:space="preserve">We support the intent that CTP data shall be a potential alternative to pre- and post-trade transparency market data derived directly from individual trading venues. However, processes which are not fully automated and require human intervention need to be considered. For post-trade OTC transactions, a slightly relaxed definition may be appropriate to account for the complexities </w:t>
      </w:r>
      <w:r w:rsidRPr="00281D1B">
        <w:lastRenderedPageBreak/>
        <w:t>involved in processing and reporting these transactions. We therefore propose to align this with the requirements in RTS 2 on transparency rules.</w:t>
      </w:r>
    </w:p>
    <w:p w14:paraId="12ECF1A0" w14:textId="77777777" w:rsidR="00253199" w:rsidRPr="00281D1B" w:rsidRDefault="00253199" w:rsidP="00253199">
      <w:pPr>
        <w:spacing w:before="120" w:after="0"/>
      </w:pP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07E88A97" w14:textId="77777777" w:rsidR="00253199" w:rsidRDefault="00253199" w:rsidP="00253199">
      <w:pPr>
        <w:spacing w:before="120" w:after="0"/>
      </w:pPr>
      <w:permStart w:id="869493798" w:edGrp="everyone"/>
    </w:p>
    <w:p w14:paraId="7F1976C7" w14:textId="77777777" w:rsidR="00253199" w:rsidRPr="00281D1B" w:rsidRDefault="00253199" w:rsidP="00253199">
      <w:pPr>
        <w:spacing w:before="120" w:after="0"/>
      </w:pPr>
      <w:r w:rsidRPr="00281D1B">
        <w:t xml:space="preserve">First, it should be noted that the question stands alone without any reference in the explanatory text. The concept of real-time transmission may have limited value for data that is already subject to deferred publication (and therefore is already “historic”). </w:t>
      </w:r>
    </w:p>
    <w:p w14:paraId="0EEEABC7" w14:textId="77777777" w:rsidR="00253199" w:rsidRPr="00281D1B" w:rsidRDefault="00253199" w:rsidP="00253199">
      <w:pPr>
        <w:spacing w:before="120" w:after="0"/>
      </w:pPr>
      <w:r w:rsidRPr="00281D1B">
        <w:t>However, it is important to ensure that the transmission process is efficient and minimizes delays within the applicable deferral periods.</w:t>
      </w:r>
    </w:p>
    <w:p w14:paraId="7540B1F4" w14:textId="77777777" w:rsidR="00253199" w:rsidRPr="00281D1B" w:rsidRDefault="00253199" w:rsidP="00253199">
      <w:pPr>
        <w:spacing w:before="120" w:after="0"/>
      </w:pP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664F86CF" w14:textId="77777777" w:rsidR="00CC59BB" w:rsidRDefault="00CC59BB" w:rsidP="00C54034">
      <w:pPr>
        <w:spacing w:after="0"/>
      </w:pPr>
      <w:permStart w:id="1673160559" w:edGrp="everyone"/>
      <w:r>
        <w:t>TYPE YOUR TEXT HERE</w:t>
      </w: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709AF4D0" w14:textId="77777777" w:rsidR="00CC59BB" w:rsidRDefault="00CC59BB" w:rsidP="00C54034">
      <w:pPr>
        <w:spacing w:after="0"/>
      </w:pPr>
      <w:permStart w:id="1628839836" w:edGrp="everyone"/>
      <w:r>
        <w:t>TYPE YOUR TEXT HERE</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lastRenderedPageBreak/>
        <w:t>&lt;ESMA_QUESTION</w:t>
      </w:r>
      <w:r w:rsidR="00C05202">
        <w:t>_</w:t>
      </w:r>
      <w:r w:rsidR="006E2953">
        <w:t>CP2</w:t>
      </w:r>
      <w:r w:rsidR="00C05202">
        <w:t>_</w:t>
      </w:r>
      <w:r>
        <w:t>12&gt;</w:t>
      </w:r>
    </w:p>
    <w:p w14:paraId="1015CD89" w14:textId="77777777" w:rsidR="00253199" w:rsidRDefault="00253199" w:rsidP="00253199">
      <w:pPr>
        <w:spacing w:before="120" w:after="0"/>
      </w:pPr>
      <w:permStart w:id="1550012690" w:edGrp="everyone"/>
    </w:p>
    <w:p w14:paraId="2F7ABA04" w14:textId="77777777" w:rsidR="00253199" w:rsidRPr="00281D1B" w:rsidRDefault="00253199" w:rsidP="00253199">
      <w:pPr>
        <w:spacing w:before="120" w:after="0"/>
      </w:pPr>
      <w:r w:rsidRPr="00281D1B">
        <w:t>See our response to Q2. A single format can be used across all asset classes, provided that the protocol is sufficiently flexible and extensible to accommodate the specific needs of each asset class. Additional data fields or modifications can be introduced as required. Thus, if a particular data field is not able to meet the needs of all asset classes, it can be multiplied for each category of asset class. Technically, it is possible to have three different sets of data fields in one set of requirements within the same data protocol. The only exception is that if different data protocols are required for different asset classes, one would abandon the concept of a single format. Any protocol and data format must be versionable and frequently reviewed.</w:t>
      </w:r>
    </w:p>
    <w:p w14:paraId="123EFC9B" w14:textId="77777777" w:rsidR="00253199" w:rsidRPr="00281D1B" w:rsidRDefault="00253199" w:rsidP="00253199">
      <w:pPr>
        <w:spacing w:before="120" w:after="0"/>
      </w:pP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030F48E3" w14:textId="77777777" w:rsidR="00253199" w:rsidRDefault="00253199" w:rsidP="00253199">
      <w:pPr>
        <w:spacing w:before="120" w:after="0"/>
      </w:pPr>
      <w:permStart w:id="1951602752" w:edGrp="everyone"/>
    </w:p>
    <w:p w14:paraId="7C6BDE5D" w14:textId="77777777" w:rsidR="00253199" w:rsidRPr="00281D1B" w:rsidRDefault="00253199" w:rsidP="00253199">
      <w:pPr>
        <w:spacing w:before="120" w:after="0"/>
      </w:pPr>
      <w:r w:rsidRPr="00281D1B">
        <w:t xml:space="preserve">The same need for a flexible and extensible protocol applies to core and regulatory data. The core and regulatory data fields should be regularly reviewed and updated to ensure their relevance and completeness. Additional fields may be necessary to capture specific data points related to different asset classes or market segments. This also means that ESMA should be prepared to make changes if necessary. </w:t>
      </w:r>
    </w:p>
    <w:p w14:paraId="513E94F1" w14:textId="77777777" w:rsidR="00253199" w:rsidRPr="00281D1B" w:rsidRDefault="00253199" w:rsidP="00253199">
      <w:pPr>
        <w:spacing w:before="120" w:after="0"/>
      </w:pP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6135E149" w14:textId="77777777" w:rsidR="00253199" w:rsidRPr="00281D1B" w:rsidRDefault="00253199" w:rsidP="00253199">
      <w:pPr>
        <w:spacing w:after="0"/>
      </w:pPr>
      <w:permStart w:id="871322226" w:edGrp="everyone"/>
    </w:p>
    <w:p w14:paraId="6B1084CF" w14:textId="77777777" w:rsidR="00253199" w:rsidRPr="00281D1B" w:rsidRDefault="00253199" w:rsidP="00253199">
      <w:pPr>
        <w:spacing w:after="0"/>
      </w:pPr>
      <w:r w:rsidRPr="00281D1B">
        <w:t>Yes, we support the proposal of both machine-readable and human-readable formats. Machine-readable formats are essential for automated processing and analysis, while human-readable formats are valuable for human interpretation and research.</w:t>
      </w:r>
    </w:p>
    <w:p w14:paraId="73C3EA7D" w14:textId="77777777" w:rsidR="00253199" w:rsidRPr="00281D1B" w:rsidRDefault="00253199" w:rsidP="00253199">
      <w:pPr>
        <w:spacing w:after="0"/>
      </w:pPr>
      <w:r w:rsidRPr="00281D1B">
        <w:t xml:space="preserve">Machine readability for advanced data users should be a publication in the same format as required for input data. We would also suggest that CTPs can decide to offer JSON and alternative </w:t>
      </w:r>
      <w:r w:rsidRPr="00281D1B">
        <w:lastRenderedPageBreak/>
        <w:t xml:space="preserve">protocols such as the FAST(FIX) protocol to their respective clients who may have implied this protocol. </w:t>
      </w:r>
    </w:p>
    <w:p w14:paraId="3E07AFD3" w14:textId="77777777" w:rsidR="00253199" w:rsidRPr="00281D1B" w:rsidRDefault="00253199" w:rsidP="00253199">
      <w:pPr>
        <w:spacing w:after="0"/>
      </w:pPr>
      <w:r w:rsidRPr="00281D1B">
        <w:t xml:space="preserve">Human readable formats need to have a downloadable version like csv files for research and analysis. Furthermore, for transparency purposes, a GUI/website should be available with pre-trade transparency (EBBO data) and post-trade transparency. </w:t>
      </w:r>
    </w:p>
    <w:p w14:paraId="47F11994" w14:textId="77777777" w:rsidR="00253199" w:rsidRPr="00281D1B" w:rsidRDefault="00253199" w:rsidP="00253199">
      <w:pPr>
        <w:spacing w:after="0"/>
      </w:pP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2CF74206" w14:textId="77777777" w:rsidR="00CC59BB" w:rsidRDefault="00CC59BB" w:rsidP="00C54034">
      <w:pPr>
        <w:spacing w:after="0"/>
      </w:pPr>
      <w:permStart w:id="1530005966" w:edGrp="everyone"/>
      <w:r>
        <w:t>TYPE YOUR TEXT HERE</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37DE7513" w14:textId="77777777" w:rsidR="00CC59BB" w:rsidRDefault="00CC59BB" w:rsidP="00C54034">
      <w:pPr>
        <w:spacing w:after="0"/>
      </w:pPr>
      <w:permStart w:id="1731550419" w:edGrp="everyone"/>
      <w:r>
        <w:t>TYPE YOUR TEXT HERE</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56D7664D" w14:textId="77777777" w:rsidR="00253199" w:rsidRPr="00281D1B" w:rsidRDefault="00253199" w:rsidP="00253199">
      <w:pPr>
        <w:spacing w:before="120" w:after="0"/>
      </w:pPr>
      <w:permStart w:id="1212295819" w:edGrp="everyone"/>
    </w:p>
    <w:p w14:paraId="207C714A" w14:textId="77777777" w:rsidR="00253199" w:rsidRPr="00281D1B" w:rsidRDefault="00253199" w:rsidP="00253199">
      <w:pPr>
        <w:spacing w:before="120" w:after="0"/>
      </w:pPr>
      <w:r w:rsidRPr="00281D1B">
        <w:t>A more general comment on revenue distribution:</w:t>
      </w:r>
    </w:p>
    <w:p w14:paraId="6112EB23" w14:textId="77777777" w:rsidR="00253199" w:rsidRPr="00281D1B" w:rsidRDefault="00253199" w:rsidP="00253199">
      <w:pPr>
        <w:spacing w:before="120" w:after="0"/>
      </w:pPr>
      <w:r w:rsidRPr="00281D1B">
        <w:t xml:space="preserve">Before discussing any technological or governance-related design features, it should be remembered that a CT is not an end in itself. We see a certain risk that the implementation of a CT would put the CTP in a de facto "super monopolist" situation, which would further complicate the attempt to solve the existing deficiencies in terms of fair pricing and data quality. </w:t>
      </w:r>
    </w:p>
    <w:p w14:paraId="2DD393F4" w14:textId="77777777" w:rsidR="00253199" w:rsidRPr="00281D1B" w:rsidRDefault="00253199" w:rsidP="00253199">
      <w:pPr>
        <w:spacing w:before="120" w:after="0"/>
      </w:pPr>
      <w:r w:rsidRPr="00281D1B">
        <w:t xml:space="preserve">According to Level 1 Art. 13 the obligation to make pre-trade and post-trade data available on a reasonable commercial basis RCB) applies to CTPs likewise to other data vendors. </w:t>
      </w:r>
    </w:p>
    <w:p w14:paraId="28DFC33F" w14:textId="77777777" w:rsidR="00253199" w:rsidRPr="00281D1B" w:rsidRDefault="00253199" w:rsidP="00253199">
      <w:pPr>
        <w:spacing w:before="120" w:after="0"/>
      </w:pPr>
      <w:r w:rsidRPr="00281D1B">
        <w:lastRenderedPageBreak/>
        <w:t xml:space="preserve">According to Level 1 Art. 22a trading venues and APAs (‘data contributors’) have the obligation with regard to shares, ETFs and bonds that are traded on a trading venue, and with regard to OTC derivatives as referred to in Article 8a (2), to transmit the relevant data to the CTP without renumeration other than the revenue distribution. With this Obligations in mind the CTP has a very distinctive role from a competition perspective. </w:t>
      </w:r>
    </w:p>
    <w:p w14:paraId="2B5205EE" w14:textId="77777777" w:rsidR="00253199" w:rsidRPr="00281D1B" w:rsidRDefault="00253199" w:rsidP="00253199">
      <w:pPr>
        <w:spacing w:before="120" w:after="0"/>
      </w:pPr>
      <w:r w:rsidRPr="00281D1B">
        <w:t xml:space="preserve">Therefore, we remain sceptical whether a CTP in form of a commercial “for profit” entity will be the best governance structure for the intended purpose. Furthermore, the tender process to select a CTP which will be given a five years mandate will be a challenging exercise in many respects and will require ESMA, if desired or not, to exercise a “competition mandate” with regard to fair pricing of fees for CT data. </w:t>
      </w:r>
    </w:p>
    <w:p w14:paraId="04BA3E3A" w14:textId="77777777" w:rsidR="00253199" w:rsidRPr="00281D1B" w:rsidRDefault="00253199" w:rsidP="00253199">
      <w:pPr>
        <w:spacing w:before="120" w:after="0"/>
        <w:rPr>
          <w:lang w:val="en-CA"/>
        </w:rPr>
      </w:pPr>
      <w:r w:rsidRPr="00281D1B">
        <w:t xml:space="preserve">In this context we would like to draw the attention to a related aspect which raises our concern: </w:t>
      </w:r>
      <w:r w:rsidRPr="00281D1B">
        <w:rPr>
          <w:lang w:val="en-CA"/>
        </w:rPr>
        <w:t xml:space="preserve">As outlined in </w:t>
      </w:r>
      <w:r>
        <w:rPr>
          <w:bCs/>
          <w:lang w:val="en-CA"/>
        </w:rPr>
        <w:t xml:space="preserve">paragraph </w:t>
      </w:r>
      <w:r w:rsidRPr="00281D1B">
        <w:rPr>
          <w:bCs/>
          <w:lang w:val="en-CA"/>
        </w:rPr>
        <w:t>109 of the CP</w:t>
      </w:r>
      <w:r w:rsidRPr="00281D1B">
        <w:rPr>
          <w:lang w:val="en-CA"/>
        </w:rPr>
        <w:t xml:space="preserve">, CTPs are granted discretionary power to determine the portion of their revenues to be redistributed to data vendors. This provision creates a potential conflict of interest, given that CTPs are for-profit entities. There is a risk that CTPs may prioritize their </w:t>
      </w:r>
      <w:r w:rsidRPr="00281D1B">
        <w:rPr>
          <w:bCs/>
          <w:lang w:val="en-CA"/>
        </w:rPr>
        <w:t>own share of the revenues</w:t>
      </w:r>
      <w:r w:rsidRPr="00281D1B">
        <w:rPr>
          <w:lang w:val="en-CA"/>
        </w:rPr>
        <w:t xml:space="preserve"> over the </w:t>
      </w:r>
      <w:r w:rsidRPr="00281D1B">
        <w:rPr>
          <w:bCs/>
          <w:lang w:val="en-CA"/>
        </w:rPr>
        <w:t>share set for redistribution of revenues</w:t>
      </w:r>
      <w:r w:rsidRPr="00281D1B">
        <w:rPr>
          <w:lang w:val="en-CA"/>
        </w:rPr>
        <w:t xml:space="preserve"> to data vendors, especially if the CTP unilaterally increases </w:t>
      </w:r>
      <w:r w:rsidRPr="00281D1B">
        <w:rPr>
          <w:bCs/>
          <w:lang w:val="en-CA"/>
        </w:rPr>
        <w:t>his own share</w:t>
      </w:r>
      <w:r w:rsidRPr="00281D1B">
        <w:rPr>
          <w:lang w:val="en-CA"/>
        </w:rPr>
        <w:t>.</w:t>
      </w:r>
    </w:p>
    <w:p w14:paraId="77F1E479" w14:textId="77777777" w:rsidR="00253199" w:rsidRPr="00281D1B" w:rsidRDefault="00253199" w:rsidP="00253199">
      <w:pPr>
        <w:spacing w:before="120" w:after="0"/>
        <w:rPr>
          <w:lang w:val="en-CA"/>
        </w:rPr>
      </w:pPr>
      <w:r w:rsidRPr="00281D1B">
        <w:rPr>
          <w:lang w:val="en-CA"/>
        </w:rPr>
        <w:t xml:space="preserve">The concept of a </w:t>
      </w:r>
      <w:r w:rsidRPr="00281D1B">
        <w:rPr>
          <w:bCs/>
          <w:lang w:val="en-CA"/>
        </w:rPr>
        <w:t>reasonable commercial basis (RCB)</w:t>
      </w:r>
      <w:r w:rsidRPr="00281D1B">
        <w:rPr>
          <w:lang w:val="en-CA"/>
        </w:rPr>
        <w:t xml:space="preserve"> is unlikely to effectively address this conflict, as it relies on subjective judgments and may not be sufficient to prevent CTPs from prioritizing their own interests. To ensure fair redistribution, it is essential to establish a transparent and objective framework that clearly defines the criteria for determining the redistribution split. In our view a governing/advisory board, comprising stakeholders from CTPs, data vendors, and users of the CT, should have a significant say in this decision (cf. our answer to Q51). Additionally, regulatory bodies such as the European Commission (EC) and the European Securities and Market Authority (ESMA) should have permanent seats on the board with a veto right to provide oversight and safeguard the interests of market participants.</w:t>
      </w:r>
    </w:p>
    <w:p w14:paraId="15D6F902" w14:textId="77777777" w:rsidR="00253199" w:rsidRPr="00281D1B" w:rsidRDefault="00253199" w:rsidP="00253199">
      <w:pPr>
        <w:spacing w:before="120" w:after="0"/>
      </w:pPr>
    </w:p>
    <w:p w14:paraId="731B8FB9" w14:textId="77777777" w:rsidR="00253199" w:rsidRPr="00281D1B" w:rsidRDefault="00253199" w:rsidP="00253199">
      <w:pPr>
        <w:spacing w:before="120" w:after="0"/>
      </w:pPr>
      <w:r w:rsidRPr="00281D1B">
        <w:t>Regarding the above question (on how to identify trading venues):</w:t>
      </w:r>
    </w:p>
    <w:p w14:paraId="0365AFC9" w14:textId="77777777" w:rsidR="00253199" w:rsidRPr="00281D1B" w:rsidRDefault="00253199" w:rsidP="00253199">
      <w:pPr>
        <w:spacing w:before="120" w:after="0"/>
      </w:pPr>
      <w:r w:rsidRPr="00281D1B">
        <w:t>We wonder why ESMA wants to use the operational MIC instead of the segment MIC for criterion 1. If a market can be identified as an SME market, it will usually only be available at the segment MIC level.</w:t>
      </w:r>
    </w:p>
    <w:p w14:paraId="6F1563FF" w14:textId="77777777" w:rsidR="00253199" w:rsidRPr="00281D1B" w:rsidRDefault="00253199" w:rsidP="00253199">
      <w:pPr>
        <w:spacing w:before="120" w:after="0"/>
      </w:pP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19505420" w14:textId="77777777" w:rsidR="00253199" w:rsidRPr="00281D1B" w:rsidRDefault="00253199" w:rsidP="00253199">
      <w:pPr>
        <w:spacing w:after="0"/>
      </w:pPr>
      <w:permStart w:id="1367754514" w:edGrp="everyone"/>
    </w:p>
    <w:p w14:paraId="39B7FE9B" w14:textId="77777777" w:rsidR="00253199" w:rsidRPr="00281D1B" w:rsidRDefault="00253199" w:rsidP="00253199">
      <w:pPr>
        <w:spacing w:after="0"/>
      </w:pPr>
      <w:r w:rsidRPr="00281D1B">
        <w:lastRenderedPageBreak/>
        <w:t>Cf. our response regarding the assessment of the identification of trading venues and groups in Q17.</w:t>
      </w:r>
    </w:p>
    <w:p w14:paraId="62AF55E0" w14:textId="77777777" w:rsidR="00253199" w:rsidRPr="00281D1B" w:rsidRDefault="00253199" w:rsidP="00253199">
      <w:pPr>
        <w:spacing w:after="0"/>
      </w:pP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76DA232A" w14:textId="77777777" w:rsidR="00253199" w:rsidRPr="00281D1B" w:rsidRDefault="00253199" w:rsidP="00253199">
      <w:pPr>
        <w:spacing w:after="0"/>
      </w:pPr>
      <w:permStart w:id="1244420503" w:edGrp="everyone"/>
    </w:p>
    <w:p w14:paraId="29840888" w14:textId="77777777" w:rsidR="00253199" w:rsidRPr="00281D1B" w:rsidRDefault="00253199" w:rsidP="00253199">
      <w:pPr>
        <w:spacing w:after="0"/>
      </w:pPr>
      <w:r w:rsidRPr="00281D1B">
        <w:t xml:space="preserve">A combination of FIRDS and CTP data collection is recommended to ensure the accuracy and timeliness of the information. FIRDS should be regularly updated, and the CTP should collect and verify the relevant information to avoid data delays and quality issues. The data will be cross-checked with publicly available data and should therefore also be incentivised to be up to date and correctly reported. </w:t>
      </w:r>
    </w:p>
    <w:p w14:paraId="49481010" w14:textId="77777777" w:rsidR="00253199" w:rsidRPr="00281D1B" w:rsidRDefault="00253199" w:rsidP="00253199">
      <w:pPr>
        <w:spacing w:after="0"/>
      </w:pP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2CD412B2" w14:textId="77777777" w:rsidR="00253199" w:rsidRPr="00281D1B" w:rsidRDefault="00253199" w:rsidP="00253199">
      <w:pPr>
        <w:spacing w:before="120" w:after="0"/>
      </w:pPr>
      <w:permStart w:id="356003362" w:edGrp="everyone"/>
    </w:p>
    <w:p w14:paraId="5EDE0988" w14:textId="77777777" w:rsidR="00253199" w:rsidRPr="00281D1B" w:rsidRDefault="00253199" w:rsidP="00253199">
      <w:pPr>
        <w:spacing w:before="120" w:after="0"/>
      </w:pPr>
      <w:r w:rsidRPr="00281D1B">
        <w:t>Yes, it should be sent. While the CTP may not need to publish the LIS waiver flag (as suggested by the DP), it should be included in the data transmitted to the CTP for internal tracking and analysis purposes.</w:t>
      </w:r>
    </w:p>
    <w:p w14:paraId="0720A291" w14:textId="77777777" w:rsidR="00253199" w:rsidRPr="00281D1B" w:rsidRDefault="00253199" w:rsidP="00253199">
      <w:pPr>
        <w:spacing w:before="120" w:after="0"/>
      </w:pPr>
      <w:r w:rsidRPr="00281D1B">
        <w:t>We even would see some benefit if the information would be made public that a transaction was published in accordance with the provisions of the LiS regime.</w:t>
      </w:r>
    </w:p>
    <w:p w14:paraId="0A094755" w14:textId="77777777" w:rsidR="00253199" w:rsidRPr="00281D1B" w:rsidRDefault="00253199" w:rsidP="00253199">
      <w:pPr>
        <w:spacing w:before="120" w:after="0"/>
      </w:pP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52B013DC" w14:textId="77777777" w:rsidR="00253199" w:rsidRPr="00281D1B" w:rsidRDefault="00253199" w:rsidP="00253199">
      <w:pPr>
        <w:spacing w:before="120" w:after="0"/>
      </w:pPr>
      <w:permStart w:id="780153713" w:edGrp="everyone"/>
    </w:p>
    <w:p w14:paraId="47F6CD24" w14:textId="77777777" w:rsidR="00253199" w:rsidRPr="00281D1B" w:rsidRDefault="00253199" w:rsidP="00253199">
      <w:pPr>
        <w:spacing w:before="120" w:after="0"/>
      </w:pPr>
      <w:r w:rsidRPr="00281D1B">
        <w:t xml:space="preserve">Cf. our answer to Q20: The CTP may be able to use proxy data to estimate pre-trade volume, but the accuracy of this method should be carefully evaluated. A combination of pre-trade data and other relevant factors may be necessary to obtain a reliable estimate. If the CTP separates flagged trades from non-flagged trades, a proxy for pre-trade volume would not be necessary and it would be transparent that LiS waivers and flags are active. Thus, this would also give the opportunity to cross-check the transparency numbers for the redistribution mechanism. </w:t>
      </w:r>
    </w:p>
    <w:p w14:paraId="6228BF55" w14:textId="77777777" w:rsidR="00253199" w:rsidRPr="00281D1B" w:rsidRDefault="00253199" w:rsidP="00253199">
      <w:pPr>
        <w:spacing w:before="120" w:after="0"/>
      </w:pP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5C8CA933" w14:textId="77777777" w:rsidR="00253199" w:rsidRPr="00281D1B" w:rsidRDefault="00253199" w:rsidP="00253199">
      <w:pPr>
        <w:spacing w:before="120" w:after="0"/>
      </w:pPr>
      <w:permStart w:id="1310265670" w:edGrp="everyone"/>
    </w:p>
    <w:p w14:paraId="1B43EBC3" w14:textId="77777777" w:rsidR="00253199" w:rsidRPr="00281D1B" w:rsidRDefault="00253199" w:rsidP="00253199">
      <w:pPr>
        <w:spacing w:before="120" w:after="0"/>
      </w:pPr>
      <w:r w:rsidRPr="00281D1B">
        <w:t xml:space="preserve">Cf. also our answer to Q17. </w:t>
      </w:r>
    </w:p>
    <w:p w14:paraId="17B85057" w14:textId="77777777" w:rsidR="00253199" w:rsidRPr="00281D1B" w:rsidRDefault="00253199" w:rsidP="00253199">
      <w:pPr>
        <w:spacing w:before="120" w:after="0"/>
      </w:pPr>
      <w:r w:rsidRPr="00281D1B">
        <w:t>While converting absolute values into percentages can provide a clear and comparable basis for revenue distribution, other approaches may also be considered. The chosen methodology should be transparent, fair, and aligned with the objectives of the revenue distribution scheme.</w:t>
      </w:r>
    </w:p>
    <w:p w14:paraId="14EECB70" w14:textId="77777777" w:rsidR="00253199" w:rsidRPr="00281D1B" w:rsidRDefault="00253199" w:rsidP="00253199">
      <w:pPr>
        <w:spacing w:before="120" w:after="0"/>
      </w:pPr>
      <w:r w:rsidRPr="00281D1B">
        <w:t>It is a good idea to incentivise SMEs, young instruments and transparency by increasing the revenue share based on these criteria. As stated in paragraphs 262-266</w:t>
      </w:r>
      <w:r>
        <w:t xml:space="preserve"> of the CP</w:t>
      </w:r>
      <w:r w:rsidRPr="00281D1B">
        <w:t xml:space="preserve">, the total fee income is based on costs plus a reasonable margin for the RCB to add value and provide these incentives. </w:t>
      </w:r>
    </w:p>
    <w:p w14:paraId="27FF3326" w14:textId="77777777" w:rsidR="00253199" w:rsidRPr="00281D1B" w:rsidRDefault="00253199" w:rsidP="00253199">
      <w:pPr>
        <w:spacing w:before="120" w:after="0"/>
      </w:pPr>
      <w:r w:rsidRPr="00281D1B">
        <w:t xml:space="preserve">However, it remains unclear on which guiding principles the proposed methodology is based. Even though the Level 1 text requires that these factors by using the relevant trading volumes shall be weighted, it is difficult to find an objective justification for the proposed weights. It would be interesting to learn whether ESMA has undertaken alternative modelling exercises, apart from using different factors in the scenarios used in Example 2 (Table 7-8, Figures 2-6)? We wonder whether a criterion could be found for the benefit value against which the magnitude of the contribution could be estimated and tested. We are thinking of a multi-factor model, such as factor analysis or regression, against which the foreseen incentives can be optimised. </w:t>
      </w:r>
    </w:p>
    <w:p w14:paraId="0459F9C6" w14:textId="77777777" w:rsidR="00253199" w:rsidRPr="00281D1B" w:rsidRDefault="00253199" w:rsidP="00253199">
      <w:pPr>
        <w:spacing w:before="120" w:after="0"/>
      </w:pPr>
      <w:r w:rsidRPr="00281D1B">
        <w:t>In addition to transaction volumes, one could also include a liquidity contribution factor, which is typically more necessary for SMEs and young instruments. These liquidity contributions could also be a cost for the TV and could therefore be compensated by the CTP. Another proxy could be the number of instruments (that actually provide capital to companies) which have a price above a certain volume threshold at least once a day. These instruments could be calibrated against the requested weights from Level 1 text and would add economic value to the Capital Markets Union.</w:t>
      </w:r>
    </w:p>
    <w:p w14:paraId="0ACFC08E" w14:textId="77777777" w:rsidR="00253199" w:rsidRPr="00281D1B" w:rsidRDefault="00253199" w:rsidP="00253199">
      <w:pPr>
        <w:spacing w:before="120" w:after="0"/>
      </w:pP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3902F6CD" w14:textId="77777777" w:rsidR="00253199" w:rsidRPr="00281D1B" w:rsidRDefault="00253199" w:rsidP="00253199">
      <w:pPr>
        <w:spacing w:after="0"/>
      </w:pPr>
      <w:permStart w:id="1711693936" w:edGrp="everyone"/>
    </w:p>
    <w:p w14:paraId="41C2DB55" w14:textId="77777777" w:rsidR="00253199" w:rsidRPr="00281D1B" w:rsidRDefault="00253199" w:rsidP="00253199">
      <w:pPr>
        <w:spacing w:after="0"/>
      </w:pPr>
      <w:r w:rsidRPr="00281D1B">
        <w:t>The transactions included and excluded for the determination of volume should be carefully considered to ensure that the revenue distribution scheme is fair and equitable. Any changes to the inclusion or exclusion criteria should be carefully evaluated and justified.</w:t>
      </w:r>
    </w:p>
    <w:p w14:paraId="6B6522F1" w14:textId="77777777" w:rsidR="00253199" w:rsidRPr="00281D1B" w:rsidRDefault="00253199" w:rsidP="00253199">
      <w:pPr>
        <w:spacing w:after="0"/>
      </w:pP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349D820A" w14:textId="77777777" w:rsidR="00253199" w:rsidRDefault="00253199" w:rsidP="00253199">
      <w:pPr>
        <w:spacing w:before="120" w:after="0"/>
      </w:pPr>
      <w:permStart w:id="1126446852" w:edGrp="everyone"/>
    </w:p>
    <w:p w14:paraId="19929A85" w14:textId="77777777" w:rsidR="00253199" w:rsidRPr="00281D1B" w:rsidRDefault="00253199" w:rsidP="00253199">
      <w:pPr>
        <w:spacing w:before="120" w:after="0"/>
      </w:pPr>
      <w:r w:rsidRPr="00281D1B">
        <w:t>The frequency of redistribution should be determined based on the specific needs and characteristics. We could think of a quarterly or monthly redistribution of revenues</w:t>
      </w:r>
    </w:p>
    <w:p w14:paraId="283E8E79" w14:textId="77777777" w:rsidR="00253199" w:rsidRPr="00281D1B" w:rsidRDefault="00253199" w:rsidP="00253199">
      <w:pPr>
        <w:spacing w:before="120" w:after="0"/>
      </w:pP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4494B6CF" w14:textId="77777777" w:rsidR="00253199" w:rsidRDefault="00253199" w:rsidP="00253199">
      <w:pPr>
        <w:spacing w:before="120" w:after="0"/>
      </w:pPr>
      <w:permStart w:id="1428125549" w:edGrp="everyone"/>
    </w:p>
    <w:p w14:paraId="1835F39A" w14:textId="77777777" w:rsidR="00253199" w:rsidRPr="00281D1B" w:rsidRDefault="00253199" w:rsidP="00253199">
      <w:pPr>
        <w:spacing w:before="120" w:after="0"/>
      </w:pPr>
      <w:r w:rsidRPr="00281D1B">
        <w:t>Any new platform will be integrated as quickly as possible. New platforms may be compensated on a cost basis, as for market data.</w:t>
      </w:r>
    </w:p>
    <w:p w14:paraId="68CF0A99" w14:textId="77777777" w:rsidR="00253199" w:rsidRPr="00281D1B" w:rsidRDefault="00253199" w:rsidP="00253199">
      <w:pPr>
        <w:spacing w:before="120" w:after="0"/>
      </w:pP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lastRenderedPageBreak/>
        <w:t>&lt;ESMA_QUESTION</w:t>
      </w:r>
      <w:r w:rsidR="00C05202">
        <w:t>_</w:t>
      </w:r>
      <w:r w:rsidR="006E2953">
        <w:t>CP2</w:t>
      </w:r>
      <w:r w:rsidR="00C05202">
        <w:t>_</w:t>
      </w:r>
      <w:r>
        <w:t>26&gt;</w:t>
      </w:r>
    </w:p>
    <w:p w14:paraId="2464E301" w14:textId="77777777" w:rsidR="00253199" w:rsidRDefault="00253199" w:rsidP="00253199">
      <w:pPr>
        <w:spacing w:before="120" w:after="0"/>
      </w:pPr>
      <w:permStart w:id="1672500431" w:edGrp="everyone"/>
    </w:p>
    <w:p w14:paraId="4D65710F" w14:textId="77777777" w:rsidR="00253199" w:rsidRPr="00281D1B" w:rsidRDefault="00253199" w:rsidP="00253199">
      <w:pPr>
        <w:spacing w:before="120" w:after="0"/>
      </w:pPr>
      <w:r w:rsidRPr="00281D1B">
        <w:t>We do not see a problem with a CTP aggregating market data only from the day it becomes operational and vendors are connected with a certain threshold of market turnover. Furthermore, clarification is needed how the one-year period shall be calculated (e.g. calendar year vs. rolling-window)?</w:t>
      </w:r>
    </w:p>
    <w:p w14:paraId="47AF222B" w14:textId="77777777" w:rsidR="00253199" w:rsidRPr="00281D1B" w:rsidRDefault="00253199" w:rsidP="00253199">
      <w:pPr>
        <w:spacing w:before="120" w:after="0"/>
      </w:pP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4E38D06C" w14:textId="77777777" w:rsidR="00FD04D9" w:rsidRDefault="00FD04D9" w:rsidP="00FD04D9">
      <w:pPr>
        <w:spacing w:before="120" w:after="0"/>
      </w:pPr>
      <w:permStart w:id="837814293" w:edGrp="everyone"/>
    </w:p>
    <w:p w14:paraId="74A09A45" w14:textId="77777777" w:rsidR="00FD04D9" w:rsidRPr="00281D1B" w:rsidRDefault="00FD04D9" w:rsidP="00FD04D9">
      <w:pPr>
        <w:spacing w:before="120" w:after="0"/>
      </w:pPr>
      <w:r w:rsidRPr="00281D1B">
        <w:t>Cf. our answer to Q22. The methodology and the respective weights are presented without any explanatory text. It would be interesting to learn whether ESMA has undertaken alternative modelling exercises, apart from using different factors in the scenarios used in Example 2 (Table 7-8 Figures 2-6). We wonder whether a benefit value criterion could be found against which the magnitude of the contribution could be estimated and tested. We are thinking of a multi-factor model, such as factor analysis or regression, against which the foreseen incentives can be optimised.</w:t>
      </w:r>
    </w:p>
    <w:p w14:paraId="504B3D81" w14:textId="77777777" w:rsidR="00FD04D9" w:rsidRPr="00281D1B" w:rsidRDefault="00FD04D9" w:rsidP="00FD04D9">
      <w:pPr>
        <w:spacing w:before="120" w:after="0"/>
      </w:pP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835B542" w14:textId="77777777" w:rsidR="00FD04D9" w:rsidRDefault="00FD04D9" w:rsidP="00FD04D9">
      <w:pPr>
        <w:spacing w:before="120" w:after="0"/>
      </w:pPr>
      <w:permStart w:id="940985663" w:edGrp="everyone"/>
    </w:p>
    <w:p w14:paraId="5F775F6C" w14:textId="77777777" w:rsidR="00FD04D9" w:rsidRPr="00281D1B" w:rsidRDefault="00FD04D9" w:rsidP="00FD04D9">
      <w:pPr>
        <w:spacing w:before="120" w:after="0"/>
      </w:pPr>
      <w:r w:rsidRPr="00281D1B">
        <w:t>Cf. our answer to Q27. Why recalibrate the weights to a sum of 10 if it was a percentage anyway? If so, just keep the sum of 100%.</w:t>
      </w:r>
    </w:p>
    <w:p w14:paraId="019496CB" w14:textId="77777777" w:rsidR="00FD04D9" w:rsidRPr="00281D1B" w:rsidRDefault="00FD04D9" w:rsidP="00FD04D9">
      <w:pPr>
        <w:spacing w:before="120" w:after="0"/>
      </w:pP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lastRenderedPageBreak/>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77777777" w:rsidR="00B7075D" w:rsidRDefault="00B7075D" w:rsidP="00B7075D">
      <w:pPr>
        <w:spacing w:after="0"/>
      </w:pPr>
      <w:permStart w:id="597502729" w:edGrp="everyone"/>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77777777" w:rsidR="00317903" w:rsidRDefault="00317903" w:rsidP="00317903">
      <w:pPr>
        <w:spacing w:after="0"/>
      </w:pPr>
      <w:permStart w:id="482488026" w:edGrp="everyone"/>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29CB84A2" w14:textId="77777777" w:rsidR="00FD04D9" w:rsidRDefault="00FD04D9" w:rsidP="00FD04D9">
      <w:pPr>
        <w:spacing w:before="120" w:after="0"/>
      </w:pPr>
      <w:permStart w:id="807415494" w:edGrp="everyone"/>
    </w:p>
    <w:p w14:paraId="7FAC12BD" w14:textId="77777777" w:rsidR="00FD04D9" w:rsidRPr="00281D1B" w:rsidRDefault="00FD04D9" w:rsidP="00FD04D9">
      <w:pPr>
        <w:spacing w:before="120" w:after="0"/>
      </w:pPr>
      <w:r w:rsidRPr="00281D1B">
        <w:t>No objections so far. More in general: What action is taken if a data contributor is not willing to contribute as required? Is the suspension of revenue distribution a sufficient incentive? Or more in general, how can an obligation to contribute be enforced?</w:t>
      </w:r>
    </w:p>
    <w:p w14:paraId="0757DF57" w14:textId="77777777" w:rsidR="00FD04D9" w:rsidRPr="00281D1B" w:rsidRDefault="00FD04D9" w:rsidP="00FD04D9">
      <w:pPr>
        <w:spacing w:before="120" w:after="0"/>
      </w:pP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77777777" w:rsidR="00F02F7B" w:rsidRDefault="00F02F7B" w:rsidP="00F02F7B">
      <w:pPr>
        <w:spacing w:after="0"/>
      </w:pPr>
      <w:permStart w:id="1228743613" w:edGrp="everyone"/>
      <w:r>
        <w:t>TYPE YOUR TEXT HERE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lastRenderedPageBreak/>
        <w:t>&lt;ESMA_QUESTION_</w:t>
      </w:r>
      <w:r w:rsidR="006E2953">
        <w:t>CP2</w:t>
      </w:r>
      <w:r>
        <w:t>_3</w:t>
      </w:r>
      <w:r w:rsidR="00E96A69">
        <w:t>3</w:t>
      </w:r>
      <w:r>
        <w:t>&gt;</w:t>
      </w:r>
    </w:p>
    <w:p w14:paraId="0CFB945E" w14:textId="77777777" w:rsidR="00E5382D" w:rsidRDefault="00E5382D" w:rsidP="00E5382D">
      <w:pPr>
        <w:spacing w:after="0"/>
      </w:pPr>
      <w:permStart w:id="171330661" w:edGrp="everyone"/>
      <w:r>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77777777" w:rsidR="00E96A69" w:rsidRDefault="00E96A69" w:rsidP="00E96A69">
      <w:pPr>
        <w:spacing w:after="0"/>
      </w:pPr>
      <w:permStart w:id="1032663094" w:edGrp="everyone"/>
      <w:r>
        <w:t>TYPE YOUR TEXT HERE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77777777" w:rsidR="00B82001" w:rsidRDefault="00B82001" w:rsidP="00B82001">
      <w:pPr>
        <w:spacing w:after="0"/>
      </w:pPr>
      <w:permStart w:id="2095275527" w:edGrp="everyone"/>
      <w:r>
        <w:t>TYPE YOUR TEXT HERE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77777777" w:rsidR="0063150B" w:rsidRDefault="0063150B" w:rsidP="0063150B">
      <w:pPr>
        <w:spacing w:after="0"/>
      </w:pPr>
      <w:permStart w:id="1752252469" w:edGrp="everyone"/>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lastRenderedPageBreak/>
        <w:t>&lt;ESMA_QUESTION_</w:t>
      </w:r>
      <w:r w:rsidR="006E2953">
        <w:t>CP2</w:t>
      </w:r>
      <w:r>
        <w:t>_3</w:t>
      </w:r>
      <w:r w:rsidR="00BA6665">
        <w:t>8</w:t>
      </w:r>
      <w:r>
        <w:t>&gt;</w:t>
      </w:r>
    </w:p>
    <w:p w14:paraId="73D26F2F" w14:textId="77777777" w:rsidR="00FE03FD" w:rsidRDefault="00FE03FD" w:rsidP="00FE03FD">
      <w:pPr>
        <w:spacing w:after="0"/>
      </w:pPr>
      <w:permStart w:id="1398626331" w:edGrp="everyone"/>
      <w:r>
        <w:t>TYPE YOUR TEXT HERE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77777777" w:rsidR="0042075D" w:rsidRDefault="0042075D" w:rsidP="0042075D">
      <w:pPr>
        <w:spacing w:after="0"/>
      </w:pPr>
      <w:permStart w:id="1709841151" w:edGrp="everyone"/>
      <w:r>
        <w:t>TYPE YOUR TEXT HERE</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77777777" w:rsidR="00C238DE" w:rsidRDefault="00C238DE" w:rsidP="00C238DE">
      <w:pPr>
        <w:spacing w:after="0"/>
      </w:pPr>
      <w:permStart w:id="869819836" w:edGrp="everyone"/>
      <w:r>
        <w:t>TYPE YOUR TEXT HERE</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77777777" w:rsidR="00325BFA" w:rsidRDefault="00325BFA" w:rsidP="00325BFA">
      <w:pPr>
        <w:spacing w:after="0"/>
      </w:pPr>
      <w:permStart w:id="1264664054" w:edGrp="everyone"/>
      <w:r>
        <w:t>TYPE YOUR TEXT HERE</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3575728" w14:textId="77777777" w:rsidR="00325BFA" w:rsidRDefault="00325BFA" w:rsidP="00325BFA">
      <w:pPr>
        <w:spacing w:after="0"/>
      </w:pPr>
      <w:permStart w:id="370947726" w:edGrp="everyone"/>
      <w:r>
        <w:t>TYPE YOUR TEXT HERE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lastRenderedPageBreak/>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AC8BFCF" w14:textId="77777777" w:rsidR="00E84390" w:rsidRDefault="00E84390" w:rsidP="00E84390">
      <w:pPr>
        <w:spacing w:after="0"/>
      </w:pPr>
      <w:permStart w:id="49502870" w:edGrp="everyone"/>
      <w:r>
        <w:t>TYPE YOUR TEXT HERE</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3BE331A3" w14:textId="77777777" w:rsidR="00EA6FF7" w:rsidRDefault="00EA6FF7" w:rsidP="00EA6FF7">
      <w:pPr>
        <w:spacing w:after="0"/>
      </w:pPr>
      <w:permStart w:id="1970298969" w:edGrp="everyone"/>
      <w:r>
        <w:t>TYPE YOUR TEXT HERE</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lastRenderedPageBreak/>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FFBFC15" w14:textId="77777777" w:rsidR="00FD04D9" w:rsidRPr="00281D1B" w:rsidRDefault="00FD04D9" w:rsidP="00FD04D9">
      <w:pPr>
        <w:spacing w:before="120" w:after="0"/>
      </w:pPr>
      <w:permStart w:id="1930500106" w:edGrp="everyone"/>
    </w:p>
    <w:p w14:paraId="51027656" w14:textId="77777777" w:rsidR="00FD04D9" w:rsidRPr="00281D1B" w:rsidRDefault="00FD04D9" w:rsidP="00FD04D9">
      <w:pPr>
        <w:spacing w:before="120" w:after="0"/>
      </w:pPr>
      <w:r w:rsidRPr="00281D1B">
        <w:t xml:space="preserve">The group of users that have free access should be complemented with usage for “non-commercial purposes”. </w:t>
      </w:r>
    </w:p>
    <w:p w14:paraId="6682B0BC" w14:textId="77777777" w:rsidR="00FD04D9" w:rsidRPr="00281D1B" w:rsidRDefault="00FD04D9" w:rsidP="00FD04D9">
      <w:pPr>
        <w:spacing w:before="120" w:after="0"/>
      </w:pP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39153820" w14:textId="77777777" w:rsidR="00FD04D9" w:rsidRDefault="00FD04D9" w:rsidP="00FD04D9">
      <w:pPr>
        <w:spacing w:after="0"/>
      </w:pPr>
      <w:permStart w:id="620656595" w:edGrp="everyone"/>
    </w:p>
    <w:p w14:paraId="7E16EFE6" w14:textId="77777777" w:rsidR="00FD04D9" w:rsidRPr="00281D1B" w:rsidRDefault="00FD04D9" w:rsidP="00FD04D9">
      <w:pPr>
        <w:spacing w:after="0"/>
      </w:pPr>
      <w:r w:rsidRPr="00281D1B">
        <w:t>We see the opportunity to introduce a new market infrastructure utility provider which operates on the RCB principle. As a new entrant, it should be much easier to optimise the legal framework for a data provider that charges fees based on cost recovery and a reasonable margin.</w:t>
      </w:r>
    </w:p>
    <w:p w14:paraId="50FE474F" w14:textId="77777777" w:rsidR="00FD04D9" w:rsidRPr="00281D1B" w:rsidRDefault="00FD04D9" w:rsidP="00FD04D9">
      <w:pPr>
        <w:spacing w:after="0"/>
      </w:pPr>
    </w:p>
    <w:p w14:paraId="46028C2C" w14:textId="77777777" w:rsidR="00FD04D9" w:rsidRPr="00281D1B" w:rsidRDefault="00FD04D9" w:rsidP="00FD04D9">
      <w:pPr>
        <w:spacing w:after="0"/>
      </w:pPr>
      <w:r w:rsidRPr="00281D1B">
        <w:t>It is essential that the CT is governed in a way that reflects the interests of all stakeholders, including data contributors and users. To achieve this, the governance body/board should have broad representation, including data users (from the buy and sell sides, as well as other users), data contributors, and vendors. It is also important to ensure that the advisory body/board has proportionate representation, with no one segment dominating. This means that different communities, such as data contributors and data users, should have equal voting rights. Finally, the EC and ESMA should have permanent voting rights.</w:t>
      </w:r>
    </w:p>
    <w:p w14:paraId="6AC85218" w14:textId="77777777" w:rsidR="00FD04D9" w:rsidRPr="00281D1B" w:rsidRDefault="00FD04D9" w:rsidP="00FD04D9">
      <w:pPr>
        <w:spacing w:after="0"/>
      </w:pPr>
      <w:r w:rsidRPr="00281D1B">
        <w:t>The advisory body/board should have voting rights on decisions relating to:</w:t>
      </w:r>
    </w:p>
    <w:p w14:paraId="220241F4" w14:textId="77777777" w:rsidR="00FD04D9" w:rsidRPr="00281D1B" w:rsidRDefault="00FD04D9" w:rsidP="00FD04D9">
      <w:pPr>
        <w:numPr>
          <w:ilvl w:val="0"/>
          <w:numId w:val="48"/>
        </w:numPr>
        <w:pBdr>
          <w:top w:val="nil"/>
          <w:left w:val="nil"/>
          <w:bottom w:val="nil"/>
          <w:right w:val="nil"/>
          <w:between w:val="nil"/>
        </w:pBdr>
        <w:spacing w:after="0"/>
      </w:pPr>
      <w:r w:rsidRPr="00281D1B">
        <w:t>Pricing policies/fees</w:t>
      </w:r>
    </w:p>
    <w:p w14:paraId="4BA90262" w14:textId="77777777" w:rsidR="00FD04D9" w:rsidRPr="00281D1B" w:rsidRDefault="00FD04D9" w:rsidP="00FD04D9">
      <w:pPr>
        <w:numPr>
          <w:ilvl w:val="0"/>
          <w:numId w:val="48"/>
        </w:numPr>
        <w:pBdr>
          <w:top w:val="nil"/>
          <w:left w:val="nil"/>
          <w:bottom w:val="nil"/>
          <w:right w:val="nil"/>
          <w:between w:val="nil"/>
        </w:pBdr>
        <w:spacing w:after="0"/>
      </w:pPr>
      <w:r w:rsidRPr="00281D1B">
        <w:t>Revenue sharing scheme (if applicable)</w:t>
      </w:r>
    </w:p>
    <w:p w14:paraId="2DCD5427" w14:textId="77777777" w:rsidR="00FD04D9" w:rsidRPr="00281D1B" w:rsidRDefault="00FD04D9" w:rsidP="00FD04D9">
      <w:pPr>
        <w:numPr>
          <w:ilvl w:val="0"/>
          <w:numId w:val="48"/>
        </w:numPr>
        <w:pBdr>
          <w:top w:val="nil"/>
          <w:left w:val="nil"/>
          <w:bottom w:val="nil"/>
          <w:right w:val="nil"/>
          <w:between w:val="nil"/>
        </w:pBdr>
        <w:spacing w:after="0"/>
      </w:pPr>
      <w:r w:rsidRPr="00281D1B">
        <w:t>Simple, easy-to-use licensing policies</w:t>
      </w:r>
    </w:p>
    <w:p w14:paraId="39221AE2" w14:textId="77777777" w:rsidR="00FD04D9" w:rsidRPr="00281D1B" w:rsidRDefault="00FD04D9" w:rsidP="00FD04D9">
      <w:pPr>
        <w:numPr>
          <w:ilvl w:val="0"/>
          <w:numId w:val="48"/>
        </w:numPr>
        <w:pBdr>
          <w:top w:val="nil"/>
          <w:left w:val="nil"/>
          <w:bottom w:val="nil"/>
          <w:right w:val="nil"/>
          <w:between w:val="nil"/>
        </w:pBdr>
        <w:spacing w:after="0"/>
      </w:pPr>
      <w:r w:rsidRPr="00281D1B">
        <w:t>Data content, standardisation</w:t>
      </w:r>
    </w:p>
    <w:p w14:paraId="6C6E2B36" w14:textId="77777777" w:rsidR="00FD04D9" w:rsidRPr="00281D1B" w:rsidRDefault="00FD04D9" w:rsidP="00FD04D9">
      <w:pPr>
        <w:numPr>
          <w:ilvl w:val="0"/>
          <w:numId w:val="48"/>
        </w:numPr>
        <w:pBdr>
          <w:top w:val="nil"/>
          <w:left w:val="nil"/>
          <w:bottom w:val="nil"/>
          <w:right w:val="nil"/>
          <w:between w:val="nil"/>
        </w:pBdr>
        <w:spacing w:after="0"/>
      </w:pPr>
      <w:r w:rsidRPr="00281D1B">
        <w:t>Data quality</w:t>
      </w:r>
    </w:p>
    <w:p w14:paraId="597CB206" w14:textId="77777777" w:rsidR="00FD04D9" w:rsidRPr="00281D1B" w:rsidRDefault="00FD04D9" w:rsidP="00FD04D9">
      <w:pPr>
        <w:numPr>
          <w:ilvl w:val="0"/>
          <w:numId w:val="48"/>
        </w:numPr>
        <w:pBdr>
          <w:top w:val="nil"/>
          <w:left w:val="nil"/>
          <w:bottom w:val="nil"/>
          <w:right w:val="nil"/>
          <w:between w:val="nil"/>
        </w:pBdr>
        <w:spacing w:after="0"/>
      </w:pPr>
      <w:r w:rsidRPr="00281D1B">
        <w:t>Speed and connectivity</w:t>
      </w:r>
    </w:p>
    <w:p w14:paraId="1FC67051" w14:textId="77777777" w:rsidR="00FD04D9" w:rsidRPr="00281D1B" w:rsidRDefault="00FD04D9" w:rsidP="00FD04D9">
      <w:pPr>
        <w:numPr>
          <w:ilvl w:val="0"/>
          <w:numId w:val="48"/>
        </w:numPr>
        <w:pBdr>
          <w:top w:val="nil"/>
          <w:left w:val="nil"/>
          <w:bottom w:val="nil"/>
          <w:right w:val="nil"/>
          <w:between w:val="nil"/>
        </w:pBdr>
        <w:spacing w:after="0"/>
      </w:pPr>
      <w:r w:rsidRPr="00281D1B">
        <w:lastRenderedPageBreak/>
        <w:t>Futureproofing the tape – it needs to continue to meet market demand to grow.</w:t>
      </w:r>
    </w:p>
    <w:p w14:paraId="1ACF88A1" w14:textId="77777777" w:rsidR="00FD04D9" w:rsidRPr="00281D1B" w:rsidRDefault="00FD04D9" w:rsidP="00FD04D9">
      <w:pPr>
        <w:spacing w:after="0"/>
      </w:pPr>
    </w:p>
    <w:p w14:paraId="26B93A9E" w14:textId="77777777" w:rsidR="00FD04D9" w:rsidRPr="00281D1B" w:rsidRDefault="00FD04D9" w:rsidP="00FD04D9">
      <w:pPr>
        <w:spacing w:after="0"/>
      </w:pPr>
      <w:r w:rsidRPr="00281D1B">
        <w:t>It is essential that a robust Conflict of Interest Policy forms part of the governance scheme.</w:t>
      </w:r>
    </w:p>
    <w:p w14:paraId="2B0A86BB" w14:textId="77777777" w:rsidR="00FD04D9" w:rsidRPr="00281D1B" w:rsidRDefault="00FD04D9" w:rsidP="00FD04D9">
      <w:pPr>
        <w:spacing w:after="0"/>
      </w:pPr>
    </w:p>
    <w:p w14:paraId="4DDF8AC6" w14:textId="77777777" w:rsidR="00FD04D9" w:rsidRPr="00281D1B" w:rsidRDefault="00FD04D9" w:rsidP="00FD04D9">
      <w:pPr>
        <w:spacing w:after="0"/>
      </w:pPr>
      <w:r w:rsidRPr="00281D1B">
        <w:t xml:space="preserve">In terms of technology, CTPs should provide open, neutral, and transparent data platforms on which trading data is made available to all users and by all required providers and owners who are obliged to share data under MiFIR. The core technical aspects should include requirements for seamless integration, straight-through processing and adherence to global data standards. Furthermore, the potential replacement of the current CT provider should be facilitated by using open-source software wherever possible. A legal commitment to make the software and CTP data available free of charge would enable ESMA to appoint a replacement CTP more easily if necessary. </w:t>
      </w:r>
    </w:p>
    <w:p w14:paraId="13DBBBC7" w14:textId="77777777" w:rsidR="00FD04D9" w:rsidRPr="00281D1B" w:rsidRDefault="00FD04D9" w:rsidP="00FD04D9">
      <w:pPr>
        <w:spacing w:after="0"/>
      </w:pPr>
    </w:p>
    <w:p w14:paraId="6FBF7FB5" w14:textId="77777777" w:rsidR="00FD04D9" w:rsidRPr="00281D1B" w:rsidRDefault="00FD04D9" w:rsidP="00FD04D9">
      <w:pPr>
        <w:spacing w:after="0"/>
      </w:pPr>
      <w:r w:rsidRPr="00281D1B">
        <w:t>It is important to consider the long-term financial viability of the CTPs. Given that they will constitute a long-term infrastructure, and in practical terms it remains uncertain whether it will be feasible to replace an operating CTP every five years. Therefore, we are of the opinion that it is worthwhile to consider the function of CTPs – as mandated monopolists – to be close to public utilities, even though they are operated as for-profit companies, however under the restriction of the reasonable commercial basis (RCB) principle.</w:t>
      </w:r>
    </w:p>
    <w:p w14:paraId="2093285C" w14:textId="77777777" w:rsidR="00FD04D9" w:rsidRPr="00281D1B" w:rsidRDefault="00FD04D9" w:rsidP="00FD04D9">
      <w:pPr>
        <w:spacing w:after="0"/>
      </w:pPr>
    </w:p>
    <w:p w14:paraId="48801096" w14:textId="77777777" w:rsidR="00FD04D9" w:rsidRPr="00281D1B" w:rsidRDefault="00FD04D9" w:rsidP="00FD04D9">
      <w:pPr>
        <w:spacing w:after="0"/>
      </w:pPr>
      <w:r w:rsidRPr="00281D1B">
        <w:t xml:space="preserve">We further recommend that CTPs issue regular reports on the data quality of the various data contributors in order to foster higher quality standards which are clearly needed. In order to enforce these standards, we fully support that – as an enforcement mechanism – data contributors which do not comply with the required standards on a continuous basis, shall be subject to a retained or even reduced revenue distribution. </w:t>
      </w:r>
    </w:p>
    <w:p w14:paraId="7409290D" w14:textId="77777777" w:rsidR="00FD04D9" w:rsidRPr="00281D1B" w:rsidRDefault="00FD04D9" w:rsidP="00FD04D9">
      <w:pPr>
        <w:spacing w:after="0"/>
      </w:pP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77777777" w:rsidR="007D5820" w:rsidRDefault="007D5820" w:rsidP="007D5820">
      <w:pPr>
        <w:spacing w:after="0"/>
      </w:pPr>
      <w:permStart w:id="848196049" w:edGrp="everyone"/>
      <w:r>
        <w:t>TYPE YOUR TEXT HERE</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lastRenderedPageBreak/>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76467AB7" w14:textId="77777777" w:rsidR="009041BC" w:rsidRDefault="009041BC" w:rsidP="009041BC">
      <w:pPr>
        <w:spacing w:after="0"/>
      </w:pPr>
      <w:permStart w:id="1716729438" w:edGrp="everyone"/>
      <w:r>
        <w:t>TYPE YOUR TEXT HERE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55A9F66F" w14:textId="77777777" w:rsidR="00FD04D9" w:rsidRDefault="00FD04D9" w:rsidP="00FD04D9">
      <w:pPr>
        <w:spacing w:before="120" w:after="0"/>
      </w:pPr>
      <w:permStart w:id="1469972975" w:edGrp="everyone"/>
    </w:p>
    <w:p w14:paraId="745FD43E" w14:textId="77777777" w:rsidR="00FD04D9" w:rsidRPr="00281D1B" w:rsidRDefault="00FD04D9" w:rsidP="00FD04D9">
      <w:pPr>
        <w:spacing w:before="120" w:after="0"/>
      </w:pPr>
      <w:r w:rsidRPr="00281D1B">
        <w:t xml:space="preserve">A transparent, accurate and verifiable cost assessment is paramount at all stages and for all stakeholders. It constitutes an important selection criterion in the tender process (scoring), it defines the basis for the usage fees chargeable (with the reasonable commercial basis margin as a function of costs) and finally it has a direct impact (based on the CTPs fee structure) on the amount of revenues available for redistribution to data providers. </w:t>
      </w:r>
    </w:p>
    <w:p w14:paraId="1B5E3926" w14:textId="77777777" w:rsidR="00FD04D9" w:rsidRPr="00281D1B" w:rsidRDefault="00FD04D9" w:rsidP="00FD04D9">
      <w:pPr>
        <w:spacing w:before="120" w:after="0"/>
      </w:pPr>
      <w:r w:rsidRPr="00281D1B">
        <w:t xml:space="preserve">Therefore, an ongoing cost monitoring on an annual basis appears to be preferential in principle. However, the monitoring process itself will create additional costs which will be borne by the users of the tape as part of their fees. Accordingly, given that the initial cost assessment is accurate, it could be considered that an annual adjustment could alternatively be based on an official statistical inflation index. </w:t>
      </w:r>
    </w:p>
    <w:p w14:paraId="08C32C91" w14:textId="77777777" w:rsidR="00FD04D9" w:rsidRPr="00281D1B" w:rsidRDefault="00FD04D9" w:rsidP="00FD04D9">
      <w:pPr>
        <w:spacing w:before="120" w:after="0"/>
      </w:pPr>
    </w:p>
    <w:p w14:paraId="42916E46" w14:textId="77777777" w:rsidR="00FD04D9" w:rsidRPr="00281D1B" w:rsidRDefault="00FD04D9" w:rsidP="00FD04D9">
      <w:pPr>
        <w:spacing w:before="120" w:after="0" w:line="240" w:lineRule="auto"/>
      </w:pPr>
      <w:r w:rsidRPr="00281D1B">
        <w:t xml:space="preserve">In </w:t>
      </w:r>
      <w:r>
        <w:t xml:space="preserve">paragraph </w:t>
      </w:r>
      <w:r w:rsidRPr="00281D1B">
        <w:t xml:space="preserve">262 </w:t>
      </w:r>
      <w:r>
        <w:t xml:space="preserve">of the CP </w:t>
      </w:r>
      <w:r w:rsidRPr="00281D1B">
        <w:t xml:space="preserve">costs are listed including “financial costs”. In general, the calculation of infrastructure or personal costs which are directly attributable (including amortisations) does not give raise to controversy. While we agree that amortisations clearly should be part of the allocated costs, we are sceptical with respect whether other financial costs shall be included because of differences in taxes, business models, capital structures etc. </w:t>
      </w:r>
    </w:p>
    <w:p w14:paraId="604044BA" w14:textId="77777777" w:rsidR="00FD04D9" w:rsidRPr="00281D1B" w:rsidRDefault="00FD04D9" w:rsidP="00FD04D9">
      <w:pPr>
        <w:spacing w:before="120" w:after="0"/>
      </w:pP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xml:space="preserve">: The simplicity of the fee structure and licensing models can be scored by taking into account the number of tiers, fee types and licensing models. Does this accurately reflect </w:t>
      </w:r>
      <w:r w:rsidRPr="002D2581">
        <w:rPr>
          <w:b/>
        </w:rPr>
        <w:lastRenderedPageBreak/>
        <w:t>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737F3E2D" w14:textId="77777777" w:rsidR="00FD04D9" w:rsidRPr="00281D1B" w:rsidRDefault="00FD04D9" w:rsidP="00FD04D9">
      <w:pPr>
        <w:spacing w:before="120" w:after="0"/>
      </w:pPr>
      <w:permStart w:id="13111793" w:edGrp="everyone"/>
    </w:p>
    <w:p w14:paraId="73814958" w14:textId="77777777" w:rsidR="00FD04D9" w:rsidRPr="00281D1B" w:rsidRDefault="00FD04D9" w:rsidP="00FD04D9">
      <w:pPr>
        <w:spacing w:before="120" w:after="0"/>
      </w:pPr>
      <w:r w:rsidRPr="00281D1B">
        <w:t>It is essential that a straightforward fee structure and licence model are put in place. With regard to the RCB on market data, the licensing models are cost-based and do not differentiate between the use of the data, with the exception of the free data for retail investors, academics,</w:t>
      </w:r>
      <w:r>
        <w:t xml:space="preserve"> </w:t>
      </w:r>
      <w:r w:rsidRPr="00281D1B">
        <w:t>civil society organisations and other non-commercial purposes. The only differentiating factors are the amount of data and low latency. Consequently:</w:t>
      </w:r>
    </w:p>
    <w:p w14:paraId="41E79EB1" w14:textId="77777777" w:rsidR="00FD04D9" w:rsidRPr="00281D1B" w:rsidRDefault="00FD04D9" w:rsidP="00FD04D9">
      <w:pPr>
        <w:numPr>
          <w:ilvl w:val="0"/>
          <w:numId w:val="49"/>
        </w:numPr>
        <w:pBdr>
          <w:top w:val="nil"/>
          <w:left w:val="nil"/>
          <w:bottom w:val="nil"/>
          <w:right w:val="nil"/>
          <w:between w:val="nil"/>
        </w:pBdr>
        <w:spacing w:before="120" w:after="0"/>
      </w:pPr>
      <w:r w:rsidRPr="00281D1B">
        <w:t xml:space="preserve">The fees set by the CTP pricing policy must comply with the RCB principle outlined in Article 13 of MiFIR. </w:t>
      </w:r>
    </w:p>
    <w:p w14:paraId="6DBFD187" w14:textId="77777777" w:rsidR="00FD04D9" w:rsidRPr="00281D1B" w:rsidRDefault="00FD04D9" w:rsidP="00FD04D9">
      <w:pPr>
        <w:numPr>
          <w:ilvl w:val="0"/>
          <w:numId w:val="49"/>
        </w:numPr>
        <w:pBdr>
          <w:top w:val="nil"/>
          <w:left w:val="nil"/>
          <w:bottom w:val="nil"/>
          <w:right w:val="nil"/>
          <w:between w:val="nil"/>
        </w:pBdr>
        <w:spacing w:after="0"/>
      </w:pPr>
      <w:r w:rsidRPr="00281D1B">
        <w:t>Fees should be set based on a simple system and not be based on multiple terms.</w:t>
      </w:r>
    </w:p>
    <w:p w14:paraId="72D61117" w14:textId="77777777" w:rsidR="00FD04D9" w:rsidRPr="00281D1B" w:rsidRDefault="00FD04D9" w:rsidP="00FD04D9">
      <w:pPr>
        <w:numPr>
          <w:ilvl w:val="0"/>
          <w:numId w:val="49"/>
        </w:numPr>
        <w:pBdr>
          <w:top w:val="nil"/>
          <w:left w:val="nil"/>
          <w:bottom w:val="nil"/>
          <w:right w:val="nil"/>
          <w:between w:val="nil"/>
        </w:pBdr>
        <w:spacing w:after="0"/>
      </w:pPr>
      <w:r w:rsidRPr="00281D1B">
        <w:t>Pricing based on the value created using CTP data should be prohibited.</w:t>
      </w:r>
    </w:p>
    <w:p w14:paraId="195A92AC" w14:textId="77777777" w:rsidR="00FD04D9" w:rsidRPr="00281D1B" w:rsidRDefault="00FD04D9" w:rsidP="00FD04D9">
      <w:pPr>
        <w:numPr>
          <w:ilvl w:val="0"/>
          <w:numId w:val="49"/>
        </w:numPr>
        <w:pBdr>
          <w:top w:val="nil"/>
          <w:left w:val="nil"/>
          <w:bottom w:val="nil"/>
          <w:right w:val="nil"/>
          <w:between w:val="nil"/>
        </w:pBdr>
        <w:spacing w:after="0"/>
      </w:pPr>
      <w:r w:rsidRPr="00281D1B">
        <w:t>Pricing differentiation shall only allow for professional subscribers (strictly based on technical factors as latency and data volume) with free access to retail investors, academics, civil society organisations and competent authorities.</w:t>
      </w:r>
    </w:p>
    <w:p w14:paraId="42B998F1" w14:textId="77777777" w:rsidR="00FD04D9" w:rsidRPr="00281D1B" w:rsidRDefault="00FD04D9" w:rsidP="00FD04D9">
      <w:pPr>
        <w:numPr>
          <w:ilvl w:val="0"/>
          <w:numId w:val="49"/>
        </w:numPr>
        <w:pBdr>
          <w:top w:val="nil"/>
          <w:left w:val="nil"/>
          <w:bottom w:val="nil"/>
          <w:right w:val="nil"/>
          <w:between w:val="nil"/>
        </w:pBdr>
        <w:spacing w:after="0"/>
      </w:pPr>
      <w:r w:rsidRPr="00281D1B">
        <w:t>Pricing shall be client based, with a pricing policy based on the legal entity of the client/customer.</w:t>
      </w:r>
    </w:p>
    <w:p w14:paraId="652D21D3" w14:textId="77777777" w:rsidR="00FD04D9" w:rsidRPr="00281D1B" w:rsidRDefault="00FD04D9" w:rsidP="00FD04D9">
      <w:pPr>
        <w:numPr>
          <w:ilvl w:val="0"/>
          <w:numId w:val="49"/>
        </w:numPr>
        <w:pBdr>
          <w:top w:val="nil"/>
          <w:left w:val="nil"/>
          <w:bottom w:val="nil"/>
          <w:right w:val="nil"/>
          <w:between w:val="nil"/>
        </w:pBdr>
        <w:spacing w:after="0"/>
      </w:pPr>
      <w:r w:rsidRPr="00281D1B">
        <w:t xml:space="preserve">Clients shall be free to decide how they use and further process the data received from the tape (e.g. within display or non-display applications). </w:t>
      </w:r>
    </w:p>
    <w:p w14:paraId="0F779869" w14:textId="77777777" w:rsidR="00FD04D9" w:rsidRPr="00281D1B" w:rsidRDefault="00FD04D9" w:rsidP="00FD04D9">
      <w:pPr>
        <w:spacing w:before="120" w:after="0"/>
      </w:pP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87307F3" w14:textId="77777777" w:rsidR="009041BC" w:rsidRDefault="009041BC" w:rsidP="009041BC">
      <w:pPr>
        <w:spacing w:after="0"/>
      </w:pPr>
      <w:permStart w:id="1938057666" w:edGrp="everyone"/>
      <w:r>
        <w:t>TYPE YOUR TEXT HERE</w:t>
      </w:r>
    </w:p>
    <w:permEnd w:id="1938057666"/>
    <w:p w14:paraId="3004D2A4" w14:textId="18D5DA6F" w:rsidR="009041BC" w:rsidRDefault="009041BC" w:rsidP="009041BC">
      <w:pPr>
        <w:spacing w:after="0"/>
      </w:pPr>
      <w:r>
        <w:lastRenderedPageBreak/>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06EC0384" w14:textId="77777777" w:rsidR="00FD04D9" w:rsidRPr="00281D1B" w:rsidRDefault="00FD04D9" w:rsidP="00FD04D9">
      <w:pPr>
        <w:spacing w:before="120" w:after="0"/>
      </w:pPr>
      <w:permStart w:id="220012522" w:edGrp="everyone"/>
    </w:p>
    <w:p w14:paraId="274FA649" w14:textId="77777777" w:rsidR="00FD04D9" w:rsidRDefault="00FD04D9" w:rsidP="00FD04D9">
      <w:pPr>
        <w:spacing w:before="120" w:after="0"/>
      </w:pPr>
      <w:r w:rsidRPr="00281D1B">
        <w:t xml:space="preserve">In accordance with MiFIR, the CTP is required to have systems in place that can effectively check the completeness of the data provided, identify obvious errors, and request the re-submission of data. Standardisation of the post-trade bond tape using the FIX Trading Community's "MMT" typography will be a key aspect of data quality. It is of the utmost importance to accurately identify addressable liquidity and to accurately show what has traded, with no duplications or omissions, in order to reduce systemic market risk. Market participants use this data in many different ways depending on their needs and business models, e.g. to calculate liquidity, price disappearances among different venues and other calculations. They all have in common, that it is of utmost important that the data is complete and correct. We therefore ask ESMA to consider only tender bids which will ensure that the CTP focuses on improving data quality through additional voluntary measures. </w:t>
      </w:r>
    </w:p>
    <w:p w14:paraId="35AB155D" w14:textId="77777777" w:rsidR="00FD04D9" w:rsidRPr="00281D1B" w:rsidRDefault="00FD04D9" w:rsidP="00FD04D9">
      <w:pPr>
        <w:spacing w:before="120" w:after="0"/>
      </w:pP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43EF6610" w14:textId="77777777" w:rsidR="00FD04D9" w:rsidRPr="00281D1B" w:rsidRDefault="00FD04D9" w:rsidP="00FD04D9">
      <w:pPr>
        <w:spacing w:after="0"/>
      </w:pPr>
      <w:permStart w:id="917596681" w:edGrp="everyone"/>
    </w:p>
    <w:p w14:paraId="522B4EB3" w14:textId="77777777" w:rsidR="00FD04D9" w:rsidRDefault="00FD04D9" w:rsidP="00FD04D9">
      <w:pPr>
        <w:spacing w:after="0"/>
      </w:pPr>
      <w:r w:rsidRPr="00281D1B">
        <w:t>Yes, provided that the additional criteria mentioned in Q59 are taken into account. It is essential that the CTP provides for both all types of usage (display and non-display, human and API). In terms of operational and cyber reliability, it is sufficient to state that the CTP is governed by DORA in the same way as any other ICT provider. It may be that the CTP itself could be considered a critical ICT provider, which would increase the administrative and financial burden and bring the CTP under DORA supervision. On the other hand, each CTP user must determine whether the CTP ICT service is "important" to their firm. We can envision a scenario where firms assert that the CTP is merely an additional data source, not a primary function under DORA. This approach could streamline the administrative burden for the user firm.</w:t>
      </w:r>
    </w:p>
    <w:p w14:paraId="689F0516" w14:textId="77777777" w:rsidR="00FD04D9" w:rsidRPr="00281D1B" w:rsidRDefault="00FD04D9" w:rsidP="00FD04D9">
      <w:pPr>
        <w:spacing w:after="0"/>
      </w:pPr>
    </w:p>
    <w:permEnd w:id="917596681"/>
    <w:p w14:paraId="733787C5" w14:textId="5843A69A" w:rsidR="00657985" w:rsidRDefault="00657985" w:rsidP="00657985">
      <w:pPr>
        <w:spacing w:after="0"/>
      </w:pPr>
      <w:r>
        <w:lastRenderedPageBreak/>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77777777" w:rsidR="00657985" w:rsidRDefault="00657985" w:rsidP="00657985">
      <w:pPr>
        <w:spacing w:after="0"/>
      </w:pPr>
      <w:permStart w:id="1870948188" w:edGrp="everyone"/>
      <w:r>
        <w:t>TYPE YOUR TEXT HERE</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F4FCCEF" w14:textId="77777777" w:rsidR="008B11F9" w:rsidRDefault="008B11F9" w:rsidP="008B11F9">
      <w:pPr>
        <w:spacing w:after="0"/>
      </w:pPr>
      <w:permStart w:id="792227094" w:edGrp="everyone"/>
      <w:r>
        <w:t>TYPE YOUR TEXT HERE</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lastRenderedPageBreak/>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7CC1830F" w14:textId="77777777" w:rsidR="008B11F9" w:rsidRDefault="008B11F9" w:rsidP="008B11F9">
      <w:pPr>
        <w:spacing w:after="0"/>
      </w:pPr>
      <w:permStart w:id="1040075151" w:edGrp="everyone"/>
      <w:r>
        <w:t>TYPE YOUR TEXT HERE</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5B3E6F8D" w14:textId="77777777" w:rsidR="008B11F9" w:rsidRDefault="008B11F9" w:rsidP="008B11F9">
      <w:pPr>
        <w:spacing w:after="0"/>
      </w:pPr>
      <w:permStart w:id="784287202" w:edGrp="everyone"/>
      <w:r>
        <w:t>TYPE YOUR TEXT HERE</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39C51970" w14:textId="77777777" w:rsidR="008B11F9" w:rsidRDefault="008B11F9" w:rsidP="008B11F9">
      <w:pPr>
        <w:spacing w:after="0"/>
      </w:pPr>
      <w:permStart w:id="1225813958" w:edGrp="everyone"/>
      <w:r>
        <w:t>TYPE YOUR TEXT HERE</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lastRenderedPageBreak/>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9F8F" w14:textId="77777777" w:rsidR="00801E43" w:rsidRDefault="00801E43" w:rsidP="00F716D4">
      <w:r>
        <w:separator/>
      </w:r>
    </w:p>
    <w:p w14:paraId="749EF355" w14:textId="77777777" w:rsidR="00801E43" w:rsidRDefault="00801E43" w:rsidP="00F716D4"/>
  </w:endnote>
  <w:endnote w:type="continuationSeparator" w:id="0">
    <w:p w14:paraId="7C49AFC5" w14:textId="77777777" w:rsidR="00801E43" w:rsidRDefault="00801E43" w:rsidP="00F716D4">
      <w:r>
        <w:continuationSeparator/>
      </w:r>
    </w:p>
    <w:p w14:paraId="31E911F4" w14:textId="77777777" w:rsidR="00801E43" w:rsidRDefault="00801E43" w:rsidP="00F716D4"/>
  </w:endnote>
  <w:endnote w:type="continuationNotice" w:id="1">
    <w:p w14:paraId="3E15CC80" w14:textId="77777777" w:rsidR="00801E43" w:rsidRDefault="00801E4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5F4E" w14:textId="77777777" w:rsidR="00801E43" w:rsidRDefault="00801E43" w:rsidP="00F716D4">
      <w:r>
        <w:separator/>
      </w:r>
    </w:p>
    <w:p w14:paraId="217C05E9" w14:textId="77777777" w:rsidR="00801E43" w:rsidRDefault="00801E43" w:rsidP="00F716D4"/>
  </w:footnote>
  <w:footnote w:type="continuationSeparator" w:id="0">
    <w:p w14:paraId="22D9FED0" w14:textId="77777777" w:rsidR="00801E43" w:rsidRDefault="00801E43" w:rsidP="00F716D4">
      <w:r>
        <w:continuationSeparator/>
      </w:r>
    </w:p>
    <w:p w14:paraId="201141D0" w14:textId="77777777" w:rsidR="00801E43" w:rsidRDefault="00801E43" w:rsidP="00F716D4"/>
  </w:footnote>
  <w:footnote w:type="continuationNotice" w:id="1">
    <w:p w14:paraId="69B7D9BD" w14:textId="77777777" w:rsidR="00801E43" w:rsidRDefault="00801E4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3D301CCA"/>
    <w:multiLevelType w:val="multilevel"/>
    <w:tmpl w:val="644E8B2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285FE1"/>
    <w:multiLevelType w:val="multilevel"/>
    <w:tmpl w:val="E9F61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85"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3"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20"/>
  </w:num>
  <w:num w:numId="3" w16cid:durableId="550074866">
    <w:abstractNumId w:val="11"/>
  </w:num>
  <w:num w:numId="4" w16cid:durableId="1881627233">
    <w:abstractNumId w:val="25"/>
  </w:num>
  <w:num w:numId="5" w16cid:durableId="1895776278">
    <w:abstractNumId w:val="27"/>
  </w:num>
  <w:num w:numId="6" w16cid:durableId="208225584">
    <w:abstractNumId w:val="0"/>
  </w:num>
  <w:num w:numId="7" w16cid:durableId="1787233265">
    <w:abstractNumId w:val="3"/>
  </w:num>
  <w:num w:numId="8"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34"/>
  </w:num>
  <w:num w:numId="10" w16cid:durableId="1008846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30"/>
  </w:num>
  <w:num w:numId="13" w16cid:durableId="1500659627">
    <w:abstractNumId w:val="33"/>
  </w:num>
  <w:num w:numId="14" w16cid:durableId="1879658227">
    <w:abstractNumId w:val="24"/>
  </w:num>
  <w:num w:numId="15" w16cid:durableId="1495758855">
    <w:abstractNumId w:val="9"/>
  </w:num>
  <w:num w:numId="16" w16cid:durableId="1186556611">
    <w:abstractNumId w:val="1"/>
  </w:num>
  <w:num w:numId="17" w16cid:durableId="679087124">
    <w:abstractNumId w:val="14"/>
  </w:num>
  <w:num w:numId="18" w16cid:durableId="1695498691">
    <w:abstractNumId w:val="15"/>
  </w:num>
  <w:num w:numId="19" w16cid:durableId="1042363640">
    <w:abstractNumId w:val="17"/>
  </w:num>
  <w:num w:numId="20" w16cid:durableId="820345968">
    <w:abstractNumId w:val="29"/>
  </w:num>
  <w:num w:numId="21" w16cid:durableId="1805388212">
    <w:abstractNumId w:val="39"/>
  </w:num>
  <w:num w:numId="22" w16cid:durableId="538709007">
    <w:abstractNumId w:val="26"/>
  </w:num>
  <w:num w:numId="23" w16cid:durableId="104540172">
    <w:abstractNumId w:val="8"/>
  </w:num>
  <w:num w:numId="24" w16cid:durableId="1824349076">
    <w:abstractNumId w:val="32"/>
  </w:num>
  <w:num w:numId="25" w16cid:durableId="672032853">
    <w:abstractNumId w:val="31"/>
  </w:num>
  <w:num w:numId="26" w16cid:durableId="48917541">
    <w:abstractNumId w:val="21"/>
  </w:num>
  <w:num w:numId="27" w16cid:durableId="978925443">
    <w:abstractNumId w:val="35"/>
  </w:num>
  <w:num w:numId="28" w16cid:durableId="1036613928">
    <w:abstractNumId w:val="42"/>
  </w:num>
  <w:num w:numId="29" w16cid:durableId="872039349">
    <w:abstractNumId w:val="6"/>
  </w:num>
  <w:num w:numId="30" w16cid:durableId="924530660">
    <w:abstractNumId w:val="2"/>
  </w:num>
  <w:num w:numId="31" w16cid:durableId="419180233">
    <w:abstractNumId w:val="23"/>
  </w:num>
  <w:num w:numId="32" w16cid:durableId="276761337">
    <w:abstractNumId w:val="22"/>
  </w:num>
  <w:num w:numId="33" w16cid:durableId="1166238383">
    <w:abstractNumId w:val="37"/>
  </w:num>
  <w:num w:numId="34" w16cid:durableId="2076850202">
    <w:abstractNumId w:val="36"/>
  </w:num>
  <w:num w:numId="35" w16cid:durableId="1997804421">
    <w:abstractNumId w:val="4"/>
  </w:num>
  <w:num w:numId="36" w16cid:durableId="1693411807">
    <w:abstractNumId w:val="38"/>
  </w:num>
  <w:num w:numId="37" w16cid:durableId="469176496">
    <w:abstractNumId w:val="12"/>
  </w:num>
  <w:num w:numId="38" w16cid:durableId="378477852">
    <w:abstractNumId w:val="10"/>
  </w:num>
  <w:num w:numId="39" w16cid:durableId="674843309">
    <w:abstractNumId w:val="19"/>
  </w:num>
  <w:num w:numId="40" w16cid:durableId="371465490">
    <w:abstractNumId w:val="28"/>
  </w:num>
  <w:num w:numId="41" w16cid:durableId="1954971501">
    <w:abstractNumId w:val="43"/>
  </w:num>
  <w:num w:numId="42" w16cid:durableId="943458125">
    <w:abstractNumId w:val="43"/>
  </w:num>
  <w:num w:numId="43" w16cid:durableId="2080710832">
    <w:abstractNumId w:val="43"/>
  </w:num>
  <w:num w:numId="44" w16cid:durableId="1957326863">
    <w:abstractNumId w:val="43"/>
    <w:lvlOverride w:ilvl="0">
      <w:startOverride w:val="1"/>
    </w:lvlOverride>
  </w:num>
  <w:num w:numId="45" w16cid:durableId="461270905">
    <w:abstractNumId w:val="43"/>
  </w:num>
  <w:num w:numId="46" w16cid:durableId="1405949489">
    <w:abstractNumId w:val="43"/>
    <w:lvlOverride w:ilvl="0">
      <w:startOverride w:val="1"/>
    </w:lvlOverride>
  </w:num>
  <w:num w:numId="47" w16cid:durableId="1355497985">
    <w:abstractNumId w:val="43"/>
  </w:num>
  <w:num w:numId="48" w16cid:durableId="16664386">
    <w:abstractNumId w:val="40"/>
  </w:num>
  <w:num w:numId="49" w16cid:durableId="95029309">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3199"/>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6C52"/>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97B"/>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57DF1"/>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4D7A"/>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04D9"/>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41"/>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pPr>
    <w:rPr>
      <w:rFonts w:ascii="Times New Roman" w:hAnsi="Times New Roman"/>
      <w:sz w:val="24"/>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1"/>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1"/>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8"/>
      </w:numPr>
      <w:spacing w:before="120" w:after="120"/>
    </w:pPr>
    <w:rPr>
      <w:rFonts w:ascii="Times New Roman" w:hAnsi="Times New Roman"/>
      <w:sz w:val="24"/>
    </w:rPr>
  </w:style>
  <w:style w:type="paragraph" w:customStyle="1" w:styleId="Bullet0">
    <w:name w:val="Bullet 0"/>
    <w:basedOn w:val="Standard"/>
    <w:locked/>
    <w:rsid w:val="000D2D0B"/>
    <w:pPr>
      <w:numPr>
        <w:numId w:val="22"/>
      </w:numPr>
      <w:spacing w:before="120" w:after="120"/>
    </w:pPr>
    <w:rPr>
      <w:rFonts w:ascii="Times New Roman" w:hAnsi="Times New Roman"/>
      <w:sz w:val="24"/>
    </w:rPr>
  </w:style>
  <w:style w:type="paragraph" w:customStyle="1" w:styleId="Bullet1">
    <w:name w:val="Bullet 1"/>
    <w:basedOn w:val="Standard"/>
    <w:locked/>
    <w:rsid w:val="000D2D0B"/>
    <w:pPr>
      <w:numPr>
        <w:numId w:val="23"/>
      </w:numPr>
      <w:spacing w:before="120" w:after="120"/>
    </w:pPr>
    <w:rPr>
      <w:rFonts w:ascii="Times New Roman" w:hAnsi="Times New Roman"/>
      <w:sz w:val="24"/>
    </w:rPr>
  </w:style>
  <w:style w:type="paragraph" w:customStyle="1" w:styleId="Bullet2">
    <w:name w:val="Bullet 2"/>
    <w:basedOn w:val="Standard"/>
    <w:locked/>
    <w:rsid w:val="000D2D0B"/>
    <w:pPr>
      <w:numPr>
        <w:numId w:val="24"/>
      </w:numPr>
      <w:spacing w:before="120" w:after="120"/>
    </w:pPr>
    <w:rPr>
      <w:rFonts w:ascii="Times New Roman" w:hAnsi="Times New Roman"/>
      <w:sz w:val="24"/>
    </w:rPr>
  </w:style>
  <w:style w:type="paragraph" w:customStyle="1" w:styleId="Bullet3">
    <w:name w:val="Bullet 3"/>
    <w:basedOn w:val="Standard"/>
    <w:locked/>
    <w:rsid w:val="000D2D0B"/>
    <w:pPr>
      <w:numPr>
        <w:numId w:val="25"/>
      </w:numPr>
      <w:spacing w:before="120" w:after="120"/>
    </w:pPr>
    <w:rPr>
      <w:rFonts w:ascii="Times New Roman" w:hAnsi="Times New Roman"/>
      <w:sz w:val="24"/>
    </w:rPr>
  </w:style>
  <w:style w:type="paragraph" w:customStyle="1" w:styleId="Bullet4">
    <w:name w:val="Bullet 4"/>
    <w:basedOn w:val="Standard"/>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4"/>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6"/>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7"/>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30"/>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Absatz-Standardschriftar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4.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5975</Words>
  <Characters>34475</Characters>
  <Application>Microsoft Office Word</Application>
  <DocSecurity>8</DocSecurity>
  <Lines>287</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40370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tf</cp:lastModifiedBy>
  <cp:revision>4</cp:revision>
  <cp:lastPrinted>2015-02-18T11:01:00Z</cp:lastPrinted>
  <dcterms:created xsi:type="dcterms:W3CDTF">2024-08-28T13:22:00Z</dcterms:created>
  <dcterms:modified xsi:type="dcterms:W3CDTF">2024-08-28T13:30:00Z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