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E1F7"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Paragraph"/>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Paragraph"/>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537780BA" w:rsidR="00C2682A" w:rsidRPr="00104E00" w:rsidRDefault="00FB28C7" w:rsidP="00104E00">
                <w:pPr>
                  <w:jc w:val="left"/>
                  <w:rPr>
                    <w:rStyle w:val="PlaceholderText"/>
                  </w:rPr>
                </w:pPr>
                <w:r>
                  <w:rPr>
                    <w:rStyle w:val="PlaceholderText"/>
                  </w:rPr>
                  <w:t>International Swaps and Derivatives Association (ISDA)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23642A3" w:rsidR="00C2682A" w:rsidRPr="00104E00" w:rsidRDefault="0083538B"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B28C7">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55A84025" w:rsidR="00C2682A" w:rsidRPr="00104E00" w:rsidRDefault="00FB28C7"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4E2242A" w:rsidR="00C2682A" w:rsidRPr="00104E00" w:rsidRDefault="00FB28C7" w:rsidP="00104E00">
                <w:pPr>
                  <w:jc w:val="left"/>
                </w:pPr>
                <w:r>
                  <w:t>International</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2157A32F" w14:textId="77777777" w:rsidR="00FB28C7" w:rsidRPr="00FB28C7" w:rsidRDefault="00FB28C7" w:rsidP="00FB28C7">
      <w:pPr>
        <w:spacing w:after="0"/>
        <w:rPr>
          <w:bCs/>
          <w:lang w:val="en-US"/>
        </w:rPr>
      </w:pPr>
      <w:permStart w:id="124340805" w:edGrp="everyone"/>
      <w:r w:rsidRPr="00FB28C7">
        <w:rPr>
          <w:bCs/>
          <w:lang w:val="en-US"/>
        </w:rPr>
        <w:t xml:space="preserve">ISDA supports AFME’s response to this question. </w:t>
      </w:r>
    </w:p>
    <w:p w14:paraId="694B3729" w14:textId="1D0879CF" w:rsidR="00CC59BB" w:rsidRPr="00FB28C7" w:rsidRDefault="00CC59BB" w:rsidP="00C54034">
      <w:pPr>
        <w:spacing w:after="0"/>
        <w:rPr>
          <w:lang w:val="en-US"/>
        </w:rPr>
      </w:pP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69F3EFB6" w14:textId="77777777" w:rsidR="00FB28C7" w:rsidRPr="00FB28C7" w:rsidRDefault="00FB28C7" w:rsidP="00FB28C7">
      <w:pPr>
        <w:spacing w:after="0"/>
        <w:rPr>
          <w:iCs/>
          <w:lang w:val="en-US"/>
        </w:rPr>
      </w:pPr>
      <w:permStart w:id="1947404220" w:edGrp="everyone"/>
      <w:r w:rsidRPr="00FB28C7">
        <w:rPr>
          <w:iCs/>
          <w:lang w:val="en-US"/>
        </w:rPr>
        <w:t xml:space="preserve">ISDA supports AFME’s response to this question. </w:t>
      </w:r>
    </w:p>
    <w:p w14:paraId="59A0405A" w14:textId="5E9CFDCC" w:rsidR="00CC59BB" w:rsidRPr="00FB28C7" w:rsidRDefault="00CC59BB" w:rsidP="00C54034">
      <w:pPr>
        <w:spacing w:after="0"/>
        <w:rPr>
          <w:lang w:val="en-US"/>
        </w:rPr>
      </w:pP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3C830F94" w14:textId="77777777" w:rsidR="00FB28C7" w:rsidRPr="00FB28C7" w:rsidRDefault="00FB28C7" w:rsidP="00FB28C7">
      <w:pPr>
        <w:spacing w:after="0"/>
        <w:rPr>
          <w:iCs/>
          <w:lang w:val="en-US"/>
        </w:rPr>
      </w:pPr>
      <w:permStart w:id="2005885194" w:edGrp="everyone"/>
      <w:r w:rsidRPr="00FB28C7">
        <w:rPr>
          <w:iCs/>
          <w:lang w:val="en-US"/>
        </w:rPr>
        <w:t xml:space="preserve">ISDA believes that there are certain considerations from an operational and cost-related point of view which suggest that some of the minimum technical requirements need to be adjusted for each asset class. </w:t>
      </w:r>
    </w:p>
    <w:p w14:paraId="0AF97417" w14:textId="77777777" w:rsidR="00FB28C7" w:rsidRPr="00FB28C7" w:rsidRDefault="00FB28C7" w:rsidP="00FB28C7">
      <w:pPr>
        <w:spacing w:after="0"/>
        <w:rPr>
          <w:iCs/>
          <w:lang w:val="en-US"/>
        </w:rPr>
      </w:pPr>
      <w:r w:rsidRPr="00FB28C7">
        <w:rPr>
          <w:iCs/>
          <w:lang w:val="en-US"/>
        </w:rPr>
        <w:lastRenderedPageBreak/>
        <w:t xml:space="preserve">For instance, given the different approaches to the notion of ‘real time’ dissemination of trade information between equities, bonds and derivatives, the requirements for the technical criteria related to performance should be calibrated differently for each CT. </w:t>
      </w:r>
    </w:p>
    <w:p w14:paraId="0D2F37D3" w14:textId="3F4A3F45" w:rsidR="00CC59BB" w:rsidRPr="00FB28C7" w:rsidRDefault="00CC59BB" w:rsidP="00C54034">
      <w:pPr>
        <w:spacing w:after="0"/>
        <w:rPr>
          <w:lang w:val="en-US"/>
        </w:rPr>
      </w:pP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4680E631" w14:textId="77777777" w:rsidR="00FB28C7" w:rsidRPr="00FB28C7" w:rsidRDefault="00FB28C7" w:rsidP="00FB28C7">
      <w:pPr>
        <w:spacing w:after="0"/>
        <w:rPr>
          <w:bCs/>
          <w:lang w:val="en-US"/>
        </w:rPr>
      </w:pPr>
      <w:permStart w:id="1235513680" w:edGrp="everyone"/>
      <w:r w:rsidRPr="00FB28C7">
        <w:rPr>
          <w:bCs/>
          <w:lang w:val="en-US"/>
        </w:rPr>
        <w:t xml:space="preserve">ISDA supports the AFME response to this question. </w:t>
      </w:r>
    </w:p>
    <w:p w14:paraId="18C4F057" w14:textId="26A5F612" w:rsidR="00CC59BB" w:rsidRPr="00FB28C7" w:rsidRDefault="00CC59BB" w:rsidP="00C54034">
      <w:pPr>
        <w:spacing w:after="0"/>
        <w:rPr>
          <w:lang w:val="en-US"/>
        </w:rPr>
      </w:pP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27A1B985" w14:textId="77777777" w:rsidR="00FB28C7" w:rsidRPr="00FB28C7" w:rsidRDefault="00FB28C7" w:rsidP="00FB28C7">
      <w:pPr>
        <w:spacing w:after="0"/>
        <w:rPr>
          <w:iCs/>
          <w:lang w:val="en-US"/>
        </w:rPr>
      </w:pPr>
      <w:permStart w:id="864513806" w:edGrp="everyone"/>
      <w:r w:rsidRPr="00FB28C7">
        <w:rPr>
          <w:iCs/>
          <w:lang w:val="en-US"/>
        </w:rPr>
        <w:t xml:space="preserve">ISDA supports the AFME response to this question. </w:t>
      </w:r>
    </w:p>
    <w:p w14:paraId="0256F5E4" w14:textId="77777777" w:rsidR="00FB28C7" w:rsidRPr="00FB28C7" w:rsidRDefault="00FB28C7" w:rsidP="00FB28C7">
      <w:pPr>
        <w:spacing w:after="0"/>
        <w:rPr>
          <w:iCs/>
          <w:lang w:val="en-US"/>
        </w:rPr>
      </w:pPr>
      <w:r w:rsidRPr="00FB28C7">
        <w:rPr>
          <w:iCs/>
          <w:lang w:val="en-US"/>
        </w:rPr>
        <w:t xml:space="preserve">OTC derivatives business is characterized by high levels of voice trading activity. ESMA’s recommendation for rectification of detected errors may be suboptimal, requiring more human intervention to appropriately address erroneous trades. Reliability of transmitted data can be enhanced if an appropriate balance is found between manual/human-based and automatic error correction mechanisms.     </w:t>
      </w:r>
    </w:p>
    <w:p w14:paraId="23D7346A" w14:textId="2E480A7D" w:rsidR="00CC59BB" w:rsidRPr="00FB28C7" w:rsidRDefault="00CC59BB" w:rsidP="00C54034">
      <w:pPr>
        <w:spacing w:after="0"/>
        <w:rPr>
          <w:lang w:val="en-US"/>
        </w:rPr>
      </w:pP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1B6CAC53" w14:textId="77777777" w:rsidR="00FB28C7" w:rsidRPr="00FB28C7" w:rsidRDefault="00FB28C7" w:rsidP="00FB28C7">
      <w:pPr>
        <w:spacing w:after="0"/>
        <w:rPr>
          <w:iCs/>
          <w:lang w:val="en-US"/>
        </w:rPr>
      </w:pPr>
      <w:permStart w:id="1293775397" w:edGrp="everyone"/>
      <w:r w:rsidRPr="00FB28C7">
        <w:rPr>
          <w:iCs/>
          <w:lang w:val="en-US"/>
        </w:rPr>
        <w:t>Existing industry standards and comparable regulatory frameworks for determining quality of transmitted MiFID data should be leveraged to ensure efficiencies of costs and resources.</w:t>
      </w:r>
    </w:p>
    <w:p w14:paraId="331B9FEE" w14:textId="77777777" w:rsidR="00FB28C7" w:rsidRPr="00FB28C7" w:rsidRDefault="00FB28C7" w:rsidP="00FB28C7">
      <w:pPr>
        <w:spacing w:after="0"/>
        <w:rPr>
          <w:b/>
          <w:lang w:val="en-US"/>
        </w:rPr>
      </w:pPr>
      <w:r w:rsidRPr="00FB28C7">
        <w:rPr>
          <w:iCs/>
          <w:lang w:val="en-US"/>
        </w:rPr>
        <w:lastRenderedPageBreak/>
        <w:t xml:space="preserve">Deviations from existing market practices should be justified only where evidence demonstrates that data confidentiality arrangements currently in place are not sufficient to serve their purpose.    </w:t>
      </w:r>
    </w:p>
    <w:p w14:paraId="2E916F10" w14:textId="37604EF7" w:rsidR="00CC59BB" w:rsidRPr="00FB28C7" w:rsidRDefault="00CC59BB" w:rsidP="00C54034">
      <w:pPr>
        <w:spacing w:after="0"/>
        <w:rPr>
          <w:lang w:val="en-US"/>
        </w:rPr>
      </w:pP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128A6A09" w14:textId="77777777" w:rsidR="00FB28C7" w:rsidRPr="00FB28C7" w:rsidRDefault="00FB28C7" w:rsidP="00FB28C7">
      <w:pPr>
        <w:spacing w:after="0"/>
        <w:rPr>
          <w:bCs/>
          <w:lang w:val="en-US"/>
        </w:rPr>
      </w:pPr>
      <w:permStart w:id="1076438526" w:edGrp="everyone"/>
      <w:r w:rsidRPr="00FB28C7">
        <w:rPr>
          <w:bCs/>
          <w:lang w:val="en-US"/>
        </w:rPr>
        <w:t xml:space="preserve">ISDA supports the AFME response to this question. </w:t>
      </w:r>
    </w:p>
    <w:p w14:paraId="210AE453" w14:textId="6B5CA08B" w:rsidR="00CC59BB" w:rsidRPr="00FB28C7" w:rsidRDefault="00CC59BB" w:rsidP="00C54034">
      <w:pPr>
        <w:spacing w:after="0"/>
        <w:rPr>
          <w:lang w:val="en-US"/>
        </w:rPr>
      </w:pP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1E13956B" w14:textId="77777777" w:rsidR="00FB28C7" w:rsidRPr="00FB28C7" w:rsidRDefault="00FB28C7" w:rsidP="00FB28C7">
      <w:pPr>
        <w:spacing w:after="0"/>
        <w:rPr>
          <w:iCs/>
          <w:lang w:val="en-US"/>
        </w:rPr>
      </w:pPr>
      <w:permStart w:id="1516253385" w:edGrp="everyone"/>
      <w:r w:rsidRPr="00FB28C7">
        <w:rPr>
          <w:iCs/>
          <w:lang w:val="en-US"/>
        </w:rPr>
        <w:t xml:space="preserve">The calibration of ‘real time’ in the context used in this question should be structured in a way that adequately reflects what is applicable in the context of trade transparency for each asset class. </w:t>
      </w:r>
    </w:p>
    <w:p w14:paraId="7057D9BF" w14:textId="77777777" w:rsidR="00FB28C7" w:rsidRPr="00FB28C7" w:rsidRDefault="00FB28C7" w:rsidP="00FB28C7">
      <w:pPr>
        <w:spacing w:after="0"/>
        <w:rPr>
          <w:lang w:val="en-US"/>
        </w:rPr>
      </w:pPr>
      <w:r w:rsidRPr="00FB28C7">
        <w:rPr>
          <w:iCs/>
          <w:lang w:val="en-US"/>
        </w:rPr>
        <w:t>We observe that paragraph 45 of the CP, which states that “</w:t>
      </w:r>
      <w:r w:rsidRPr="00FB28C7">
        <w:rPr>
          <w:i/>
          <w:lang w:val="en-US"/>
        </w:rPr>
        <w:t>For post-trade data, regardless of asset class, data contributors should transmit data to the CTP no later than 100 milliseconds from the execution timestamp (field 1 of Table 3 of Annex I of RTS 1 and field 1 of Table 2 of Annex II of RTS 2) for transactions executed on a trading venue and, 200 milliseconds from the execution timestamp for transactions executed OTC</w:t>
      </w:r>
      <w:r w:rsidRPr="00FB28C7">
        <w:rPr>
          <w:iCs/>
          <w:lang w:val="en-US"/>
        </w:rPr>
        <w:t>”, would be disproportionate in OTC derivatives, characterized to a significant extent by voice trading. Imposing the requirement on data providers (predominantly APAs) to transmit data as per ESMA’s proposal in the CP would be challenging and would create an additional, unnecessary reporting burden.</w:t>
      </w:r>
    </w:p>
    <w:p w14:paraId="049192E3" w14:textId="7D773E81" w:rsidR="00CC59BB" w:rsidRPr="00FB28C7" w:rsidRDefault="00CC59BB" w:rsidP="00C54034">
      <w:pPr>
        <w:spacing w:after="0"/>
        <w:rPr>
          <w:lang w:val="en-US"/>
        </w:rPr>
      </w:pP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0F9A1234" w14:textId="77777777" w:rsidR="00FB28C7" w:rsidRPr="00FB28C7" w:rsidRDefault="00FB28C7" w:rsidP="00FB28C7">
      <w:pPr>
        <w:spacing w:after="0"/>
        <w:rPr>
          <w:iCs/>
          <w:lang w:val="en-US"/>
        </w:rPr>
      </w:pPr>
      <w:permStart w:id="869493798" w:edGrp="everyone"/>
      <w:r w:rsidRPr="00FB28C7">
        <w:rPr>
          <w:iCs/>
          <w:lang w:val="en-US"/>
        </w:rPr>
        <w:t xml:space="preserve">Details of deferred trades should be retained by TVs and APAs throughout the duration of the deferral timeframe and disseminated to the CTP at the time when the obligation to publish those details arises. We note that the current </w:t>
      </w:r>
      <w:proofErr w:type="spellStart"/>
      <w:r w:rsidRPr="00FB28C7">
        <w:rPr>
          <w:iCs/>
          <w:lang w:val="en-US"/>
        </w:rPr>
        <w:t>MiFIR</w:t>
      </w:r>
      <w:proofErr w:type="spellEnd"/>
      <w:r w:rsidRPr="00FB28C7">
        <w:rPr>
          <w:iCs/>
          <w:lang w:val="en-US"/>
        </w:rPr>
        <w:t xml:space="preserve"> framework does not impose any obligations on the </w:t>
      </w:r>
      <w:r w:rsidRPr="00FB28C7">
        <w:rPr>
          <w:iCs/>
          <w:lang w:val="en-US"/>
        </w:rPr>
        <w:lastRenderedPageBreak/>
        <w:t xml:space="preserve">CTP to calculate deferral times in the context of post-trade transparency and therefore, the CTP should not be expected to do so. </w:t>
      </w:r>
    </w:p>
    <w:p w14:paraId="24B91C00" w14:textId="77777777" w:rsidR="00FB28C7" w:rsidRPr="00FB28C7" w:rsidRDefault="00FB28C7" w:rsidP="00FB28C7">
      <w:pPr>
        <w:spacing w:after="0"/>
        <w:rPr>
          <w:iCs/>
          <w:lang w:val="en-US"/>
        </w:rPr>
      </w:pPr>
      <w:r w:rsidRPr="00FB28C7">
        <w:rPr>
          <w:iCs/>
          <w:lang w:val="en-US"/>
        </w:rPr>
        <w:t xml:space="preserve">This is in line with existing market practices while it also offers the advantage of enabling TVs and APAs to perform quality checks and rectify any erroneous information before publication given that APAs can use the established networks of communications with investment firms who are the original contributors of trade data to APAs. </w:t>
      </w:r>
    </w:p>
    <w:p w14:paraId="6C73EDEF" w14:textId="77777777" w:rsidR="00FB28C7" w:rsidRPr="00FB28C7" w:rsidRDefault="00FB28C7" w:rsidP="00FB28C7">
      <w:pPr>
        <w:spacing w:after="0"/>
        <w:rPr>
          <w:iCs/>
          <w:lang w:val="en-US"/>
        </w:rPr>
      </w:pPr>
      <w:r w:rsidRPr="00FB28C7">
        <w:rPr>
          <w:iCs/>
          <w:lang w:val="en-US"/>
        </w:rPr>
        <w:t xml:space="preserve">Furthermore, if that stage is bypassed and information on deferred trades is directly transmitted to the CTP on a ‘real time’ basis, that would burden the CTP with the assessment of determining the appropriate time of publication of that information and would go beyond the current mandate and envisaged consolidation role of the CTP. </w:t>
      </w:r>
    </w:p>
    <w:p w14:paraId="367BE408" w14:textId="77777777" w:rsidR="00FB28C7" w:rsidRPr="00FB28C7" w:rsidRDefault="00FB28C7" w:rsidP="00FB28C7">
      <w:pPr>
        <w:spacing w:after="0"/>
        <w:rPr>
          <w:iCs/>
          <w:lang w:val="en-US"/>
        </w:rPr>
      </w:pPr>
      <w:r w:rsidRPr="00FB28C7">
        <w:rPr>
          <w:iCs/>
          <w:lang w:val="en-US"/>
        </w:rPr>
        <w:t xml:space="preserve">This would also increase the costs of operation of the CTP due to the additional intermediation role and duties before publication of deferred trades, leading to potentially increased charges of fees for the users of consolidated tapes. We do not support a differentiation of transmission requirements for deferred trades, given the complexities and knock-on effects on costs highlighted above.  </w:t>
      </w:r>
    </w:p>
    <w:p w14:paraId="5EEF290B" w14:textId="303B728E" w:rsidR="00CC59BB" w:rsidRPr="00FB28C7" w:rsidRDefault="00CC59BB" w:rsidP="00C54034">
      <w:pPr>
        <w:spacing w:after="0"/>
        <w:rPr>
          <w:lang w:val="en-US"/>
        </w:rPr>
      </w:pP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584B7CCA" w14:textId="77777777" w:rsidR="00FB28C7" w:rsidRPr="00FB28C7" w:rsidRDefault="00FB28C7" w:rsidP="00FB28C7">
      <w:pPr>
        <w:spacing w:after="0"/>
        <w:rPr>
          <w:iCs/>
          <w:lang w:val="en-US"/>
        </w:rPr>
      </w:pPr>
      <w:permStart w:id="1673160559" w:edGrp="everyone"/>
      <w:r w:rsidRPr="00FB28C7">
        <w:rPr>
          <w:iCs/>
          <w:lang w:val="en-US"/>
        </w:rPr>
        <w:t xml:space="preserve">ISDA supports a solution on the standards and format of data that is aligned with industry standards and levels of technology. The Financial Information </w:t>
      </w:r>
      <w:proofErr w:type="spellStart"/>
      <w:r w:rsidRPr="00FB28C7">
        <w:rPr>
          <w:iCs/>
          <w:lang w:val="en-US"/>
        </w:rPr>
        <w:t>eXchange</w:t>
      </w:r>
      <w:proofErr w:type="spellEnd"/>
      <w:r w:rsidRPr="00FB28C7">
        <w:rPr>
          <w:iCs/>
          <w:lang w:val="en-US"/>
        </w:rPr>
        <w:t xml:space="preserve"> (FIX) protocol is the most widely used protocol among market participants at present. Furthermore, other solutions, such as JSON, could potentially also be supported by the market although we understand they have less traction than the FIX protocol. </w:t>
      </w:r>
    </w:p>
    <w:p w14:paraId="62FF27A0" w14:textId="77777777" w:rsidR="00FB28C7" w:rsidRPr="00FB28C7" w:rsidRDefault="00FB28C7" w:rsidP="00FB28C7">
      <w:pPr>
        <w:spacing w:after="0"/>
        <w:rPr>
          <w:iCs/>
          <w:lang w:val="en-US"/>
        </w:rPr>
      </w:pPr>
      <w:r w:rsidRPr="00FB28C7">
        <w:rPr>
          <w:iCs/>
          <w:lang w:val="en-US"/>
        </w:rPr>
        <w:t xml:space="preserve">Prescription of use of a specific protocol in level 2 – as proposed by ESMA – would leave the CTP without scope to switch to a different format of protocol if that is needed or advised by data contributors at a later stage during the award period or after the expiration of the term of first CTP and during the selection process for the new CTP. The selected protocol for each asset class should support good functionality and performance and facilitate market development and innovation. As such, ESMA should not hardwire the choice of a specific protocol into the legal text and prospective CTPs should instead be able to propose their recommended protocols in line with industry standards and expectations about functionality and performance and any minimum technical requirements set by ESMA in the relevant RTS. CTPs should also be allowed to propose the most suitable option for each asset class, based on the merits of each protocol for each asset class. </w:t>
      </w:r>
    </w:p>
    <w:p w14:paraId="71A00195" w14:textId="77777777" w:rsidR="00FB28C7" w:rsidRPr="00FB28C7" w:rsidRDefault="00FB28C7" w:rsidP="00FB28C7">
      <w:pPr>
        <w:spacing w:after="0"/>
        <w:rPr>
          <w:iCs/>
          <w:lang w:val="en-US"/>
        </w:rPr>
      </w:pPr>
      <w:r w:rsidRPr="00FB28C7">
        <w:rPr>
          <w:iCs/>
          <w:lang w:val="en-US"/>
        </w:rPr>
        <w:t xml:space="preserve">The recommendations of the expert stakeholder group established pursuant to article 2 </w:t>
      </w:r>
      <w:proofErr w:type="spellStart"/>
      <w:r w:rsidRPr="00FB28C7">
        <w:rPr>
          <w:iCs/>
          <w:lang w:val="en-US"/>
        </w:rPr>
        <w:t>MiFIR</w:t>
      </w:r>
      <w:proofErr w:type="spellEnd"/>
      <w:r w:rsidRPr="00FB28C7">
        <w:rPr>
          <w:iCs/>
          <w:lang w:val="en-US"/>
        </w:rPr>
        <w:t xml:space="preserve"> should also inform ESMA thinking on these issues.  </w:t>
      </w:r>
    </w:p>
    <w:p w14:paraId="664F86CF" w14:textId="477FBA0B" w:rsidR="00CC59BB" w:rsidRPr="00FB28C7" w:rsidRDefault="00CC59BB" w:rsidP="00C54034">
      <w:pPr>
        <w:spacing w:after="0"/>
        <w:rPr>
          <w:lang w:val="en-US"/>
        </w:rPr>
      </w:pP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4CB393B7" w14:textId="77777777" w:rsidR="00FB28C7" w:rsidRPr="00FB28C7" w:rsidRDefault="00FB28C7" w:rsidP="00FB28C7">
      <w:pPr>
        <w:spacing w:after="0"/>
        <w:rPr>
          <w:iCs/>
          <w:lang w:val="en-US"/>
        </w:rPr>
      </w:pPr>
      <w:permStart w:id="1628839836" w:edGrp="everyone"/>
      <w:r w:rsidRPr="00FB28C7">
        <w:rPr>
          <w:iCs/>
          <w:lang w:val="en-US"/>
        </w:rPr>
        <w:t xml:space="preserve">We agree with the AFME response on this question. Prospective CTPs should be able to specify what protocols they intend to use provided that these are aligned with commonly accepted industry standards and minimum regulatory requirements on functionality and performance. This will enable each CTP to choose the most appropriate protocol for each asset class. </w:t>
      </w:r>
    </w:p>
    <w:p w14:paraId="709AF4D0" w14:textId="26A5AF80" w:rsidR="00CC59BB" w:rsidRPr="00FB28C7" w:rsidRDefault="00CC59BB" w:rsidP="00C54034">
      <w:pPr>
        <w:spacing w:after="0"/>
        <w:rPr>
          <w:lang w:val="en-US"/>
        </w:rPr>
      </w:pP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77B16B28" w14:textId="77777777" w:rsidR="00FB28C7" w:rsidRPr="00FB28C7" w:rsidRDefault="00FB28C7" w:rsidP="00FB28C7">
      <w:pPr>
        <w:spacing w:after="0"/>
        <w:rPr>
          <w:iCs/>
          <w:lang w:val="en-US"/>
        </w:rPr>
      </w:pPr>
      <w:permStart w:id="1550012690" w:edGrp="everyone"/>
      <w:r w:rsidRPr="00FB28C7">
        <w:rPr>
          <w:iCs/>
          <w:lang w:val="en-US"/>
        </w:rPr>
        <w:t xml:space="preserve">ISDA believes that it would be appropriate for protocols to be adjusted at asset class level. The characteristics of the different asset classes served by a CT may be best served by different protocols. </w:t>
      </w:r>
    </w:p>
    <w:p w14:paraId="4BD36F6A" w14:textId="12447441" w:rsidR="00CC59BB" w:rsidRPr="00FB28C7" w:rsidRDefault="00CC59BB" w:rsidP="00C54034">
      <w:pPr>
        <w:spacing w:after="0"/>
        <w:rPr>
          <w:lang w:val="en-US"/>
        </w:rPr>
      </w:pP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5398B6E5" w14:textId="77777777" w:rsidR="00FB28C7" w:rsidRPr="00FB28C7" w:rsidRDefault="00FB28C7" w:rsidP="00FB28C7">
      <w:pPr>
        <w:spacing w:after="0"/>
        <w:rPr>
          <w:iCs/>
          <w:lang w:val="en-US"/>
        </w:rPr>
      </w:pPr>
      <w:permStart w:id="1951602752" w:edGrp="everyone"/>
      <w:r w:rsidRPr="00FB28C7">
        <w:rPr>
          <w:iCs/>
          <w:lang w:val="en-US"/>
        </w:rPr>
        <w:t xml:space="preserve">ISDA believes that different models on the treatment of core and regulatory data should apply between the bond, equity and derivatives CTs. For example, in the case of the equities CT, there would be a wider scope of data to be reported than for bonds, particularly due to the inclusion of pre-trade transparency data. </w:t>
      </w:r>
    </w:p>
    <w:p w14:paraId="24AD577E" w14:textId="77777777" w:rsidR="00FB28C7" w:rsidRPr="00FB28C7" w:rsidRDefault="00FB28C7" w:rsidP="00FB28C7">
      <w:pPr>
        <w:spacing w:after="0"/>
        <w:rPr>
          <w:iCs/>
          <w:lang w:val="en-US"/>
        </w:rPr>
      </w:pPr>
      <w:r w:rsidRPr="00FB28C7">
        <w:rPr>
          <w:iCs/>
          <w:lang w:val="en-US"/>
        </w:rPr>
        <w:t xml:space="preserve">Therefore, we agree with ESMA’s approach to outline in section 3.2.2.3 of the CP its proposals on core and regulatory data for the bond CT only, and to specify the requirements for other CTs at a later stage. </w:t>
      </w:r>
    </w:p>
    <w:p w14:paraId="2902509F" w14:textId="77777777" w:rsidR="00FB28C7" w:rsidRPr="00FB28C7" w:rsidRDefault="00FB28C7" w:rsidP="00FB28C7">
      <w:pPr>
        <w:spacing w:after="0"/>
        <w:rPr>
          <w:iCs/>
          <w:lang w:val="en-US"/>
        </w:rPr>
      </w:pPr>
      <w:r w:rsidRPr="00FB28C7">
        <w:rPr>
          <w:iCs/>
          <w:lang w:val="en-US"/>
        </w:rPr>
        <w:t xml:space="preserve">We otherwise align with AFME’s response to this question. </w:t>
      </w:r>
    </w:p>
    <w:p w14:paraId="24AE9925" w14:textId="39B1E795" w:rsidR="00CC59BB" w:rsidRPr="00FB28C7" w:rsidRDefault="00CC59BB" w:rsidP="00C54034">
      <w:pPr>
        <w:spacing w:after="0"/>
        <w:rPr>
          <w:lang w:val="en-US"/>
        </w:rPr>
      </w:pP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24E27853" w14:textId="77777777" w:rsidR="00FB28C7" w:rsidRPr="00FB28C7" w:rsidRDefault="00FB28C7" w:rsidP="00FB28C7">
      <w:pPr>
        <w:spacing w:after="0"/>
        <w:rPr>
          <w:bCs/>
          <w:lang w:val="en-US"/>
        </w:rPr>
      </w:pPr>
      <w:permStart w:id="871322226" w:edGrp="everyone"/>
      <w:r w:rsidRPr="00FB28C7">
        <w:rPr>
          <w:bCs/>
          <w:lang w:val="en-US"/>
        </w:rPr>
        <w:t>ISDA agrees with the AFME response to this question.</w:t>
      </w:r>
    </w:p>
    <w:p w14:paraId="0A1DB7A7" w14:textId="6B0CBDAF" w:rsidR="00CC59BB" w:rsidRPr="00FB28C7" w:rsidRDefault="00CC59BB" w:rsidP="00C54034">
      <w:pPr>
        <w:spacing w:after="0"/>
        <w:rPr>
          <w:lang w:val="en-US"/>
        </w:rPr>
      </w:pP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167EA015" w14:textId="77777777" w:rsidR="00FB28C7" w:rsidRPr="00FB28C7" w:rsidRDefault="00FB28C7" w:rsidP="00FB28C7">
      <w:pPr>
        <w:spacing w:after="0"/>
        <w:rPr>
          <w:bCs/>
          <w:lang w:val="en-US"/>
        </w:rPr>
      </w:pPr>
      <w:permStart w:id="1530005966" w:edGrp="everyone"/>
      <w:r w:rsidRPr="00FB28C7">
        <w:rPr>
          <w:bCs/>
          <w:lang w:val="en-US"/>
        </w:rPr>
        <w:t>ISDA agrees with the AFME response to this question.</w:t>
      </w:r>
    </w:p>
    <w:p w14:paraId="2CF74206" w14:textId="1BEA4C8E" w:rsidR="00CC59BB" w:rsidRPr="00FB28C7" w:rsidRDefault="00CC59BB" w:rsidP="00C54034">
      <w:pPr>
        <w:spacing w:after="0"/>
        <w:rPr>
          <w:lang w:val="en-US"/>
        </w:rPr>
      </w:pP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7B6F1DC0" w14:textId="77777777" w:rsidR="00FB28C7" w:rsidRPr="00FB28C7" w:rsidRDefault="00FB28C7" w:rsidP="00FB28C7">
      <w:pPr>
        <w:spacing w:after="0"/>
        <w:rPr>
          <w:bCs/>
          <w:lang w:val="en-US"/>
        </w:rPr>
      </w:pPr>
      <w:permStart w:id="1731550419" w:edGrp="everyone"/>
      <w:r w:rsidRPr="00FB28C7">
        <w:rPr>
          <w:bCs/>
          <w:lang w:val="en-US"/>
        </w:rPr>
        <w:t>ISDA agrees with the AFME response to this question.</w:t>
      </w:r>
    </w:p>
    <w:p w14:paraId="37DE7513" w14:textId="1B4F4DB2" w:rsidR="00CC59BB" w:rsidRPr="00FB28C7" w:rsidRDefault="00CC59BB" w:rsidP="00C54034">
      <w:pPr>
        <w:spacing w:after="0"/>
        <w:rPr>
          <w:lang w:val="en-US"/>
        </w:rPr>
      </w:pP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78180F43" w14:textId="77777777" w:rsidR="00CC59BB" w:rsidRDefault="00CC59BB" w:rsidP="00C54034">
      <w:pPr>
        <w:spacing w:after="0"/>
      </w:pPr>
      <w:permStart w:id="1212295819" w:edGrp="everyone"/>
      <w:r>
        <w:t>TYPE YOUR TEXT HERE</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lastRenderedPageBreak/>
        <w:t>&lt;ESMA_QUESTION</w:t>
      </w:r>
      <w:r w:rsidR="00C05202">
        <w:t>_</w:t>
      </w:r>
      <w:r w:rsidR="006E2953">
        <w:t>CP2</w:t>
      </w:r>
      <w:r w:rsidR="00C05202">
        <w:t>_</w:t>
      </w:r>
      <w:r>
        <w:t>18&gt;</w:t>
      </w:r>
    </w:p>
    <w:p w14:paraId="4DCE5838" w14:textId="77777777" w:rsidR="00CC59BB" w:rsidRDefault="00CC59BB" w:rsidP="00C54034">
      <w:pPr>
        <w:spacing w:after="0"/>
      </w:pPr>
      <w:permStart w:id="1367754514" w:edGrp="everyone"/>
      <w:r>
        <w:t>TYPE YOUR TEXT HERE</w:t>
      </w: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5BCF67F2" w14:textId="77777777" w:rsidR="00CC59BB" w:rsidRDefault="00CC59BB" w:rsidP="00C54034">
      <w:pPr>
        <w:spacing w:after="0"/>
      </w:pPr>
      <w:permStart w:id="1244420503" w:edGrp="everyone"/>
      <w:r>
        <w:t>TYPE YOUR TEXT HERE</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1EBE3E0A" w14:textId="77777777" w:rsidR="00CC59BB" w:rsidRDefault="00CC59BB" w:rsidP="00C54034">
      <w:pPr>
        <w:spacing w:after="0"/>
      </w:pPr>
      <w:permStart w:id="356003362" w:edGrp="everyone"/>
      <w:r>
        <w:t>TYPE YOUR TEXT HERE</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224DD2F7" w14:textId="77777777" w:rsidR="00CC59BB" w:rsidRDefault="00CC59BB" w:rsidP="00C54034">
      <w:pPr>
        <w:spacing w:after="0"/>
      </w:pPr>
      <w:permStart w:id="780153713" w:edGrp="everyone"/>
      <w:r>
        <w:t>TYPE YOUR TEXT HERE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77777777" w:rsidR="00CC59BB" w:rsidRDefault="00CC59BB" w:rsidP="00C54034">
      <w:pPr>
        <w:spacing w:after="0"/>
      </w:pPr>
      <w:permStart w:id="1310265670" w:edGrp="everyone"/>
      <w:r>
        <w:t>TYPE YOUR TEXT HERE</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18FF0F4B" w14:textId="77777777" w:rsidR="00CC59BB" w:rsidRDefault="00CC59BB" w:rsidP="00C54034">
      <w:pPr>
        <w:spacing w:after="0"/>
      </w:pPr>
      <w:permStart w:id="1711693936" w:edGrp="everyone"/>
      <w:r>
        <w:lastRenderedPageBreak/>
        <w:t>TYPE YOUR TEXT HERE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2E4AEEE6" w14:textId="77777777" w:rsidR="00CC59BB" w:rsidRDefault="00CC59BB" w:rsidP="00C54034">
      <w:pPr>
        <w:spacing w:after="0"/>
      </w:pPr>
      <w:permStart w:id="1126446852" w:edGrp="everyone"/>
      <w:r>
        <w:t>TYPE YOUR TEXT HERE</w:t>
      </w: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D4F0CA9" w14:textId="77777777" w:rsidR="00CC59BB" w:rsidRDefault="00CC59BB" w:rsidP="00C54034">
      <w:pPr>
        <w:spacing w:after="0"/>
      </w:pPr>
      <w:permStart w:id="1428125549" w:edGrp="everyone"/>
      <w:r>
        <w:t>TYPE YOUR TEXT HERE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0FF5B233" w14:textId="77777777" w:rsidR="00CC59BB" w:rsidRDefault="00CC59BB" w:rsidP="00C54034">
      <w:pPr>
        <w:spacing w:after="0"/>
      </w:pPr>
      <w:permStart w:id="1672500431" w:edGrp="everyone"/>
      <w:r>
        <w:t>TYPE YOUR TEXT HERE</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1BF3CF14" w14:textId="77777777" w:rsidR="00A829A3" w:rsidRDefault="00A829A3" w:rsidP="00A829A3">
      <w:pPr>
        <w:spacing w:after="0"/>
      </w:pPr>
      <w:permStart w:id="837814293" w:edGrp="everyone"/>
      <w:r>
        <w:t>TYPE YOUR TEXT HERE</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B530A70" w14:textId="77777777" w:rsidR="00895D2F" w:rsidRDefault="00895D2F" w:rsidP="00895D2F">
      <w:pPr>
        <w:spacing w:after="0"/>
      </w:pPr>
      <w:permStart w:id="940985663" w:edGrp="everyone"/>
      <w:r>
        <w:t>TYPE YOUR TEXT HERE</w:t>
      </w:r>
    </w:p>
    <w:permEnd w:id="940985663"/>
    <w:p w14:paraId="5BC43205" w14:textId="3E66F28A" w:rsidR="00895D2F" w:rsidRDefault="00895D2F" w:rsidP="00895D2F">
      <w:pPr>
        <w:spacing w:after="0"/>
      </w:pPr>
      <w:r>
        <w:lastRenderedPageBreak/>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77777777" w:rsidR="00B7075D" w:rsidRDefault="00B7075D" w:rsidP="00B7075D">
      <w:pPr>
        <w:spacing w:after="0"/>
      </w:pPr>
      <w:permStart w:id="597502729" w:edGrp="everyone"/>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77777777" w:rsidR="00317903" w:rsidRDefault="00317903" w:rsidP="00317903">
      <w:pPr>
        <w:spacing w:after="0"/>
      </w:pPr>
      <w:permStart w:id="482488026" w:edGrp="everyone"/>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691E0780" w14:textId="77777777" w:rsidR="00EB4F95" w:rsidRDefault="00EB4F95" w:rsidP="00EB4F95">
      <w:pPr>
        <w:spacing w:after="0"/>
      </w:pPr>
      <w:permStart w:id="807415494" w:edGrp="everyone"/>
      <w:r>
        <w:t>TYPE YOUR TEXT HERE</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77777777" w:rsidR="00F02F7B" w:rsidRDefault="00F02F7B" w:rsidP="00F02F7B">
      <w:pPr>
        <w:spacing w:after="0"/>
      </w:pPr>
      <w:permStart w:id="1228743613" w:edGrp="everyone"/>
      <w:r>
        <w:t>TYPE YOUR TEXT HERE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0CFB945E" w14:textId="77777777" w:rsidR="00E5382D" w:rsidRDefault="00E5382D" w:rsidP="00E5382D">
      <w:pPr>
        <w:spacing w:after="0"/>
      </w:pPr>
      <w:permStart w:id="171330661" w:edGrp="everyone"/>
      <w:r>
        <w:lastRenderedPageBreak/>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77777777" w:rsidR="00E96A69" w:rsidRDefault="00E96A69" w:rsidP="00E96A69">
      <w:pPr>
        <w:spacing w:after="0"/>
      </w:pPr>
      <w:permStart w:id="1032663094" w:edGrp="everyone"/>
      <w:r>
        <w:t>TYPE YOUR TEXT HERE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77777777" w:rsidR="00B82001" w:rsidRDefault="00B82001" w:rsidP="00B82001">
      <w:pPr>
        <w:spacing w:after="0"/>
      </w:pPr>
      <w:permStart w:id="2095275527" w:edGrp="everyone"/>
      <w:r>
        <w:t>TYPE YOUR TEXT HERE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CB74C34" w14:textId="77777777" w:rsidR="00837669" w:rsidRDefault="00837669" w:rsidP="00837669">
      <w:pPr>
        <w:spacing w:after="0"/>
      </w:pPr>
      <w:permStart w:id="1537430292" w:edGrp="everyone"/>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5A3027FA" w14:textId="77777777" w:rsidR="00FB28C7" w:rsidRPr="00FB28C7" w:rsidRDefault="00FB28C7" w:rsidP="00FB28C7">
      <w:pPr>
        <w:spacing w:after="0"/>
        <w:rPr>
          <w:iCs/>
          <w:lang w:val="en-US"/>
        </w:rPr>
      </w:pPr>
      <w:permStart w:id="1752252469" w:edGrp="everyone"/>
      <w:r w:rsidRPr="00FB28C7">
        <w:rPr>
          <w:iCs/>
          <w:lang w:val="en-US"/>
        </w:rPr>
        <w:t xml:space="preserve">ISDA members agree with the approach proposed by ESMA. </w:t>
      </w:r>
    </w:p>
    <w:p w14:paraId="12E1BC66" w14:textId="2274F776" w:rsidR="0063150B" w:rsidRPr="00FB28C7" w:rsidRDefault="0063150B" w:rsidP="0063150B">
      <w:pPr>
        <w:spacing w:after="0"/>
        <w:rPr>
          <w:lang w:val="en-US"/>
        </w:rPr>
      </w:pP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lastRenderedPageBreak/>
        <w:t>&lt;ESMA_QUESTION_</w:t>
      </w:r>
      <w:r w:rsidR="006E2953">
        <w:t>CP2</w:t>
      </w:r>
      <w:r>
        <w:t>_3</w:t>
      </w:r>
      <w:r w:rsidR="00BA6665">
        <w:t>8</w:t>
      </w:r>
      <w:r>
        <w:t>&gt;</w:t>
      </w:r>
    </w:p>
    <w:p w14:paraId="7E794BC1" w14:textId="77777777" w:rsidR="00FB28C7" w:rsidRPr="00FB28C7" w:rsidRDefault="00FB28C7" w:rsidP="00FB28C7">
      <w:pPr>
        <w:spacing w:after="0"/>
      </w:pPr>
      <w:permStart w:id="1398626331" w:edGrp="everyone"/>
      <w:r w:rsidRPr="00FB28C7">
        <w:t xml:space="preserve">ISDA agrees with AFME that the granularity set in RTS 25 of 1 microsecond or better (option 1) in table 1 of the annex to the draft RTS should be maintained, on the basis that article 2 applies only to trading venues. Systematic </w:t>
      </w:r>
      <w:proofErr w:type="spellStart"/>
      <w:r w:rsidRPr="00FB28C7">
        <w:t>internalisers</w:t>
      </w:r>
      <w:proofErr w:type="spellEnd"/>
      <w:r w:rsidRPr="00FB28C7">
        <w:t xml:space="preserve"> and DPEs should be subject to a maximum divergence of 1 second.</w:t>
      </w:r>
    </w:p>
    <w:p w14:paraId="73D26F2F" w14:textId="5955E718" w:rsidR="00FE03FD" w:rsidRDefault="00FE03FD" w:rsidP="00FE03FD">
      <w:pPr>
        <w:spacing w:after="0"/>
      </w:pP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63F45E4" w14:textId="77777777" w:rsidR="00FB28C7" w:rsidRPr="00FB28C7" w:rsidRDefault="00FB28C7" w:rsidP="00FB28C7">
      <w:pPr>
        <w:spacing w:after="0"/>
        <w:rPr>
          <w:bCs/>
          <w:lang w:val="en-US"/>
        </w:rPr>
      </w:pPr>
      <w:permStart w:id="1709841151" w:edGrp="everyone"/>
      <w:r w:rsidRPr="00FB28C7">
        <w:rPr>
          <w:bCs/>
          <w:lang w:val="en-US"/>
        </w:rPr>
        <w:t>ISDA agrees with the AFME response to this question.</w:t>
      </w:r>
    </w:p>
    <w:p w14:paraId="0E2A678A" w14:textId="797689D3" w:rsidR="0042075D" w:rsidRPr="00FB28C7" w:rsidRDefault="0042075D" w:rsidP="0042075D">
      <w:pPr>
        <w:spacing w:after="0"/>
        <w:rPr>
          <w:lang w:val="en-US"/>
        </w:rPr>
      </w:pP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0D0FA688" w14:textId="77777777" w:rsidR="00FB28C7" w:rsidRPr="00FB28C7" w:rsidRDefault="00FB28C7" w:rsidP="00FB28C7">
      <w:pPr>
        <w:spacing w:after="0"/>
        <w:rPr>
          <w:b/>
          <w:lang w:val="en-US"/>
        </w:rPr>
      </w:pPr>
      <w:permStart w:id="869819836" w:edGrp="everyone"/>
      <w:r w:rsidRPr="00FB28C7">
        <w:rPr>
          <w:iCs/>
          <w:lang w:val="en-US"/>
        </w:rPr>
        <w:t>Yes.</w:t>
      </w:r>
    </w:p>
    <w:p w14:paraId="20383A7A" w14:textId="4101C709" w:rsidR="00C238DE" w:rsidRDefault="00C238DE" w:rsidP="00C238DE">
      <w:pPr>
        <w:spacing w:after="0"/>
      </w:pP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3FF98498" w14:textId="77777777" w:rsidR="00FB28C7" w:rsidRPr="00FB28C7" w:rsidRDefault="00FB28C7" w:rsidP="00FB28C7">
      <w:pPr>
        <w:spacing w:after="0"/>
      </w:pPr>
      <w:permStart w:id="1264664054" w:edGrp="everyone"/>
      <w:r w:rsidRPr="00FB28C7">
        <w:t xml:space="preserve">ISDA is concerned that when extending business clock synchronisation rules to systematic </w:t>
      </w:r>
      <w:proofErr w:type="spellStart"/>
      <w:r w:rsidRPr="00FB28C7">
        <w:t>internalisers</w:t>
      </w:r>
      <w:proofErr w:type="spellEnd"/>
      <w:r w:rsidRPr="00FB28C7">
        <w:t xml:space="preserve"> (“SIs”), ESMA is treating SIs as if they are equivalent to trading venues (“TVs”) by including SIs within article 2 of the draft RTS. We believe this is inappropriate on technical and operational grounds. An SI is an investment firm acting in the capacity of an SI. This capacity is not a venue, nor is the investment firm operating a venue. An investment firm has a fundamentally different design and purpose to that of a TV, including when acting as an SI. SI activity comprises several component systems and processes, some of which includes activity completed manually. SIs cannot be treated as if they have a gateway-to-gateway model comparable to that of TVs nor, therefore, is it appropriate to apply to these systems the same gateway-to-gateway latency obligations. Applying the same granularity requirements to SIs and TVs would not recognise these crucial differences.</w:t>
      </w:r>
    </w:p>
    <w:p w14:paraId="62609F8C" w14:textId="77777777" w:rsidR="00FB28C7" w:rsidRPr="00FB28C7" w:rsidRDefault="00FB28C7" w:rsidP="00FB28C7">
      <w:pPr>
        <w:spacing w:after="0"/>
      </w:pPr>
      <w:r w:rsidRPr="00FB28C7">
        <w:lastRenderedPageBreak/>
        <w:t xml:space="preserve">Article 22c (1) of </w:t>
      </w:r>
      <w:proofErr w:type="spellStart"/>
      <w:r w:rsidRPr="00FB28C7">
        <w:t>MiFIR</w:t>
      </w:r>
      <w:proofErr w:type="spellEnd"/>
      <w:r w:rsidRPr="00FB28C7">
        <w:t xml:space="preserve"> requires SIs (as well as APAs, CTPs and DPEs) to synchronise their business clocks but, critically, does not compel ESMA to treat SIs and TVs as if they are equivalent under regulatory technical standards. We believe that requiring SIs to conform to the granularity requirements of TVs would, in practical terms, represent a significant change to the business clock synchronisation rules based on a false equivalence between SIs and TVs, unnecessarily raising considerable costs for investment firms.</w:t>
      </w:r>
    </w:p>
    <w:p w14:paraId="2FD5AE67" w14:textId="77777777" w:rsidR="00FB28C7" w:rsidRPr="00FB28C7" w:rsidRDefault="00FB28C7" w:rsidP="00FB28C7">
      <w:pPr>
        <w:spacing w:after="0"/>
      </w:pPr>
      <w:r w:rsidRPr="00FB28C7">
        <w:t xml:space="preserve">Further, the majority of firms that will become DPEs will do so precisely because they are currently SIs, to ensure they have the obligation to report for post-trade transparency under </w:t>
      </w:r>
      <w:proofErr w:type="spellStart"/>
      <w:r w:rsidRPr="00FB28C7">
        <w:t>MiFIR</w:t>
      </w:r>
      <w:proofErr w:type="spellEnd"/>
      <w:r w:rsidRPr="00FB28C7">
        <w:t xml:space="preserve"> Article 21 as a service to their clients. As such, they will typically share the same infrastructure and use the same protocols at firm level and should be treated in the same way.</w:t>
      </w:r>
    </w:p>
    <w:p w14:paraId="33907884" w14:textId="77777777" w:rsidR="00FB28C7" w:rsidRPr="00FB28C7" w:rsidRDefault="00FB28C7" w:rsidP="00FB28C7">
      <w:pPr>
        <w:spacing w:after="0"/>
      </w:pPr>
      <w:r w:rsidRPr="00FB28C7">
        <w:t>Accordingly, we recommend that ESMA proceed with option 1 of the application of TV accuracy requirement as outlined in table 1 of the annex of the draft RTS.</w:t>
      </w:r>
    </w:p>
    <w:p w14:paraId="486C244A" w14:textId="77777777" w:rsidR="00FB28C7" w:rsidRPr="00FB28C7" w:rsidRDefault="00FB28C7" w:rsidP="00FB28C7">
      <w:pPr>
        <w:spacing w:after="0"/>
      </w:pPr>
      <w:r w:rsidRPr="00FB28C7">
        <w:t xml:space="preserve">However, in light of the above concerns regarding SIs and DPEs, we propose that article 4 be extended for SIs, accompanied by a new table 3 inserted to the annex to outline accuracy obligations for both SIs and DPEs for their off-venue activity. All activity that is voice or RFQ should continue to be subject to a maximum divergence from UTC and timestamp granularity of 1 second, as it is when conducted on-venue. Other equities activity that is electronic should be at millisecond granularity/divergence, and all other activity, which would be fixed income activity, should be at 1 second granularity/divergence. </w:t>
      </w:r>
    </w:p>
    <w:p w14:paraId="466C0C12" w14:textId="1AEBEDFC" w:rsidR="00325BFA" w:rsidRDefault="00325BFA" w:rsidP="00325BFA">
      <w:pPr>
        <w:spacing w:after="0"/>
      </w:pP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012E29A2" w14:textId="77777777" w:rsidR="00FB28C7" w:rsidRPr="00FB28C7" w:rsidRDefault="00FB28C7" w:rsidP="00FB28C7">
      <w:pPr>
        <w:spacing w:after="0"/>
        <w:rPr>
          <w:iCs/>
          <w:lang w:val="en-US"/>
        </w:rPr>
      </w:pPr>
      <w:permStart w:id="370947726" w:edGrp="everyone"/>
      <w:r w:rsidRPr="00FB28C7">
        <w:rPr>
          <w:iCs/>
          <w:lang w:val="en-US"/>
        </w:rPr>
        <w:t xml:space="preserve">ISDA observes that the derogation referred to in Article 4.3 of the draft RTS on Business Clock Synchronization (see page 140 of the consultation paper) appears redundant in the case of OTC derivatives. The SI concept has been removed in revised </w:t>
      </w:r>
      <w:proofErr w:type="spellStart"/>
      <w:r w:rsidRPr="00FB28C7">
        <w:rPr>
          <w:iCs/>
          <w:lang w:val="en-US"/>
        </w:rPr>
        <w:t>MiFIR</w:t>
      </w:r>
      <w:proofErr w:type="spellEnd"/>
      <w:r w:rsidRPr="00FB28C7">
        <w:rPr>
          <w:iCs/>
          <w:lang w:val="en-US"/>
        </w:rPr>
        <w:t xml:space="preserve"> Level 1, so DPEs in OTC derivatives will not be able to acquire the status of SI. </w:t>
      </w:r>
    </w:p>
    <w:p w14:paraId="62FFE206" w14:textId="77777777" w:rsidR="00FB28C7" w:rsidRPr="00FB28C7" w:rsidRDefault="00FB28C7" w:rsidP="00FB28C7">
      <w:pPr>
        <w:spacing w:after="0"/>
        <w:rPr>
          <w:lang w:val="en-US"/>
        </w:rPr>
      </w:pPr>
      <w:r w:rsidRPr="00FB28C7">
        <w:rPr>
          <w:iCs/>
          <w:lang w:val="en-US"/>
        </w:rPr>
        <w:t xml:space="preserve">As such, </w:t>
      </w:r>
      <w:r w:rsidRPr="00FB28C7">
        <w:rPr>
          <w:lang w:val="en-US"/>
        </w:rPr>
        <w:t>DPEs would – under these draft RTS - be required to synchronize clocks for their voice trading systems to the standard set out in Art 4.1 and 4.2 i.e. one millisecond, rather than the less onerous requirements set out in Art 2.2 i.e. at one second. Given that much DPE business is voice-traded, the draft RTS should be amended to apply the Article 2 standard to DPEs for voice systems:</w:t>
      </w:r>
    </w:p>
    <w:p w14:paraId="03575728" w14:textId="31BE009B" w:rsidR="00325BFA" w:rsidRPr="00FB28C7" w:rsidRDefault="00325BFA" w:rsidP="00325BFA">
      <w:pPr>
        <w:spacing w:after="0"/>
        <w:rPr>
          <w:lang w:val="en-US"/>
        </w:rPr>
      </w:pP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lastRenderedPageBreak/>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77777777" w:rsidR="005F635C" w:rsidRDefault="005F635C" w:rsidP="005F635C">
      <w:pPr>
        <w:spacing w:after="0"/>
      </w:pPr>
      <w:permStart w:id="1895257179" w:edGrp="everyone"/>
      <w:r>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AC8BFCF" w14:textId="77777777" w:rsidR="00E84390" w:rsidRDefault="00E84390" w:rsidP="00E84390">
      <w:pPr>
        <w:spacing w:after="0"/>
      </w:pPr>
      <w:permStart w:id="49502870" w:edGrp="everyone"/>
      <w:r>
        <w:t>TYPE YOUR TEXT HERE</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3BE331A3" w14:textId="77777777" w:rsidR="00EA6FF7" w:rsidRDefault="00EA6FF7" w:rsidP="00EA6FF7">
      <w:pPr>
        <w:spacing w:after="0"/>
      </w:pPr>
      <w:permStart w:id="1970298969" w:edGrp="everyone"/>
      <w:r>
        <w:t>TYPE YOUR TEXT HERE</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260F6C8" w14:textId="77777777" w:rsidR="007D5820" w:rsidRDefault="007D5820" w:rsidP="007D5820">
      <w:pPr>
        <w:spacing w:after="0"/>
      </w:pPr>
      <w:permStart w:id="1930500106" w:edGrp="everyone"/>
      <w:r>
        <w:t>TYPE YOUR TEXT HERE</w:t>
      </w: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12E5964B" w14:textId="77777777" w:rsidR="007D5820" w:rsidRDefault="007D5820" w:rsidP="007D5820">
      <w:pPr>
        <w:spacing w:after="0"/>
      </w:pPr>
      <w:permStart w:id="620656595" w:edGrp="everyone"/>
      <w:r>
        <w:t>TYPE YOUR TEXT HERE</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77777777" w:rsidR="007D5820" w:rsidRDefault="007D5820" w:rsidP="007D5820">
      <w:pPr>
        <w:spacing w:after="0"/>
      </w:pPr>
      <w:permStart w:id="848196049" w:edGrp="everyone"/>
      <w:r>
        <w:t>TYPE YOUR TEXT HERE</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lastRenderedPageBreak/>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76467AB7" w14:textId="77777777" w:rsidR="009041BC" w:rsidRDefault="009041BC" w:rsidP="009041BC">
      <w:pPr>
        <w:spacing w:after="0"/>
      </w:pPr>
      <w:permStart w:id="1716729438" w:edGrp="everyone"/>
      <w:r>
        <w:t>TYPE YOUR TEXT HERE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67B1B791" w14:textId="77777777" w:rsidR="009041BC" w:rsidRDefault="009041BC" w:rsidP="009041BC">
      <w:pPr>
        <w:spacing w:after="0"/>
      </w:pPr>
      <w:permStart w:id="1469972975" w:edGrp="everyone"/>
      <w:r>
        <w:t>TYPE YOUR TEXT HERE</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199BD034" w14:textId="77777777" w:rsidR="009041BC" w:rsidRDefault="009041BC" w:rsidP="009041BC">
      <w:pPr>
        <w:spacing w:after="0"/>
      </w:pPr>
      <w:permStart w:id="13111793" w:edGrp="everyone"/>
      <w:r>
        <w:t>TYPE YOUR TEXT HERE</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75E3A766" w14:textId="77777777" w:rsidR="00FB28C7" w:rsidRPr="00FB28C7" w:rsidRDefault="00FB28C7" w:rsidP="00FB28C7">
      <w:pPr>
        <w:spacing w:after="0"/>
        <w:rPr>
          <w:iCs/>
          <w:lang w:val="en-US"/>
        </w:rPr>
      </w:pPr>
      <w:permStart w:id="1938057666" w:edGrp="everyone"/>
      <w:r w:rsidRPr="00FB28C7">
        <w:rPr>
          <w:iCs/>
          <w:lang w:val="en-US"/>
        </w:rPr>
        <w:lastRenderedPageBreak/>
        <w:t xml:space="preserve">ISDA supports the AFME response to this question. </w:t>
      </w:r>
    </w:p>
    <w:p w14:paraId="387307F3" w14:textId="38A94E15" w:rsidR="009041BC" w:rsidRPr="00FB28C7" w:rsidRDefault="009041BC" w:rsidP="009041BC">
      <w:pPr>
        <w:spacing w:after="0"/>
        <w:rPr>
          <w:lang w:val="en-US"/>
        </w:rPr>
      </w:pPr>
    </w:p>
    <w:permEnd w:id="1938057666"/>
    <w:p w14:paraId="3004D2A4" w14:textId="18D5DA6F" w:rsidR="009041BC" w:rsidRDefault="009041BC" w:rsidP="009041BC">
      <w:pPr>
        <w:spacing w:after="0"/>
      </w:pPr>
      <w:r>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4C8901A6" w14:textId="77777777" w:rsidR="00FB28C7" w:rsidRPr="00FB28C7" w:rsidRDefault="00FB28C7" w:rsidP="00FB28C7">
      <w:pPr>
        <w:spacing w:after="0"/>
        <w:rPr>
          <w:iCs/>
          <w:lang w:val="en-US"/>
        </w:rPr>
      </w:pPr>
      <w:permStart w:id="220012522" w:edGrp="everyone"/>
      <w:r w:rsidRPr="00FB28C7">
        <w:rPr>
          <w:iCs/>
          <w:lang w:val="en-US"/>
        </w:rPr>
        <w:t xml:space="preserve">ISDA supports the AFME response to this question. </w:t>
      </w:r>
    </w:p>
    <w:p w14:paraId="09FC585A" w14:textId="4AAFE671" w:rsidR="00657985" w:rsidRPr="00FB28C7" w:rsidRDefault="00657985" w:rsidP="00657985">
      <w:pPr>
        <w:spacing w:after="0"/>
        <w:rPr>
          <w:lang w:val="en-US"/>
        </w:rPr>
      </w:pP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446B9AE3" w14:textId="77777777" w:rsidR="00FB28C7" w:rsidRPr="00FB28C7" w:rsidRDefault="00FB28C7" w:rsidP="00FB28C7">
      <w:pPr>
        <w:spacing w:after="0"/>
        <w:rPr>
          <w:iCs/>
          <w:lang w:val="en-US"/>
        </w:rPr>
      </w:pPr>
      <w:permStart w:id="917596681" w:edGrp="everyone"/>
      <w:r w:rsidRPr="00FB28C7">
        <w:rPr>
          <w:iCs/>
          <w:lang w:val="en-US"/>
        </w:rPr>
        <w:t xml:space="preserve">ISDA supports the AFME response to this question. </w:t>
      </w:r>
    </w:p>
    <w:p w14:paraId="12702491" w14:textId="0746F737" w:rsidR="00657985" w:rsidRPr="00FB28C7" w:rsidRDefault="00657985" w:rsidP="00657985">
      <w:pPr>
        <w:spacing w:after="0"/>
        <w:rPr>
          <w:lang w:val="en-US"/>
        </w:rPr>
      </w:pP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569D5417" w14:textId="77777777" w:rsidR="00FB28C7" w:rsidRPr="00FB28C7" w:rsidRDefault="00FB28C7" w:rsidP="00FB28C7">
      <w:pPr>
        <w:spacing w:after="0"/>
        <w:rPr>
          <w:bCs/>
          <w:lang w:val="en-US"/>
        </w:rPr>
      </w:pPr>
      <w:permStart w:id="1352533797" w:edGrp="everyone"/>
      <w:r w:rsidRPr="00FB28C7">
        <w:rPr>
          <w:bCs/>
          <w:lang w:val="en-US"/>
        </w:rPr>
        <w:t>Yes.</w:t>
      </w:r>
    </w:p>
    <w:p w14:paraId="0B82AB18" w14:textId="0FDD5E75" w:rsidR="00657985" w:rsidRDefault="00657985" w:rsidP="00657985">
      <w:pPr>
        <w:spacing w:after="0"/>
      </w:pP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6D5EC831" w14:textId="77777777" w:rsidR="00FB28C7" w:rsidRPr="00FB28C7" w:rsidRDefault="00FB28C7" w:rsidP="00FB28C7">
      <w:pPr>
        <w:spacing w:after="0"/>
        <w:rPr>
          <w:iCs/>
          <w:lang w:val="en-US"/>
        </w:rPr>
      </w:pPr>
      <w:permStart w:id="1870948188" w:edGrp="everyone"/>
      <w:r w:rsidRPr="00FB28C7">
        <w:rPr>
          <w:iCs/>
          <w:lang w:val="en-US"/>
        </w:rPr>
        <w:t xml:space="preserve">ISDA supports the AFME response to this question. </w:t>
      </w:r>
    </w:p>
    <w:p w14:paraId="3FA40C41" w14:textId="58CBB6EA" w:rsidR="00657985" w:rsidRPr="00FB28C7" w:rsidRDefault="00657985" w:rsidP="00657985">
      <w:pPr>
        <w:spacing w:after="0"/>
        <w:rPr>
          <w:lang w:val="en-US"/>
        </w:rPr>
      </w:pP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2E927A93" w14:textId="77777777" w:rsidR="00FB28C7" w:rsidRPr="00FB28C7" w:rsidRDefault="00FB28C7" w:rsidP="00FB28C7">
      <w:pPr>
        <w:spacing w:after="0"/>
        <w:rPr>
          <w:iCs/>
          <w:lang w:val="en-US"/>
        </w:rPr>
      </w:pPr>
      <w:permStart w:id="1105074338" w:edGrp="everyone"/>
      <w:r w:rsidRPr="00FB28C7">
        <w:rPr>
          <w:iCs/>
          <w:lang w:val="en-US"/>
        </w:rPr>
        <w:t xml:space="preserve">ISDA supports the AFME response to this question. </w:t>
      </w:r>
    </w:p>
    <w:p w14:paraId="0C0909A9" w14:textId="11DF9CF9" w:rsidR="008B11F9" w:rsidRPr="00FB28C7" w:rsidRDefault="008B11F9" w:rsidP="008B11F9">
      <w:pPr>
        <w:spacing w:after="0"/>
        <w:rPr>
          <w:lang w:val="en-US"/>
        </w:rPr>
      </w:pP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1A6BC69" w14:textId="77777777" w:rsidR="00FB28C7" w:rsidRPr="00FB28C7" w:rsidRDefault="00FB28C7" w:rsidP="00FB28C7">
      <w:pPr>
        <w:spacing w:after="0"/>
        <w:rPr>
          <w:iCs/>
          <w:lang w:val="en-US"/>
        </w:rPr>
      </w:pPr>
      <w:permStart w:id="792227094" w:edGrp="everyone"/>
      <w:r w:rsidRPr="00FB28C7">
        <w:rPr>
          <w:iCs/>
          <w:lang w:val="en-US"/>
        </w:rPr>
        <w:t xml:space="preserve">ISDA supports the AFME response to this question. </w:t>
      </w:r>
    </w:p>
    <w:p w14:paraId="1F4FCCEF" w14:textId="36073250" w:rsidR="008B11F9" w:rsidRPr="00FB28C7" w:rsidRDefault="008B11F9" w:rsidP="008B11F9">
      <w:pPr>
        <w:spacing w:after="0"/>
        <w:rPr>
          <w:lang w:val="en-US"/>
        </w:rPr>
      </w:pP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3006DACF" w14:textId="77777777" w:rsidR="00FB28C7" w:rsidRPr="00FB28C7" w:rsidRDefault="00FB28C7" w:rsidP="00FB28C7">
      <w:pPr>
        <w:spacing w:after="0"/>
        <w:rPr>
          <w:iCs/>
          <w:lang w:val="en-US"/>
        </w:rPr>
      </w:pPr>
      <w:permStart w:id="1040075151" w:edGrp="everyone"/>
      <w:r w:rsidRPr="00FB28C7">
        <w:rPr>
          <w:iCs/>
          <w:lang w:val="en-US"/>
        </w:rPr>
        <w:t xml:space="preserve">ISDA supports the AFME response to this question. </w:t>
      </w:r>
    </w:p>
    <w:p w14:paraId="7CC1830F" w14:textId="6DCA4516" w:rsidR="008B11F9" w:rsidRPr="00FB28C7" w:rsidRDefault="008B11F9" w:rsidP="008B11F9">
      <w:pPr>
        <w:spacing w:after="0"/>
        <w:rPr>
          <w:lang w:val="en-US"/>
        </w:rPr>
      </w:pP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4A9E744F" w14:textId="77777777" w:rsidR="00FB28C7" w:rsidRPr="00FB28C7" w:rsidRDefault="00FB28C7" w:rsidP="00FB28C7">
      <w:pPr>
        <w:spacing w:after="0"/>
        <w:rPr>
          <w:iCs/>
          <w:lang w:val="en-US"/>
        </w:rPr>
      </w:pPr>
      <w:permStart w:id="784287202" w:edGrp="everyone"/>
      <w:r w:rsidRPr="00FB28C7">
        <w:rPr>
          <w:iCs/>
          <w:lang w:val="en-US"/>
        </w:rPr>
        <w:t xml:space="preserve">ISDA supports the AFME response to this question. </w:t>
      </w:r>
    </w:p>
    <w:p w14:paraId="5B3E6F8D" w14:textId="66514EFE" w:rsidR="008B11F9" w:rsidRPr="00FB28C7" w:rsidRDefault="008B11F9" w:rsidP="008B11F9">
      <w:pPr>
        <w:spacing w:after="0"/>
        <w:rPr>
          <w:lang w:val="en-US"/>
        </w:rPr>
      </w:pP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55BA09D9" w14:textId="77777777" w:rsidR="00FB28C7" w:rsidRPr="00FB28C7" w:rsidRDefault="00FB28C7" w:rsidP="00FB28C7">
      <w:pPr>
        <w:spacing w:after="0"/>
        <w:rPr>
          <w:lang w:val="en-US"/>
        </w:rPr>
      </w:pPr>
      <w:permStart w:id="1225813958" w:edGrp="everyone"/>
      <w:r w:rsidRPr="00FB28C7">
        <w:rPr>
          <w:iCs/>
          <w:lang w:val="en-US"/>
        </w:rPr>
        <w:t xml:space="preserve">ISDA supports the AFME response to this question. </w:t>
      </w:r>
    </w:p>
    <w:p w14:paraId="39C51970" w14:textId="3DDD7D0A" w:rsidR="008B11F9" w:rsidRPr="00FB28C7" w:rsidRDefault="008B11F9" w:rsidP="008B11F9">
      <w:pPr>
        <w:spacing w:after="0"/>
        <w:rPr>
          <w:lang w:val="en-US"/>
        </w:rPr>
      </w:pP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9F8F" w14:textId="77777777" w:rsidR="00801E43" w:rsidRDefault="00801E43" w:rsidP="00F716D4">
      <w:r>
        <w:separator/>
      </w:r>
    </w:p>
    <w:p w14:paraId="749EF355" w14:textId="77777777" w:rsidR="00801E43" w:rsidRDefault="00801E43" w:rsidP="00F716D4"/>
  </w:endnote>
  <w:endnote w:type="continuationSeparator" w:id="0">
    <w:p w14:paraId="7C49AFC5" w14:textId="77777777" w:rsidR="00801E43" w:rsidRDefault="00801E43" w:rsidP="00F716D4">
      <w:r>
        <w:continuationSeparator/>
      </w:r>
    </w:p>
    <w:p w14:paraId="31E911F4" w14:textId="77777777" w:rsidR="00801E43" w:rsidRDefault="00801E43" w:rsidP="00F716D4"/>
  </w:endnote>
  <w:endnote w:type="continuationNotice" w:id="1">
    <w:p w14:paraId="3E15CC80" w14:textId="77777777" w:rsidR="00801E43" w:rsidRDefault="00801E4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5F4E" w14:textId="77777777" w:rsidR="00801E43" w:rsidRDefault="00801E43" w:rsidP="00F716D4">
      <w:r>
        <w:separator/>
      </w:r>
    </w:p>
    <w:p w14:paraId="217C05E9" w14:textId="77777777" w:rsidR="00801E43" w:rsidRDefault="00801E43" w:rsidP="00F716D4"/>
  </w:footnote>
  <w:footnote w:type="continuationSeparator" w:id="0">
    <w:p w14:paraId="22D9FED0" w14:textId="77777777" w:rsidR="00801E43" w:rsidRDefault="00801E43" w:rsidP="00F716D4">
      <w:r>
        <w:continuationSeparator/>
      </w:r>
    </w:p>
    <w:p w14:paraId="201141D0" w14:textId="77777777" w:rsidR="00801E43" w:rsidRDefault="00801E43" w:rsidP="00F716D4"/>
  </w:footnote>
  <w:footnote w:type="continuationNotice" w:id="1">
    <w:p w14:paraId="69B7D9BD" w14:textId="77777777" w:rsidR="00801E43" w:rsidRDefault="00801E4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4"/>
  </w:num>
  <w:num w:numId="5" w16cid:durableId="1895776278">
    <w:abstractNumId w:val="26"/>
  </w:num>
  <w:num w:numId="6" w16cid:durableId="208225584">
    <w:abstractNumId w:val="0"/>
  </w:num>
  <w:num w:numId="7" w16cid:durableId="1787233265">
    <w:abstractNumId w:val="3"/>
  </w:num>
  <w:num w:numId="8"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33"/>
  </w:num>
  <w:num w:numId="10" w16cid:durableId="1008846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29"/>
  </w:num>
  <w:num w:numId="13" w16cid:durableId="1500659627">
    <w:abstractNumId w:val="32"/>
  </w:num>
  <w:num w:numId="14" w16cid:durableId="1879658227">
    <w:abstractNumId w:val="23"/>
  </w:num>
  <w:num w:numId="15" w16cid:durableId="1495758855">
    <w:abstractNumId w:val="9"/>
  </w:num>
  <w:num w:numId="16" w16cid:durableId="1186556611">
    <w:abstractNumId w:val="1"/>
  </w:num>
  <w:num w:numId="17" w16cid:durableId="679087124">
    <w:abstractNumId w:val="14"/>
  </w:num>
  <w:num w:numId="18" w16cid:durableId="1695498691">
    <w:abstractNumId w:val="15"/>
  </w:num>
  <w:num w:numId="19" w16cid:durableId="1042363640">
    <w:abstractNumId w:val="17"/>
  </w:num>
  <w:num w:numId="20" w16cid:durableId="820345968">
    <w:abstractNumId w:val="28"/>
  </w:num>
  <w:num w:numId="21" w16cid:durableId="1805388212">
    <w:abstractNumId w:val="38"/>
  </w:num>
  <w:num w:numId="22" w16cid:durableId="538709007">
    <w:abstractNumId w:val="25"/>
  </w:num>
  <w:num w:numId="23" w16cid:durableId="104540172">
    <w:abstractNumId w:val="8"/>
  </w:num>
  <w:num w:numId="24" w16cid:durableId="1824349076">
    <w:abstractNumId w:val="31"/>
  </w:num>
  <w:num w:numId="25" w16cid:durableId="672032853">
    <w:abstractNumId w:val="30"/>
  </w:num>
  <w:num w:numId="26" w16cid:durableId="48917541">
    <w:abstractNumId w:val="20"/>
  </w:num>
  <w:num w:numId="27" w16cid:durableId="978925443">
    <w:abstractNumId w:val="34"/>
  </w:num>
  <w:num w:numId="28" w16cid:durableId="1036613928">
    <w:abstractNumId w:val="40"/>
  </w:num>
  <w:num w:numId="29" w16cid:durableId="872039349">
    <w:abstractNumId w:val="6"/>
  </w:num>
  <w:num w:numId="30" w16cid:durableId="924530660">
    <w:abstractNumId w:val="2"/>
  </w:num>
  <w:num w:numId="31" w16cid:durableId="419180233">
    <w:abstractNumId w:val="22"/>
  </w:num>
  <w:num w:numId="32" w16cid:durableId="276761337">
    <w:abstractNumId w:val="21"/>
  </w:num>
  <w:num w:numId="33" w16cid:durableId="1166238383">
    <w:abstractNumId w:val="36"/>
  </w:num>
  <w:num w:numId="34" w16cid:durableId="2076850202">
    <w:abstractNumId w:val="35"/>
  </w:num>
  <w:num w:numId="35" w16cid:durableId="1997804421">
    <w:abstractNumId w:val="4"/>
  </w:num>
  <w:num w:numId="36" w16cid:durableId="1693411807">
    <w:abstractNumId w:val="37"/>
  </w:num>
  <w:num w:numId="37" w16cid:durableId="469176496">
    <w:abstractNumId w:val="12"/>
  </w:num>
  <w:num w:numId="38" w16cid:durableId="378477852">
    <w:abstractNumId w:val="10"/>
  </w:num>
  <w:num w:numId="39" w16cid:durableId="674843309">
    <w:abstractNumId w:val="18"/>
  </w:num>
  <w:num w:numId="40" w16cid:durableId="371465490">
    <w:abstractNumId w:val="27"/>
  </w:num>
  <w:num w:numId="41" w16cid:durableId="1954971501">
    <w:abstractNumId w:val="41"/>
  </w:num>
  <w:num w:numId="42" w16cid:durableId="943458125">
    <w:abstractNumId w:val="41"/>
  </w:num>
  <w:num w:numId="43" w16cid:durableId="2080710832">
    <w:abstractNumId w:val="41"/>
  </w:num>
  <w:num w:numId="44" w16cid:durableId="1957326863">
    <w:abstractNumId w:val="41"/>
    <w:lvlOverride w:ilvl="0">
      <w:startOverride w:val="1"/>
    </w:lvlOverride>
  </w:num>
  <w:num w:numId="45" w16cid:durableId="461270905">
    <w:abstractNumId w:val="41"/>
  </w:num>
  <w:num w:numId="46" w16cid:durableId="1405949489">
    <w:abstractNumId w:val="41"/>
    <w:lvlOverride w:ilvl="0">
      <w:startOverride w:val="1"/>
    </w:lvlOverride>
  </w:num>
  <w:num w:numId="47" w16cid:durableId="1355497985">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1A90"/>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F2A"/>
    <w:rsid w:val="001C1A59"/>
    <w:rsid w:val="001C270F"/>
    <w:rsid w:val="001C43B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79D"/>
    <w:rsid w:val="001F65EF"/>
    <w:rsid w:val="001F697B"/>
    <w:rsid w:val="002005A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6E4"/>
    <w:rsid w:val="005D4A86"/>
    <w:rsid w:val="005D5EB1"/>
    <w:rsid w:val="005D6A29"/>
    <w:rsid w:val="005D709E"/>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71F04"/>
    <w:rsid w:val="008746C1"/>
    <w:rsid w:val="00880224"/>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7147"/>
    <w:rsid w:val="008D7AC4"/>
    <w:rsid w:val="008E1B6A"/>
    <w:rsid w:val="008E2A3C"/>
    <w:rsid w:val="008E3054"/>
    <w:rsid w:val="008E32FF"/>
    <w:rsid w:val="008E5625"/>
    <w:rsid w:val="008E5C5B"/>
    <w:rsid w:val="008E6A37"/>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15DD"/>
    <w:rsid w:val="00AA1C09"/>
    <w:rsid w:val="00AA2F67"/>
    <w:rsid w:val="00AA3569"/>
    <w:rsid w:val="00AA4E12"/>
    <w:rsid w:val="00AA5F4C"/>
    <w:rsid w:val="00AA615C"/>
    <w:rsid w:val="00AA6276"/>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4D53"/>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AFC"/>
    <w:rsid w:val="00D76D88"/>
    <w:rsid w:val="00D77CC9"/>
    <w:rsid w:val="00D83D4B"/>
    <w:rsid w:val="00D871C6"/>
    <w:rsid w:val="00D91010"/>
    <w:rsid w:val="00D9143D"/>
    <w:rsid w:val="00D920D1"/>
    <w:rsid w:val="00DA0FA7"/>
    <w:rsid w:val="00DA12B0"/>
    <w:rsid w:val="00DA2BA0"/>
    <w:rsid w:val="00DA39AD"/>
    <w:rsid w:val="00DA4EF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66C"/>
    <w:rsid w:val="00DF595C"/>
    <w:rsid w:val="00DF7AB8"/>
    <w:rsid w:val="00DF7EA7"/>
    <w:rsid w:val="00E033B1"/>
    <w:rsid w:val="00E04548"/>
    <w:rsid w:val="00E0484E"/>
    <w:rsid w:val="00E063F8"/>
    <w:rsid w:val="00E114D6"/>
    <w:rsid w:val="00E1166E"/>
    <w:rsid w:val="00E116F5"/>
    <w:rsid w:val="00E11DBD"/>
    <w:rsid w:val="00E13211"/>
    <w:rsid w:val="00E16FB5"/>
    <w:rsid w:val="00E179D6"/>
    <w:rsid w:val="00E20D5D"/>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A71"/>
    <w:rsid w:val="00E46A7F"/>
    <w:rsid w:val="00E47430"/>
    <w:rsid w:val="00E47EB5"/>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26F"/>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28C7"/>
    <w:rsid w:val="00FB3DD1"/>
    <w:rsid w:val="00FB51FD"/>
    <w:rsid w:val="00FB5667"/>
    <w:rsid w:val="00FB7A97"/>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85924317">
      <w:bodyDiv w:val="1"/>
      <w:marLeft w:val="0"/>
      <w:marRight w:val="0"/>
      <w:marTop w:val="0"/>
      <w:marBottom w:val="0"/>
      <w:divBdr>
        <w:top w:val="none" w:sz="0" w:space="0" w:color="auto"/>
        <w:left w:val="none" w:sz="0" w:space="0" w:color="auto"/>
        <w:bottom w:val="none" w:sz="0" w:space="0" w:color="auto"/>
        <w:right w:val="none" w:sz="0" w:space="0" w:color="auto"/>
      </w:divBdr>
    </w:div>
    <w:div w:id="91048969">
      <w:bodyDiv w:val="1"/>
      <w:marLeft w:val="0"/>
      <w:marRight w:val="0"/>
      <w:marTop w:val="0"/>
      <w:marBottom w:val="0"/>
      <w:divBdr>
        <w:top w:val="none" w:sz="0" w:space="0" w:color="auto"/>
        <w:left w:val="none" w:sz="0" w:space="0" w:color="auto"/>
        <w:bottom w:val="none" w:sz="0" w:space="0" w:color="auto"/>
        <w:right w:val="none" w:sz="0" w:space="0" w:color="auto"/>
      </w:divBdr>
    </w:div>
    <w:div w:id="97676875">
      <w:bodyDiv w:val="1"/>
      <w:marLeft w:val="0"/>
      <w:marRight w:val="0"/>
      <w:marTop w:val="0"/>
      <w:marBottom w:val="0"/>
      <w:divBdr>
        <w:top w:val="none" w:sz="0" w:space="0" w:color="auto"/>
        <w:left w:val="none" w:sz="0" w:space="0" w:color="auto"/>
        <w:bottom w:val="none" w:sz="0" w:space="0" w:color="auto"/>
        <w:right w:val="none" w:sz="0" w:space="0" w:color="auto"/>
      </w:divBdr>
    </w:div>
    <w:div w:id="1001031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00628630">
      <w:bodyDiv w:val="1"/>
      <w:marLeft w:val="0"/>
      <w:marRight w:val="0"/>
      <w:marTop w:val="0"/>
      <w:marBottom w:val="0"/>
      <w:divBdr>
        <w:top w:val="none" w:sz="0" w:space="0" w:color="auto"/>
        <w:left w:val="none" w:sz="0" w:space="0" w:color="auto"/>
        <w:bottom w:val="none" w:sz="0" w:space="0" w:color="auto"/>
        <w:right w:val="none" w:sz="0" w:space="0" w:color="auto"/>
      </w:divBdr>
    </w:div>
    <w:div w:id="215167343">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490312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9069037">
      <w:bodyDiv w:val="1"/>
      <w:marLeft w:val="0"/>
      <w:marRight w:val="0"/>
      <w:marTop w:val="0"/>
      <w:marBottom w:val="0"/>
      <w:divBdr>
        <w:top w:val="none" w:sz="0" w:space="0" w:color="auto"/>
        <w:left w:val="none" w:sz="0" w:space="0" w:color="auto"/>
        <w:bottom w:val="none" w:sz="0" w:space="0" w:color="auto"/>
        <w:right w:val="none" w:sz="0" w:space="0" w:color="auto"/>
      </w:divBdr>
    </w:div>
    <w:div w:id="338048248">
      <w:bodyDiv w:val="1"/>
      <w:marLeft w:val="0"/>
      <w:marRight w:val="0"/>
      <w:marTop w:val="0"/>
      <w:marBottom w:val="0"/>
      <w:divBdr>
        <w:top w:val="none" w:sz="0" w:space="0" w:color="auto"/>
        <w:left w:val="none" w:sz="0" w:space="0" w:color="auto"/>
        <w:bottom w:val="none" w:sz="0" w:space="0" w:color="auto"/>
        <w:right w:val="none" w:sz="0" w:space="0" w:color="auto"/>
      </w:divBdr>
    </w:div>
    <w:div w:id="354114890">
      <w:bodyDiv w:val="1"/>
      <w:marLeft w:val="0"/>
      <w:marRight w:val="0"/>
      <w:marTop w:val="0"/>
      <w:marBottom w:val="0"/>
      <w:divBdr>
        <w:top w:val="none" w:sz="0" w:space="0" w:color="auto"/>
        <w:left w:val="none" w:sz="0" w:space="0" w:color="auto"/>
        <w:bottom w:val="none" w:sz="0" w:space="0" w:color="auto"/>
        <w:right w:val="none" w:sz="0" w:space="0" w:color="auto"/>
      </w:divBdr>
    </w:div>
    <w:div w:id="402995051">
      <w:bodyDiv w:val="1"/>
      <w:marLeft w:val="0"/>
      <w:marRight w:val="0"/>
      <w:marTop w:val="0"/>
      <w:marBottom w:val="0"/>
      <w:divBdr>
        <w:top w:val="none" w:sz="0" w:space="0" w:color="auto"/>
        <w:left w:val="none" w:sz="0" w:space="0" w:color="auto"/>
        <w:bottom w:val="none" w:sz="0" w:space="0" w:color="auto"/>
        <w:right w:val="none" w:sz="0" w:space="0" w:color="auto"/>
      </w:divBdr>
    </w:div>
    <w:div w:id="409740758">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9347561">
      <w:bodyDiv w:val="1"/>
      <w:marLeft w:val="0"/>
      <w:marRight w:val="0"/>
      <w:marTop w:val="0"/>
      <w:marBottom w:val="0"/>
      <w:divBdr>
        <w:top w:val="none" w:sz="0" w:space="0" w:color="auto"/>
        <w:left w:val="none" w:sz="0" w:space="0" w:color="auto"/>
        <w:bottom w:val="none" w:sz="0" w:space="0" w:color="auto"/>
        <w:right w:val="none" w:sz="0" w:space="0" w:color="auto"/>
      </w:divBdr>
    </w:div>
    <w:div w:id="557933631">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65266976">
      <w:bodyDiv w:val="1"/>
      <w:marLeft w:val="0"/>
      <w:marRight w:val="0"/>
      <w:marTop w:val="0"/>
      <w:marBottom w:val="0"/>
      <w:divBdr>
        <w:top w:val="none" w:sz="0" w:space="0" w:color="auto"/>
        <w:left w:val="none" w:sz="0" w:space="0" w:color="auto"/>
        <w:bottom w:val="none" w:sz="0" w:space="0" w:color="auto"/>
        <w:right w:val="none" w:sz="0" w:space="0" w:color="auto"/>
      </w:divBdr>
    </w:div>
    <w:div w:id="575285375">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83897408">
      <w:bodyDiv w:val="1"/>
      <w:marLeft w:val="0"/>
      <w:marRight w:val="0"/>
      <w:marTop w:val="0"/>
      <w:marBottom w:val="0"/>
      <w:divBdr>
        <w:top w:val="none" w:sz="0" w:space="0" w:color="auto"/>
        <w:left w:val="none" w:sz="0" w:space="0" w:color="auto"/>
        <w:bottom w:val="none" w:sz="0" w:space="0" w:color="auto"/>
        <w:right w:val="none" w:sz="0" w:space="0" w:color="auto"/>
      </w:divBdr>
    </w:div>
    <w:div w:id="713314431">
      <w:bodyDiv w:val="1"/>
      <w:marLeft w:val="0"/>
      <w:marRight w:val="0"/>
      <w:marTop w:val="0"/>
      <w:marBottom w:val="0"/>
      <w:divBdr>
        <w:top w:val="none" w:sz="0" w:space="0" w:color="auto"/>
        <w:left w:val="none" w:sz="0" w:space="0" w:color="auto"/>
        <w:bottom w:val="none" w:sz="0" w:space="0" w:color="auto"/>
        <w:right w:val="none" w:sz="0" w:space="0" w:color="auto"/>
      </w:divBdr>
    </w:div>
    <w:div w:id="719330013">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49023346">
      <w:bodyDiv w:val="1"/>
      <w:marLeft w:val="0"/>
      <w:marRight w:val="0"/>
      <w:marTop w:val="0"/>
      <w:marBottom w:val="0"/>
      <w:divBdr>
        <w:top w:val="none" w:sz="0" w:space="0" w:color="auto"/>
        <w:left w:val="none" w:sz="0" w:space="0" w:color="auto"/>
        <w:bottom w:val="none" w:sz="0" w:space="0" w:color="auto"/>
        <w:right w:val="none" w:sz="0" w:space="0" w:color="auto"/>
      </w:divBdr>
    </w:div>
    <w:div w:id="853957699">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61210385">
      <w:bodyDiv w:val="1"/>
      <w:marLeft w:val="0"/>
      <w:marRight w:val="0"/>
      <w:marTop w:val="0"/>
      <w:marBottom w:val="0"/>
      <w:divBdr>
        <w:top w:val="none" w:sz="0" w:space="0" w:color="auto"/>
        <w:left w:val="none" w:sz="0" w:space="0" w:color="auto"/>
        <w:bottom w:val="none" w:sz="0" w:space="0" w:color="auto"/>
        <w:right w:val="none" w:sz="0" w:space="0" w:color="auto"/>
      </w:divBdr>
    </w:div>
    <w:div w:id="889417693">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66736582">
      <w:bodyDiv w:val="1"/>
      <w:marLeft w:val="0"/>
      <w:marRight w:val="0"/>
      <w:marTop w:val="0"/>
      <w:marBottom w:val="0"/>
      <w:divBdr>
        <w:top w:val="none" w:sz="0" w:space="0" w:color="auto"/>
        <w:left w:val="none" w:sz="0" w:space="0" w:color="auto"/>
        <w:bottom w:val="none" w:sz="0" w:space="0" w:color="auto"/>
        <w:right w:val="none" w:sz="0" w:space="0" w:color="auto"/>
      </w:divBdr>
    </w:div>
    <w:div w:id="986278135">
      <w:bodyDiv w:val="1"/>
      <w:marLeft w:val="0"/>
      <w:marRight w:val="0"/>
      <w:marTop w:val="0"/>
      <w:marBottom w:val="0"/>
      <w:divBdr>
        <w:top w:val="none" w:sz="0" w:space="0" w:color="auto"/>
        <w:left w:val="none" w:sz="0" w:space="0" w:color="auto"/>
        <w:bottom w:val="none" w:sz="0" w:space="0" w:color="auto"/>
        <w:right w:val="none" w:sz="0" w:space="0" w:color="auto"/>
      </w:divBdr>
    </w:div>
    <w:div w:id="990869229">
      <w:bodyDiv w:val="1"/>
      <w:marLeft w:val="0"/>
      <w:marRight w:val="0"/>
      <w:marTop w:val="0"/>
      <w:marBottom w:val="0"/>
      <w:divBdr>
        <w:top w:val="none" w:sz="0" w:space="0" w:color="auto"/>
        <w:left w:val="none" w:sz="0" w:space="0" w:color="auto"/>
        <w:bottom w:val="none" w:sz="0" w:space="0" w:color="auto"/>
        <w:right w:val="none" w:sz="0" w:space="0" w:color="auto"/>
      </w:divBdr>
    </w:div>
    <w:div w:id="1018191430">
      <w:bodyDiv w:val="1"/>
      <w:marLeft w:val="0"/>
      <w:marRight w:val="0"/>
      <w:marTop w:val="0"/>
      <w:marBottom w:val="0"/>
      <w:divBdr>
        <w:top w:val="none" w:sz="0" w:space="0" w:color="auto"/>
        <w:left w:val="none" w:sz="0" w:space="0" w:color="auto"/>
        <w:bottom w:val="none" w:sz="0" w:space="0" w:color="auto"/>
        <w:right w:val="none" w:sz="0" w:space="0" w:color="auto"/>
      </w:divBdr>
    </w:div>
    <w:div w:id="1029453037">
      <w:bodyDiv w:val="1"/>
      <w:marLeft w:val="0"/>
      <w:marRight w:val="0"/>
      <w:marTop w:val="0"/>
      <w:marBottom w:val="0"/>
      <w:divBdr>
        <w:top w:val="none" w:sz="0" w:space="0" w:color="auto"/>
        <w:left w:val="none" w:sz="0" w:space="0" w:color="auto"/>
        <w:bottom w:val="none" w:sz="0" w:space="0" w:color="auto"/>
        <w:right w:val="none" w:sz="0" w:space="0" w:color="auto"/>
      </w:divBdr>
    </w:div>
    <w:div w:id="103743502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2820915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35698533">
      <w:bodyDiv w:val="1"/>
      <w:marLeft w:val="0"/>
      <w:marRight w:val="0"/>
      <w:marTop w:val="0"/>
      <w:marBottom w:val="0"/>
      <w:divBdr>
        <w:top w:val="none" w:sz="0" w:space="0" w:color="auto"/>
        <w:left w:val="none" w:sz="0" w:space="0" w:color="auto"/>
        <w:bottom w:val="none" w:sz="0" w:space="0" w:color="auto"/>
        <w:right w:val="none" w:sz="0" w:space="0" w:color="auto"/>
      </w:divBdr>
    </w:div>
    <w:div w:id="1237327269">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54508138">
      <w:bodyDiv w:val="1"/>
      <w:marLeft w:val="0"/>
      <w:marRight w:val="0"/>
      <w:marTop w:val="0"/>
      <w:marBottom w:val="0"/>
      <w:divBdr>
        <w:top w:val="none" w:sz="0" w:space="0" w:color="auto"/>
        <w:left w:val="none" w:sz="0" w:space="0" w:color="auto"/>
        <w:bottom w:val="none" w:sz="0" w:space="0" w:color="auto"/>
        <w:right w:val="none" w:sz="0" w:space="0" w:color="auto"/>
      </w:divBdr>
    </w:div>
    <w:div w:id="1297834890">
      <w:bodyDiv w:val="1"/>
      <w:marLeft w:val="0"/>
      <w:marRight w:val="0"/>
      <w:marTop w:val="0"/>
      <w:marBottom w:val="0"/>
      <w:divBdr>
        <w:top w:val="none" w:sz="0" w:space="0" w:color="auto"/>
        <w:left w:val="none" w:sz="0" w:space="0" w:color="auto"/>
        <w:bottom w:val="none" w:sz="0" w:space="0" w:color="auto"/>
        <w:right w:val="none" w:sz="0" w:space="0" w:color="auto"/>
      </w:divBdr>
    </w:div>
    <w:div w:id="1343895404">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47313165">
      <w:bodyDiv w:val="1"/>
      <w:marLeft w:val="0"/>
      <w:marRight w:val="0"/>
      <w:marTop w:val="0"/>
      <w:marBottom w:val="0"/>
      <w:divBdr>
        <w:top w:val="none" w:sz="0" w:space="0" w:color="auto"/>
        <w:left w:val="none" w:sz="0" w:space="0" w:color="auto"/>
        <w:bottom w:val="none" w:sz="0" w:space="0" w:color="auto"/>
        <w:right w:val="none" w:sz="0" w:space="0" w:color="auto"/>
      </w:divBdr>
    </w:div>
    <w:div w:id="1511486011">
      <w:bodyDiv w:val="1"/>
      <w:marLeft w:val="0"/>
      <w:marRight w:val="0"/>
      <w:marTop w:val="0"/>
      <w:marBottom w:val="0"/>
      <w:divBdr>
        <w:top w:val="none" w:sz="0" w:space="0" w:color="auto"/>
        <w:left w:val="none" w:sz="0" w:space="0" w:color="auto"/>
        <w:bottom w:val="none" w:sz="0" w:space="0" w:color="auto"/>
        <w:right w:val="none" w:sz="0" w:space="0" w:color="auto"/>
      </w:divBdr>
    </w:div>
    <w:div w:id="1516458691">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9169998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44506007">
      <w:bodyDiv w:val="1"/>
      <w:marLeft w:val="0"/>
      <w:marRight w:val="0"/>
      <w:marTop w:val="0"/>
      <w:marBottom w:val="0"/>
      <w:divBdr>
        <w:top w:val="none" w:sz="0" w:space="0" w:color="auto"/>
        <w:left w:val="none" w:sz="0" w:space="0" w:color="auto"/>
        <w:bottom w:val="none" w:sz="0" w:space="0" w:color="auto"/>
        <w:right w:val="none" w:sz="0" w:space="0" w:color="auto"/>
      </w:divBdr>
    </w:div>
    <w:div w:id="1661420678">
      <w:bodyDiv w:val="1"/>
      <w:marLeft w:val="0"/>
      <w:marRight w:val="0"/>
      <w:marTop w:val="0"/>
      <w:marBottom w:val="0"/>
      <w:divBdr>
        <w:top w:val="none" w:sz="0" w:space="0" w:color="auto"/>
        <w:left w:val="none" w:sz="0" w:space="0" w:color="auto"/>
        <w:bottom w:val="none" w:sz="0" w:space="0" w:color="auto"/>
        <w:right w:val="none" w:sz="0" w:space="0" w:color="auto"/>
      </w:divBdr>
    </w:div>
    <w:div w:id="1665938842">
      <w:bodyDiv w:val="1"/>
      <w:marLeft w:val="0"/>
      <w:marRight w:val="0"/>
      <w:marTop w:val="0"/>
      <w:marBottom w:val="0"/>
      <w:divBdr>
        <w:top w:val="none" w:sz="0" w:space="0" w:color="auto"/>
        <w:left w:val="none" w:sz="0" w:space="0" w:color="auto"/>
        <w:bottom w:val="none" w:sz="0" w:space="0" w:color="auto"/>
        <w:right w:val="none" w:sz="0" w:space="0" w:color="auto"/>
      </w:divBdr>
    </w:div>
    <w:div w:id="1680621165">
      <w:bodyDiv w:val="1"/>
      <w:marLeft w:val="0"/>
      <w:marRight w:val="0"/>
      <w:marTop w:val="0"/>
      <w:marBottom w:val="0"/>
      <w:divBdr>
        <w:top w:val="none" w:sz="0" w:space="0" w:color="auto"/>
        <w:left w:val="none" w:sz="0" w:space="0" w:color="auto"/>
        <w:bottom w:val="none" w:sz="0" w:space="0" w:color="auto"/>
        <w:right w:val="none" w:sz="0" w:space="0" w:color="auto"/>
      </w:divBdr>
    </w:div>
    <w:div w:id="1693218574">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0472931">
      <w:bodyDiv w:val="1"/>
      <w:marLeft w:val="0"/>
      <w:marRight w:val="0"/>
      <w:marTop w:val="0"/>
      <w:marBottom w:val="0"/>
      <w:divBdr>
        <w:top w:val="none" w:sz="0" w:space="0" w:color="auto"/>
        <w:left w:val="none" w:sz="0" w:space="0" w:color="auto"/>
        <w:bottom w:val="none" w:sz="0" w:space="0" w:color="auto"/>
        <w:right w:val="none" w:sz="0" w:space="0" w:color="auto"/>
      </w:divBdr>
    </w:div>
    <w:div w:id="1746758713">
      <w:bodyDiv w:val="1"/>
      <w:marLeft w:val="0"/>
      <w:marRight w:val="0"/>
      <w:marTop w:val="0"/>
      <w:marBottom w:val="0"/>
      <w:divBdr>
        <w:top w:val="none" w:sz="0" w:space="0" w:color="auto"/>
        <w:left w:val="none" w:sz="0" w:space="0" w:color="auto"/>
        <w:bottom w:val="none" w:sz="0" w:space="0" w:color="auto"/>
        <w:right w:val="none" w:sz="0" w:space="0" w:color="auto"/>
      </w:divBdr>
    </w:div>
    <w:div w:id="1765304529">
      <w:bodyDiv w:val="1"/>
      <w:marLeft w:val="0"/>
      <w:marRight w:val="0"/>
      <w:marTop w:val="0"/>
      <w:marBottom w:val="0"/>
      <w:divBdr>
        <w:top w:val="none" w:sz="0" w:space="0" w:color="auto"/>
        <w:left w:val="none" w:sz="0" w:space="0" w:color="auto"/>
        <w:bottom w:val="none" w:sz="0" w:space="0" w:color="auto"/>
        <w:right w:val="none" w:sz="0" w:space="0" w:color="auto"/>
      </w:divBdr>
    </w:div>
    <w:div w:id="1765497389">
      <w:bodyDiv w:val="1"/>
      <w:marLeft w:val="0"/>
      <w:marRight w:val="0"/>
      <w:marTop w:val="0"/>
      <w:marBottom w:val="0"/>
      <w:divBdr>
        <w:top w:val="none" w:sz="0" w:space="0" w:color="auto"/>
        <w:left w:val="none" w:sz="0" w:space="0" w:color="auto"/>
        <w:bottom w:val="none" w:sz="0" w:space="0" w:color="auto"/>
        <w:right w:val="none" w:sz="0" w:space="0" w:color="auto"/>
      </w:divBdr>
    </w:div>
    <w:div w:id="1768690471">
      <w:bodyDiv w:val="1"/>
      <w:marLeft w:val="0"/>
      <w:marRight w:val="0"/>
      <w:marTop w:val="0"/>
      <w:marBottom w:val="0"/>
      <w:divBdr>
        <w:top w:val="none" w:sz="0" w:space="0" w:color="auto"/>
        <w:left w:val="none" w:sz="0" w:space="0" w:color="auto"/>
        <w:bottom w:val="none" w:sz="0" w:space="0" w:color="auto"/>
        <w:right w:val="none" w:sz="0" w:space="0" w:color="auto"/>
      </w:divBdr>
    </w:div>
    <w:div w:id="1782408705">
      <w:bodyDiv w:val="1"/>
      <w:marLeft w:val="0"/>
      <w:marRight w:val="0"/>
      <w:marTop w:val="0"/>
      <w:marBottom w:val="0"/>
      <w:divBdr>
        <w:top w:val="none" w:sz="0" w:space="0" w:color="auto"/>
        <w:left w:val="none" w:sz="0" w:space="0" w:color="auto"/>
        <w:bottom w:val="none" w:sz="0" w:space="0" w:color="auto"/>
        <w:right w:val="none" w:sz="0" w:space="0" w:color="auto"/>
      </w:divBdr>
    </w:div>
    <w:div w:id="1798528245">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40609410">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06404892">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0261423">
      <w:bodyDiv w:val="1"/>
      <w:marLeft w:val="0"/>
      <w:marRight w:val="0"/>
      <w:marTop w:val="0"/>
      <w:marBottom w:val="0"/>
      <w:divBdr>
        <w:top w:val="none" w:sz="0" w:space="0" w:color="auto"/>
        <w:left w:val="none" w:sz="0" w:space="0" w:color="auto"/>
        <w:bottom w:val="none" w:sz="0" w:space="0" w:color="auto"/>
        <w:right w:val="none" w:sz="0" w:space="0" w:color="auto"/>
      </w:divBdr>
    </w:div>
    <w:div w:id="1945456924">
      <w:bodyDiv w:val="1"/>
      <w:marLeft w:val="0"/>
      <w:marRight w:val="0"/>
      <w:marTop w:val="0"/>
      <w:marBottom w:val="0"/>
      <w:divBdr>
        <w:top w:val="none" w:sz="0" w:space="0" w:color="auto"/>
        <w:left w:val="none" w:sz="0" w:space="0" w:color="auto"/>
        <w:bottom w:val="none" w:sz="0" w:space="0" w:color="auto"/>
        <w:right w:val="none" w:sz="0" w:space="0" w:color="auto"/>
      </w:divBdr>
    </w:div>
    <w:div w:id="1962418480">
      <w:bodyDiv w:val="1"/>
      <w:marLeft w:val="0"/>
      <w:marRight w:val="0"/>
      <w:marTop w:val="0"/>
      <w:marBottom w:val="0"/>
      <w:divBdr>
        <w:top w:val="none" w:sz="0" w:space="0" w:color="auto"/>
        <w:left w:val="none" w:sz="0" w:space="0" w:color="auto"/>
        <w:bottom w:val="none" w:sz="0" w:space="0" w:color="auto"/>
        <w:right w:val="none" w:sz="0" w:space="0" w:color="auto"/>
      </w:divBdr>
    </w:div>
    <w:div w:id="1977293318">
      <w:bodyDiv w:val="1"/>
      <w:marLeft w:val="0"/>
      <w:marRight w:val="0"/>
      <w:marTop w:val="0"/>
      <w:marBottom w:val="0"/>
      <w:divBdr>
        <w:top w:val="none" w:sz="0" w:space="0" w:color="auto"/>
        <w:left w:val="none" w:sz="0" w:space="0" w:color="auto"/>
        <w:bottom w:val="none" w:sz="0" w:space="0" w:color="auto"/>
        <w:right w:val="none" w:sz="0" w:space="0" w:color="auto"/>
      </w:divBdr>
    </w:div>
    <w:div w:id="2006274563">
      <w:bodyDiv w:val="1"/>
      <w:marLeft w:val="0"/>
      <w:marRight w:val="0"/>
      <w:marTop w:val="0"/>
      <w:marBottom w:val="0"/>
      <w:divBdr>
        <w:top w:val="none" w:sz="0" w:space="0" w:color="auto"/>
        <w:left w:val="none" w:sz="0" w:space="0" w:color="auto"/>
        <w:bottom w:val="none" w:sz="0" w:space="0" w:color="auto"/>
        <w:right w:val="none" w:sz="0" w:space="0" w:color="auto"/>
      </w:divBdr>
    </w:div>
    <w:div w:id="2014143124">
      <w:bodyDiv w:val="1"/>
      <w:marLeft w:val="0"/>
      <w:marRight w:val="0"/>
      <w:marTop w:val="0"/>
      <w:marBottom w:val="0"/>
      <w:divBdr>
        <w:top w:val="none" w:sz="0" w:space="0" w:color="auto"/>
        <w:left w:val="none" w:sz="0" w:space="0" w:color="auto"/>
        <w:bottom w:val="none" w:sz="0" w:space="0" w:color="auto"/>
        <w:right w:val="none" w:sz="0" w:space="0" w:color="auto"/>
      </w:divBdr>
    </w:div>
    <w:div w:id="2029717860">
      <w:bodyDiv w:val="1"/>
      <w:marLeft w:val="0"/>
      <w:marRight w:val="0"/>
      <w:marTop w:val="0"/>
      <w:marBottom w:val="0"/>
      <w:divBdr>
        <w:top w:val="none" w:sz="0" w:space="0" w:color="auto"/>
        <w:left w:val="none" w:sz="0" w:space="0" w:color="auto"/>
        <w:bottom w:val="none" w:sz="0" w:space="0" w:color="auto"/>
        <w:right w:val="none" w:sz="0" w:space="0" w:color="auto"/>
      </w:divBdr>
    </w:div>
    <w:div w:id="2046250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2755057">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64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439</Value>
      <Value>103</Value>
      <Value>8</Value>
      <Value>890</Value>
    </TaxCatchAll>
    <_dlc_DocId xmlns="d0fb0f98-34f9-4d57-9559-eb8efd17aa5e">ESMA74-2134169708-7252</_dlc_DocId>
    <_dlc_DocIdUrl xmlns="d0fb0f98-34f9-4d57-9559-eb8efd17aa5e">
      <Url>https://securitiesandmarketsauth.sharepoint.com/sites/sherpa-trdu/_layouts/15/DocIdRedir.aspx?ID=ESMA74-2134169708-7252</Url>
      <Description>ESMA74-2134169708-7252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Transparency - CTP</TermName>
          <TermId xmlns="http://schemas.microsoft.com/office/infopath/2007/PartnerControls">ee68b67c-7bee-4716-8565-092a9e66d623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CTP - RTSs under MiFIR review</TermName>
          <TermId xmlns="http://schemas.microsoft.com/office/infopath/2007/PartnerControls">58086047-22d3-4d57-aa26-7b8a3827ba4d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4.xml><?xml version="1.0" encoding="utf-8"?>
<ds:datastoreItem xmlns:ds="http://schemas.openxmlformats.org/officeDocument/2006/customXml" ds:itemID="{8BEF7D98-7D2A-4B29-A181-BDBE4532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4640</Words>
  <Characters>26454</Characters>
  <Application>Microsoft Office Word</Application>
  <DocSecurity>8</DocSecurity>
  <Lines>220</Lines>
  <Paragraphs>62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31032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Kai Moritz</cp:lastModifiedBy>
  <cp:revision>2</cp:revision>
  <cp:lastPrinted>2015-02-18T11:01:00Z</cp:lastPrinted>
  <dcterms:created xsi:type="dcterms:W3CDTF">2024-08-28T11:56:00Z</dcterms:created>
  <dcterms:modified xsi:type="dcterms:W3CDTF">2024-08-28T11:56:00Z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