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2D7A"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9D6E99">
      <w:pPr>
        <w:pStyle w:val="ListParagraph"/>
        <w:numPr>
          <w:ilvl w:val="0"/>
          <w:numId w:val="39"/>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6A765A90" w:rsidR="00C2682A" w:rsidRPr="00104E00" w:rsidRDefault="00AD2225" w:rsidP="00104E00">
                <w:pPr>
                  <w:jc w:val="left"/>
                  <w:rPr>
                    <w:rStyle w:val="PlaceholderText"/>
                  </w:rPr>
                </w:pPr>
                <w:r>
                  <w:rPr>
                    <w:rStyle w:val="PlaceholderText"/>
                  </w:rPr>
                  <w:t>The APA and ARM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4768239"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D2225">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41CF68FC" w:rsidR="00C2682A" w:rsidRPr="00104E00" w:rsidRDefault="00AD222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52A7B0F" w:rsidR="00C2682A" w:rsidRPr="00104E00" w:rsidRDefault="00AD2225" w:rsidP="00104E00">
                <w:pPr>
                  <w:jc w:val="left"/>
                </w:pPr>
                <w:r>
                  <w:t>Europe</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694B3729" w14:textId="05D9F980" w:rsidR="00CC59BB" w:rsidRDefault="00CC59BB" w:rsidP="00C54034">
      <w:pPr>
        <w:spacing w:after="0"/>
      </w:pPr>
      <w:permStart w:id="124340805" w:edGrp="everyone"/>
      <w:r>
        <w:t>TYPE YOUR TEXT HERE</w:t>
      </w:r>
    </w:p>
    <w:permEnd w:id="124340805"/>
    <w:p w14:paraId="059016CF" w14:textId="5116EF23" w:rsidR="00CC59BB" w:rsidRDefault="00CC59BB" w:rsidP="00C54034">
      <w:pPr>
        <w:spacing w:after="0"/>
      </w:pPr>
      <w:r>
        <w:t>&lt;ESMA_QUESTION</w:t>
      </w:r>
      <w:r w:rsidR="00C05202">
        <w:t>_</w:t>
      </w:r>
      <w:r w:rsidR="006E2953">
        <w:t>CP2</w:t>
      </w:r>
      <w:r w:rsidR="00C05202">
        <w:t>_</w:t>
      </w:r>
      <w:r>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59A0405A" w14:textId="0A61B9B2" w:rsidR="00CC59BB" w:rsidRDefault="00CC59BB" w:rsidP="00C54034">
      <w:pPr>
        <w:spacing w:after="0"/>
      </w:pPr>
      <w:permStart w:id="1947404220" w:edGrp="everyone"/>
      <w:r>
        <w:t>TYPE YOUR TEXT HERE</w:t>
      </w:r>
    </w:p>
    <w:permEnd w:id="1947404220"/>
    <w:p w14:paraId="73D19FBF" w14:textId="76AC273A" w:rsidR="00CC59BB" w:rsidRDefault="00CC59BB" w:rsidP="00C54034">
      <w:pPr>
        <w:spacing w:after="0"/>
      </w:pPr>
      <w:r>
        <w:t>&lt;ESMA_QUESTION</w:t>
      </w:r>
      <w:r w:rsidR="00C05202">
        <w:t>_</w:t>
      </w:r>
      <w:r w:rsidR="006E2953">
        <w:t>CP2</w:t>
      </w:r>
      <w:r w:rsidR="00C05202">
        <w:t>_</w:t>
      </w:r>
      <w:r>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t>&lt;ESMA_QUESTION</w:t>
      </w:r>
      <w:r w:rsidR="00C05202">
        <w:t>_</w:t>
      </w:r>
      <w:r w:rsidR="006E2953">
        <w:t>CP2</w:t>
      </w:r>
      <w:r w:rsidR="00C05202">
        <w:t>_</w:t>
      </w:r>
      <w:r>
        <w:t>3&gt;</w:t>
      </w:r>
    </w:p>
    <w:p w14:paraId="0D2F37D3" w14:textId="77777777" w:rsidR="00CC59BB" w:rsidRDefault="00CC59BB" w:rsidP="00C54034">
      <w:pPr>
        <w:spacing w:after="0"/>
      </w:pPr>
      <w:permStart w:id="2005885194" w:edGrp="everyone"/>
      <w:r>
        <w:t>TYPE YOUR TEXT HERE</w:t>
      </w:r>
    </w:p>
    <w:permEnd w:id="2005885194"/>
    <w:p w14:paraId="677D639B" w14:textId="26CCC33A" w:rsidR="00CC59BB" w:rsidRDefault="00CC59BB" w:rsidP="00C54034">
      <w:pPr>
        <w:spacing w:after="0"/>
      </w:pPr>
      <w:r>
        <w:t>&lt;ESMA_QUESTION</w:t>
      </w:r>
      <w:r w:rsidR="00C05202">
        <w:t>_</w:t>
      </w:r>
      <w:r w:rsidR="006E2953">
        <w:t>CP2</w:t>
      </w:r>
      <w:r w:rsidR="00C05202">
        <w:t>_</w:t>
      </w:r>
      <w:r>
        <w:t>3&gt;</w:t>
      </w:r>
    </w:p>
    <w:p w14:paraId="506315DD" w14:textId="77777777" w:rsidR="00CC59BB" w:rsidRDefault="00CC59BB" w:rsidP="00F716D4"/>
    <w:p w14:paraId="044A8FFD" w14:textId="7B66A4B9" w:rsidR="00CC59BB" w:rsidRPr="00E20D5D" w:rsidRDefault="00AA4E12" w:rsidP="00AA4E12">
      <w:pPr>
        <w:rPr>
          <w:b/>
        </w:rPr>
      </w:pPr>
      <w:r w:rsidRPr="00E20D5D">
        <w:rPr>
          <w:b/>
        </w:rPr>
        <w:t xml:space="preserve">Q4: Do you consider that the proposed minimum requirements for the technical criteria related to performance are technically feasible, coherent with the objective of high-quality </w:t>
      </w:r>
      <w:r w:rsidRPr="00E20D5D">
        <w:rPr>
          <w:b/>
        </w:rPr>
        <w:lastRenderedPageBreak/>
        <w:t>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1FADBF45" w14:textId="77777777" w:rsidR="00AD2225" w:rsidRPr="00D01764" w:rsidRDefault="00AD2225" w:rsidP="00D45FC6">
      <w:pPr>
        <w:pStyle w:val="NoSpacing"/>
        <w:rPr>
          <w:rFonts w:ascii="Arial" w:hAnsi="Arial" w:cs="Arial"/>
          <w:color w:val="000000" w:themeColor="text1"/>
        </w:rPr>
      </w:pPr>
      <w:permStart w:id="1235513680" w:edGrp="everyone"/>
      <w:r w:rsidRPr="00D01764">
        <w:rPr>
          <w:rFonts w:ascii="Arial" w:hAnsi="Arial" w:cs="Arial"/>
          <w:color w:val="000000" w:themeColor="text1"/>
        </w:rPr>
        <w:t>The proposed minimum requirement contains requirements around speeds that will be hard to achieve and costly to implement. ESMA appears to be asking for speeds that are unnecessarily fast for the markets impacted. It is also unclear whether the proposed minimum requirements are for data contributors or for the CTP itself. In case the requirements are for data contributors, then the rationale is unclear for different sizes of data contributor being subject to the same requirements.</w:t>
      </w:r>
    </w:p>
    <w:p w14:paraId="678F71F6" w14:textId="77777777" w:rsidR="00AD2225" w:rsidRPr="00D01764" w:rsidRDefault="00AD2225" w:rsidP="00D45FC6">
      <w:pPr>
        <w:pStyle w:val="NoSpacing"/>
        <w:rPr>
          <w:rFonts w:ascii="Arial" w:hAnsi="Arial" w:cs="Arial"/>
          <w:bCs/>
          <w:color w:val="000000" w:themeColor="text1"/>
        </w:rPr>
      </w:pPr>
    </w:p>
    <w:p w14:paraId="0513D78B" w14:textId="77777777" w:rsidR="00AD2225" w:rsidRPr="00D01764" w:rsidRDefault="00AD2225" w:rsidP="00D45FC6">
      <w:pPr>
        <w:pStyle w:val="NoSpacing"/>
        <w:rPr>
          <w:rFonts w:ascii="Arial" w:hAnsi="Arial" w:cs="Arial"/>
          <w:bCs/>
          <w:color w:val="000000" w:themeColor="text1"/>
        </w:rPr>
      </w:pPr>
      <w:r w:rsidRPr="00D01764">
        <w:rPr>
          <w:rFonts w:ascii="Arial" w:hAnsi="Arial" w:cs="Arial"/>
          <w:bCs/>
          <w:color w:val="000000" w:themeColor="text1"/>
        </w:rPr>
        <w:t xml:space="preserve">APARMA would be interested to learn how these metrics will be measured and monitored. </w:t>
      </w:r>
    </w:p>
    <w:p w14:paraId="6540958F" w14:textId="77777777" w:rsidR="00AD2225" w:rsidRPr="00D01764" w:rsidRDefault="00AD2225" w:rsidP="00D45FC6">
      <w:pPr>
        <w:pStyle w:val="NoSpacing"/>
        <w:rPr>
          <w:rFonts w:ascii="Arial" w:hAnsi="Arial" w:cs="Arial"/>
          <w:bCs/>
          <w:color w:val="000000" w:themeColor="text1"/>
        </w:rPr>
      </w:pPr>
    </w:p>
    <w:p w14:paraId="0990975B" w14:textId="77777777" w:rsidR="00AD2225" w:rsidRDefault="00AD2225" w:rsidP="00C54034">
      <w:pPr>
        <w:spacing w:after="0"/>
        <w:rPr>
          <w:bCs/>
          <w:color w:val="000000" w:themeColor="text1"/>
          <w:szCs w:val="22"/>
        </w:rPr>
      </w:pPr>
      <w:r w:rsidRPr="00D01764">
        <w:rPr>
          <w:bCs/>
          <w:color w:val="000000" w:themeColor="text1"/>
          <w:szCs w:val="22"/>
        </w:rPr>
        <w:t>We note that the geographical location of both the CTP and each DC has bearing on these requirements and the ability to achieve and hence cost to adhere to them</w:t>
      </w:r>
      <w:r>
        <w:rPr>
          <w:bCs/>
          <w:color w:val="000000" w:themeColor="text1"/>
          <w:szCs w:val="22"/>
        </w:rPr>
        <w:t>.</w:t>
      </w:r>
    </w:p>
    <w:permEnd w:id="1235513680"/>
    <w:p w14:paraId="5645007D" w14:textId="7DB0FAC0" w:rsidR="00CC59BB" w:rsidRDefault="00CC59BB" w:rsidP="00C54034">
      <w:pPr>
        <w:spacing w:after="0"/>
      </w:pPr>
      <w:r>
        <w:t>&lt;ESMA_QUESTION</w:t>
      </w:r>
      <w:r w:rsidR="00C05202">
        <w:t>_</w:t>
      </w:r>
      <w:r w:rsidR="006E2953">
        <w:t>CP2</w:t>
      </w:r>
      <w:r w:rsidR="00C05202">
        <w:t>_</w:t>
      </w:r>
      <w:r>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t>&lt;ESMA_QUESTION</w:t>
      </w:r>
      <w:r w:rsidR="00C05202">
        <w:t>_</w:t>
      </w:r>
      <w:r w:rsidR="006E2953">
        <w:t>CP2</w:t>
      </w:r>
      <w:r w:rsidR="00C05202">
        <w:t>_</w:t>
      </w:r>
      <w:r>
        <w:t>5&gt;</w:t>
      </w:r>
    </w:p>
    <w:p w14:paraId="23D7346A" w14:textId="77777777" w:rsidR="00CC59BB" w:rsidRDefault="00CC59BB" w:rsidP="00C54034">
      <w:pPr>
        <w:spacing w:after="0"/>
      </w:pPr>
      <w:permStart w:id="864513806" w:edGrp="everyone"/>
      <w:r>
        <w:t>TYPE YOUR TEXT HERE</w:t>
      </w:r>
    </w:p>
    <w:permEnd w:id="864513806"/>
    <w:p w14:paraId="12028E38" w14:textId="20B71D4E" w:rsidR="00CC59BB" w:rsidRDefault="00CC59BB" w:rsidP="00C54034">
      <w:pPr>
        <w:spacing w:after="0"/>
      </w:pPr>
      <w:r>
        <w:t>&lt;ESMA_QUESTION</w:t>
      </w:r>
      <w:r w:rsidR="00C05202">
        <w:t>_</w:t>
      </w:r>
      <w:r w:rsidR="006E2953">
        <w:t>CP2</w:t>
      </w:r>
      <w:r w:rsidR="00C05202">
        <w:t>_</w:t>
      </w:r>
      <w:r>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2E916F10" w14:textId="77777777" w:rsidR="00CC59BB" w:rsidRDefault="00CC59BB" w:rsidP="00C54034">
      <w:pPr>
        <w:spacing w:after="0"/>
      </w:pPr>
      <w:permStart w:id="1293775397" w:edGrp="everyone"/>
      <w:r>
        <w:t>TYPE YOUR TEXT HERE</w:t>
      </w:r>
    </w:p>
    <w:permEnd w:id="1293775397"/>
    <w:p w14:paraId="1C5E841E" w14:textId="51E0718B" w:rsidR="00CC59BB" w:rsidRDefault="00CC59BB" w:rsidP="00C54034">
      <w:pPr>
        <w:spacing w:after="0"/>
      </w:pPr>
      <w:r>
        <w:t>&lt;ESMA_QUESTION</w:t>
      </w:r>
      <w:r w:rsidR="00C05202">
        <w:t>_</w:t>
      </w:r>
      <w:r w:rsidR="006E2953">
        <w:t>CP2</w:t>
      </w:r>
      <w:r w:rsidR="00C05202">
        <w:t>_</w:t>
      </w:r>
      <w:r>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t>&lt;ESMA_QUESTION</w:t>
      </w:r>
      <w:r w:rsidR="00C05202">
        <w:t>_</w:t>
      </w:r>
      <w:r w:rsidR="006E2953">
        <w:t>CP2</w:t>
      </w:r>
      <w:r w:rsidR="00C05202">
        <w:t>_</w:t>
      </w:r>
      <w:r>
        <w:t>7&gt;</w:t>
      </w:r>
    </w:p>
    <w:p w14:paraId="210AE453" w14:textId="77777777" w:rsidR="00CC59BB" w:rsidRDefault="00CC59BB" w:rsidP="00C54034">
      <w:pPr>
        <w:spacing w:after="0"/>
      </w:pPr>
      <w:permStart w:id="1076438526" w:edGrp="everyone"/>
      <w:r>
        <w:lastRenderedPageBreak/>
        <w:t>TYPE YOUR TEXT HERE</w:t>
      </w:r>
    </w:p>
    <w:permEnd w:id="1076438526"/>
    <w:p w14:paraId="39E613CD" w14:textId="7B25613C" w:rsidR="00CC59BB" w:rsidRDefault="00CC59BB" w:rsidP="00C54034">
      <w:pPr>
        <w:spacing w:after="0"/>
      </w:pPr>
      <w:r>
        <w:t>&lt;ESMA_QUESTION</w:t>
      </w:r>
      <w:r w:rsidR="00C05202">
        <w:t>_</w:t>
      </w:r>
      <w:r w:rsidR="006E2953">
        <w:t>CP2</w:t>
      </w:r>
      <w:r w:rsidR="00C05202">
        <w:t>_</w:t>
      </w:r>
      <w:r>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t>&lt;ESMA_QUESTION</w:t>
      </w:r>
      <w:r w:rsidR="00C05202">
        <w:t>_</w:t>
      </w:r>
      <w:r w:rsidR="006E2953">
        <w:t>CP2</w:t>
      </w:r>
      <w:r w:rsidR="00C05202">
        <w:t>_</w:t>
      </w:r>
      <w:r>
        <w:t>8&gt;</w:t>
      </w:r>
    </w:p>
    <w:p w14:paraId="2099B883" w14:textId="77777777" w:rsidR="00AD2225" w:rsidRPr="00D01764" w:rsidRDefault="00AD2225" w:rsidP="00D45FC6">
      <w:pPr>
        <w:pStyle w:val="NoSpacing"/>
        <w:rPr>
          <w:rFonts w:ascii="Arial" w:hAnsi="Arial" w:cs="Arial"/>
          <w:color w:val="000000" w:themeColor="text1"/>
        </w:rPr>
      </w:pPr>
      <w:permStart w:id="1516253385" w:edGrp="everyone"/>
      <w:r w:rsidRPr="00D01764">
        <w:rPr>
          <w:rFonts w:ascii="Arial" w:hAnsi="Arial" w:cs="Arial"/>
          <w:color w:val="000000" w:themeColor="text1"/>
        </w:rPr>
        <w:t>We believe the post-trade data transmission time should not start from ‘</w:t>
      </w:r>
      <w:r w:rsidRPr="00D01764">
        <w:rPr>
          <w:rFonts w:ascii="Arial" w:hAnsi="Arial" w:cs="Arial"/>
          <w:i/>
          <w:iCs/>
          <w:color w:val="000000" w:themeColor="text1"/>
        </w:rPr>
        <w:t>the timestamp of the order’ or ‘the timestamp of the execution’</w:t>
      </w:r>
      <w:r w:rsidRPr="00D01764">
        <w:rPr>
          <w:rFonts w:ascii="Arial" w:hAnsi="Arial" w:cs="Arial"/>
          <w:color w:val="000000" w:themeColor="text1"/>
        </w:rPr>
        <w:t xml:space="preserve"> set in Article 3 of the draft RTS on input and output data of CTPs. Considering the interaction time between investment firms and APAs, it would not be technically possible to fulfil the proposed speed. The wording in the draft RTS would mean a binding requirement on an APA that it cannot control.</w:t>
      </w:r>
    </w:p>
    <w:p w14:paraId="44482BCB" w14:textId="77777777" w:rsidR="00AD2225" w:rsidRPr="00D01764" w:rsidRDefault="00AD2225" w:rsidP="00D45FC6">
      <w:pPr>
        <w:pStyle w:val="NoSpacing"/>
        <w:rPr>
          <w:rFonts w:ascii="Arial" w:hAnsi="Arial" w:cs="Arial"/>
          <w:bCs/>
          <w:color w:val="000000" w:themeColor="text1"/>
        </w:rPr>
      </w:pPr>
    </w:p>
    <w:p w14:paraId="1FC4D90C" w14:textId="77777777" w:rsidR="00AD2225" w:rsidRPr="00D01764" w:rsidRDefault="00AD2225" w:rsidP="00D45FC6">
      <w:pPr>
        <w:pStyle w:val="NoSpacing"/>
        <w:rPr>
          <w:rFonts w:ascii="Arial" w:hAnsi="Arial" w:cs="Arial"/>
          <w:bCs/>
          <w:color w:val="000000" w:themeColor="text1"/>
        </w:rPr>
      </w:pPr>
      <w:r w:rsidRPr="00D01764">
        <w:rPr>
          <w:rFonts w:ascii="Arial" w:hAnsi="Arial" w:cs="Arial"/>
          <w:bCs/>
          <w:color w:val="000000" w:themeColor="text1"/>
        </w:rPr>
        <w:t>Additionally, business clocks of investment firms which are not DPEs, SIs and TV participants are not synced in accordance with Article 22c of MiFIR and the proposed RTS on clock synchronisation. Therefore, the currently proposed wording of ‘</w:t>
      </w:r>
      <w:r w:rsidRPr="00D01764">
        <w:rPr>
          <w:rFonts w:ascii="Arial" w:hAnsi="Arial" w:cs="Arial"/>
          <w:bCs/>
          <w:i/>
          <w:iCs/>
          <w:color w:val="000000" w:themeColor="text1"/>
        </w:rPr>
        <w:t>the timestamp of the order</w:t>
      </w:r>
      <w:r w:rsidRPr="00D01764">
        <w:rPr>
          <w:rFonts w:ascii="Arial" w:hAnsi="Arial" w:cs="Arial"/>
          <w:bCs/>
          <w:color w:val="000000" w:themeColor="text1"/>
        </w:rPr>
        <w:t>’ and ‘</w:t>
      </w:r>
      <w:r w:rsidRPr="00D01764">
        <w:rPr>
          <w:rFonts w:ascii="Arial" w:hAnsi="Arial" w:cs="Arial"/>
          <w:bCs/>
          <w:i/>
          <w:iCs/>
          <w:color w:val="000000" w:themeColor="text1"/>
        </w:rPr>
        <w:t>the timestamp of the execution</w:t>
      </w:r>
      <w:r w:rsidRPr="00D01764">
        <w:rPr>
          <w:rFonts w:ascii="Arial" w:hAnsi="Arial" w:cs="Arial"/>
          <w:bCs/>
          <w:color w:val="000000" w:themeColor="text1"/>
        </w:rPr>
        <w:t>’ will lead to different clocks to calculate the transmission speed of input data.</w:t>
      </w:r>
    </w:p>
    <w:p w14:paraId="5DC77414" w14:textId="77777777" w:rsidR="00AD2225" w:rsidRPr="00D01764" w:rsidRDefault="00AD2225" w:rsidP="00D45FC6">
      <w:pPr>
        <w:pStyle w:val="NoSpacing"/>
        <w:rPr>
          <w:rFonts w:ascii="Arial" w:hAnsi="Arial" w:cs="Arial"/>
          <w:bCs/>
          <w:color w:val="000000" w:themeColor="text1"/>
        </w:rPr>
      </w:pPr>
    </w:p>
    <w:p w14:paraId="47BD117C" w14:textId="77777777" w:rsidR="00AD2225" w:rsidRPr="00D01764" w:rsidRDefault="00AD2225" w:rsidP="00D45FC6">
      <w:pPr>
        <w:pStyle w:val="NoSpacing"/>
        <w:rPr>
          <w:rFonts w:ascii="Arial" w:hAnsi="Arial" w:cs="Arial"/>
          <w:bCs/>
          <w:color w:val="000000" w:themeColor="text1"/>
        </w:rPr>
      </w:pPr>
      <w:r w:rsidRPr="00D01764">
        <w:rPr>
          <w:rFonts w:ascii="Arial" w:hAnsi="Arial" w:cs="Arial"/>
          <w:bCs/>
          <w:color w:val="000000" w:themeColor="text1"/>
        </w:rPr>
        <w:t>We acknowledge that, in accordance with Article 22b(3)(c) and Article 22a(1) of MiFIR, ESMA is mandated to define ‘what constitutes the transmission of data [from data contributors to the data centre of the CTP] as close to real time as technically possible’, so we suggest not to use the execution timestamp.</w:t>
      </w:r>
    </w:p>
    <w:p w14:paraId="3B54A34E" w14:textId="77777777" w:rsidR="00AD2225" w:rsidRPr="00D01764" w:rsidRDefault="00AD2225" w:rsidP="00D45FC6">
      <w:pPr>
        <w:pStyle w:val="NoSpacing"/>
        <w:rPr>
          <w:rFonts w:ascii="Arial" w:hAnsi="Arial" w:cs="Arial"/>
          <w:bCs/>
          <w:color w:val="000000" w:themeColor="text1"/>
        </w:rPr>
      </w:pPr>
    </w:p>
    <w:p w14:paraId="274C89E6" w14:textId="56286FBC" w:rsidR="00AD2225" w:rsidRDefault="00AD2225" w:rsidP="00C54034">
      <w:pPr>
        <w:spacing w:after="0"/>
        <w:rPr>
          <w:bCs/>
          <w:color w:val="000000" w:themeColor="text1"/>
          <w:szCs w:val="22"/>
        </w:rPr>
      </w:pPr>
      <w:r w:rsidRPr="00D01764">
        <w:rPr>
          <w:bCs/>
          <w:color w:val="000000" w:themeColor="text1"/>
          <w:szCs w:val="22"/>
        </w:rPr>
        <w:t xml:space="preserve">Irrespective of start or end point in time, APARMA notes that 200ms is an </w:t>
      </w:r>
      <w:r w:rsidR="00B725EE">
        <w:rPr>
          <w:bCs/>
          <w:color w:val="000000" w:themeColor="text1"/>
          <w:szCs w:val="22"/>
        </w:rPr>
        <w:t>inappropriately fast</w:t>
      </w:r>
      <w:r w:rsidRPr="00D01764">
        <w:rPr>
          <w:bCs/>
          <w:color w:val="000000" w:themeColor="text1"/>
          <w:szCs w:val="22"/>
        </w:rPr>
        <w:t xml:space="preserve"> processing timing for </w:t>
      </w:r>
      <w:proofErr w:type="gramStart"/>
      <w:r w:rsidRPr="00D01764">
        <w:rPr>
          <w:bCs/>
          <w:color w:val="000000" w:themeColor="text1"/>
          <w:szCs w:val="22"/>
        </w:rPr>
        <w:t>Non-Equity</w:t>
      </w:r>
      <w:proofErr w:type="gramEnd"/>
      <w:r w:rsidRPr="00D01764">
        <w:rPr>
          <w:bCs/>
          <w:color w:val="000000" w:themeColor="text1"/>
          <w:szCs w:val="22"/>
        </w:rPr>
        <w:t xml:space="preserve"> markets</w:t>
      </w:r>
      <w:r>
        <w:rPr>
          <w:bCs/>
          <w:color w:val="000000" w:themeColor="text1"/>
          <w:szCs w:val="22"/>
        </w:rPr>
        <w:t>.</w:t>
      </w:r>
    </w:p>
    <w:permEnd w:id="1516253385"/>
    <w:p w14:paraId="5FBCB5E0" w14:textId="25A0DD0A" w:rsidR="00CC59BB" w:rsidRDefault="00CC59BB" w:rsidP="00C54034">
      <w:pPr>
        <w:spacing w:after="0"/>
      </w:pPr>
      <w:r>
        <w:t>&lt;ESMA_QUESTION</w:t>
      </w:r>
      <w:r w:rsidR="00C05202">
        <w:t>_</w:t>
      </w:r>
      <w:r w:rsidR="006E2953">
        <w:t>CP2</w:t>
      </w:r>
      <w:r w:rsidR="00C05202">
        <w:t>_</w:t>
      </w:r>
      <w:r>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794A64C8" w14:textId="77777777" w:rsidR="00AD2225" w:rsidRDefault="00AD2225" w:rsidP="00C54034">
      <w:pPr>
        <w:spacing w:after="0"/>
        <w:rPr>
          <w:color w:val="000000" w:themeColor="text1"/>
          <w:szCs w:val="22"/>
        </w:rPr>
      </w:pPr>
      <w:permStart w:id="869493798" w:edGrp="everyone"/>
      <w:r w:rsidRPr="00D01764">
        <w:rPr>
          <w:color w:val="000000" w:themeColor="text1"/>
          <w:szCs w:val="22"/>
        </w:rPr>
        <w:t>Considering that (</w:t>
      </w:r>
      <w:proofErr w:type="spellStart"/>
      <w:r w:rsidRPr="00D01764">
        <w:rPr>
          <w:color w:val="000000" w:themeColor="text1"/>
          <w:szCs w:val="22"/>
        </w:rPr>
        <w:t>i</w:t>
      </w:r>
      <w:proofErr w:type="spellEnd"/>
      <w:r w:rsidRPr="00D01764">
        <w:rPr>
          <w:color w:val="000000" w:themeColor="text1"/>
          <w:szCs w:val="22"/>
        </w:rPr>
        <w:t>) deferred publication is handled as a bulk update, which may squeeze all deferred data into the CTP input data together; and (ii) deferred publication is not so time sensitive anymore, we believe deferred data should only need to meet the current publication time deadline set in Article 14 of RTS 1 and Article 7 of RTS 2</w:t>
      </w:r>
      <w:r>
        <w:rPr>
          <w:color w:val="000000" w:themeColor="text1"/>
          <w:szCs w:val="22"/>
        </w:rPr>
        <w:t>.</w:t>
      </w:r>
    </w:p>
    <w:permEnd w:id="869493798"/>
    <w:p w14:paraId="1806692F" w14:textId="54486B54" w:rsidR="00CC59BB" w:rsidRDefault="00CC59BB" w:rsidP="00C54034">
      <w:pPr>
        <w:spacing w:after="0"/>
      </w:pPr>
      <w:r>
        <w:t>&lt;ESMA_QUESTION</w:t>
      </w:r>
      <w:r w:rsidR="00C05202">
        <w:t>_</w:t>
      </w:r>
      <w:r w:rsidR="006E2953">
        <w:t>CP2</w:t>
      </w:r>
      <w:r w:rsidR="00C05202">
        <w:t>_</w:t>
      </w:r>
      <w:r>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lastRenderedPageBreak/>
        <w:t>&lt;ESMA_QUESTION</w:t>
      </w:r>
      <w:r w:rsidR="00C05202">
        <w:t>_</w:t>
      </w:r>
      <w:r w:rsidR="006E2953">
        <w:t>CP2</w:t>
      </w:r>
      <w:r w:rsidR="00C05202">
        <w:t>_</w:t>
      </w:r>
      <w:r>
        <w:t>10&gt;</w:t>
      </w:r>
    </w:p>
    <w:p w14:paraId="5788F4E1" w14:textId="77777777" w:rsidR="00AD2225" w:rsidRPr="00D01764" w:rsidRDefault="00AD2225" w:rsidP="00D45FC6">
      <w:pPr>
        <w:pStyle w:val="NoSpacing"/>
        <w:rPr>
          <w:rFonts w:ascii="Arial" w:hAnsi="Arial" w:cs="Arial"/>
          <w:bCs/>
          <w:color w:val="000000" w:themeColor="text1"/>
        </w:rPr>
      </w:pPr>
      <w:permStart w:id="1673160559" w:edGrp="everyone"/>
      <w:r w:rsidRPr="00D01764">
        <w:rPr>
          <w:rFonts w:ascii="Arial" w:hAnsi="Arial" w:cs="Arial"/>
          <w:bCs/>
          <w:color w:val="000000" w:themeColor="text1"/>
        </w:rPr>
        <w:t xml:space="preserve">The ESMA Study on data formats and transmission protocols notes that JSON benefits from ISO 20022 adherence and well-established flexibility, however it “has a lower level of adoption in the context of market data feeds”. We note that this low level of adoption in the context of market data feeds means that protocols will need to be established and thoroughly tested to ensure reliability for data consumers. </w:t>
      </w:r>
    </w:p>
    <w:p w14:paraId="3C272ED6" w14:textId="77777777" w:rsidR="00AD2225" w:rsidRPr="00D01764" w:rsidRDefault="00AD2225" w:rsidP="00D45FC6">
      <w:pPr>
        <w:pStyle w:val="NoSpacing"/>
        <w:rPr>
          <w:rFonts w:ascii="Arial" w:hAnsi="Arial" w:cs="Arial"/>
          <w:bCs/>
          <w:color w:val="000000" w:themeColor="text1"/>
        </w:rPr>
      </w:pPr>
    </w:p>
    <w:p w14:paraId="463C8C14" w14:textId="2FB3F907" w:rsidR="00AD2225" w:rsidRPr="00D01764" w:rsidRDefault="00AD2225" w:rsidP="00AD2225">
      <w:pPr>
        <w:pStyle w:val="NoSpacing"/>
        <w:rPr>
          <w:rFonts w:ascii="Arial" w:hAnsi="Arial" w:cs="Arial"/>
          <w:bCs/>
          <w:color w:val="000000" w:themeColor="text1"/>
        </w:rPr>
      </w:pPr>
      <w:r w:rsidRPr="00D01764">
        <w:rPr>
          <w:rFonts w:ascii="Arial" w:hAnsi="Arial" w:cs="Arial"/>
          <w:bCs/>
          <w:color w:val="000000" w:themeColor="text1"/>
        </w:rPr>
        <w:t>By comparison, a well-adopted means of communication such as the FIX protocol benefits from many years of building and testing by market participants, which is reflected in its overall reliability. Building and developing systems which replicate this level of reliability will take significant time and investment from all market participants, and we currently do not see merit in switching to JSON.</w:t>
      </w:r>
    </w:p>
    <w:p w14:paraId="1BD6A7EB" w14:textId="77777777" w:rsidR="00AD2225" w:rsidRPr="00D01764" w:rsidRDefault="00AD2225" w:rsidP="00D45FC6">
      <w:pPr>
        <w:pStyle w:val="NoSpacing"/>
        <w:rPr>
          <w:rFonts w:ascii="Arial" w:hAnsi="Arial" w:cs="Arial"/>
          <w:bCs/>
          <w:color w:val="000000" w:themeColor="text1"/>
        </w:rPr>
      </w:pPr>
    </w:p>
    <w:p w14:paraId="305076D9" w14:textId="77777777" w:rsidR="00AD2225" w:rsidRDefault="00AD2225" w:rsidP="00C54034">
      <w:pPr>
        <w:spacing w:after="0"/>
        <w:rPr>
          <w:color w:val="000000" w:themeColor="text1"/>
          <w:szCs w:val="22"/>
        </w:rPr>
      </w:pPr>
      <w:r w:rsidRPr="00D01764">
        <w:rPr>
          <w:color w:val="000000" w:themeColor="text1"/>
          <w:szCs w:val="22"/>
        </w:rPr>
        <w:t>Whilst we appreciate ESMA’s support of innovation in the market, if ESMA decides to continue pursuing JSON for this purpose, the low current adoption of JSON for market data feeds should be considered when establishing timelines for implementation, in particular to allow for thorough industry testing. An extended period should also be considered during which ESMA receives the CTP data, but the data is not made public</w:t>
      </w:r>
      <w:r>
        <w:rPr>
          <w:color w:val="000000" w:themeColor="text1"/>
          <w:szCs w:val="22"/>
        </w:rPr>
        <w:t>.</w:t>
      </w:r>
    </w:p>
    <w:permEnd w:id="1673160559"/>
    <w:p w14:paraId="13F39FB3" w14:textId="5BD5B368" w:rsidR="00CC59BB" w:rsidRDefault="00CC59BB" w:rsidP="00C54034">
      <w:pPr>
        <w:spacing w:after="0"/>
      </w:pPr>
      <w:r>
        <w:t>&lt;ESMA_QUESTION</w:t>
      </w:r>
      <w:r w:rsidR="00C05202">
        <w:t>_</w:t>
      </w:r>
      <w:r w:rsidR="006E2953">
        <w:t>CP2</w:t>
      </w:r>
      <w:r w:rsidR="00C05202">
        <w:t>_</w:t>
      </w:r>
      <w:r>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709AF4D0" w14:textId="77777777" w:rsidR="00CC59BB" w:rsidRDefault="00CC59BB" w:rsidP="00C54034">
      <w:pPr>
        <w:spacing w:after="0"/>
      </w:pPr>
      <w:permStart w:id="1628839836" w:edGrp="everyone"/>
      <w:r>
        <w:t>TYPE YOUR TEXT HERE</w:t>
      </w:r>
    </w:p>
    <w:permEnd w:id="1628839836"/>
    <w:p w14:paraId="03AED2EA" w14:textId="66F5078E" w:rsidR="00CC59BB" w:rsidRDefault="00CC59BB" w:rsidP="00C54034">
      <w:pPr>
        <w:spacing w:after="0"/>
      </w:pPr>
      <w:r>
        <w:t>&lt;ESMA_QUESTION</w:t>
      </w:r>
      <w:r w:rsidR="00C05202">
        <w:t>_</w:t>
      </w:r>
      <w:r w:rsidR="006E2953">
        <w:t>CP2</w:t>
      </w:r>
      <w:r w:rsidR="00C05202">
        <w:t>_</w:t>
      </w:r>
      <w:r>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02B8F892" w14:textId="77777777" w:rsidR="00AD2225" w:rsidRDefault="00AD2225" w:rsidP="00C54034">
      <w:pPr>
        <w:spacing w:after="0"/>
        <w:rPr>
          <w:bCs/>
          <w:color w:val="000000" w:themeColor="text1"/>
          <w:szCs w:val="22"/>
        </w:rPr>
      </w:pPr>
      <w:permStart w:id="1550012690" w:edGrp="everyone"/>
      <w:r w:rsidRPr="00D01764">
        <w:rPr>
          <w:bCs/>
          <w:color w:val="000000" w:themeColor="text1"/>
          <w:szCs w:val="22"/>
        </w:rPr>
        <w:t>Yes, due to the multi-asset-class nature of APAs (as one of the key types of data contributors), it would be more efficient to adopt one single format across different asset classes. This will also result in a standardised format for data users who would normally like to consume market data from all 3 CTPs</w:t>
      </w:r>
      <w:r>
        <w:rPr>
          <w:bCs/>
          <w:color w:val="000000" w:themeColor="text1"/>
          <w:szCs w:val="22"/>
        </w:rPr>
        <w:t>.</w:t>
      </w:r>
    </w:p>
    <w:permEnd w:id="1550012690"/>
    <w:p w14:paraId="09660EE7" w14:textId="0892CC6C" w:rsidR="00CC59BB" w:rsidRDefault="00CC59BB" w:rsidP="00C54034">
      <w:pPr>
        <w:spacing w:after="0"/>
      </w:pPr>
      <w:r>
        <w:t>&lt;ESMA_QUESTION</w:t>
      </w:r>
      <w:r w:rsidR="00C05202">
        <w:t>_</w:t>
      </w:r>
      <w:r w:rsidR="006E2953">
        <w:t>CP2</w:t>
      </w:r>
      <w:r w:rsidR="00C05202">
        <w:t>_</w:t>
      </w:r>
      <w:r>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 xml:space="preserve">Q13: Do you support the proposals on core and regulatory data? In particular, are there other relevant fields to be added to the regulatory data? Furthermore, would you propose </w:t>
      </w:r>
      <w:r w:rsidRPr="00E20D5D">
        <w:rPr>
          <w:b/>
        </w:rPr>
        <w:lastRenderedPageBreak/>
        <w:t>the inclusion of supplementary fields for input core market data beyond those intended for dissemination by the CTP?</w:t>
      </w:r>
    </w:p>
    <w:p w14:paraId="7FBA2F1E" w14:textId="2C9A1BE5" w:rsidR="00CC59BB" w:rsidRDefault="00CC59BB" w:rsidP="00C54034">
      <w:pPr>
        <w:spacing w:after="0"/>
      </w:pPr>
      <w:r>
        <w:t>&lt;ESMA_QUESTION</w:t>
      </w:r>
      <w:r w:rsidR="00C05202">
        <w:t>_</w:t>
      </w:r>
      <w:r w:rsidR="006E2953">
        <w:t>CP2</w:t>
      </w:r>
      <w:r w:rsidR="00C05202">
        <w:t>_</w:t>
      </w:r>
      <w:r>
        <w:t>13&gt;</w:t>
      </w:r>
    </w:p>
    <w:p w14:paraId="24AE9925" w14:textId="77777777" w:rsidR="00CC59BB" w:rsidRDefault="00CC59BB" w:rsidP="00C54034">
      <w:pPr>
        <w:spacing w:after="0"/>
      </w:pPr>
      <w:permStart w:id="1951602752" w:edGrp="everyone"/>
      <w:r>
        <w:t>TYPE YOUR TEXT HERE</w:t>
      </w:r>
    </w:p>
    <w:permEnd w:id="1951602752"/>
    <w:p w14:paraId="5935F509" w14:textId="6A6CE2FE" w:rsidR="00CC59BB" w:rsidRDefault="00CC59BB" w:rsidP="00C54034">
      <w:pPr>
        <w:spacing w:after="0"/>
      </w:pPr>
      <w:r>
        <w:t>&lt;ESMA_QUESTION</w:t>
      </w:r>
      <w:r w:rsidR="00C05202">
        <w:t>_</w:t>
      </w:r>
      <w:r w:rsidR="006E2953">
        <w:t>CP2</w:t>
      </w:r>
      <w:r w:rsidR="00C05202">
        <w:t>_</w:t>
      </w:r>
      <w:r>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t>Q14: Do you support the proposal of machine-readable and human-readable formats outlined in this section?</w:t>
      </w:r>
    </w:p>
    <w:p w14:paraId="023D70D1" w14:textId="1D5E4A4B" w:rsidR="00CC59BB" w:rsidRDefault="00CC59BB" w:rsidP="00C54034">
      <w:pPr>
        <w:spacing w:after="0"/>
      </w:pPr>
      <w:r>
        <w:t>&lt;ESMA_QUESTION</w:t>
      </w:r>
      <w:r w:rsidR="00C05202">
        <w:t>_</w:t>
      </w:r>
      <w:r w:rsidR="006E2953">
        <w:t>CP2</w:t>
      </w:r>
      <w:r w:rsidR="00C05202">
        <w:t>_</w:t>
      </w:r>
      <w:r>
        <w:t>14&gt;</w:t>
      </w:r>
    </w:p>
    <w:p w14:paraId="3579A2E8" w14:textId="19449B4D" w:rsidR="00AD2225" w:rsidRDefault="00AD2225" w:rsidP="00C54034">
      <w:pPr>
        <w:spacing w:after="0"/>
        <w:rPr>
          <w:bCs/>
          <w:color w:val="000000" w:themeColor="text1"/>
          <w:szCs w:val="22"/>
        </w:rPr>
      </w:pPr>
      <w:permStart w:id="871322226" w:edGrp="everyone"/>
      <w:r w:rsidRPr="00D01764">
        <w:rPr>
          <w:bCs/>
          <w:color w:val="000000" w:themeColor="text1"/>
          <w:szCs w:val="22"/>
        </w:rPr>
        <w:t>We support the inclusion of provisions for both machine- and human-readability of CTP data on the understanding that a “Graphical User Interface” (GUI) is related to providing access to retail investors or academia.</w:t>
      </w:r>
      <w:r>
        <w:rPr>
          <w:bCs/>
          <w:color w:val="000000" w:themeColor="text1"/>
          <w:szCs w:val="22"/>
        </w:rPr>
        <w:t xml:space="preserve"> </w:t>
      </w:r>
      <w:r w:rsidRPr="00D01764">
        <w:rPr>
          <w:bCs/>
          <w:color w:val="000000" w:themeColor="text1"/>
          <w:szCs w:val="22"/>
        </w:rPr>
        <w:t>This GUI should consequently be limited to the audience for which it is required</w:t>
      </w:r>
      <w:r>
        <w:rPr>
          <w:bCs/>
          <w:color w:val="000000" w:themeColor="text1"/>
        </w:rPr>
        <w:t xml:space="preserve"> </w:t>
      </w:r>
      <w:r w:rsidRPr="00D01764">
        <w:rPr>
          <w:bCs/>
          <w:color w:val="000000" w:themeColor="text1"/>
          <w:szCs w:val="22"/>
        </w:rPr>
        <w:t>and limited to the dissemination of core and regulatory data in a simple tabular format</w:t>
      </w:r>
      <w:r>
        <w:rPr>
          <w:bCs/>
          <w:color w:val="000000" w:themeColor="text1"/>
          <w:szCs w:val="22"/>
        </w:rPr>
        <w:t>.</w:t>
      </w:r>
    </w:p>
    <w:permEnd w:id="871322226"/>
    <w:p w14:paraId="311B3E37" w14:textId="2E2DFE18" w:rsidR="00CC59BB" w:rsidRDefault="00CC59BB" w:rsidP="00C54034">
      <w:pPr>
        <w:spacing w:after="0"/>
      </w:pPr>
      <w:r>
        <w:t>&lt;ESMA_QUESTION</w:t>
      </w:r>
      <w:r w:rsidR="00C05202">
        <w:t>_</w:t>
      </w:r>
      <w:r w:rsidR="006E2953">
        <w:t>CP2</w:t>
      </w:r>
      <w:r w:rsidR="00C05202">
        <w:t>_</w:t>
      </w:r>
      <w:r>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7D9C132C" w14:textId="77777777" w:rsidR="00AD2225" w:rsidRPr="00D01764" w:rsidRDefault="00AD2225" w:rsidP="00D45FC6">
      <w:pPr>
        <w:spacing w:after="0" w:line="240" w:lineRule="auto"/>
        <w:rPr>
          <w:rFonts w:eastAsia="Times New Roman"/>
          <w:color w:val="000000" w:themeColor="text1"/>
          <w:szCs w:val="22"/>
          <w:lang w:eastAsia="en-GB"/>
        </w:rPr>
      </w:pPr>
      <w:permStart w:id="1530005966" w:edGrp="everyone"/>
      <w:r w:rsidRPr="00D01764">
        <w:rPr>
          <w:rFonts w:eastAsia="Times New Roman"/>
          <w:color w:val="000000" w:themeColor="text1"/>
          <w:szCs w:val="22"/>
          <w:lang w:eastAsia="en-GB"/>
        </w:rPr>
        <w:t>Any data quality measures introduced, whilst important to ensure the quality of the tape, should not result in any delays to the publication of data while the CTP is working with the data contributor to confirm the accuracy of the submission.</w:t>
      </w:r>
    </w:p>
    <w:p w14:paraId="67987957" w14:textId="77777777" w:rsidR="00AD2225" w:rsidRPr="00D01764" w:rsidRDefault="00AD2225" w:rsidP="00D45FC6">
      <w:pPr>
        <w:spacing w:after="0" w:line="240" w:lineRule="auto"/>
        <w:rPr>
          <w:rFonts w:eastAsia="Times New Roman"/>
          <w:color w:val="000000" w:themeColor="text1"/>
          <w:szCs w:val="22"/>
          <w:lang w:eastAsia="en-GB"/>
        </w:rPr>
      </w:pPr>
      <w:r w:rsidRPr="00D01764">
        <w:rPr>
          <w:rFonts w:eastAsia="Times New Roman"/>
          <w:color w:val="000000" w:themeColor="text1"/>
          <w:szCs w:val="22"/>
          <w:lang w:eastAsia="en-GB"/>
        </w:rPr>
        <w:t> </w:t>
      </w:r>
    </w:p>
    <w:p w14:paraId="5F73FE82" w14:textId="77777777" w:rsidR="00AD2225" w:rsidRPr="00D01764" w:rsidRDefault="00AD2225" w:rsidP="00D45FC6">
      <w:pPr>
        <w:spacing w:after="0" w:line="240" w:lineRule="auto"/>
        <w:rPr>
          <w:rFonts w:eastAsia="Times New Roman"/>
          <w:color w:val="000000" w:themeColor="text1"/>
          <w:szCs w:val="22"/>
          <w:lang w:eastAsia="en-GB"/>
        </w:rPr>
      </w:pPr>
      <w:r w:rsidRPr="00D01764">
        <w:rPr>
          <w:rFonts w:eastAsia="Times New Roman"/>
          <w:color w:val="000000" w:themeColor="text1"/>
          <w:szCs w:val="22"/>
          <w:lang w:eastAsia="en-GB"/>
        </w:rPr>
        <w:t>Data quality measures should be linked to revenue share arrangements in both Bonds &amp; Equities to support data quality after the CTP has recovered costs.</w:t>
      </w:r>
    </w:p>
    <w:p w14:paraId="7FF79D63" w14:textId="77777777" w:rsidR="00AD2225" w:rsidRPr="00D01764" w:rsidRDefault="00AD2225" w:rsidP="00D45FC6">
      <w:pPr>
        <w:pStyle w:val="NoSpacing"/>
        <w:rPr>
          <w:rFonts w:ascii="Arial" w:hAnsi="Arial" w:cs="Arial"/>
          <w:bCs/>
          <w:color w:val="000000" w:themeColor="text1"/>
        </w:rPr>
      </w:pPr>
    </w:p>
    <w:p w14:paraId="6A339EE0" w14:textId="77777777" w:rsidR="00AD2225" w:rsidRDefault="00AD2225" w:rsidP="001C43BE">
      <w:pPr>
        <w:spacing w:after="0"/>
        <w:rPr>
          <w:bCs/>
          <w:color w:val="000000" w:themeColor="text1"/>
          <w:szCs w:val="22"/>
        </w:rPr>
      </w:pPr>
      <w:r w:rsidRPr="00D01764">
        <w:rPr>
          <w:bCs/>
          <w:color w:val="000000" w:themeColor="text1"/>
          <w:szCs w:val="22"/>
        </w:rPr>
        <w:t>APAs, as significant data contributors to the CTP, warrant inclusion in a revenue share scheme, to compensate them for the valuable data that they provide to the CTP</w:t>
      </w:r>
      <w:r>
        <w:rPr>
          <w:bCs/>
          <w:color w:val="000000" w:themeColor="text1"/>
          <w:szCs w:val="22"/>
        </w:rPr>
        <w:t>.</w:t>
      </w:r>
    </w:p>
    <w:permEnd w:id="1530005966"/>
    <w:p w14:paraId="12073C61" w14:textId="108F72CB" w:rsidR="00B25E0D" w:rsidRDefault="00CC59BB" w:rsidP="001C43BE">
      <w:pPr>
        <w:spacing w:after="0"/>
      </w:pPr>
      <w:r>
        <w:t>&lt;ESMA_QUESTION</w:t>
      </w:r>
      <w:r w:rsidR="00C05202">
        <w:t>_</w:t>
      </w:r>
      <w:r w:rsidR="006E2953">
        <w:t>CP2</w:t>
      </w:r>
      <w:r w:rsidR="00C05202">
        <w:t>_</w:t>
      </w:r>
      <w:r>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2A5BAA1B" w14:textId="77777777" w:rsidR="00AD2225" w:rsidRDefault="00AD2225" w:rsidP="00C54034">
      <w:pPr>
        <w:spacing w:after="0"/>
        <w:rPr>
          <w:bCs/>
          <w:color w:val="000000" w:themeColor="text1"/>
          <w:szCs w:val="22"/>
        </w:rPr>
      </w:pPr>
      <w:permStart w:id="1731550419" w:edGrp="everyone"/>
      <w:r w:rsidRPr="00D01764">
        <w:rPr>
          <w:bCs/>
          <w:color w:val="000000" w:themeColor="text1"/>
          <w:szCs w:val="22"/>
        </w:rPr>
        <w:t>APARMA members would like to better understand what level of data quality measures will be published, recognising that data quality of data from APAs is a consequence of both the APA and its clients’ actions. For this reason, APARMA also recommends that individual contributor names are not disclosed in any public data or commentary on data quality. Further, APAs and their clients have a joint responsibility for timeliness, and it is important that the brand of the APA is protected from potential negative impact of issues that may be caused by its clients</w:t>
      </w:r>
      <w:r>
        <w:rPr>
          <w:bCs/>
          <w:color w:val="000000" w:themeColor="text1"/>
          <w:szCs w:val="22"/>
        </w:rPr>
        <w:t>.</w:t>
      </w:r>
    </w:p>
    <w:permEnd w:id="1731550419"/>
    <w:p w14:paraId="6C3E377C" w14:textId="482ABB2E" w:rsidR="00CC59BB" w:rsidRDefault="00CC59BB" w:rsidP="00C54034">
      <w:pPr>
        <w:spacing w:after="0"/>
      </w:pPr>
      <w:r>
        <w:lastRenderedPageBreak/>
        <w:t>&lt;ESMA_QUESTION</w:t>
      </w:r>
      <w:r w:rsidR="00C05202">
        <w:t>_</w:t>
      </w:r>
      <w:r w:rsidR="006E2953">
        <w:t>CP2</w:t>
      </w:r>
      <w:r w:rsidR="00C05202">
        <w:t>_</w:t>
      </w:r>
      <w:r>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78180F43" w14:textId="77777777" w:rsidR="00CC59BB" w:rsidRDefault="00CC59BB" w:rsidP="00C54034">
      <w:pPr>
        <w:spacing w:after="0"/>
      </w:pPr>
      <w:permStart w:id="1212295819" w:edGrp="everyone"/>
      <w:r>
        <w:t>TYPE YOUR TEXT HERE</w:t>
      </w:r>
    </w:p>
    <w:permEnd w:id="1212295819"/>
    <w:p w14:paraId="4E0E7539" w14:textId="40B25EA2"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t>&lt;ESMA_QUESTION</w:t>
      </w:r>
      <w:r w:rsidR="00C05202">
        <w:t>_</w:t>
      </w:r>
      <w:r w:rsidR="006E2953">
        <w:t>CP2</w:t>
      </w:r>
      <w:r w:rsidR="00C05202">
        <w:t>_</w:t>
      </w:r>
      <w:r>
        <w:t>18&gt;</w:t>
      </w:r>
    </w:p>
    <w:p w14:paraId="423A55B7" w14:textId="77777777" w:rsidR="00AD2225" w:rsidRDefault="00AD2225" w:rsidP="00C54034">
      <w:pPr>
        <w:spacing w:after="0"/>
        <w:rPr>
          <w:color w:val="000000" w:themeColor="text1"/>
          <w:szCs w:val="22"/>
        </w:rPr>
      </w:pPr>
      <w:permStart w:id="1367754514" w:edGrp="everyone"/>
      <w:r w:rsidRPr="00D01764">
        <w:rPr>
          <w:color w:val="000000" w:themeColor="text1"/>
          <w:szCs w:val="22"/>
        </w:rPr>
        <w:t>Given the importance APAs play to the entire reporting ecosystem and the volume of activity they collectively provide towards transparency, we believe they should be included in a revenue share and as such be recognised as part of such a group</w:t>
      </w:r>
      <w:r>
        <w:rPr>
          <w:color w:val="000000" w:themeColor="text1"/>
          <w:szCs w:val="22"/>
        </w:rPr>
        <w:t>.</w:t>
      </w:r>
    </w:p>
    <w:permEnd w:id="1367754514"/>
    <w:p w14:paraId="001B4014" w14:textId="312A6390"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77777777" w:rsidR="00CC59BB" w:rsidRDefault="00CC59BB" w:rsidP="00C54034">
      <w:pPr>
        <w:spacing w:after="0"/>
      </w:pPr>
      <w:permStart w:id="1244420503" w:edGrp="everyone"/>
      <w:r>
        <w:t>TYPE YOUR TEXT HERE</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t>&lt;ESMA_QUESTION</w:t>
      </w:r>
      <w:r w:rsidR="00C05202">
        <w:t>_</w:t>
      </w:r>
      <w:r w:rsidR="006E2953">
        <w:t>CP2</w:t>
      </w:r>
      <w:r w:rsidR="00C05202">
        <w:t>_</w:t>
      </w:r>
      <w:r>
        <w:t>20&gt;</w:t>
      </w:r>
    </w:p>
    <w:p w14:paraId="1EBE3E0A" w14:textId="77777777" w:rsidR="00CC59BB" w:rsidRDefault="00CC59BB" w:rsidP="00C54034">
      <w:pPr>
        <w:spacing w:after="0"/>
      </w:pPr>
      <w:permStart w:id="356003362" w:edGrp="everyone"/>
      <w:r>
        <w:t>TYPE YOUR TEXT HERE</w:t>
      </w:r>
    </w:p>
    <w:permEnd w:id="356003362"/>
    <w:p w14:paraId="035EB72A" w14:textId="6A34A691"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lastRenderedPageBreak/>
        <w:t>&lt;ESMA_QUESTION</w:t>
      </w:r>
      <w:r w:rsidR="00C05202">
        <w:t>_</w:t>
      </w:r>
      <w:r w:rsidR="006E2953">
        <w:t>CP2</w:t>
      </w:r>
      <w:r w:rsidR="00C05202">
        <w:t>_</w:t>
      </w:r>
      <w:r>
        <w:t>21&gt;</w:t>
      </w:r>
    </w:p>
    <w:p w14:paraId="224DD2F7" w14:textId="77777777" w:rsidR="00CC59BB" w:rsidRDefault="00CC59BB" w:rsidP="00C54034">
      <w:pPr>
        <w:spacing w:after="0"/>
      </w:pPr>
      <w:permStart w:id="780153713" w:edGrp="everyone"/>
      <w:r>
        <w:t>TYPE YOUR TEXT HERE</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77777777" w:rsidR="00CC59BB" w:rsidRDefault="00CC59BB" w:rsidP="00C54034">
      <w:pPr>
        <w:spacing w:after="0"/>
      </w:pPr>
      <w:permStart w:id="1310265670" w:edGrp="everyone"/>
      <w:r>
        <w:t>TYPE YOUR TEXT HERE</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18FF0F4B" w14:textId="77777777" w:rsidR="00CC59BB" w:rsidRDefault="00CC59BB" w:rsidP="00C54034">
      <w:pPr>
        <w:spacing w:after="0"/>
      </w:pPr>
      <w:permStart w:id="1711693936" w:edGrp="everyone"/>
      <w:r>
        <w:t>TYPE YOUR TEXT HERE</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2E4AEEE6" w14:textId="77777777" w:rsidR="00CC59BB" w:rsidRDefault="00CC59BB" w:rsidP="00C54034">
      <w:pPr>
        <w:spacing w:after="0"/>
      </w:pPr>
      <w:permStart w:id="1126446852" w:edGrp="everyone"/>
      <w:r>
        <w:t>TYPE YOUR TEXT HERE</w:t>
      </w:r>
    </w:p>
    <w:permEnd w:id="1126446852"/>
    <w:p w14:paraId="0BBBCBF8" w14:textId="582437E5" w:rsidR="00CC59BB" w:rsidRDefault="00CC59BB" w:rsidP="00C54034">
      <w:pPr>
        <w:spacing w:after="0"/>
      </w:pPr>
      <w:r>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3AD82592" w14:textId="77777777" w:rsidR="00AD2225" w:rsidRDefault="00AD2225" w:rsidP="00C54034">
      <w:pPr>
        <w:spacing w:after="0"/>
        <w:rPr>
          <w:color w:val="000000" w:themeColor="text1"/>
          <w:szCs w:val="22"/>
        </w:rPr>
      </w:pPr>
      <w:permStart w:id="1428125549" w:edGrp="everyone"/>
      <w:r w:rsidRPr="00D01764">
        <w:rPr>
          <w:color w:val="000000" w:themeColor="text1"/>
          <w:szCs w:val="22"/>
        </w:rPr>
        <w:t>Given the importance APAs play to the entire reporting ecosystem and the volume of activity they collectively provide towards transparency, we believe they should be included in revenue share and as such be recognised as part of such a group</w:t>
      </w:r>
      <w:r>
        <w:rPr>
          <w:color w:val="000000" w:themeColor="text1"/>
          <w:szCs w:val="22"/>
        </w:rPr>
        <w:t>.</w:t>
      </w:r>
    </w:p>
    <w:permEnd w:id="1428125549"/>
    <w:p w14:paraId="0CA5AACE" w14:textId="6047BADA"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0FF5B233" w14:textId="77777777" w:rsidR="00CC59BB" w:rsidRDefault="00CC59BB" w:rsidP="00C54034">
      <w:pPr>
        <w:spacing w:after="0"/>
      </w:pPr>
      <w:permStart w:id="1672500431" w:edGrp="everyone"/>
      <w:r>
        <w:lastRenderedPageBreak/>
        <w:t>TYPE YOUR TEXT HERE</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BF3CF14" w14:textId="77777777" w:rsidR="00A829A3" w:rsidRDefault="00A829A3" w:rsidP="00A829A3">
      <w:pPr>
        <w:spacing w:after="0"/>
      </w:pPr>
      <w:permStart w:id="837814293" w:edGrp="everyone"/>
      <w:r>
        <w:t>TYPE YOUR TEXT HERE</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73255A2B" w14:textId="77777777" w:rsidR="00AD2225" w:rsidRDefault="00AD2225" w:rsidP="00895D2F">
      <w:pPr>
        <w:spacing w:after="0"/>
        <w:rPr>
          <w:color w:val="000000" w:themeColor="text1"/>
          <w:szCs w:val="22"/>
        </w:rPr>
      </w:pPr>
      <w:permStart w:id="940985663" w:edGrp="everyone"/>
      <w:r w:rsidRPr="00D01764">
        <w:rPr>
          <w:color w:val="000000" w:themeColor="text1"/>
          <w:szCs w:val="22"/>
        </w:rPr>
        <w:t>We consider the proposals overly complex. The key objectives should focus on volume and data quality. This could be evolved over time and more sophisticated models applied but initially we suggest keeping to a simpler approach</w:t>
      </w:r>
      <w:r>
        <w:rPr>
          <w:color w:val="000000" w:themeColor="text1"/>
          <w:szCs w:val="22"/>
        </w:rPr>
        <w:t>.</w:t>
      </w:r>
    </w:p>
    <w:permEnd w:id="940985663"/>
    <w:p w14:paraId="5BC43205" w14:textId="63EC166E" w:rsidR="00895D2F" w:rsidRDefault="00895D2F" w:rsidP="00895D2F">
      <w:pPr>
        <w:spacing w:after="0"/>
      </w:pPr>
      <w:r>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77777777" w:rsidR="00B7075D" w:rsidRDefault="00B7075D" w:rsidP="00B7075D">
      <w:pPr>
        <w:spacing w:after="0"/>
      </w:pPr>
      <w:permStart w:id="597502729" w:edGrp="everyone"/>
      <w:r>
        <w:t>TYPE YOUR TEXT HERE</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4F686091" w14:textId="77777777" w:rsidR="00AD2225" w:rsidRDefault="00AD2225" w:rsidP="00317903">
      <w:pPr>
        <w:spacing w:after="0"/>
        <w:rPr>
          <w:color w:val="000000" w:themeColor="text1"/>
          <w:szCs w:val="22"/>
        </w:rPr>
      </w:pPr>
      <w:permStart w:id="482488026" w:edGrp="everyone"/>
      <w:r w:rsidRPr="00D01764">
        <w:rPr>
          <w:color w:val="000000" w:themeColor="text1"/>
          <w:szCs w:val="22"/>
        </w:rPr>
        <w:t>Given the importance APAs play to the entire reporting ecosystem and the volume of activity they collectively provide towards transparency, we believe they should be included in revenue share and as such be recognised as part of such a group</w:t>
      </w:r>
      <w:r>
        <w:rPr>
          <w:color w:val="000000" w:themeColor="text1"/>
          <w:szCs w:val="22"/>
        </w:rPr>
        <w:t>.</w:t>
      </w:r>
    </w:p>
    <w:permEnd w:id="482488026"/>
    <w:p w14:paraId="4C391F74" w14:textId="60B9B52D"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lastRenderedPageBreak/>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2FBEF06A" w14:textId="77777777" w:rsidR="00AD2225" w:rsidRPr="00D01764" w:rsidRDefault="00AD2225" w:rsidP="00D45FC6">
      <w:pPr>
        <w:pStyle w:val="NoSpacing"/>
        <w:rPr>
          <w:rFonts w:ascii="Arial" w:hAnsi="Arial" w:cs="Arial"/>
          <w:color w:val="000000" w:themeColor="text1"/>
          <w:kern w:val="0"/>
        </w:rPr>
      </w:pPr>
      <w:permStart w:id="807415494" w:edGrp="everyone"/>
      <w:r w:rsidRPr="00D01764">
        <w:rPr>
          <w:rFonts w:ascii="Arial" w:hAnsi="Arial" w:cs="Arial"/>
          <w:color w:val="000000" w:themeColor="text1"/>
          <w:kern w:val="0"/>
        </w:rPr>
        <w:t>We support the proposals as outlined in points 152 &amp; 153 of the CP. It is important that the data contributor has a defined process to appeal against any decisions.</w:t>
      </w:r>
    </w:p>
    <w:p w14:paraId="4B19CEAD" w14:textId="77777777" w:rsidR="00AD2225" w:rsidRPr="00D01764" w:rsidRDefault="00AD2225" w:rsidP="00D45FC6">
      <w:pPr>
        <w:pStyle w:val="NoSpacing"/>
        <w:rPr>
          <w:rFonts w:ascii="Arial" w:hAnsi="Arial" w:cs="Arial"/>
          <w:color w:val="000000" w:themeColor="text1"/>
          <w:kern w:val="0"/>
        </w:rPr>
      </w:pPr>
    </w:p>
    <w:p w14:paraId="20B7B2D4" w14:textId="354DF8D0" w:rsidR="00AD2225" w:rsidRDefault="00AD2225" w:rsidP="00EB4F95">
      <w:pPr>
        <w:spacing w:after="0"/>
        <w:rPr>
          <w:color w:val="000000" w:themeColor="text1"/>
          <w:szCs w:val="22"/>
        </w:rPr>
      </w:pPr>
      <w:r w:rsidRPr="00D01764">
        <w:rPr>
          <w:color w:val="000000" w:themeColor="text1"/>
          <w:szCs w:val="22"/>
        </w:rPr>
        <w:t>Given the importance APAs play to the entire reporting ecosystem and the volume of activity they collectively provide towards transparency, we believe they should be included in revenue share and as such be recognised as part of such a group</w:t>
      </w:r>
      <w:r>
        <w:rPr>
          <w:color w:val="000000" w:themeColor="text1"/>
          <w:szCs w:val="22"/>
        </w:rPr>
        <w:t>.</w:t>
      </w:r>
    </w:p>
    <w:permEnd w:id="807415494"/>
    <w:p w14:paraId="4012A386" w14:textId="33D8D6DD"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77777777" w:rsidR="00F02F7B" w:rsidRDefault="00F02F7B" w:rsidP="00F02F7B">
      <w:pPr>
        <w:spacing w:after="0"/>
      </w:pPr>
      <w:permStart w:id="1228743613" w:edGrp="everyone"/>
      <w:r>
        <w:t>TYPE YOUR TEXT HERE</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77777777" w:rsidR="00E5382D" w:rsidRDefault="00E5382D" w:rsidP="00E5382D">
      <w:pPr>
        <w:spacing w:after="0"/>
      </w:pPr>
      <w:permStart w:id="171330661" w:edGrp="everyone"/>
      <w:r>
        <w:t>TYPE YOUR TEXT HERE</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0D12829F" w14:textId="77777777" w:rsidR="00E96A69" w:rsidRDefault="00E96A69" w:rsidP="00E96A69">
      <w:pPr>
        <w:spacing w:after="0"/>
      </w:pPr>
      <w:permStart w:id="1032663094" w:edGrp="everyone"/>
      <w:r>
        <w:t>TYPE YOUR TEXT HERE</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lastRenderedPageBreak/>
        <w:t>&lt;ESMA_QUESTION_</w:t>
      </w:r>
      <w:r w:rsidR="006E2953">
        <w:t>CP2</w:t>
      </w:r>
      <w:r>
        <w:t>_35&gt;</w:t>
      </w:r>
    </w:p>
    <w:p w14:paraId="5117A9D8" w14:textId="77777777" w:rsidR="00B82001" w:rsidRDefault="00B82001" w:rsidP="00B82001">
      <w:pPr>
        <w:spacing w:after="0"/>
      </w:pPr>
      <w:permStart w:id="2095275527" w:edGrp="everyone"/>
      <w:r>
        <w:t>TYPE YOUR TEXT HERE</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CB74C34" w14:textId="77777777" w:rsidR="00837669" w:rsidRDefault="00837669" w:rsidP="00837669">
      <w:pPr>
        <w:spacing w:after="0"/>
      </w:pPr>
      <w:permStart w:id="1537430292" w:edGrp="everyone"/>
      <w:r>
        <w:t>TYPE YOUR TEXT HERE</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17FA20DB" w14:textId="77777777" w:rsidR="00AD2225" w:rsidRDefault="00AD2225" w:rsidP="0063150B">
      <w:pPr>
        <w:spacing w:after="0"/>
      </w:pPr>
      <w:permStart w:id="1752252469" w:edGrp="everyone"/>
      <w:r w:rsidRPr="00D01764">
        <w:rPr>
          <w:bCs/>
          <w:color w:val="000000" w:themeColor="text1"/>
          <w:szCs w:val="22"/>
        </w:rPr>
        <w:t xml:space="preserve">We refer to our </w:t>
      </w:r>
      <w:r w:rsidRPr="00D01764">
        <w:rPr>
          <w:color w:val="000000" w:themeColor="text1"/>
          <w:szCs w:val="22"/>
        </w:rPr>
        <w:t xml:space="preserve">response to </w:t>
      </w:r>
      <w:r w:rsidRPr="00D01764">
        <w:rPr>
          <w:bCs/>
          <w:color w:val="000000" w:themeColor="text1"/>
          <w:szCs w:val="22"/>
        </w:rPr>
        <w:t>CP2 Q8 earlier</w:t>
      </w:r>
      <w:r w:rsidRPr="00D01764">
        <w:rPr>
          <w:color w:val="000000" w:themeColor="text1"/>
          <w:szCs w:val="22"/>
        </w:rPr>
        <w:t>,</w:t>
      </w:r>
      <w:r w:rsidRPr="00D01764">
        <w:rPr>
          <w:bCs/>
          <w:color w:val="000000" w:themeColor="text1"/>
          <w:szCs w:val="22"/>
        </w:rPr>
        <w:t xml:space="preserve"> whereby some </w:t>
      </w:r>
      <w:r w:rsidRPr="00D01764">
        <w:rPr>
          <w:color w:val="000000" w:themeColor="text1"/>
          <w:szCs w:val="22"/>
        </w:rPr>
        <w:t>investment firms do not</w:t>
      </w:r>
      <w:r w:rsidRPr="00D01764">
        <w:rPr>
          <w:bCs/>
          <w:color w:val="000000" w:themeColor="text1"/>
          <w:szCs w:val="22"/>
        </w:rPr>
        <w:t xml:space="preserve"> need to follow the same clock synchronisation rules</w:t>
      </w:r>
      <w:r>
        <w:t xml:space="preserve"> .</w:t>
      </w:r>
    </w:p>
    <w:permEnd w:id="1752252469"/>
    <w:p w14:paraId="79054288" w14:textId="681C1262" w:rsidR="0063150B" w:rsidRDefault="0063150B" w:rsidP="0063150B">
      <w:pPr>
        <w:spacing w:after="0"/>
      </w:pPr>
      <w:r>
        <w:t>&lt;ESMA_QUESTION_</w:t>
      </w:r>
      <w:r w:rsidR="006E2953">
        <w:t>CP2</w:t>
      </w:r>
      <w:r>
        <w:t>_3</w:t>
      </w:r>
      <w:r w:rsidR="00FE03FD">
        <w:t>7</w:t>
      </w:r>
      <w:r>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t>&lt;ESMA_QUESTION_</w:t>
      </w:r>
      <w:r w:rsidR="006E2953">
        <w:t>CP2</w:t>
      </w:r>
      <w:r>
        <w:t>_3</w:t>
      </w:r>
      <w:r w:rsidR="00BA6665">
        <w:t>8</w:t>
      </w:r>
      <w:r>
        <w:t>&gt;</w:t>
      </w:r>
    </w:p>
    <w:p w14:paraId="73D26F2F" w14:textId="77777777" w:rsidR="00FE03FD" w:rsidRDefault="00FE03FD" w:rsidP="00FE03FD">
      <w:pPr>
        <w:spacing w:after="0"/>
      </w:pPr>
      <w:permStart w:id="1398626331" w:edGrp="everyone"/>
      <w:r>
        <w:t>TYPE YOUR TEXT HERE</w:t>
      </w:r>
    </w:p>
    <w:permEnd w:id="1398626331"/>
    <w:p w14:paraId="6B0045FF" w14:textId="6A2E5D4E" w:rsidR="00FE03FD" w:rsidRDefault="00FE03FD" w:rsidP="00FE03FD">
      <w:pPr>
        <w:spacing w:after="0"/>
      </w:pPr>
      <w:r>
        <w:t>&lt;ESMA_QUESTION_</w:t>
      </w:r>
      <w:r w:rsidR="006E2953">
        <w:t>CP2</w:t>
      </w:r>
      <w:r>
        <w:t>_3</w:t>
      </w:r>
      <w:r w:rsidR="00BA6665">
        <w:t>8</w:t>
      </w:r>
      <w:r>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0E2A678A" w14:textId="77777777" w:rsidR="0042075D" w:rsidRDefault="0042075D" w:rsidP="0042075D">
      <w:pPr>
        <w:spacing w:after="0"/>
      </w:pPr>
      <w:permStart w:id="1709841151" w:edGrp="everyone"/>
      <w:r>
        <w:t>TYPE YOUR TEXT HERE</w:t>
      </w:r>
    </w:p>
    <w:permEnd w:id="1709841151"/>
    <w:p w14:paraId="0BD2D23B" w14:textId="387D562C" w:rsidR="0042075D" w:rsidRDefault="0042075D" w:rsidP="0042075D">
      <w:pPr>
        <w:spacing w:after="0"/>
      </w:pPr>
      <w:r>
        <w:t>&lt;ESMA_QUESTION_</w:t>
      </w:r>
      <w:r w:rsidR="006E2953">
        <w:t>CP2</w:t>
      </w:r>
      <w:r>
        <w:t>_3</w:t>
      </w:r>
      <w:r w:rsidR="00DF7AB8">
        <w:t>9</w:t>
      </w:r>
      <w:r>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lastRenderedPageBreak/>
        <w:t>&lt;ESMA_QUESTION_</w:t>
      </w:r>
      <w:r w:rsidR="006E2953">
        <w:t>CP2</w:t>
      </w:r>
      <w:r>
        <w:t>_</w:t>
      </w:r>
      <w:r w:rsidR="00DF7AB8">
        <w:t>40</w:t>
      </w:r>
      <w:r>
        <w:t>&gt;</w:t>
      </w:r>
    </w:p>
    <w:p w14:paraId="20383A7A" w14:textId="77777777" w:rsidR="00C238DE" w:rsidRDefault="00C238DE" w:rsidP="00C238DE">
      <w:pPr>
        <w:spacing w:after="0"/>
      </w:pPr>
      <w:permStart w:id="869819836" w:edGrp="everyone"/>
      <w:r>
        <w:t>TYPE YOUR TEXT HERE</w:t>
      </w:r>
    </w:p>
    <w:permEnd w:id="869819836"/>
    <w:p w14:paraId="28281A3C" w14:textId="7906C1DF" w:rsidR="00C238DE" w:rsidRDefault="00C238DE" w:rsidP="00C238DE">
      <w:pPr>
        <w:spacing w:after="0"/>
      </w:pPr>
      <w:r>
        <w:t>&lt;ESMA_QUESTION_</w:t>
      </w:r>
      <w:r w:rsidR="006E2953">
        <w:t>CP2</w:t>
      </w:r>
      <w:r>
        <w:t>_</w:t>
      </w:r>
      <w:r w:rsidR="00DF7AB8">
        <w:t>40</w:t>
      </w:r>
      <w:r>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466C0C12" w14:textId="77777777" w:rsidR="00325BFA" w:rsidRDefault="00325BFA" w:rsidP="00325BFA">
      <w:pPr>
        <w:spacing w:after="0"/>
      </w:pPr>
      <w:permStart w:id="1264664054" w:edGrp="everyone"/>
      <w:r>
        <w:t>TYPE YOUR TEXT HERE</w:t>
      </w:r>
    </w:p>
    <w:permEnd w:id="1264664054"/>
    <w:p w14:paraId="3A17F8CA" w14:textId="62E6B30F" w:rsidR="00325BFA" w:rsidRDefault="00325BFA" w:rsidP="00325BFA">
      <w:pPr>
        <w:spacing w:after="0"/>
      </w:pPr>
      <w:r>
        <w:t>&lt;ESMA_QUESTION_</w:t>
      </w:r>
      <w:r w:rsidR="006E2953">
        <w:t>CP2</w:t>
      </w:r>
      <w:r>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03575728" w14:textId="77777777" w:rsidR="00325BFA" w:rsidRDefault="00325BFA" w:rsidP="00325BFA">
      <w:pPr>
        <w:spacing w:after="0"/>
      </w:pPr>
      <w:permStart w:id="370947726" w:edGrp="everyone"/>
      <w:r>
        <w:t>TYPE YOUR TEXT HERE</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7AD98EA1" w14:textId="77777777" w:rsidR="005F635C" w:rsidRDefault="005F635C" w:rsidP="005F635C">
      <w:pPr>
        <w:spacing w:after="0"/>
      </w:pPr>
      <w:permStart w:id="1895257179" w:edGrp="everyone"/>
      <w:r>
        <w:t>TYPE YOUR TEXT HERE</w:t>
      </w:r>
    </w:p>
    <w:permEnd w:id="1895257179"/>
    <w:p w14:paraId="0741B9B1" w14:textId="462A52B8" w:rsidR="005F635C" w:rsidRDefault="005F635C" w:rsidP="005F635C">
      <w:pPr>
        <w:spacing w:after="0"/>
      </w:pPr>
      <w:r>
        <w:t>&lt;ESMA_QUESTION_</w:t>
      </w:r>
      <w:r w:rsidR="006E2953">
        <w:t>CP2</w:t>
      </w:r>
      <w:r>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111A4B01" w14:textId="77777777" w:rsidR="005F635C" w:rsidRDefault="005F635C" w:rsidP="005F635C">
      <w:pPr>
        <w:spacing w:after="0"/>
      </w:pPr>
      <w:permStart w:id="225259005" w:edGrp="everyone"/>
      <w:r>
        <w:t>TYPE YOUR TEXT HERE</w:t>
      </w:r>
    </w:p>
    <w:permEnd w:id="225259005"/>
    <w:p w14:paraId="38BC273A" w14:textId="2F7A12D3" w:rsidR="005F635C" w:rsidRDefault="005F635C" w:rsidP="005F635C">
      <w:pPr>
        <w:spacing w:after="0"/>
      </w:pPr>
      <w:r>
        <w:t>&lt;ESMA_QUESTION_</w:t>
      </w:r>
      <w:r w:rsidR="006E2953">
        <w:t>CP2</w:t>
      </w:r>
      <w:r>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3D75B8DF" w14:textId="75E4354A" w:rsidR="00AD2225" w:rsidRPr="00D01764" w:rsidRDefault="00AD2225" w:rsidP="00AD2225">
      <w:pPr>
        <w:pStyle w:val="NoSpacing"/>
        <w:rPr>
          <w:rFonts w:ascii="Arial" w:hAnsi="Arial" w:cs="Arial"/>
          <w:bCs/>
          <w:color w:val="000000" w:themeColor="text1"/>
        </w:rPr>
      </w:pPr>
      <w:permStart w:id="1174544784" w:edGrp="everyone"/>
      <w:r w:rsidRPr="00D01764">
        <w:rPr>
          <w:rFonts w:ascii="Arial" w:hAnsi="Arial" w:cs="Arial"/>
          <w:bCs/>
          <w:color w:val="000000" w:themeColor="text1"/>
        </w:rPr>
        <w:lastRenderedPageBreak/>
        <w:t xml:space="preserve">We appreciate that ESMA clarifies that DORA will supersede all sectoral legislation (including </w:t>
      </w:r>
      <w:r>
        <w:rPr>
          <w:rFonts w:ascii="Arial" w:hAnsi="Arial" w:cs="Arial"/>
          <w:bCs/>
          <w:color w:val="000000" w:themeColor="text1"/>
        </w:rPr>
        <w:t xml:space="preserve"> </w:t>
      </w:r>
      <w:r w:rsidRPr="00D01764">
        <w:rPr>
          <w:rFonts w:ascii="Arial" w:hAnsi="Arial" w:cs="Arial"/>
          <w:bCs/>
          <w:color w:val="000000" w:themeColor="text1"/>
        </w:rPr>
        <w:t>MiFID II/MiFIR) in the domain of digital operational resilience, and ESMA is proposing to remove several articles in the organisational requirements chapter of RTS 13 for DRSPs (para. 208 of the CP). However, given that (</w:t>
      </w:r>
      <w:proofErr w:type="spellStart"/>
      <w:r w:rsidRPr="00D01764">
        <w:rPr>
          <w:rFonts w:ascii="Arial" w:hAnsi="Arial" w:cs="Arial"/>
          <w:bCs/>
          <w:color w:val="000000" w:themeColor="text1"/>
        </w:rPr>
        <w:t>i</w:t>
      </w:r>
      <w:proofErr w:type="spellEnd"/>
      <w:r w:rsidRPr="00D01764">
        <w:rPr>
          <w:rFonts w:ascii="Arial" w:hAnsi="Arial" w:cs="Arial"/>
          <w:bCs/>
          <w:color w:val="000000" w:themeColor="text1"/>
        </w:rPr>
        <w:t xml:space="preserve">) the final report of this RTS 13 revision will only be published in December 2024 and (ii) DORA will apply from 17 January </w:t>
      </w:r>
      <w:r w:rsidRPr="00D01764">
        <w:rPr>
          <w:rFonts w:ascii="Arial" w:hAnsi="Arial" w:cs="Arial"/>
          <w:color w:val="000000" w:themeColor="text1"/>
        </w:rPr>
        <w:t>202</w:t>
      </w:r>
      <w:r w:rsidRPr="00D01764">
        <w:rPr>
          <w:rFonts w:ascii="Arial" w:hAnsi="Arial" w:cs="Arial"/>
          <w:bCs/>
          <w:color w:val="000000" w:themeColor="text1"/>
        </w:rPr>
        <w:t>5, we believe there will be a timing issue potentially resulting in two sets of regulations applying to a similar situation. Examples of this are the reporting of incidents (both existing under the now in force RTS 13 (CDR 2017/571 – Article 9(4)) as well as under DORA) and the provisions regarding business continuity (CDR 2017/571 – Article 7(3)(f)). We would really appreciate it if ESMA could further publish an official statement in Q4 2024 to clarify this matter.</w:t>
      </w:r>
    </w:p>
    <w:p w14:paraId="684219ED" w14:textId="77777777" w:rsidR="00AD2225" w:rsidRPr="00D01764" w:rsidRDefault="00AD2225" w:rsidP="00D45FC6">
      <w:pPr>
        <w:pStyle w:val="NoSpacing"/>
        <w:rPr>
          <w:rFonts w:ascii="Arial" w:hAnsi="Arial" w:cs="Arial"/>
          <w:color w:val="000000" w:themeColor="text1"/>
        </w:rPr>
      </w:pPr>
    </w:p>
    <w:p w14:paraId="4EA687A7" w14:textId="77777777" w:rsidR="00AD2225" w:rsidRDefault="00AD2225" w:rsidP="005F635C">
      <w:pPr>
        <w:spacing w:after="0"/>
        <w:rPr>
          <w:color w:val="000000" w:themeColor="text1"/>
          <w:szCs w:val="22"/>
        </w:rPr>
      </w:pPr>
      <w:r w:rsidRPr="00D01764">
        <w:rPr>
          <w:color w:val="000000" w:themeColor="text1"/>
          <w:szCs w:val="22"/>
        </w:rPr>
        <w:t>We would also appreciate it if ESMA could please confirm that DORA, which is not specifically focused on outsourcing, is understood by ESMA as superseding any Article 9 outsourcing requirements in respect of ICT services provided by ICT third-party service providers. In addition, we note that the term ‘critical or important function’ is being incorporated by reference into the RTS from DORA and were wondering whether the reference in paragraph 7 of Article 9 should be to ‘critical or important function’ rather than ‘critical function’</w:t>
      </w:r>
      <w:r>
        <w:rPr>
          <w:color w:val="000000" w:themeColor="text1"/>
          <w:szCs w:val="22"/>
        </w:rPr>
        <w:t>.</w:t>
      </w:r>
    </w:p>
    <w:permEnd w:id="1174544784"/>
    <w:p w14:paraId="77B4AC7E" w14:textId="35746DD6" w:rsidR="005F635C" w:rsidRDefault="005F635C" w:rsidP="005F635C">
      <w:pPr>
        <w:spacing w:after="0"/>
      </w:pPr>
      <w:r>
        <w:t>&lt;ESMA_QUESTION_</w:t>
      </w:r>
      <w:r w:rsidR="006E2953">
        <w:t>CP2</w:t>
      </w:r>
      <w:r>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2B097A8" w14:textId="77777777" w:rsidR="00E45A71" w:rsidRDefault="00E45A71" w:rsidP="00E45A71">
      <w:pPr>
        <w:spacing w:after="0"/>
      </w:pPr>
      <w:permStart w:id="862852925" w:edGrp="everyone"/>
      <w:r>
        <w:t>TYPE YOUR TEXT HERE</w:t>
      </w:r>
    </w:p>
    <w:permEnd w:id="862852925"/>
    <w:p w14:paraId="7BB6FE7D" w14:textId="0BEDBC52" w:rsidR="00E45A71" w:rsidRDefault="00E45A71" w:rsidP="00E45A71">
      <w:pPr>
        <w:spacing w:after="0"/>
      </w:pPr>
      <w:r>
        <w:t>&lt;ESMA_QUESTION_CP2_4</w:t>
      </w:r>
      <w:r w:rsidR="00222E43">
        <w:t>6</w:t>
      </w:r>
      <w:r>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04A4F67C" w14:textId="77777777" w:rsidR="00AD2225" w:rsidRDefault="00AD2225" w:rsidP="00E84390">
      <w:pPr>
        <w:spacing w:after="0"/>
        <w:rPr>
          <w:bCs/>
          <w:color w:val="000000" w:themeColor="text1"/>
          <w:szCs w:val="22"/>
        </w:rPr>
      </w:pPr>
      <w:permStart w:id="49502870" w:edGrp="everyone"/>
      <w:r w:rsidRPr="00D01764">
        <w:rPr>
          <w:bCs/>
          <w:color w:val="000000" w:themeColor="text1"/>
          <w:szCs w:val="22"/>
        </w:rPr>
        <w:t>We would like to highlight that Article 27b(2) of MiFIR leaves room for the selected CTP offering trading venue and APA services via the same legal entity. Given the conflict of interest between the CTP and data contributors, we believe this situation (if any) should be prohibited by ESMA during the authorisation process</w:t>
      </w:r>
      <w:r>
        <w:rPr>
          <w:bCs/>
          <w:color w:val="000000" w:themeColor="text1"/>
          <w:szCs w:val="22"/>
        </w:rPr>
        <w:t>.</w:t>
      </w:r>
    </w:p>
    <w:permEnd w:id="49502870"/>
    <w:p w14:paraId="627350CC" w14:textId="348C47A3" w:rsidR="00E84390" w:rsidRDefault="00E84390" w:rsidP="00E84390">
      <w:pPr>
        <w:spacing w:after="0"/>
      </w:pPr>
      <w:r>
        <w:t>&lt;ESMA_QUESTION_CP2_4</w:t>
      </w:r>
      <w:r w:rsidR="00EA6FF7">
        <w:t>7</w:t>
      </w:r>
      <w:r>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42ACA708" w14:textId="77777777" w:rsidR="00AD2225" w:rsidRPr="00D01764" w:rsidRDefault="00AD2225" w:rsidP="00D45FC6">
      <w:pPr>
        <w:pStyle w:val="NoSpacing"/>
        <w:rPr>
          <w:rFonts w:ascii="Arial" w:hAnsi="Arial" w:cs="Arial"/>
          <w:bCs/>
          <w:color w:val="000000" w:themeColor="text1"/>
        </w:rPr>
      </w:pPr>
      <w:permStart w:id="1970298969" w:edGrp="everyone"/>
      <w:r w:rsidRPr="00D01764">
        <w:rPr>
          <w:rFonts w:ascii="Arial" w:hAnsi="Arial" w:cs="Arial"/>
          <w:bCs/>
          <w:color w:val="000000" w:themeColor="text1"/>
        </w:rPr>
        <w:t xml:space="preserve">We understand that ESMA is planning to create a new RTS on CTP authorisation with an aim to cover those CTP-related requirements that are currently under RTS 13 (para. 222 of the CP). Noting Article 13 of RTS 13 regarding ‘Other services provided by CTPs’, we believe any other </w:t>
      </w:r>
      <w:r w:rsidRPr="00D01764">
        <w:rPr>
          <w:rFonts w:ascii="Arial" w:hAnsi="Arial" w:cs="Arial"/>
          <w:bCs/>
          <w:color w:val="000000" w:themeColor="text1"/>
        </w:rPr>
        <w:lastRenderedPageBreak/>
        <w:t>services offered by the selected CTPs should be properly controlled due to the monopoly position.</w:t>
      </w:r>
    </w:p>
    <w:p w14:paraId="7490BD23" w14:textId="77777777" w:rsidR="00AD2225" w:rsidRPr="00D01764" w:rsidRDefault="00AD2225" w:rsidP="00D45FC6">
      <w:pPr>
        <w:pStyle w:val="NoSpacing"/>
        <w:rPr>
          <w:rFonts w:ascii="Arial" w:hAnsi="Arial" w:cs="Arial"/>
          <w:bCs/>
          <w:color w:val="000000" w:themeColor="text1"/>
        </w:rPr>
      </w:pPr>
    </w:p>
    <w:p w14:paraId="0702EC30" w14:textId="77777777" w:rsidR="00AD2225" w:rsidRDefault="00AD2225" w:rsidP="00EA6FF7">
      <w:pPr>
        <w:spacing w:after="0"/>
        <w:rPr>
          <w:bCs/>
          <w:color w:val="000000" w:themeColor="text1"/>
          <w:szCs w:val="22"/>
        </w:rPr>
      </w:pPr>
      <w:r w:rsidRPr="00D01764">
        <w:rPr>
          <w:bCs/>
          <w:color w:val="000000" w:themeColor="text1"/>
          <w:szCs w:val="22"/>
        </w:rPr>
        <w:t>In addition, given the importance of the consolidated tape, the inherent lack of substitutability as a monopoly provider and the reliance on that provider by the entire market, any outsourcing arrangements utilised by the CTP should be subject to the same level of scrutiny as the CTP itself, and be considered in the context of DORA</w:t>
      </w:r>
      <w:r>
        <w:rPr>
          <w:bCs/>
          <w:color w:val="000000" w:themeColor="text1"/>
          <w:szCs w:val="22"/>
        </w:rPr>
        <w:t>.</w:t>
      </w:r>
    </w:p>
    <w:permEnd w:id="1970298969"/>
    <w:p w14:paraId="15F41F4C" w14:textId="3D8DE124" w:rsidR="00EA6FF7" w:rsidRDefault="00EA6FF7" w:rsidP="00EA6FF7">
      <w:pPr>
        <w:spacing w:after="0"/>
      </w:pPr>
      <w:r>
        <w:t>&lt;ESMA_QUESTION_CP2_4</w:t>
      </w:r>
      <w:r w:rsidR="00854A21">
        <w:t>8</w:t>
      </w:r>
      <w:r>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t>&lt;ESMA_QUESTION_CP2_49&gt;</w:t>
      </w:r>
    </w:p>
    <w:p w14:paraId="3FD1DA74" w14:textId="77777777" w:rsidR="00854A21" w:rsidRDefault="00854A21" w:rsidP="00854A21">
      <w:pPr>
        <w:spacing w:after="0"/>
      </w:pPr>
      <w:permStart w:id="77606737" w:edGrp="everyone"/>
      <w:r>
        <w:t>TYPE YOUR TEXT HERE</w:t>
      </w:r>
    </w:p>
    <w:permEnd w:id="77606737"/>
    <w:p w14:paraId="70B66BE1" w14:textId="0E853B82" w:rsidR="00854A21" w:rsidRDefault="00854A21" w:rsidP="00854A21">
      <w:pPr>
        <w:spacing w:after="0"/>
      </w:pPr>
      <w:r>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0260F6C8" w14:textId="77777777" w:rsidR="007D5820" w:rsidRDefault="007D5820" w:rsidP="007D5820">
      <w:pPr>
        <w:spacing w:after="0"/>
      </w:pPr>
      <w:permStart w:id="1930500106" w:edGrp="everyone"/>
      <w:r>
        <w:t>TYPE YOUR TEXT HERE</w:t>
      </w:r>
    </w:p>
    <w:permEnd w:id="1930500106"/>
    <w:p w14:paraId="5CE80569" w14:textId="16F8E854" w:rsidR="007D5820" w:rsidRDefault="007D5820" w:rsidP="007D5820">
      <w:pPr>
        <w:spacing w:after="0"/>
      </w:pPr>
      <w:r>
        <w:t>&lt;ESMA_QUESTION_</w:t>
      </w:r>
      <w:r w:rsidR="006E2953">
        <w:t>CP2</w:t>
      </w:r>
      <w:r>
        <w:t>_</w:t>
      </w:r>
      <w:r w:rsidR="00F531D8">
        <w:t>50</w:t>
      </w:r>
      <w:r>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7EF8B1D0" w14:textId="06FF24B4" w:rsidR="00AD2225" w:rsidRDefault="00AD2225" w:rsidP="007D5820">
      <w:pPr>
        <w:spacing w:after="0"/>
      </w:pPr>
      <w:permStart w:id="620656595" w:edGrp="everyone"/>
      <w:r w:rsidRPr="00D01764">
        <w:rPr>
          <w:bCs/>
          <w:color w:val="000000" w:themeColor="text1"/>
          <w:szCs w:val="22"/>
        </w:rPr>
        <w:t xml:space="preserve">To ensure a level playing field </w:t>
      </w:r>
      <w:r w:rsidRPr="00D01764">
        <w:rPr>
          <w:color w:val="000000" w:themeColor="text1"/>
          <w:szCs w:val="22"/>
        </w:rPr>
        <w:t>the CTP</w:t>
      </w:r>
      <w:r w:rsidRPr="00D01764">
        <w:rPr>
          <w:bCs/>
          <w:color w:val="000000" w:themeColor="text1"/>
          <w:szCs w:val="22"/>
        </w:rPr>
        <w:t xml:space="preserve"> should not be allowed to use the same legal entity to offer any other ancillary services</w:t>
      </w:r>
      <w:r>
        <w:t>.</w:t>
      </w:r>
    </w:p>
    <w:permEnd w:id="620656595"/>
    <w:p w14:paraId="0CC3729F" w14:textId="355E553C" w:rsidR="007D5820" w:rsidRDefault="007D5820" w:rsidP="007D5820">
      <w:pPr>
        <w:spacing w:after="0"/>
      </w:pPr>
      <w:r>
        <w:t>&lt;ESMA_QUESTION_</w:t>
      </w:r>
      <w:r w:rsidR="006E2953">
        <w:t>CP2</w:t>
      </w:r>
      <w:r>
        <w:t>_</w:t>
      </w:r>
      <w:r w:rsidR="00D10DFA">
        <w:t>51</w:t>
      </w:r>
      <w:r>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t>&lt;ESMA_QUESTION_</w:t>
      </w:r>
      <w:r w:rsidR="006E2953">
        <w:t>CP2</w:t>
      </w:r>
      <w:r>
        <w:t>_</w:t>
      </w:r>
      <w:r w:rsidR="00D10DFA">
        <w:t>52</w:t>
      </w:r>
      <w:r>
        <w:t>&gt;</w:t>
      </w:r>
    </w:p>
    <w:p w14:paraId="36463816" w14:textId="77777777" w:rsidR="00AD2225" w:rsidRDefault="00AD2225" w:rsidP="007D5820">
      <w:pPr>
        <w:spacing w:after="0"/>
        <w:rPr>
          <w:bCs/>
          <w:color w:val="000000" w:themeColor="text1"/>
          <w:szCs w:val="22"/>
        </w:rPr>
      </w:pPr>
      <w:permStart w:id="848196049" w:edGrp="everyone"/>
      <w:r w:rsidRPr="00D01764">
        <w:rPr>
          <w:bCs/>
          <w:color w:val="000000" w:themeColor="text1"/>
          <w:szCs w:val="22"/>
        </w:rPr>
        <w:t>Yes, we support the proposal for an Advisory Committee that represents all stakeholders of the CTP. CTP applicants should articulate how they will appoint the committee to ensure balanced representation, and how they will ensure the recommendations of the committee are adopted</w:t>
      </w:r>
      <w:r>
        <w:rPr>
          <w:bCs/>
          <w:color w:val="000000" w:themeColor="text1"/>
          <w:szCs w:val="22"/>
        </w:rPr>
        <w:t>.</w:t>
      </w:r>
    </w:p>
    <w:permEnd w:id="848196049"/>
    <w:p w14:paraId="1FEFED7B" w14:textId="711E6644" w:rsidR="007D5820" w:rsidRDefault="007D5820" w:rsidP="007D5820">
      <w:pPr>
        <w:spacing w:after="0"/>
      </w:pPr>
      <w:r>
        <w:lastRenderedPageBreak/>
        <w:t>&lt;ESMA_QUESTION_</w:t>
      </w:r>
      <w:r w:rsidR="006E2953">
        <w:t>CP2</w:t>
      </w:r>
      <w:r>
        <w:t>_</w:t>
      </w:r>
      <w:r w:rsidR="00D10DFA">
        <w:t>52</w:t>
      </w:r>
      <w:r>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364EB778" w14:textId="77777777" w:rsidR="007D5820" w:rsidRDefault="007D5820" w:rsidP="007D5820">
      <w:pPr>
        <w:spacing w:after="0"/>
      </w:pPr>
      <w:permStart w:id="1020542601" w:edGrp="everyone"/>
      <w:r>
        <w:t>TYPE YOUR TEXT HERE</w:t>
      </w:r>
    </w:p>
    <w:permEnd w:id="1020542601"/>
    <w:p w14:paraId="04E15A7A" w14:textId="593BE321" w:rsidR="007D5820" w:rsidRDefault="007D5820" w:rsidP="007D5820">
      <w:pPr>
        <w:spacing w:after="0"/>
      </w:pPr>
      <w:r>
        <w:t>&lt;ESMA_QUESTION_</w:t>
      </w:r>
      <w:r w:rsidR="006E2953">
        <w:t>CP2</w:t>
      </w:r>
      <w:r>
        <w:t>_</w:t>
      </w:r>
      <w:r w:rsidR="0013223D">
        <w:t>53</w:t>
      </w:r>
      <w:r>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5AC30762" w14:textId="77777777" w:rsidR="00AD2225" w:rsidRDefault="00AD2225" w:rsidP="009041BC">
      <w:pPr>
        <w:spacing w:after="0"/>
      </w:pPr>
      <w:permStart w:id="1716729438" w:edGrp="everyone"/>
      <w:r w:rsidRPr="00D01764">
        <w:rPr>
          <w:bCs/>
          <w:color w:val="000000" w:themeColor="text1"/>
          <w:szCs w:val="22"/>
        </w:rPr>
        <w:t>As explained in Q47 and Q51 respectively, we believe a proper legal separation is a practical solution to address potential conflicts of interest</w:t>
      </w:r>
      <w:r>
        <w:t xml:space="preserve"> .</w:t>
      </w:r>
    </w:p>
    <w:permEnd w:id="1716729438"/>
    <w:p w14:paraId="08DEAD27" w14:textId="1E3E655B" w:rsidR="009041BC" w:rsidRDefault="009041BC" w:rsidP="009041BC">
      <w:pPr>
        <w:spacing w:after="0"/>
      </w:pPr>
      <w:r>
        <w:t>&lt;ESMA_QUESTION_</w:t>
      </w:r>
      <w:r w:rsidR="006E2953">
        <w:t>CP2</w:t>
      </w:r>
      <w:r>
        <w:t>_5</w:t>
      </w:r>
      <w:r w:rsidR="0013223D">
        <w:t>4</w:t>
      </w:r>
      <w:r>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67B1B791" w14:textId="77777777" w:rsidR="009041BC" w:rsidRDefault="009041BC" w:rsidP="009041BC">
      <w:pPr>
        <w:spacing w:after="0"/>
      </w:pPr>
      <w:permStart w:id="1469972975" w:edGrp="everyone"/>
      <w:r>
        <w:t>TYPE YOUR TEXT HERE</w:t>
      </w:r>
    </w:p>
    <w:permEnd w:id="1469972975"/>
    <w:p w14:paraId="27DC2AA4" w14:textId="5CC0F032" w:rsidR="009041BC" w:rsidRDefault="009041BC" w:rsidP="009041BC">
      <w:pPr>
        <w:spacing w:after="0"/>
      </w:pPr>
      <w:r>
        <w:t>&lt;ESMA_QUESTION_</w:t>
      </w:r>
      <w:r w:rsidR="006E2953">
        <w:t>CP2</w:t>
      </w:r>
      <w:r>
        <w:t>_5</w:t>
      </w:r>
      <w:r w:rsidR="000F4FB3">
        <w:t>5</w:t>
      </w:r>
      <w:r>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t>&lt;ESMA_QUESTION_</w:t>
      </w:r>
      <w:r w:rsidR="006E2953">
        <w:t>CP2</w:t>
      </w:r>
      <w:r>
        <w:t>_5</w:t>
      </w:r>
      <w:r w:rsidR="000F4FB3">
        <w:t>6</w:t>
      </w:r>
      <w:r>
        <w:t>&gt;</w:t>
      </w:r>
    </w:p>
    <w:p w14:paraId="199BD034" w14:textId="77777777" w:rsidR="009041BC" w:rsidRDefault="009041BC" w:rsidP="009041BC">
      <w:pPr>
        <w:spacing w:after="0"/>
      </w:pPr>
      <w:permStart w:id="13111793" w:edGrp="everyone"/>
      <w:r>
        <w:t>TYPE YOUR TEXT HERE</w:t>
      </w:r>
    </w:p>
    <w:permEnd w:id="13111793"/>
    <w:p w14:paraId="098F25C9" w14:textId="7F37B669" w:rsidR="009041BC" w:rsidRDefault="009041BC" w:rsidP="009041BC">
      <w:pPr>
        <w:spacing w:after="0"/>
      </w:pPr>
      <w:r>
        <w:t>&lt;ESMA_QUESTION_</w:t>
      </w:r>
      <w:r w:rsidR="006E2953">
        <w:t>CP2</w:t>
      </w:r>
      <w:r>
        <w:t>_5</w:t>
      </w:r>
      <w:r w:rsidR="000F4FB3">
        <w:t>6</w:t>
      </w:r>
      <w:r>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lastRenderedPageBreak/>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4169B959" w14:textId="77777777" w:rsidR="009041BC" w:rsidRDefault="009041BC" w:rsidP="009041BC">
      <w:pPr>
        <w:spacing w:after="0"/>
      </w:pPr>
      <w:permStart w:id="520315500" w:edGrp="everyone"/>
      <w:r>
        <w:t>TYPE YOUR TEXT HERE</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387307F3" w14:textId="77777777" w:rsidR="009041BC" w:rsidRDefault="009041BC" w:rsidP="009041BC">
      <w:pPr>
        <w:spacing w:after="0"/>
      </w:pPr>
      <w:permStart w:id="1938057666" w:edGrp="everyone"/>
      <w:r>
        <w:t>TYPE YOUR TEXT HERE</w:t>
      </w: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1F019451" w14:textId="77777777" w:rsidR="00AD2225" w:rsidRPr="00D01764" w:rsidRDefault="00AD2225" w:rsidP="00D45FC6">
      <w:pPr>
        <w:pStyle w:val="NoSpacing"/>
        <w:rPr>
          <w:rFonts w:ascii="Arial" w:hAnsi="Arial" w:cs="Arial"/>
          <w:bCs/>
          <w:color w:val="000000" w:themeColor="text1"/>
        </w:rPr>
      </w:pPr>
      <w:permStart w:id="220012522" w:edGrp="everyone"/>
      <w:r w:rsidRPr="00D01764">
        <w:rPr>
          <w:rFonts w:ascii="Arial" w:hAnsi="Arial" w:cs="Arial"/>
          <w:bCs/>
          <w:color w:val="000000" w:themeColor="text1"/>
        </w:rPr>
        <w:t>APARMA agrees in principle provided data quality is linked to a revenue share for both bonds and equities and all data contributors, including APAs, benefit from such a scheme.</w:t>
      </w:r>
      <w:r>
        <w:rPr>
          <w:rFonts w:ascii="Arial" w:hAnsi="Arial" w:cs="Arial"/>
          <w:bCs/>
          <w:color w:val="000000" w:themeColor="text1"/>
        </w:rPr>
        <w:t xml:space="preserve"> </w:t>
      </w:r>
      <w:r w:rsidRPr="00D01764">
        <w:rPr>
          <w:rFonts w:ascii="Arial" w:hAnsi="Arial" w:cs="Arial"/>
          <w:bCs/>
          <w:color w:val="000000" w:themeColor="text1"/>
        </w:rPr>
        <w:t>Any additional data quality commitments or measures proposed by the CTP should be consulted on with data contributors and agreed with them in advance.</w:t>
      </w:r>
    </w:p>
    <w:p w14:paraId="1AA3B8E0" w14:textId="77777777" w:rsidR="00AD2225" w:rsidRPr="00D01764" w:rsidRDefault="00AD2225" w:rsidP="00D45FC6">
      <w:pPr>
        <w:pStyle w:val="NoSpacing"/>
        <w:rPr>
          <w:rFonts w:ascii="Arial" w:hAnsi="Arial" w:cs="Arial"/>
          <w:bCs/>
          <w:color w:val="000000" w:themeColor="text1"/>
        </w:rPr>
      </w:pPr>
    </w:p>
    <w:p w14:paraId="3F0761D1" w14:textId="77777777" w:rsidR="00AD2225" w:rsidRDefault="00AD2225" w:rsidP="00657985">
      <w:pPr>
        <w:spacing w:after="0"/>
        <w:rPr>
          <w:color w:val="000000" w:themeColor="text1"/>
          <w:szCs w:val="22"/>
        </w:rPr>
      </w:pPr>
      <w:r w:rsidRPr="00D01764">
        <w:rPr>
          <w:color w:val="000000" w:themeColor="text1"/>
          <w:szCs w:val="22"/>
        </w:rPr>
        <w:t>The CTP under no circumstances should make changes to the data it receives from data contributors. Any suspected errors should be notified back to the data contributors for review whilst at the same time the incoming trade report should continue to be made public. This may result in the data contributors making changes to in-house systems to prevent reoccurrence and bifurcated data sets. Any potential CTP demonstrating core data manipulation of any kind should not be permitted and should be required to revoke such plans before selection</w:t>
      </w:r>
      <w:r>
        <w:rPr>
          <w:color w:val="000000" w:themeColor="text1"/>
          <w:szCs w:val="22"/>
        </w:rPr>
        <w:t>.</w:t>
      </w:r>
    </w:p>
    <w:permEnd w:id="220012522"/>
    <w:p w14:paraId="30D63DFA" w14:textId="2DA8C7D7"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lastRenderedPageBreak/>
        <w:t>&lt;ESMA_QUESTION_</w:t>
      </w:r>
      <w:r w:rsidR="006E2953">
        <w:t>CP2</w:t>
      </w:r>
      <w:r>
        <w:t>_</w:t>
      </w:r>
      <w:r w:rsidR="000F4FB3">
        <w:t>60</w:t>
      </w:r>
      <w:r>
        <w:t>&gt;</w:t>
      </w:r>
    </w:p>
    <w:p w14:paraId="3A1781C4" w14:textId="77777777" w:rsidR="00AD2225" w:rsidRDefault="00AD2225" w:rsidP="00657985">
      <w:pPr>
        <w:spacing w:after="0"/>
        <w:rPr>
          <w:bCs/>
          <w:color w:val="000000" w:themeColor="text1"/>
          <w:szCs w:val="22"/>
        </w:rPr>
      </w:pPr>
      <w:permStart w:id="917596681" w:edGrp="everyone"/>
      <w:r w:rsidRPr="00D01764">
        <w:rPr>
          <w:bCs/>
          <w:color w:val="000000" w:themeColor="text1"/>
          <w:szCs w:val="22"/>
        </w:rPr>
        <w:t>We cross refer to our earlier answers regarding appropriate latency</w:t>
      </w:r>
      <w:r>
        <w:rPr>
          <w:bCs/>
          <w:color w:val="000000" w:themeColor="text1"/>
        </w:rPr>
        <w:t>,</w:t>
      </w:r>
      <w:r w:rsidRPr="00D01764">
        <w:rPr>
          <w:bCs/>
          <w:color w:val="000000" w:themeColor="text1"/>
          <w:szCs w:val="22"/>
        </w:rPr>
        <w:t xml:space="preserve"> e.g. in CP2 Q8</w:t>
      </w:r>
      <w:r>
        <w:rPr>
          <w:bCs/>
          <w:color w:val="000000" w:themeColor="text1"/>
          <w:szCs w:val="22"/>
        </w:rPr>
        <w:t>.</w:t>
      </w:r>
    </w:p>
    <w:permEnd w:id="917596681"/>
    <w:p w14:paraId="733787C5" w14:textId="73EF3029"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t>&lt;ESMA_QUESTION_</w:t>
      </w:r>
      <w:r w:rsidR="006E2953">
        <w:t>CP2</w:t>
      </w:r>
      <w:r>
        <w:t>_</w:t>
      </w:r>
      <w:r w:rsidR="00346216">
        <w:t>61</w:t>
      </w:r>
      <w:r>
        <w:t>&gt;</w:t>
      </w:r>
    </w:p>
    <w:p w14:paraId="0B82AB18" w14:textId="77777777" w:rsidR="00657985" w:rsidRDefault="00657985" w:rsidP="00657985">
      <w:pPr>
        <w:spacing w:after="0"/>
      </w:pPr>
      <w:permStart w:id="1352533797" w:edGrp="everyone"/>
      <w:r>
        <w:t>TYPE YOUR TEXT HERE</w:t>
      </w:r>
    </w:p>
    <w:permEnd w:id="1352533797"/>
    <w:p w14:paraId="2EEA7742" w14:textId="0F84BF88" w:rsidR="00657985" w:rsidRDefault="00657985" w:rsidP="00657985">
      <w:pPr>
        <w:spacing w:after="0"/>
      </w:pPr>
      <w:r>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67655A2F" w14:textId="77777777" w:rsidR="00AD2225" w:rsidRPr="00D01764" w:rsidRDefault="00AD2225" w:rsidP="00AD2225">
      <w:pPr>
        <w:pStyle w:val="NoSpacing"/>
        <w:rPr>
          <w:rFonts w:ascii="Arial" w:hAnsi="Arial" w:cs="Arial"/>
          <w:bCs/>
          <w:color w:val="000000" w:themeColor="text1"/>
        </w:rPr>
      </w:pPr>
      <w:permStart w:id="1870948188" w:edGrp="everyone"/>
      <w:r w:rsidRPr="00D01764">
        <w:rPr>
          <w:rFonts w:ascii="Arial" w:hAnsi="Arial" w:cs="Arial"/>
          <w:bCs/>
          <w:color w:val="000000" w:themeColor="text1"/>
        </w:rPr>
        <w:t>Due the key role played by the selected CTP, we would like to propose that the CTPs (in addition to the DORA framework) should be supervised as ‘Financial market infrastructures’ in Annex of NIS 2 Directive (Directive (EU) 2022/2555) and CER Directive (Directive (EU) 2022/2557).</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7777777" w:rsidR="008B11F9" w:rsidRDefault="008B11F9" w:rsidP="008B11F9">
      <w:pPr>
        <w:spacing w:after="0"/>
      </w:pPr>
      <w:permStart w:id="1105074338" w:edGrp="everyone"/>
      <w:r>
        <w:t>TYPE YOUR TEXT HERE</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1F4FCCEF" w14:textId="77777777" w:rsidR="008B11F9" w:rsidRDefault="008B11F9" w:rsidP="008B11F9">
      <w:pPr>
        <w:spacing w:after="0"/>
      </w:pPr>
      <w:permStart w:id="792227094" w:edGrp="everyone"/>
      <w:r>
        <w:t>TYPE YOUR TEXT HERE</w:t>
      </w:r>
    </w:p>
    <w:permEnd w:id="792227094"/>
    <w:p w14:paraId="5375B86D" w14:textId="073A486D" w:rsidR="008B11F9" w:rsidRDefault="008B11F9" w:rsidP="008B11F9">
      <w:pPr>
        <w:spacing w:after="0"/>
      </w:pPr>
      <w:r>
        <w:lastRenderedPageBreak/>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7CC1830F" w14:textId="77777777" w:rsidR="008B11F9" w:rsidRDefault="008B11F9" w:rsidP="008B11F9">
      <w:pPr>
        <w:spacing w:after="0"/>
      </w:pPr>
      <w:permStart w:id="1040075151" w:edGrp="everyone"/>
      <w:r>
        <w:t>TYPE YOUR TEXT HERE</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6A543776" w14:textId="77777777" w:rsidR="00AD2225" w:rsidRPr="00D01764" w:rsidRDefault="00AD2225" w:rsidP="00D45FC6">
      <w:pPr>
        <w:pStyle w:val="NoSpacing"/>
        <w:rPr>
          <w:rFonts w:ascii="Arial" w:hAnsi="Arial" w:cs="Arial"/>
          <w:bCs/>
          <w:color w:val="000000" w:themeColor="text1"/>
        </w:rPr>
      </w:pPr>
      <w:permStart w:id="784287202" w:edGrp="everyone"/>
      <w:r w:rsidRPr="00D01764">
        <w:rPr>
          <w:rFonts w:ascii="Arial" w:hAnsi="Arial" w:cs="Arial"/>
          <w:bCs/>
          <w:color w:val="000000" w:themeColor="text1"/>
        </w:rPr>
        <w:t xml:space="preserve">We would like to reemphasise our response to CP2 Q8. Due to the necessary interactions between investment firms and APAs, the current proposal is not technically feasible. Therefore, a cost benefit analysis is </w:t>
      </w:r>
      <w:r w:rsidRPr="00D01764">
        <w:rPr>
          <w:rFonts w:ascii="Arial" w:hAnsi="Arial" w:cs="Arial"/>
          <w:color w:val="000000" w:themeColor="text1"/>
        </w:rPr>
        <w:t>not possible</w:t>
      </w:r>
      <w:r w:rsidRPr="00D01764">
        <w:rPr>
          <w:rFonts w:ascii="Arial" w:hAnsi="Arial" w:cs="Arial"/>
          <w:bCs/>
          <w:color w:val="000000" w:themeColor="text1"/>
        </w:rPr>
        <w:t xml:space="preserve"> at this time.</w:t>
      </w:r>
    </w:p>
    <w:p w14:paraId="3BE09072" w14:textId="77777777" w:rsidR="00AD2225" w:rsidRPr="00D01764" w:rsidRDefault="00AD2225" w:rsidP="00D45FC6">
      <w:pPr>
        <w:pStyle w:val="NoSpacing"/>
        <w:rPr>
          <w:rFonts w:ascii="Arial" w:hAnsi="Arial" w:cs="Arial"/>
          <w:bCs/>
          <w:color w:val="000000" w:themeColor="text1"/>
        </w:rPr>
      </w:pPr>
    </w:p>
    <w:p w14:paraId="2900931C" w14:textId="77777777" w:rsidR="00AD2225" w:rsidRDefault="00AD2225" w:rsidP="008B11F9">
      <w:pPr>
        <w:spacing w:after="0"/>
        <w:rPr>
          <w:bCs/>
          <w:color w:val="000000" w:themeColor="text1"/>
          <w:szCs w:val="22"/>
        </w:rPr>
      </w:pPr>
      <w:r w:rsidRPr="00D01764">
        <w:rPr>
          <w:bCs/>
          <w:color w:val="000000" w:themeColor="text1"/>
          <w:szCs w:val="22"/>
        </w:rPr>
        <w:t>Whilst there are benefits to real-time data distribution</w:t>
      </w:r>
      <w:r w:rsidRPr="00D01764">
        <w:rPr>
          <w:color w:val="000000" w:themeColor="text1"/>
          <w:szCs w:val="22"/>
        </w:rPr>
        <w:t>,</w:t>
      </w:r>
      <w:r w:rsidRPr="00D01764">
        <w:rPr>
          <w:bCs/>
          <w:color w:val="000000" w:themeColor="text1"/>
          <w:szCs w:val="22"/>
        </w:rPr>
        <w:t xml:space="preserve"> there are also very real additional operational costs of implementation.</w:t>
      </w:r>
      <w:r>
        <w:rPr>
          <w:bCs/>
          <w:color w:val="000000" w:themeColor="text1"/>
        </w:rPr>
        <w:t xml:space="preserve"> </w:t>
      </w:r>
      <w:r w:rsidRPr="00D01764">
        <w:rPr>
          <w:bCs/>
          <w:color w:val="000000" w:themeColor="text1"/>
          <w:szCs w:val="22"/>
        </w:rPr>
        <w:t>This is another reason why a revenue share should be adopted to offset these additional costs</w:t>
      </w:r>
      <w:r>
        <w:rPr>
          <w:bCs/>
          <w:color w:val="000000" w:themeColor="text1"/>
          <w:szCs w:val="22"/>
        </w:rPr>
        <w:t>.</w:t>
      </w:r>
    </w:p>
    <w:permEnd w:id="784287202"/>
    <w:p w14:paraId="054A56E9" w14:textId="69742D73"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78E91AF8" w14:textId="77777777" w:rsidR="00AD2225" w:rsidRDefault="00AD2225" w:rsidP="008B11F9">
      <w:pPr>
        <w:spacing w:after="0"/>
      </w:pPr>
      <w:permStart w:id="1171325499" w:edGrp="everyone"/>
      <w:r w:rsidRPr="00D01764">
        <w:rPr>
          <w:bCs/>
          <w:color w:val="000000" w:themeColor="text1"/>
          <w:szCs w:val="22"/>
        </w:rPr>
        <w:t>Provided an open-source solution is adopted for input and output data the burden for data contributors will be kept to a minimum whilst simultaneously allowing easy access to data</w:t>
      </w:r>
      <w:r>
        <w:t xml:space="preserve"> .</w:t>
      </w:r>
    </w:p>
    <w:permEnd w:id="1171325499"/>
    <w:p w14:paraId="20B5CC7D" w14:textId="003E810A"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t>&lt;ESMA_QUESTION_</w:t>
      </w:r>
      <w:r w:rsidR="006E2953">
        <w:t>CP2</w:t>
      </w:r>
      <w:r>
        <w:t>_6</w:t>
      </w:r>
      <w:r w:rsidR="00087477">
        <w:t>8</w:t>
      </w:r>
      <w:r>
        <w:t>&gt;</w:t>
      </w:r>
    </w:p>
    <w:p w14:paraId="39C51970" w14:textId="77777777" w:rsidR="008B11F9" w:rsidRDefault="008B11F9" w:rsidP="008B11F9">
      <w:pPr>
        <w:spacing w:after="0"/>
      </w:pPr>
      <w:permStart w:id="1225813958" w:edGrp="everyone"/>
      <w:r>
        <w:t>TYPE YOUR TEXT HERE</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lastRenderedPageBreak/>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57729F38" w14:textId="77777777" w:rsidR="00AD2225" w:rsidRDefault="00AD2225" w:rsidP="008B11F9">
      <w:pPr>
        <w:spacing w:after="0"/>
        <w:rPr>
          <w:bCs/>
          <w:color w:val="000000" w:themeColor="text1"/>
          <w:szCs w:val="22"/>
        </w:rPr>
      </w:pPr>
      <w:permStart w:id="1143500278" w:edGrp="everyone"/>
      <w:r w:rsidRPr="00D01764">
        <w:rPr>
          <w:bCs/>
          <w:color w:val="000000" w:themeColor="text1"/>
          <w:szCs w:val="22"/>
        </w:rPr>
        <w:t>We expect the revenue distribution to become effective only once the CTP has achieved cost recovery.</w:t>
      </w:r>
      <w:r>
        <w:rPr>
          <w:bCs/>
          <w:color w:val="000000" w:themeColor="text1"/>
        </w:rPr>
        <w:t xml:space="preserve"> </w:t>
      </w:r>
      <w:r w:rsidRPr="00D01764">
        <w:rPr>
          <w:bCs/>
          <w:color w:val="000000" w:themeColor="text1"/>
          <w:szCs w:val="22"/>
        </w:rPr>
        <w:t>We do not envisage significant costs in the set up or on-going management of a revenue share scheme from the CTP provider</w:t>
      </w:r>
      <w:r>
        <w:rPr>
          <w:bCs/>
          <w:color w:val="000000" w:themeColor="text1"/>
          <w:szCs w:val="22"/>
        </w:rPr>
        <w:t>.</w:t>
      </w:r>
    </w:p>
    <w:permEnd w:id="1143500278"/>
    <w:p w14:paraId="55561766" w14:textId="063918A1"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7647AE6" w14:textId="77777777" w:rsidR="00AD2225" w:rsidRDefault="00AD2225" w:rsidP="009F4240">
      <w:pPr>
        <w:spacing w:after="0"/>
      </w:pPr>
      <w:permStart w:id="1807570808" w:edGrp="everyone"/>
      <w:r w:rsidRPr="00D01764">
        <w:rPr>
          <w:bCs/>
          <w:color w:val="000000" w:themeColor="text1"/>
          <w:szCs w:val="22"/>
        </w:rPr>
        <w:t>Until such time as more details of the proposed revenue share scheme to data contributors are made known by the winning CTP applicant</w:t>
      </w:r>
      <w:r w:rsidRPr="00D01764">
        <w:rPr>
          <w:color w:val="000000" w:themeColor="text1"/>
          <w:szCs w:val="22"/>
        </w:rPr>
        <w:t>,</w:t>
      </w:r>
      <w:r w:rsidRPr="00D01764">
        <w:rPr>
          <w:bCs/>
          <w:color w:val="000000" w:themeColor="text1"/>
          <w:szCs w:val="22"/>
        </w:rPr>
        <w:t xml:space="preserve"> we are unable to answer this question</w:t>
      </w:r>
      <w:r>
        <w:t xml:space="preserve"> .</w:t>
      </w:r>
    </w:p>
    <w:permEnd w:id="1807570808"/>
    <w:p w14:paraId="5D78D87B" w14:textId="546E529F"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F69C9" w14:textId="77777777" w:rsidR="00F51BDC" w:rsidRDefault="00F51BDC" w:rsidP="00F716D4">
      <w:r>
        <w:separator/>
      </w:r>
    </w:p>
    <w:p w14:paraId="141A17DE" w14:textId="77777777" w:rsidR="00F51BDC" w:rsidRDefault="00F51BDC" w:rsidP="00F716D4"/>
  </w:endnote>
  <w:endnote w:type="continuationSeparator" w:id="0">
    <w:p w14:paraId="0384535C" w14:textId="77777777" w:rsidR="00F51BDC" w:rsidRDefault="00F51BDC" w:rsidP="00F716D4">
      <w:r>
        <w:continuationSeparator/>
      </w:r>
    </w:p>
    <w:p w14:paraId="067EA0AE" w14:textId="77777777" w:rsidR="00F51BDC" w:rsidRDefault="00F51BDC" w:rsidP="00F716D4"/>
  </w:endnote>
  <w:endnote w:type="continuationNotice" w:id="1">
    <w:p w14:paraId="2F0A412A" w14:textId="77777777" w:rsidR="00F51BDC" w:rsidRDefault="00F51BD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F998D" w14:textId="77777777" w:rsidR="00F51BDC" w:rsidRDefault="00F51BDC" w:rsidP="00F716D4">
      <w:r>
        <w:separator/>
      </w:r>
    </w:p>
    <w:p w14:paraId="53729DFF" w14:textId="77777777" w:rsidR="00F51BDC" w:rsidRDefault="00F51BDC" w:rsidP="00F716D4"/>
  </w:footnote>
  <w:footnote w:type="continuationSeparator" w:id="0">
    <w:p w14:paraId="5A3C6919" w14:textId="77777777" w:rsidR="00F51BDC" w:rsidRDefault="00F51BDC" w:rsidP="00F716D4">
      <w:r>
        <w:continuationSeparator/>
      </w:r>
    </w:p>
    <w:p w14:paraId="5A98D1B3" w14:textId="77777777" w:rsidR="00F51BDC" w:rsidRDefault="00F51BDC" w:rsidP="00F716D4"/>
  </w:footnote>
  <w:footnote w:type="continuationNotice" w:id="1">
    <w:p w14:paraId="43AA1A4E" w14:textId="77777777" w:rsidR="00F51BDC" w:rsidRDefault="00F51BD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1895776278">
    <w:abstractNumId w:val="26"/>
  </w:num>
  <w:num w:numId="6" w16cid:durableId="208225584">
    <w:abstractNumId w:val="0"/>
  </w:num>
  <w:num w:numId="7" w16cid:durableId="1787233265">
    <w:abstractNumId w:val="3"/>
  </w:num>
  <w:num w:numId="8"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5551">
    <w:abstractNumId w:val="33"/>
  </w:num>
  <w:num w:numId="10"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4514">
    <w:abstractNumId w:val="29"/>
  </w:num>
  <w:num w:numId="13" w16cid:durableId="1500659627">
    <w:abstractNumId w:val="32"/>
  </w:num>
  <w:num w:numId="14" w16cid:durableId="1879658227">
    <w:abstractNumId w:val="23"/>
  </w:num>
  <w:num w:numId="15" w16cid:durableId="1495758855">
    <w:abstractNumId w:val="9"/>
  </w:num>
  <w:num w:numId="16" w16cid:durableId="1186556611">
    <w:abstractNumId w:val="1"/>
  </w:num>
  <w:num w:numId="17" w16cid:durableId="679087124">
    <w:abstractNumId w:val="14"/>
  </w:num>
  <w:num w:numId="18" w16cid:durableId="1695498691">
    <w:abstractNumId w:val="15"/>
  </w:num>
  <w:num w:numId="19" w16cid:durableId="1042363640">
    <w:abstractNumId w:val="17"/>
  </w:num>
  <w:num w:numId="20" w16cid:durableId="820345968">
    <w:abstractNumId w:val="28"/>
  </w:num>
  <w:num w:numId="21" w16cid:durableId="1805388212">
    <w:abstractNumId w:val="38"/>
  </w:num>
  <w:num w:numId="22" w16cid:durableId="538709007">
    <w:abstractNumId w:val="25"/>
  </w:num>
  <w:num w:numId="23" w16cid:durableId="104540172">
    <w:abstractNumId w:val="8"/>
  </w:num>
  <w:num w:numId="24" w16cid:durableId="1824349076">
    <w:abstractNumId w:val="31"/>
  </w:num>
  <w:num w:numId="25" w16cid:durableId="672032853">
    <w:abstractNumId w:val="30"/>
  </w:num>
  <w:num w:numId="26" w16cid:durableId="48917541">
    <w:abstractNumId w:val="20"/>
  </w:num>
  <w:num w:numId="27" w16cid:durableId="978925443">
    <w:abstractNumId w:val="34"/>
  </w:num>
  <w:num w:numId="28" w16cid:durableId="1036613928">
    <w:abstractNumId w:val="40"/>
  </w:num>
  <w:num w:numId="29" w16cid:durableId="872039349">
    <w:abstractNumId w:val="6"/>
  </w:num>
  <w:num w:numId="30" w16cid:durableId="924530660">
    <w:abstractNumId w:val="2"/>
  </w:num>
  <w:num w:numId="31" w16cid:durableId="419180233">
    <w:abstractNumId w:val="22"/>
  </w:num>
  <w:num w:numId="32" w16cid:durableId="276761337">
    <w:abstractNumId w:val="21"/>
  </w:num>
  <w:num w:numId="33" w16cid:durableId="1166238383">
    <w:abstractNumId w:val="36"/>
  </w:num>
  <w:num w:numId="34" w16cid:durableId="2076850202">
    <w:abstractNumId w:val="35"/>
  </w:num>
  <w:num w:numId="35" w16cid:durableId="1997804421">
    <w:abstractNumId w:val="4"/>
  </w:num>
  <w:num w:numId="36" w16cid:durableId="1693411807">
    <w:abstractNumId w:val="37"/>
  </w:num>
  <w:num w:numId="37" w16cid:durableId="469176496">
    <w:abstractNumId w:val="12"/>
  </w:num>
  <w:num w:numId="38" w16cid:durableId="378477852">
    <w:abstractNumId w:val="10"/>
  </w:num>
  <w:num w:numId="39" w16cid:durableId="674843309">
    <w:abstractNumId w:val="18"/>
  </w:num>
  <w:num w:numId="40" w16cid:durableId="371465490">
    <w:abstractNumId w:val="27"/>
  </w:num>
  <w:num w:numId="41" w16cid:durableId="1954971501">
    <w:abstractNumId w:val="41"/>
  </w:num>
  <w:num w:numId="42" w16cid:durableId="943458125">
    <w:abstractNumId w:val="41"/>
  </w:num>
  <w:num w:numId="43" w16cid:durableId="2080710832">
    <w:abstractNumId w:val="41"/>
  </w:num>
  <w:num w:numId="44" w16cid:durableId="1957326863">
    <w:abstractNumId w:val="41"/>
    <w:lvlOverride w:ilvl="0">
      <w:startOverride w:val="1"/>
    </w:lvlOverride>
  </w:num>
  <w:num w:numId="45" w16cid:durableId="461270905">
    <w:abstractNumId w:val="41"/>
  </w:num>
  <w:num w:numId="46" w16cid:durableId="1405949489">
    <w:abstractNumId w:val="41"/>
    <w:lvlOverride w:ilvl="0">
      <w:startOverride w:val="1"/>
    </w:lvlOverride>
  </w:num>
  <w:num w:numId="47" w16cid:durableId="135549798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3D7F"/>
    <w:rsid w:val="0007463D"/>
    <w:rsid w:val="00074979"/>
    <w:rsid w:val="000749F0"/>
    <w:rsid w:val="0007609D"/>
    <w:rsid w:val="00077C67"/>
    <w:rsid w:val="00080976"/>
    <w:rsid w:val="00081CEB"/>
    <w:rsid w:val="00081E60"/>
    <w:rsid w:val="00082D8E"/>
    <w:rsid w:val="00082E31"/>
    <w:rsid w:val="00083AA3"/>
    <w:rsid w:val="00085947"/>
    <w:rsid w:val="000868FE"/>
    <w:rsid w:val="00087477"/>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6EEC"/>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6FA5"/>
    <w:rsid w:val="001C0344"/>
    <w:rsid w:val="001C0F2A"/>
    <w:rsid w:val="001C1A59"/>
    <w:rsid w:val="001C270F"/>
    <w:rsid w:val="001C43B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989"/>
    <w:rsid w:val="001E407D"/>
    <w:rsid w:val="001E40FB"/>
    <w:rsid w:val="001E66EC"/>
    <w:rsid w:val="001E68C5"/>
    <w:rsid w:val="001E6BFC"/>
    <w:rsid w:val="001F0F63"/>
    <w:rsid w:val="001F3996"/>
    <w:rsid w:val="001F4154"/>
    <w:rsid w:val="001F44A4"/>
    <w:rsid w:val="001F579D"/>
    <w:rsid w:val="001F65EF"/>
    <w:rsid w:val="001F697B"/>
    <w:rsid w:val="002005A6"/>
    <w:rsid w:val="00204CBC"/>
    <w:rsid w:val="002051F1"/>
    <w:rsid w:val="00205AB0"/>
    <w:rsid w:val="002067BA"/>
    <w:rsid w:val="00206FFE"/>
    <w:rsid w:val="0021058D"/>
    <w:rsid w:val="00211E2F"/>
    <w:rsid w:val="00211E9E"/>
    <w:rsid w:val="00214FB4"/>
    <w:rsid w:val="00215940"/>
    <w:rsid w:val="00217C23"/>
    <w:rsid w:val="00220561"/>
    <w:rsid w:val="00220CE4"/>
    <w:rsid w:val="00222D9B"/>
    <w:rsid w:val="00222E43"/>
    <w:rsid w:val="0022309F"/>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2F5CA7"/>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23D7"/>
    <w:rsid w:val="00323D9F"/>
    <w:rsid w:val="00324FDB"/>
    <w:rsid w:val="00325BFA"/>
    <w:rsid w:val="00325F48"/>
    <w:rsid w:val="00330CCD"/>
    <w:rsid w:val="0033194F"/>
    <w:rsid w:val="00332103"/>
    <w:rsid w:val="00332304"/>
    <w:rsid w:val="00332406"/>
    <w:rsid w:val="00332D8D"/>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926C1"/>
    <w:rsid w:val="00392900"/>
    <w:rsid w:val="00393357"/>
    <w:rsid w:val="00395E7B"/>
    <w:rsid w:val="00395F4C"/>
    <w:rsid w:val="00396761"/>
    <w:rsid w:val="003A46A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6EC5"/>
    <w:rsid w:val="00410240"/>
    <w:rsid w:val="00412253"/>
    <w:rsid w:val="004142ED"/>
    <w:rsid w:val="00415476"/>
    <w:rsid w:val="0041634D"/>
    <w:rsid w:val="00416ABC"/>
    <w:rsid w:val="00417EF7"/>
    <w:rsid w:val="0042075D"/>
    <w:rsid w:val="00422A7D"/>
    <w:rsid w:val="00422BFC"/>
    <w:rsid w:val="00424642"/>
    <w:rsid w:val="00425ABB"/>
    <w:rsid w:val="00425BB6"/>
    <w:rsid w:val="00425E9D"/>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9C2"/>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14F"/>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6E4"/>
    <w:rsid w:val="005D4A86"/>
    <w:rsid w:val="005D5EB1"/>
    <w:rsid w:val="005D6A29"/>
    <w:rsid w:val="005D709E"/>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B5B"/>
    <w:rsid w:val="008367AE"/>
    <w:rsid w:val="00836E50"/>
    <w:rsid w:val="00837669"/>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75EB"/>
    <w:rsid w:val="00861098"/>
    <w:rsid w:val="00862DDD"/>
    <w:rsid w:val="0086326D"/>
    <w:rsid w:val="00863CC1"/>
    <w:rsid w:val="00865B01"/>
    <w:rsid w:val="00866D7A"/>
    <w:rsid w:val="00866EE3"/>
    <w:rsid w:val="00871F04"/>
    <w:rsid w:val="008746C1"/>
    <w:rsid w:val="00880224"/>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ABE"/>
    <w:rsid w:val="008D3F10"/>
    <w:rsid w:val="008D611D"/>
    <w:rsid w:val="008D7147"/>
    <w:rsid w:val="008D7AC4"/>
    <w:rsid w:val="008E1B6A"/>
    <w:rsid w:val="008E3054"/>
    <w:rsid w:val="008E32FF"/>
    <w:rsid w:val="008E5625"/>
    <w:rsid w:val="008E5C5B"/>
    <w:rsid w:val="008E6A37"/>
    <w:rsid w:val="008F0354"/>
    <w:rsid w:val="008F085A"/>
    <w:rsid w:val="008F0F8E"/>
    <w:rsid w:val="008F1462"/>
    <w:rsid w:val="008F2413"/>
    <w:rsid w:val="008F248D"/>
    <w:rsid w:val="008F4B2C"/>
    <w:rsid w:val="008F4C08"/>
    <w:rsid w:val="008F6851"/>
    <w:rsid w:val="008F6CD6"/>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32"/>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DBF"/>
    <w:rsid w:val="0097606C"/>
    <w:rsid w:val="00976C29"/>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424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92"/>
    <w:rsid w:val="00A113FD"/>
    <w:rsid w:val="00A115EE"/>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4ED"/>
    <w:rsid w:val="00A74F9F"/>
    <w:rsid w:val="00A750B3"/>
    <w:rsid w:val="00A75559"/>
    <w:rsid w:val="00A7623D"/>
    <w:rsid w:val="00A8217C"/>
    <w:rsid w:val="00A824A7"/>
    <w:rsid w:val="00A829A3"/>
    <w:rsid w:val="00A83644"/>
    <w:rsid w:val="00A83C07"/>
    <w:rsid w:val="00A83F40"/>
    <w:rsid w:val="00A84945"/>
    <w:rsid w:val="00A85543"/>
    <w:rsid w:val="00A86EDD"/>
    <w:rsid w:val="00A8728B"/>
    <w:rsid w:val="00A90D80"/>
    <w:rsid w:val="00A91682"/>
    <w:rsid w:val="00A92125"/>
    <w:rsid w:val="00A92E4A"/>
    <w:rsid w:val="00A958CA"/>
    <w:rsid w:val="00A966B6"/>
    <w:rsid w:val="00A96B46"/>
    <w:rsid w:val="00AA003B"/>
    <w:rsid w:val="00AA016B"/>
    <w:rsid w:val="00AA15DD"/>
    <w:rsid w:val="00AA1C09"/>
    <w:rsid w:val="00AA2F67"/>
    <w:rsid w:val="00AA3569"/>
    <w:rsid w:val="00AA4E12"/>
    <w:rsid w:val="00AA5F4C"/>
    <w:rsid w:val="00AA615C"/>
    <w:rsid w:val="00AA6276"/>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FF2"/>
    <w:rsid w:val="00AD2225"/>
    <w:rsid w:val="00AD2A21"/>
    <w:rsid w:val="00AD3B43"/>
    <w:rsid w:val="00AD4FF2"/>
    <w:rsid w:val="00AD506C"/>
    <w:rsid w:val="00AD6BE5"/>
    <w:rsid w:val="00AD783E"/>
    <w:rsid w:val="00AE1393"/>
    <w:rsid w:val="00AE3BC6"/>
    <w:rsid w:val="00AE4D4F"/>
    <w:rsid w:val="00AE627C"/>
    <w:rsid w:val="00AE62B0"/>
    <w:rsid w:val="00AE68A2"/>
    <w:rsid w:val="00AE6B4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E71"/>
    <w:rsid w:val="00B66C26"/>
    <w:rsid w:val="00B67829"/>
    <w:rsid w:val="00B7075D"/>
    <w:rsid w:val="00B71FB3"/>
    <w:rsid w:val="00B725EE"/>
    <w:rsid w:val="00B73492"/>
    <w:rsid w:val="00B7512A"/>
    <w:rsid w:val="00B76548"/>
    <w:rsid w:val="00B76BED"/>
    <w:rsid w:val="00B806E6"/>
    <w:rsid w:val="00B82001"/>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50"/>
    <w:rsid w:val="00C2094B"/>
    <w:rsid w:val="00C20DC5"/>
    <w:rsid w:val="00C228C1"/>
    <w:rsid w:val="00C2294E"/>
    <w:rsid w:val="00C22A5B"/>
    <w:rsid w:val="00C23412"/>
    <w:rsid w:val="00C238DE"/>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269B"/>
    <w:rsid w:val="00C43D33"/>
    <w:rsid w:val="00C44407"/>
    <w:rsid w:val="00C456E8"/>
    <w:rsid w:val="00C46630"/>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811"/>
    <w:rsid w:val="00C96C1E"/>
    <w:rsid w:val="00C96CA4"/>
    <w:rsid w:val="00CA012C"/>
    <w:rsid w:val="00CA0AA6"/>
    <w:rsid w:val="00CA2897"/>
    <w:rsid w:val="00CA2A2F"/>
    <w:rsid w:val="00CA42F0"/>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63F5"/>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AFC"/>
    <w:rsid w:val="00D76D88"/>
    <w:rsid w:val="00D77CC9"/>
    <w:rsid w:val="00D83D4B"/>
    <w:rsid w:val="00D871C6"/>
    <w:rsid w:val="00D91010"/>
    <w:rsid w:val="00D9143D"/>
    <w:rsid w:val="00D920D1"/>
    <w:rsid w:val="00DA0FA7"/>
    <w:rsid w:val="00DA12B0"/>
    <w:rsid w:val="00DA2BA0"/>
    <w:rsid w:val="00DA39AD"/>
    <w:rsid w:val="00DA4EF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61F5"/>
    <w:rsid w:val="00DD7418"/>
    <w:rsid w:val="00DE64A6"/>
    <w:rsid w:val="00DE66EB"/>
    <w:rsid w:val="00DE7035"/>
    <w:rsid w:val="00DF12E3"/>
    <w:rsid w:val="00DF2A20"/>
    <w:rsid w:val="00DF3F1D"/>
    <w:rsid w:val="00DF466C"/>
    <w:rsid w:val="00DF595C"/>
    <w:rsid w:val="00DF7AB8"/>
    <w:rsid w:val="00DF7EA7"/>
    <w:rsid w:val="00E033B1"/>
    <w:rsid w:val="00E04548"/>
    <w:rsid w:val="00E0484E"/>
    <w:rsid w:val="00E063F8"/>
    <w:rsid w:val="00E114D6"/>
    <w:rsid w:val="00E1166E"/>
    <w:rsid w:val="00E116F5"/>
    <w:rsid w:val="00E11DBD"/>
    <w:rsid w:val="00E13211"/>
    <w:rsid w:val="00E16FB5"/>
    <w:rsid w:val="00E179D6"/>
    <w:rsid w:val="00E20D5D"/>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A71"/>
    <w:rsid w:val="00E46A7F"/>
    <w:rsid w:val="00E47430"/>
    <w:rsid w:val="00E47EB5"/>
    <w:rsid w:val="00E50FB7"/>
    <w:rsid w:val="00E5199F"/>
    <w:rsid w:val="00E526DF"/>
    <w:rsid w:val="00E5382D"/>
    <w:rsid w:val="00E53C15"/>
    <w:rsid w:val="00E54EE6"/>
    <w:rsid w:val="00E56715"/>
    <w:rsid w:val="00E56C2C"/>
    <w:rsid w:val="00E57F8E"/>
    <w:rsid w:val="00E611C8"/>
    <w:rsid w:val="00E6344A"/>
    <w:rsid w:val="00E64E69"/>
    <w:rsid w:val="00E64FB7"/>
    <w:rsid w:val="00E669A1"/>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713B"/>
    <w:rsid w:val="00E90774"/>
    <w:rsid w:val="00E90C61"/>
    <w:rsid w:val="00E92A82"/>
    <w:rsid w:val="00E92AA8"/>
    <w:rsid w:val="00E9344E"/>
    <w:rsid w:val="00E93E36"/>
    <w:rsid w:val="00E93E39"/>
    <w:rsid w:val="00E94391"/>
    <w:rsid w:val="00E96A69"/>
    <w:rsid w:val="00E97E2B"/>
    <w:rsid w:val="00EA08CA"/>
    <w:rsid w:val="00EA0C0C"/>
    <w:rsid w:val="00EA2AEA"/>
    <w:rsid w:val="00EA332B"/>
    <w:rsid w:val="00EA3D36"/>
    <w:rsid w:val="00EA40AA"/>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4A9"/>
    <w:rsid w:val="00EF61C1"/>
    <w:rsid w:val="00EF6E68"/>
    <w:rsid w:val="00EF76DB"/>
    <w:rsid w:val="00F005FD"/>
    <w:rsid w:val="00F016BE"/>
    <w:rsid w:val="00F02C04"/>
    <w:rsid w:val="00F02F7B"/>
    <w:rsid w:val="00F03AF1"/>
    <w:rsid w:val="00F04BCD"/>
    <w:rsid w:val="00F05A8C"/>
    <w:rsid w:val="00F06211"/>
    <w:rsid w:val="00F107EF"/>
    <w:rsid w:val="00F10A54"/>
    <w:rsid w:val="00F123D0"/>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1BDC"/>
    <w:rsid w:val="00F52221"/>
    <w:rsid w:val="00F52B28"/>
    <w:rsid w:val="00F52C61"/>
    <w:rsid w:val="00F531D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26F"/>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4F94"/>
    <w:rsid w:val="00FC506C"/>
    <w:rsid w:val="00FC578C"/>
    <w:rsid w:val="00FC5A37"/>
    <w:rsid w:val="00FC6BA4"/>
    <w:rsid w:val="00FC7836"/>
    <w:rsid w:val="00FD13EA"/>
    <w:rsid w:val="00FD5EC4"/>
    <w:rsid w:val="00FD7858"/>
    <w:rsid w:val="00FD7A8D"/>
    <w:rsid w:val="00FE03FD"/>
    <w:rsid w:val="00FE1330"/>
    <w:rsid w:val="00FE1CE5"/>
    <w:rsid w:val="00FE2832"/>
    <w:rsid w:val="00FE2D38"/>
    <w:rsid w:val="00FE2FBE"/>
    <w:rsid w:val="00FE3929"/>
    <w:rsid w:val="00FE3E32"/>
    <w:rsid w:val="00FE5BC8"/>
    <w:rsid w:val="00FE5C63"/>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styleId="NoSpacing">
    <w:name w:val="No Spacing"/>
    <w:uiPriority w:val="1"/>
    <w:qFormat/>
    <w:locked/>
    <w:rsid w:val="00AD2225"/>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439</Value>
      <Value>103</Value>
      <Value>8</Value>
      <Value>890</Value>
    </TaxCatchAll>
    <_dlc_DocId xmlns="d0fb0f98-34f9-4d57-9559-eb8efd17aa5e">ESMA74-2134169708-7252</_dlc_DocId>
    <_dlc_DocIdUrl xmlns="d0fb0f98-34f9-4d57-9559-eb8efd17aa5e">
      <Url>https://securitiesandmarketsauth.sharepoint.com/sites/sherpa-trdu/_layouts/15/DocIdRedir.aspx?ID=ESMA74-2134169708-7252</Url>
      <Description>ESMA74-2134169708-7252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Transparency - CTP</TermName>
          <TermId xmlns="http://schemas.microsoft.com/office/infopath/2007/PartnerControls">ee68b67c-7bee-4716-8565-092a9e66d623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CTP - RTSs under MiFIR review</TermName>
          <TermId xmlns="http://schemas.microsoft.com/office/infopath/2007/PartnerControls">58086047-22d3-4d57-aa26-7b8a3827ba4d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8BEF7D98-7D2A-4B29-A181-BDBE45321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4829</Words>
  <Characters>27529</Characters>
  <Application>Microsoft Office Word</Application>
  <DocSecurity>8</DocSecurity>
  <Lines>229</Lines>
  <Paragraphs>64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32294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Bullen</cp:lastModifiedBy>
  <cp:revision>3</cp:revision>
  <cp:lastPrinted>2015-02-18T11:01:00Z</cp:lastPrinted>
  <dcterms:created xsi:type="dcterms:W3CDTF">2024-08-27T16:51:00Z</dcterms:created>
  <dcterms:modified xsi:type="dcterms:W3CDTF">2024-08-27T17:37:00Z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f7d1d784-d6c1-4a78-81a1-b11ce5ea9d2c</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