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Untertitel"/>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2383A84"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enabsatz"/>
        <w:numPr>
          <w:ilvl w:val="0"/>
          <w:numId w:val="39"/>
        </w:numPr>
        <w:contextualSpacing w:val="0"/>
      </w:pPr>
      <w:r w:rsidRPr="005B6B12">
        <w:t>respond to the question stated;</w:t>
      </w:r>
    </w:p>
    <w:p w14:paraId="73161343" w14:textId="77777777" w:rsidR="00E70E2E" w:rsidRPr="005B6B12" w:rsidRDefault="00E70E2E" w:rsidP="00E70E2E">
      <w:pPr>
        <w:pStyle w:val="Listenabsatz"/>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enabsatz"/>
        <w:numPr>
          <w:ilvl w:val="0"/>
          <w:numId w:val="39"/>
        </w:numPr>
        <w:contextualSpacing w:val="0"/>
      </w:pPr>
      <w:r w:rsidRPr="005B6B12">
        <w:t>contain a clear rationale; and</w:t>
      </w:r>
    </w:p>
    <w:p w14:paraId="30D73002" w14:textId="77777777" w:rsidR="00E70E2E" w:rsidRPr="005B6B12" w:rsidRDefault="00E70E2E" w:rsidP="00E70E2E">
      <w:pPr>
        <w:pStyle w:val="Listenabsatz"/>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enabsatz"/>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enabsatz"/>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enabsatz"/>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enabsatz"/>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enabsatz"/>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enabsatz"/>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rPr>
            <w:id w:val="651570699"/>
            <w:text/>
          </w:sdtPr>
          <w:sdtEndPr>
            <w:rPr>
              <w:rStyle w:val="Platzhaltertext"/>
            </w:rPr>
          </w:sdtEndPr>
          <w:sdtContent>
            <w:tc>
              <w:tcPr>
                <w:tcW w:w="5595" w:type="dxa"/>
                <w:shd w:val="clear" w:color="auto" w:fill="auto"/>
                <w:vAlign w:val="center"/>
              </w:tcPr>
              <w:p w14:paraId="633DB1B6" w14:textId="504A0438" w:rsidR="00C2682A" w:rsidRPr="00104E00" w:rsidRDefault="00447288" w:rsidP="00104E00">
                <w:pPr>
                  <w:jc w:val="left"/>
                  <w:rPr>
                    <w:rStyle w:val="Platzhaltertext"/>
                  </w:rPr>
                </w:pPr>
                <w:r>
                  <w:rPr>
                    <w:rStyle w:val="Platzhaltertext"/>
                  </w:rPr>
                  <w:t>GBIC-German Banking Industry Committee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1C94B0A" w:rsidR="00C2682A" w:rsidRPr="00104E00" w:rsidRDefault="00CF69CF"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47288">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706D3EC2" w:rsidR="00C2682A" w:rsidRPr="00104E00" w:rsidRDefault="00447288"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288EC168" w:rsidR="00C2682A" w:rsidRPr="00104E00" w:rsidRDefault="00447288" w:rsidP="00104E00">
                <w:pPr>
                  <w:jc w:val="left"/>
                </w:pPr>
                <w:r>
                  <w:t>Germany</w:t>
                </w:r>
              </w:p>
            </w:tc>
          </w:sdtContent>
        </w:sdt>
      </w:tr>
      <w:permEnd w:id="1727412903"/>
    </w:tbl>
    <w:p w14:paraId="398E9C9E" w14:textId="10C9CC3D" w:rsidR="00C2682A" w:rsidRDefault="00C2682A" w:rsidP="00F716D4"/>
    <w:p w14:paraId="293D9661" w14:textId="08A2F101" w:rsidR="00BB1973" w:rsidRDefault="00BB1973" w:rsidP="00BB1973">
      <w:pPr>
        <w:pStyle w:val="berschrift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694B3729" w14:textId="05D9F980" w:rsidR="00CC59BB" w:rsidRDefault="00CC59BB" w:rsidP="00C54034">
      <w:pPr>
        <w:spacing w:after="0"/>
      </w:pPr>
      <w:permStart w:id="124340805" w:edGrp="everyone"/>
      <w:r>
        <w:t>TYPE YOUR TEXT HERE</w:t>
      </w: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59A0405A" w14:textId="0A61B9B2" w:rsidR="00CC59BB" w:rsidRDefault="00CC59BB" w:rsidP="00C54034">
      <w:pPr>
        <w:spacing w:after="0"/>
      </w:pPr>
      <w:permStart w:id="1947404220" w:edGrp="everyone"/>
      <w:r>
        <w:t>TYPE YOUR TEXT HERE</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0D2F37D3" w14:textId="77777777" w:rsidR="00CC59BB" w:rsidRDefault="00CC59BB" w:rsidP="00C54034">
      <w:pPr>
        <w:spacing w:after="0"/>
      </w:pPr>
      <w:permStart w:id="2005885194" w:edGrp="everyone"/>
      <w:r>
        <w:t>TYPE YOUR TEXT HERE</w:t>
      </w: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 xml:space="preserve">Q4: Do you consider that the proposed minimum requirements for the technical criteria related to performance are technically feasible, coherent with the objective of high-quality </w:t>
      </w:r>
      <w:r w:rsidRPr="00E20D5D">
        <w:rPr>
          <w:b/>
        </w:rPr>
        <w:lastRenderedPageBreak/>
        <w:t>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18C4F057" w14:textId="77777777" w:rsidR="00CC59BB" w:rsidRDefault="00CC59BB" w:rsidP="00C54034">
      <w:pPr>
        <w:spacing w:after="0"/>
      </w:pPr>
      <w:permStart w:id="1235513680" w:edGrp="everyone"/>
      <w:r>
        <w:t>TYPE YOUR TEXT HERE</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23D7346A" w14:textId="77777777" w:rsidR="00CC59BB" w:rsidRDefault="00CC59BB" w:rsidP="00C54034">
      <w:pPr>
        <w:spacing w:after="0"/>
      </w:pPr>
      <w:permStart w:id="864513806" w:edGrp="everyone"/>
      <w:r>
        <w:t>TYPE YOUR TEXT HERE</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2E916F10" w14:textId="77777777" w:rsidR="00CC59BB" w:rsidRDefault="00CC59BB" w:rsidP="00C54034">
      <w:pPr>
        <w:spacing w:after="0"/>
      </w:pPr>
      <w:permStart w:id="1293775397" w:edGrp="everyone"/>
      <w:r>
        <w:t>TYPE YOUR TEXT HERE</w:t>
      </w: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210AE453" w14:textId="77777777" w:rsidR="00CC59BB" w:rsidRDefault="00CC59BB" w:rsidP="00C54034">
      <w:pPr>
        <w:spacing w:after="0"/>
      </w:pPr>
      <w:permStart w:id="1076438526" w:edGrp="everyone"/>
      <w:r>
        <w:t>TYPE YOUR TEXT HERE</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049192E3" w14:textId="77777777" w:rsidR="00CC59BB" w:rsidRDefault="00CC59BB" w:rsidP="00C54034">
      <w:pPr>
        <w:spacing w:after="0"/>
      </w:pPr>
      <w:permStart w:id="1516253385" w:edGrp="everyone"/>
      <w:r>
        <w:t>TYPE YOUR TEXT HERE</w:t>
      </w:r>
    </w:p>
    <w:permEnd w:id="1516253385"/>
    <w:p w14:paraId="5FBCB5E0" w14:textId="2A13F39E" w:rsidR="00CC59BB" w:rsidRDefault="00CC59BB" w:rsidP="00C54034">
      <w:pPr>
        <w:spacing w:after="0"/>
      </w:pPr>
      <w:r>
        <w:lastRenderedPageBreak/>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5EEF290B" w14:textId="77777777" w:rsidR="00CC59BB" w:rsidRDefault="00CC59BB" w:rsidP="00C54034">
      <w:pPr>
        <w:spacing w:after="0"/>
      </w:pPr>
      <w:permStart w:id="869493798" w:edGrp="everyone"/>
      <w:r>
        <w:t>TYPE YOUR TEXT HERE</w:t>
      </w: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6C587E87" w14:textId="77777777" w:rsidR="00A37007" w:rsidRDefault="00A37007" w:rsidP="00447288">
      <w:pPr>
        <w:spacing w:after="0"/>
      </w:pPr>
      <w:permStart w:id="1673160559" w:edGrp="everyone"/>
      <w:r w:rsidRPr="00A37007">
        <w:t xml:space="preserve">The German Banking Industry Committee (GBIC) is the voice of the leading German banking-sector associations. These are the National Association of German Cooperative Banks (BVR), the Association of German Banks (BdB), the Association of German Public Banks (VÖB), the German Savings Banks Association (DSGV), and the Association of German </w:t>
      </w:r>
      <w:proofErr w:type="spellStart"/>
      <w:r w:rsidRPr="00A37007">
        <w:t>Pfandbrief</w:t>
      </w:r>
      <w:proofErr w:type="spellEnd"/>
      <w:r w:rsidRPr="00A37007">
        <w:t xml:space="preserve"> Banks (</w:t>
      </w:r>
      <w:proofErr w:type="spellStart"/>
      <w:r w:rsidRPr="00A37007">
        <w:t>vdp</w:t>
      </w:r>
      <w:proofErr w:type="spellEnd"/>
      <w:r w:rsidRPr="00A37007">
        <w:t>).</w:t>
      </w:r>
    </w:p>
    <w:p w14:paraId="4C51EC4F" w14:textId="77777777" w:rsidR="00A37007" w:rsidRDefault="00A37007" w:rsidP="00447288">
      <w:pPr>
        <w:spacing w:after="0"/>
      </w:pPr>
    </w:p>
    <w:p w14:paraId="7EC38141" w14:textId="19FAF9E8" w:rsidR="00447288" w:rsidRDefault="00447288" w:rsidP="00447288">
      <w:pPr>
        <w:spacing w:after="0"/>
      </w:pPr>
      <w:r>
        <w:t xml:space="preserve">We would like to remind ESMA of its own “Study on data formats and transmission </w:t>
      </w:r>
      <w:proofErr w:type="gramStart"/>
      <w:r>
        <w:t>protocols“ (</w:t>
      </w:r>
      <w:proofErr w:type="gramEnd"/>
      <w:r>
        <w:t xml:space="preserve">ESMA12-437499640-2360). In this study, ESMA itself acknowledges </w:t>
      </w:r>
      <w:proofErr w:type="gramStart"/>
      <w:r>
        <w:t>JSON‘</w:t>
      </w:r>
      <w:proofErr w:type="gramEnd"/>
      <w:r>
        <w:t xml:space="preserve">S „relatively low level of adoption: JSON is not as extensively embraced by the market data contributors for trade data distribution, which may result in a less </w:t>
      </w:r>
      <w:proofErr w:type="spellStart"/>
      <w:r>
        <w:t>favorable</w:t>
      </w:r>
      <w:proofErr w:type="spellEnd"/>
      <w:r>
        <w:t xml:space="preserve"> response among some data contributors“ (</w:t>
      </w:r>
      <w:proofErr w:type="spellStart"/>
      <w:r>
        <w:t>cf</w:t>
      </w:r>
      <w:proofErr w:type="spellEnd"/>
      <w:r>
        <w:t xml:space="preserve"> p. 125-126). This is not only true for trade data in a narrow sense but also for transaction data in a wider sense. We strongly encourage ESMA to stick to its own study that also includes a section entitled „Suggested actions for proofing the outcome of the </w:t>
      </w:r>
      <w:proofErr w:type="gramStart"/>
      <w:r>
        <w:t>study“</w:t>
      </w:r>
      <w:proofErr w:type="gramEnd"/>
      <w:r>
        <w:t xml:space="preserve">, namely the following actions: „With regards to the revision of ESMA technical choices, qualify in greater details the future needs and consider the current technical infrastructure’s constraints. […], conduct a proof of concept for validating the suitability and viability of the recommended </w:t>
      </w:r>
      <w:proofErr w:type="gramStart"/>
      <w:r>
        <w:t>solutions.“</w:t>
      </w:r>
      <w:proofErr w:type="gramEnd"/>
      <w:r>
        <w:t xml:space="preserve"> To our knowledge these actions have not been taken to date. Especially with a view to reporting obligations outside pre- and post-trade transparency, we would like to point out that XML is the format commonly implemented for reporting obligations. This applies both in the EU – e.g. for reports in accordance with EMIR, </w:t>
      </w:r>
      <w:proofErr w:type="spellStart"/>
      <w:r>
        <w:t>MiFIR</w:t>
      </w:r>
      <w:proofErr w:type="spellEnd"/>
      <w:r>
        <w:t xml:space="preserve"> and SFTR – as well as in the US – Dodd-Frank Act – and in Asia. Switching to JSON in those areas would be very cost-intensive and time-consuming without generating any practical benefits. It would also lead to a divergence of formats in the EU on the one hand and outside the EU on the other hand. This would hamper efficiency. Only if the outcome of ESMA’s yet to be taken above mentioned actions delivered clear positive results could a switch from XML to JSON be envisaged for the future. In any case, we’d strongly recommend not to introduce JSON with a big bang but, if at all, with a phased-in approach. Meaningful data is of utmost importance for </w:t>
      </w:r>
      <w:r>
        <w:lastRenderedPageBreak/>
        <w:t>keeping up market integrity. Against this backdrop, neither data delivery by investment firms nor data analyses by competent authorities must be hampered in any way. The best way to achieve this would be to keep the XML format.</w:t>
      </w:r>
    </w:p>
    <w:p w14:paraId="664F86CF" w14:textId="6C3D7812" w:rsidR="00CC59BB" w:rsidRDefault="00447288" w:rsidP="00447288">
      <w:pPr>
        <w:spacing w:after="0"/>
      </w:pPr>
      <w:r>
        <w:t>Moreover, we would like to question whether such a transition—which can only be cost-saving in the medium term at best—and which currently requires immense implementation efforts from all stakeholders, can be justified given the development of DLT (Distributed Ledger Technology). If, in the medium term, securities trading is shifted to DLT (even though there are not yet any market infrastructures approved under the DLT Pilot Regime, several applications have already been submitted), the need for reporting by market participants for a large portion of data concerning trading transparency will become redundant. In this context, a market-wide transition from a well-established and functioning system like XML does not appear to be justified from a cost-benefit analysis perspective.</w:t>
      </w: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709AF4D0" w14:textId="1430211D" w:rsidR="00CC59BB" w:rsidRDefault="00447288" w:rsidP="00C54034">
      <w:pPr>
        <w:spacing w:after="0"/>
      </w:pPr>
      <w:permStart w:id="1628839836" w:edGrp="everyone"/>
      <w:r w:rsidRPr="00447288">
        <w:t>Please see our answer to Q10.</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4BD36F6A" w14:textId="7B13C384" w:rsidR="00CC59BB" w:rsidRDefault="00447288" w:rsidP="00C54034">
      <w:pPr>
        <w:spacing w:after="0"/>
      </w:pPr>
      <w:permStart w:id="1550012690" w:edGrp="everyone"/>
      <w:r w:rsidRPr="00447288">
        <w:t>Please see our answer to Q10.</w:t>
      </w: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24AE9925" w14:textId="77777777" w:rsidR="00CC59BB" w:rsidRDefault="00CC59BB" w:rsidP="00C54034">
      <w:pPr>
        <w:spacing w:after="0"/>
      </w:pPr>
      <w:permStart w:id="1951602752" w:edGrp="everyone"/>
      <w:r>
        <w:t>TYPE YOUR TEXT HERE</w:t>
      </w: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lastRenderedPageBreak/>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0A1DB7A7" w14:textId="77777777" w:rsidR="00CC59BB" w:rsidRDefault="00CC59BB" w:rsidP="00C54034">
      <w:pPr>
        <w:spacing w:after="0"/>
      </w:pPr>
      <w:permStart w:id="871322226" w:edGrp="everyone"/>
      <w:r>
        <w:t>TYPE YOUR TEXT HERE</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2CF74206" w14:textId="77777777" w:rsidR="00CC59BB" w:rsidRDefault="00CC59BB" w:rsidP="00C54034">
      <w:pPr>
        <w:spacing w:after="0"/>
      </w:pPr>
      <w:permStart w:id="1530005966" w:edGrp="everyone"/>
      <w:r>
        <w:t>TYPE YOUR TEXT HERE</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37DE7513" w14:textId="77777777" w:rsidR="00CC59BB" w:rsidRDefault="00CC59BB" w:rsidP="00C54034">
      <w:pPr>
        <w:spacing w:after="0"/>
      </w:pPr>
      <w:permStart w:id="1731550419" w:edGrp="everyone"/>
      <w:r>
        <w:t>TYPE YOUR TEXT HERE</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78180F43" w14:textId="77777777" w:rsidR="00CC59BB" w:rsidRDefault="00CC59BB" w:rsidP="00C54034">
      <w:pPr>
        <w:spacing w:after="0"/>
      </w:pPr>
      <w:permStart w:id="1212295819" w:edGrp="everyone"/>
      <w:r>
        <w:t>TYPE YOUR TEXT HERE</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4DCE5838" w14:textId="77777777" w:rsidR="00CC59BB" w:rsidRDefault="00CC59BB" w:rsidP="00C54034">
      <w:pPr>
        <w:spacing w:after="0"/>
      </w:pPr>
      <w:permStart w:id="1367754514" w:edGrp="everyone"/>
      <w:r>
        <w:t>TYPE YOUR TEXT HERE</w:t>
      </w: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lastRenderedPageBreak/>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5BCF67F2" w14:textId="77777777" w:rsidR="00CC59BB" w:rsidRDefault="00CC59BB" w:rsidP="00C54034">
      <w:pPr>
        <w:spacing w:after="0"/>
      </w:pPr>
      <w:permStart w:id="1244420503" w:edGrp="everyone"/>
      <w:r>
        <w:t>TYPE YOUR TEXT HERE</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1EBE3E0A" w14:textId="77777777" w:rsidR="00CC59BB" w:rsidRDefault="00CC59BB" w:rsidP="00C54034">
      <w:pPr>
        <w:spacing w:after="0"/>
      </w:pPr>
      <w:permStart w:id="356003362" w:edGrp="everyone"/>
      <w:r>
        <w:t>TYPE YOUR TEXT HERE</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224DD2F7" w14:textId="77777777" w:rsidR="00CC59BB" w:rsidRDefault="00CC59BB" w:rsidP="00C54034">
      <w:pPr>
        <w:spacing w:after="0"/>
      </w:pPr>
      <w:permStart w:id="780153713" w:edGrp="everyone"/>
      <w:r>
        <w:t>TYPE YOUR TEXT HERE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77777777" w:rsidR="00CC59BB" w:rsidRDefault="00CC59BB" w:rsidP="00C54034">
      <w:pPr>
        <w:spacing w:after="0"/>
      </w:pPr>
      <w:permStart w:id="1310265670" w:edGrp="everyone"/>
      <w:r>
        <w:t>TYPE YOUR TEXT HERE</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18FF0F4B" w14:textId="77777777" w:rsidR="00CC59BB" w:rsidRDefault="00CC59BB" w:rsidP="00C54034">
      <w:pPr>
        <w:spacing w:after="0"/>
      </w:pPr>
      <w:permStart w:id="1711693936" w:edGrp="everyone"/>
      <w:r>
        <w:t>TYPE YOUR TEXT HERE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lastRenderedPageBreak/>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2E4AEEE6" w14:textId="77777777" w:rsidR="00CC59BB" w:rsidRDefault="00CC59BB" w:rsidP="00C54034">
      <w:pPr>
        <w:spacing w:after="0"/>
      </w:pPr>
      <w:permStart w:id="1126446852" w:edGrp="everyone"/>
      <w:r>
        <w:t>TYPE YOUR TEXT HERE</w:t>
      </w: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D4F0CA9" w14:textId="77777777" w:rsidR="00CC59BB" w:rsidRDefault="00CC59BB" w:rsidP="00C54034">
      <w:pPr>
        <w:spacing w:after="0"/>
      </w:pPr>
      <w:permStart w:id="1428125549" w:edGrp="everyone"/>
      <w:r>
        <w:t>TYPE YOUR TEXT HERE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0FF5B233" w14:textId="77777777" w:rsidR="00CC59BB" w:rsidRDefault="00CC59BB" w:rsidP="00C54034">
      <w:pPr>
        <w:spacing w:after="0"/>
      </w:pPr>
      <w:permStart w:id="1672500431" w:edGrp="everyone"/>
      <w:r>
        <w:t>TYPE YOUR TEXT HERE</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1BF3CF14" w14:textId="77777777" w:rsidR="00A829A3" w:rsidRDefault="00A829A3" w:rsidP="00A829A3">
      <w:pPr>
        <w:spacing w:after="0"/>
      </w:pPr>
      <w:permStart w:id="837814293" w:edGrp="everyone"/>
      <w:r>
        <w:t>TYPE YOUR TEXT HERE</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B530A70" w14:textId="77777777" w:rsidR="00895D2F" w:rsidRDefault="00895D2F" w:rsidP="00895D2F">
      <w:pPr>
        <w:spacing w:after="0"/>
      </w:pPr>
      <w:permStart w:id="940985663" w:edGrp="everyone"/>
      <w:r>
        <w:t>TYPE YOUR TEXT HERE</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lastRenderedPageBreak/>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77777777" w:rsidR="00B7075D" w:rsidRDefault="00B7075D" w:rsidP="00B7075D">
      <w:pPr>
        <w:spacing w:after="0"/>
      </w:pPr>
      <w:permStart w:id="597502729" w:edGrp="everyone"/>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77777777" w:rsidR="00317903" w:rsidRDefault="00317903" w:rsidP="00317903">
      <w:pPr>
        <w:spacing w:after="0"/>
      </w:pPr>
      <w:permStart w:id="482488026" w:edGrp="everyone"/>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691E0780" w14:textId="77777777" w:rsidR="00EB4F95" w:rsidRDefault="00EB4F95" w:rsidP="00EB4F95">
      <w:pPr>
        <w:spacing w:after="0"/>
      </w:pPr>
      <w:permStart w:id="807415494" w:edGrp="everyone"/>
      <w:r>
        <w:t>TYPE YOUR TEXT HERE</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77777777" w:rsidR="00F02F7B" w:rsidRDefault="00F02F7B" w:rsidP="00F02F7B">
      <w:pPr>
        <w:spacing w:after="0"/>
      </w:pPr>
      <w:permStart w:id="1228743613" w:edGrp="everyone"/>
      <w:r>
        <w:t>TYPE YOUR TEXT HERE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0CFB945E" w14:textId="77777777" w:rsidR="00E5382D" w:rsidRDefault="00E5382D" w:rsidP="00E5382D">
      <w:pPr>
        <w:spacing w:after="0"/>
      </w:pPr>
      <w:permStart w:id="171330661" w:edGrp="everyone"/>
      <w:r>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lastRenderedPageBreak/>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77777777" w:rsidR="00E96A69" w:rsidRDefault="00E96A69" w:rsidP="00E96A69">
      <w:pPr>
        <w:spacing w:after="0"/>
      </w:pPr>
      <w:permStart w:id="1032663094" w:edGrp="everyone"/>
      <w:r>
        <w:t>TYPE YOUR TEXT HERE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77777777" w:rsidR="00B82001" w:rsidRDefault="00B82001" w:rsidP="00B82001">
      <w:pPr>
        <w:spacing w:after="0"/>
      </w:pPr>
      <w:permStart w:id="2095275527" w:edGrp="everyone"/>
      <w:r>
        <w:t>TYPE YOUR TEXT HERE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77777777" w:rsidR="0063150B" w:rsidRDefault="0063150B" w:rsidP="0063150B">
      <w:pPr>
        <w:spacing w:after="0"/>
      </w:pPr>
      <w:permStart w:id="1752252469" w:edGrp="everyone"/>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73D26F2F" w14:textId="77777777" w:rsidR="00FE03FD" w:rsidRDefault="00FE03FD" w:rsidP="00FE03FD">
      <w:pPr>
        <w:spacing w:after="0"/>
      </w:pPr>
      <w:permStart w:id="1398626331" w:edGrp="everyone"/>
      <w:r>
        <w:t>TYPE YOUR TEXT HERE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lastRenderedPageBreak/>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77777777" w:rsidR="0042075D" w:rsidRDefault="0042075D" w:rsidP="0042075D">
      <w:pPr>
        <w:spacing w:after="0"/>
      </w:pPr>
      <w:permStart w:id="1709841151" w:edGrp="everyone"/>
      <w:r>
        <w:t>TYPE YOUR TEXT HERE</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77777777" w:rsidR="00C238DE" w:rsidRDefault="00C238DE" w:rsidP="00C238DE">
      <w:pPr>
        <w:spacing w:after="0"/>
      </w:pPr>
      <w:permStart w:id="869819836" w:edGrp="everyone"/>
      <w:r>
        <w:t>TYPE YOUR TEXT HERE</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3D441AF3" w:rsidR="00325BFA" w:rsidRDefault="00447288" w:rsidP="00325BFA">
      <w:pPr>
        <w:spacing w:after="0"/>
      </w:pPr>
      <w:permStart w:id="1264664054" w:edGrp="everyone"/>
      <w:r w:rsidRPr="00447288">
        <w:t>For DPEs, which primarily provide the service of reporting and are far from conducting trading activities to a significant extent, the proposed maximum divergence and the granularity of the timestamp are not justifiable. A maximum divergence from UTC of one millisecond is not even practical for most trading applications, let alone reporting entities whose systems – as ESMA correctly states in para 192 on page 78 of the consultation paper - are less complex and thus, less sophisticated.</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3575728" w14:textId="77777777" w:rsidR="00325BFA" w:rsidRDefault="00325BFA" w:rsidP="00325BFA">
      <w:pPr>
        <w:spacing w:after="0"/>
      </w:pPr>
      <w:permStart w:id="370947726" w:edGrp="everyone"/>
      <w:r>
        <w:t>TYPE YOUR TEXT HERE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lastRenderedPageBreak/>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AC8BFCF" w14:textId="77777777" w:rsidR="00E84390" w:rsidRDefault="00E84390" w:rsidP="00E84390">
      <w:pPr>
        <w:spacing w:after="0"/>
      </w:pPr>
      <w:permStart w:id="49502870" w:edGrp="everyone"/>
      <w:r>
        <w:t>TYPE YOUR TEXT HERE</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3BE331A3" w14:textId="77777777" w:rsidR="00EA6FF7" w:rsidRDefault="00EA6FF7" w:rsidP="00EA6FF7">
      <w:pPr>
        <w:spacing w:after="0"/>
      </w:pPr>
      <w:permStart w:id="1970298969" w:edGrp="everyone"/>
      <w:r>
        <w:t>TYPE YOUR TEXT HERE</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lastRenderedPageBreak/>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260F6C8" w14:textId="77777777" w:rsidR="007D5820" w:rsidRDefault="007D5820" w:rsidP="007D5820">
      <w:pPr>
        <w:spacing w:after="0"/>
      </w:pPr>
      <w:permStart w:id="1930500106" w:edGrp="everyone"/>
      <w:r>
        <w:t>TYPE YOUR TEXT HERE</w:t>
      </w: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12E5964B" w14:textId="77777777" w:rsidR="007D5820" w:rsidRDefault="007D5820" w:rsidP="007D5820">
      <w:pPr>
        <w:spacing w:after="0"/>
      </w:pPr>
      <w:permStart w:id="620656595" w:edGrp="everyone"/>
      <w:r>
        <w:t>TYPE YOUR TEXT HERE</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77777777" w:rsidR="007D5820" w:rsidRDefault="007D5820" w:rsidP="007D5820">
      <w:pPr>
        <w:spacing w:after="0"/>
      </w:pPr>
      <w:permStart w:id="848196049" w:edGrp="everyone"/>
      <w:r>
        <w:t>TYPE YOUR TEXT HERE</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76467AB7" w14:textId="77777777" w:rsidR="009041BC" w:rsidRDefault="009041BC" w:rsidP="009041BC">
      <w:pPr>
        <w:spacing w:after="0"/>
      </w:pPr>
      <w:permStart w:id="1716729438" w:edGrp="everyone"/>
      <w:r>
        <w:lastRenderedPageBreak/>
        <w:t>TYPE YOUR TEXT HERE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67B1B791" w14:textId="77777777" w:rsidR="009041BC" w:rsidRDefault="009041BC" w:rsidP="009041BC">
      <w:pPr>
        <w:spacing w:after="0"/>
      </w:pPr>
      <w:permStart w:id="1469972975" w:edGrp="everyone"/>
      <w:r>
        <w:t>TYPE YOUR TEXT HERE</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199BD034" w14:textId="77777777" w:rsidR="009041BC" w:rsidRDefault="009041BC" w:rsidP="009041BC">
      <w:pPr>
        <w:spacing w:after="0"/>
      </w:pPr>
      <w:permStart w:id="13111793" w:edGrp="everyone"/>
      <w:r>
        <w:t>TYPE YOUR TEXT HERE</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87307F3" w14:textId="77777777" w:rsidR="009041BC" w:rsidRDefault="009041BC" w:rsidP="009041BC">
      <w:pPr>
        <w:spacing w:after="0"/>
      </w:pPr>
      <w:permStart w:id="1938057666" w:edGrp="everyone"/>
      <w:r>
        <w:t>TYPE YOUR TEXT HERE</w:t>
      </w:r>
    </w:p>
    <w:permEnd w:id="1938057666"/>
    <w:p w14:paraId="3004D2A4" w14:textId="18D5DA6F" w:rsidR="009041BC" w:rsidRDefault="009041BC" w:rsidP="009041BC">
      <w:pPr>
        <w:spacing w:after="0"/>
      </w:pPr>
      <w:r>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lastRenderedPageBreak/>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09FC585A" w14:textId="77777777" w:rsidR="00657985" w:rsidRDefault="00657985" w:rsidP="00657985">
      <w:pPr>
        <w:spacing w:after="0"/>
      </w:pPr>
      <w:permStart w:id="220012522" w:edGrp="everyone"/>
      <w:r>
        <w:t>TYPE YOUR TEXT HERE</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12702491" w14:textId="77777777" w:rsidR="00657985" w:rsidRDefault="00657985" w:rsidP="00657985">
      <w:pPr>
        <w:spacing w:after="0"/>
      </w:pPr>
      <w:permStart w:id="917596681" w:edGrp="everyone"/>
      <w:r>
        <w:t>TYPE YOUR TEXT HERE</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77777777" w:rsidR="00657985" w:rsidRDefault="00657985" w:rsidP="00657985">
      <w:pPr>
        <w:spacing w:after="0"/>
      </w:pPr>
      <w:permStart w:id="1870948188" w:edGrp="everyone"/>
      <w:r>
        <w:t>TYPE YOUR TEXT HERE</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lastRenderedPageBreak/>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F4FCCEF" w14:textId="77777777" w:rsidR="008B11F9" w:rsidRDefault="008B11F9" w:rsidP="008B11F9">
      <w:pPr>
        <w:spacing w:after="0"/>
      </w:pPr>
      <w:permStart w:id="792227094" w:edGrp="everyone"/>
      <w:r>
        <w:t>TYPE YOUR TEXT HERE</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7CC1830F" w14:textId="77777777" w:rsidR="008B11F9" w:rsidRDefault="008B11F9" w:rsidP="008B11F9">
      <w:pPr>
        <w:spacing w:after="0"/>
      </w:pPr>
      <w:permStart w:id="1040075151" w:edGrp="everyone"/>
      <w:r>
        <w:t>TYPE YOUR TEXT HERE</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5B3E6F8D" w14:textId="77777777" w:rsidR="008B11F9" w:rsidRDefault="008B11F9" w:rsidP="008B11F9">
      <w:pPr>
        <w:spacing w:after="0"/>
      </w:pPr>
      <w:permStart w:id="784287202" w:edGrp="everyone"/>
      <w:r>
        <w:t>TYPE YOUR TEXT HERE</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lastRenderedPageBreak/>
        <w:t>&lt;ESMA_QUESTION_</w:t>
      </w:r>
      <w:r w:rsidR="006E2953">
        <w:t>CP2</w:t>
      </w:r>
      <w:r>
        <w:t>_6</w:t>
      </w:r>
      <w:r w:rsidR="00087477">
        <w:t>8</w:t>
      </w:r>
      <w:r>
        <w:t>&gt;</w:t>
      </w:r>
    </w:p>
    <w:p w14:paraId="39C51970" w14:textId="77777777" w:rsidR="008B11F9" w:rsidRDefault="008B11F9" w:rsidP="008B11F9">
      <w:pPr>
        <w:spacing w:after="0"/>
      </w:pPr>
      <w:permStart w:id="1225813958" w:edGrp="everyone"/>
      <w:r>
        <w:t>TYPE YOUR TEXT HERE</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9094" w14:textId="77777777" w:rsidR="00CF69CF" w:rsidRDefault="00CF69CF" w:rsidP="00F716D4">
      <w:r>
        <w:separator/>
      </w:r>
    </w:p>
    <w:p w14:paraId="7DA13895" w14:textId="77777777" w:rsidR="00CF69CF" w:rsidRDefault="00CF69CF" w:rsidP="00F716D4"/>
  </w:endnote>
  <w:endnote w:type="continuationSeparator" w:id="0">
    <w:p w14:paraId="24F585D7" w14:textId="77777777" w:rsidR="00CF69CF" w:rsidRDefault="00CF69CF" w:rsidP="00F716D4">
      <w:r>
        <w:continuationSeparator/>
      </w:r>
    </w:p>
    <w:p w14:paraId="7A1C55AE" w14:textId="77777777" w:rsidR="00CF69CF" w:rsidRDefault="00CF69CF" w:rsidP="00F716D4"/>
  </w:endnote>
  <w:endnote w:type="continuationNotice" w:id="1">
    <w:p w14:paraId="7909B04E" w14:textId="77777777" w:rsidR="00CF69CF" w:rsidRDefault="00CF69CF"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14EE" w14:textId="77777777" w:rsidR="00CF69CF" w:rsidRDefault="00CF69CF" w:rsidP="00F716D4">
      <w:r>
        <w:separator/>
      </w:r>
    </w:p>
    <w:p w14:paraId="1797DAF6" w14:textId="77777777" w:rsidR="00CF69CF" w:rsidRDefault="00CF69CF" w:rsidP="00F716D4"/>
  </w:footnote>
  <w:footnote w:type="continuationSeparator" w:id="0">
    <w:p w14:paraId="1FD1A91C" w14:textId="77777777" w:rsidR="00CF69CF" w:rsidRDefault="00CF69CF" w:rsidP="00F716D4">
      <w:r>
        <w:continuationSeparator/>
      </w:r>
    </w:p>
    <w:p w14:paraId="49514F98" w14:textId="77777777" w:rsidR="00CF69CF" w:rsidRDefault="00CF69CF" w:rsidP="00F716D4"/>
  </w:footnote>
  <w:footnote w:type="continuationNotice" w:id="1">
    <w:p w14:paraId="48C603FE" w14:textId="77777777" w:rsidR="00CF69CF" w:rsidRDefault="00CF69CF"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11"/>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9"/>
  </w:num>
  <w:num w:numId="16">
    <w:abstractNumId w:val="1"/>
  </w:num>
  <w:num w:numId="17">
    <w:abstractNumId w:val="14"/>
  </w:num>
  <w:num w:numId="18">
    <w:abstractNumId w:val="15"/>
  </w:num>
  <w:num w:numId="19">
    <w:abstractNumId w:val="17"/>
  </w:num>
  <w:num w:numId="20">
    <w:abstractNumId w:val="28"/>
  </w:num>
  <w:num w:numId="21">
    <w:abstractNumId w:val="38"/>
  </w:num>
  <w:num w:numId="22">
    <w:abstractNumId w:val="25"/>
  </w:num>
  <w:num w:numId="23">
    <w:abstractNumId w:val="8"/>
  </w:num>
  <w:num w:numId="24">
    <w:abstractNumId w:val="31"/>
  </w:num>
  <w:num w:numId="25">
    <w:abstractNumId w:val="30"/>
  </w:num>
  <w:num w:numId="26">
    <w:abstractNumId w:val="20"/>
  </w:num>
  <w:num w:numId="27">
    <w:abstractNumId w:val="34"/>
  </w:num>
  <w:num w:numId="28">
    <w:abstractNumId w:val="40"/>
  </w:num>
  <w:num w:numId="29">
    <w:abstractNumId w:val="6"/>
  </w:num>
  <w:num w:numId="30">
    <w:abstractNumId w:val="2"/>
  </w:num>
  <w:num w:numId="31">
    <w:abstractNumId w:val="22"/>
  </w:num>
  <w:num w:numId="32">
    <w:abstractNumId w:val="21"/>
  </w:num>
  <w:num w:numId="33">
    <w:abstractNumId w:val="36"/>
  </w:num>
  <w:num w:numId="34">
    <w:abstractNumId w:val="35"/>
  </w:num>
  <w:num w:numId="35">
    <w:abstractNumId w:val="4"/>
  </w:num>
  <w:num w:numId="36">
    <w:abstractNumId w:val="37"/>
  </w:num>
  <w:num w:numId="37">
    <w:abstractNumId w:val="12"/>
  </w:num>
  <w:num w:numId="38">
    <w:abstractNumId w:val="10"/>
  </w:num>
  <w:num w:numId="39">
    <w:abstractNumId w:val="18"/>
  </w:num>
  <w:num w:numId="40">
    <w:abstractNumId w:val="27"/>
  </w:num>
  <w:num w:numId="41">
    <w:abstractNumId w:val="41"/>
  </w:num>
  <w:num w:numId="42">
    <w:abstractNumId w:val="41"/>
  </w:num>
  <w:num w:numId="43">
    <w:abstractNumId w:val="41"/>
  </w:num>
  <w:num w:numId="44">
    <w:abstractNumId w:val="41"/>
    <w:lvlOverride w:ilvl="0">
      <w:startOverride w:val="1"/>
    </w:lvlOverride>
  </w:num>
  <w:num w:numId="45">
    <w:abstractNumId w:val="41"/>
  </w:num>
  <w:num w:numId="46">
    <w:abstractNumId w:val="41"/>
    <w:lvlOverride w:ilvl="0">
      <w:startOverride w:val="1"/>
    </w:lvlOverride>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693"/>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0649"/>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288"/>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1B03"/>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007"/>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69CF"/>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B7F91"/>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41"/>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pPr>
    <w:rPr>
      <w:rFonts w:ascii="Times New Roman" w:hAnsi="Times New Roman"/>
      <w:sz w:val="24"/>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1"/>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1"/>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8"/>
      </w:numPr>
      <w:spacing w:before="120" w:after="120"/>
    </w:pPr>
    <w:rPr>
      <w:rFonts w:ascii="Times New Roman" w:hAnsi="Times New Roman"/>
      <w:sz w:val="24"/>
    </w:rPr>
  </w:style>
  <w:style w:type="paragraph" w:customStyle="1" w:styleId="Bullet0">
    <w:name w:val="Bullet 0"/>
    <w:basedOn w:val="Standard"/>
    <w:locked/>
    <w:rsid w:val="000D2D0B"/>
    <w:pPr>
      <w:numPr>
        <w:numId w:val="22"/>
      </w:numPr>
      <w:spacing w:before="120" w:after="120"/>
    </w:pPr>
    <w:rPr>
      <w:rFonts w:ascii="Times New Roman" w:hAnsi="Times New Roman"/>
      <w:sz w:val="24"/>
    </w:rPr>
  </w:style>
  <w:style w:type="paragraph" w:customStyle="1" w:styleId="Bullet1">
    <w:name w:val="Bullet 1"/>
    <w:basedOn w:val="Standard"/>
    <w:locked/>
    <w:rsid w:val="000D2D0B"/>
    <w:pPr>
      <w:numPr>
        <w:numId w:val="23"/>
      </w:numPr>
      <w:spacing w:before="120" w:after="120"/>
    </w:pPr>
    <w:rPr>
      <w:rFonts w:ascii="Times New Roman" w:hAnsi="Times New Roman"/>
      <w:sz w:val="24"/>
    </w:rPr>
  </w:style>
  <w:style w:type="paragraph" w:customStyle="1" w:styleId="Bullet2">
    <w:name w:val="Bullet 2"/>
    <w:basedOn w:val="Standard"/>
    <w:locked/>
    <w:rsid w:val="000D2D0B"/>
    <w:pPr>
      <w:numPr>
        <w:numId w:val="24"/>
      </w:numPr>
      <w:spacing w:before="120" w:after="120"/>
    </w:pPr>
    <w:rPr>
      <w:rFonts w:ascii="Times New Roman" w:hAnsi="Times New Roman"/>
      <w:sz w:val="24"/>
    </w:rPr>
  </w:style>
  <w:style w:type="paragraph" w:customStyle="1" w:styleId="Bullet3">
    <w:name w:val="Bullet 3"/>
    <w:basedOn w:val="Standard"/>
    <w:locked/>
    <w:rsid w:val="000D2D0B"/>
    <w:pPr>
      <w:numPr>
        <w:numId w:val="25"/>
      </w:numPr>
      <w:spacing w:before="120" w:after="120"/>
    </w:pPr>
    <w:rPr>
      <w:rFonts w:ascii="Times New Roman" w:hAnsi="Times New Roman"/>
      <w:sz w:val="24"/>
    </w:rPr>
  </w:style>
  <w:style w:type="paragraph" w:customStyle="1" w:styleId="Bullet4">
    <w:name w:val="Bullet 4"/>
    <w:basedOn w:val="Standard"/>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4"/>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6"/>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7"/>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30"/>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Absatz-Standardschriftar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3345</Words>
  <Characters>21075</Characters>
  <Application>Microsoft Office Word</Application>
  <DocSecurity>8</DocSecurity>
  <Lines>175</Lines>
  <Paragraphs>48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24372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Arora, Patrick</cp:lastModifiedBy>
  <cp:revision>2</cp:revision>
  <cp:lastPrinted>2024-08-26T12:58:00Z</cp:lastPrinted>
  <dcterms:created xsi:type="dcterms:W3CDTF">2024-08-30T07:11:00Z</dcterms:created>
  <dcterms:modified xsi:type="dcterms:W3CDTF">2024-08-30T07:11:00Z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