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2BC011C4" w:rsidR="00C2682A" w:rsidRPr="00104E00" w:rsidRDefault="00D04774" w:rsidP="00104E00">
                <w:pPr>
                  <w:jc w:val="left"/>
                  <w:rPr>
                    <w:rStyle w:val="PlaceholderText"/>
                  </w:rPr>
                </w:pPr>
                <w:r>
                  <w:rPr>
                    <w:rStyle w:val="PlaceholderText"/>
                  </w:rPr>
                  <w:t>European Venues and Intermediaries Association [“EVIA”]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B6E24FE"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04774">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6772BD2E" w:rsidR="00C2682A" w:rsidRPr="00104E00" w:rsidRDefault="00D04774"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B12D2AE" w:rsidR="00C2682A" w:rsidRPr="00104E00" w:rsidRDefault="00D04774"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0247169C" w14:textId="77777777" w:rsidR="00975FB5" w:rsidRPr="00975FB5" w:rsidRDefault="00975FB5" w:rsidP="00975FB5">
      <w:pPr>
        <w:spacing w:after="0"/>
      </w:pPr>
      <w:permStart w:id="124340805" w:edGrp="everyone"/>
      <w:r w:rsidRPr="00975FB5">
        <w:t>We do not agree with the proposal to change the definition of a CLOB trading system to be fundamentally based on an “auction”.</w:t>
      </w:r>
    </w:p>
    <w:p w14:paraId="7D4B46A1" w14:textId="77777777" w:rsidR="00975FB5" w:rsidRDefault="00975FB5" w:rsidP="00975FB5">
      <w:pPr>
        <w:spacing w:after="0"/>
      </w:pPr>
    </w:p>
    <w:p w14:paraId="7C3B16A4" w14:textId="27B8F2E7" w:rsidR="00975FB5" w:rsidRPr="00975FB5" w:rsidRDefault="00975FB5" w:rsidP="00975FB5">
      <w:pPr>
        <w:spacing w:after="0"/>
      </w:pPr>
      <w:r w:rsidRPr="00975FB5">
        <w:t xml:space="preserve">More important than honing the definitions of trading systems should be the recognition that for the non-equities ecosystem, just about all MTFs and OTFs will deploy multiple trading protocols to arrange the self-same liquidity pool and within the same MIC or Segment-MIC. A substantive difference to the pure equities systems under RTS1, this, together with the wider wholesale characteristics, likely removes much of the relevance for any focus of narrow definitions of discreet trading protocols within any “system” however that may be defined. </w:t>
      </w:r>
    </w:p>
    <w:p w14:paraId="28F3B023" w14:textId="77777777" w:rsidR="00975FB5" w:rsidRDefault="00975FB5" w:rsidP="00975FB5">
      <w:pPr>
        <w:spacing w:after="0"/>
      </w:pPr>
    </w:p>
    <w:p w14:paraId="01E085B9" w14:textId="58394AB4" w:rsidR="00975FB5" w:rsidRPr="00975FB5" w:rsidRDefault="00975FB5" w:rsidP="00975FB5">
      <w:pPr>
        <w:spacing w:after="0"/>
      </w:pPr>
      <w:r w:rsidRPr="00975FB5">
        <w:t>When considering the protocols, by definition, any auction can only be discrete, whereas by definition a CLOB is “</w:t>
      </w:r>
      <w:r w:rsidRPr="00975FB5">
        <w:rPr>
          <w:i/>
          <w:iCs/>
        </w:rPr>
        <w:t>continuous;</w:t>
      </w:r>
      <w:r w:rsidRPr="00975FB5">
        <w:t>” making the basis of the proposition for a “continuous auction” as to be orthogonal to the underlying definitions and to any natural language comprehension. In respect of the currently accepted basic definition or an order book, the RTS1 approach appears both valid and sufficient to be also applied in RTS2.</w:t>
      </w:r>
    </w:p>
    <w:p w14:paraId="63EB62C7" w14:textId="77777777" w:rsidR="00975FB5" w:rsidRDefault="00975FB5" w:rsidP="00975FB5">
      <w:pPr>
        <w:spacing w:after="0"/>
      </w:pPr>
    </w:p>
    <w:p w14:paraId="1D76C33B" w14:textId="5DFA3C62" w:rsidR="00975FB5" w:rsidRPr="00975FB5" w:rsidRDefault="00975FB5" w:rsidP="00975FB5">
      <w:pPr>
        <w:spacing w:after="0"/>
      </w:pPr>
      <w:r w:rsidRPr="00975FB5">
        <w:t xml:space="preserve">Most Trading Venues use the term, “continuous trading” together with “auction”  rather than the hybrid term of “continuous auction”. As a practical application, the characterisation of an MTF order book could be as that of an exchange CLOB, but without an opening auction. Therefore, whilst it may be valid to include elements of a continuous auction order book trading as a subsidiary point [b] having established the legal basis of a continuous market in point [a] but mindful that continuous and periodic auction market models should differ under the CLOB definition. </w:t>
      </w:r>
    </w:p>
    <w:p w14:paraId="75D18779" w14:textId="77777777" w:rsidR="00975FB5" w:rsidRDefault="00975FB5" w:rsidP="00C54034">
      <w:pPr>
        <w:spacing w:after="0"/>
      </w:pPr>
    </w:p>
    <w:p w14:paraId="694B3729" w14:textId="3DEE30C3" w:rsidR="00CC59BB" w:rsidRDefault="00CC59BB" w:rsidP="00C54034">
      <w:pPr>
        <w:spacing w:after="0"/>
      </w:pPr>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6B8360D5" w14:textId="77777777" w:rsidR="00F33869" w:rsidRPr="00F33869" w:rsidRDefault="00F33869" w:rsidP="00F33869">
      <w:pPr>
        <w:spacing w:after="0"/>
      </w:pPr>
      <w:permStart w:id="1947404220" w:edGrp="everyone"/>
      <w:r w:rsidRPr="00F33869">
        <w:t xml:space="preserve">No, we consider that most global regulatory frameworks define and establish the CLOB as a basic definition and therefore a building block to the regulatory regime. It would therefore be inappropriate to seek to create hybridity at this fundamental level. </w:t>
      </w:r>
    </w:p>
    <w:p w14:paraId="275CCBC7" w14:textId="77777777" w:rsidR="00975FB5" w:rsidRDefault="00975FB5" w:rsidP="00C54034">
      <w:pPr>
        <w:spacing w:after="0"/>
      </w:pPr>
    </w:p>
    <w:p w14:paraId="59A0405A" w14:textId="4BE18FF7" w:rsidR="00CC59BB" w:rsidRDefault="00CC59BB" w:rsidP="00C54034">
      <w:pPr>
        <w:spacing w:after="0"/>
      </w:pPr>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2C74B9E7" w14:textId="77777777" w:rsidR="00AE5DD1" w:rsidRPr="00AE5DD1" w:rsidRDefault="00AE5DD1" w:rsidP="00AE5DD1">
      <w:pPr>
        <w:spacing w:after="0"/>
      </w:pPr>
      <w:permStart w:id="2005885194" w:edGrp="everyone"/>
      <w:r w:rsidRPr="00AE5DD1">
        <w:t xml:space="preserve">Yes, we broadly agree. We think this is a sensible proposal and brings RTS 2 in line with RTS 1. </w:t>
      </w:r>
    </w:p>
    <w:p w14:paraId="7A31D694" w14:textId="77777777" w:rsidR="00AE5DD1" w:rsidRDefault="00AE5DD1" w:rsidP="00AE5DD1">
      <w:pPr>
        <w:spacing w:after="0"/>
      </w:pPr>
    </w:p>
    <w:p w14:paraId="150C8B31" w14:textId="3E7E4324" w:rsidR="00AE5DD1" w:rsidRPr="00AE5DD1" w:rsidRDefault="00AE5DD1" w:rsidP="00AE5DD1">
      <w:pPr>
        <w:spacing w:after="0"/>
      </w:pPr>
      <w:r w:rsidRPr="00AE5DD1">
        <w:t>However, mindful that various recent transparency proposals regarding periodic auction trading systems make the supposition that price is transparent from the outset, whereas almost all the volume match auctions operated by MiFIR venues only generate the price at the end of the volume matching session</w:t>
      </w:r>
      <w:r w:rsidR="009E046F">
        <w:t xml:space="preserve"> which operates as </w:t>
      </w:r>
      <w:r w:rsidR="00736260">
        <w:t>price</w:t>
      </w:r>
      <w:r w:rsidR="00316C0A">
        <w:t>-</w:t>
      </w:r>
      <w:r w:rsidR="00736260">
        <w:t>blind</w:t>
      </w:r>
      <w:r w:rsidR="008B0E14">
        <w:t xml:space="preserve"> until finali</w:t>
      </w:r>
      <w:r w:rsidR="00316C0A">
        <w:t>sation.</w:t>
      </w:r>
    </w:p>
    <w:p w14:paraId="7E0A57B7" w14:textId="77777777" w:rsidR="00AE5DD1" w:rsidRDefault="00AE5DD1" w:rsidP="00AE5DD1">
      <w:pPr>
        <w:spacing w:after="0"/>
      </w:pPr>
    </w:p>
    <w:p w14:paraId="1D449A17" w14:textId="5A8D6937" w:rsidR="00AE5DD1" w:rsidRPr="00AE5DD1" w:rsidRDefault="00AE5DD1" w:rsidP="00AE5DD1">
      <w:pPr>
        <w:spacing w:after="0"/>
      </w:pPr>
      <w:r w:rsidRPr="00AE5DD1">
        <w:t>We would therefore ask that the definition adds the clarification: “</w:t>
      </w:r>
      <w:r w:rsidRPr="00AE5DD1">
        <w:rPr>
          <w:i/>
          <w:iCs/>
        </w:rPr>
        <w:t>… regardless of whether price components are set at the commencement or at the finalisation of the methodology process.”</w:t>
      </w:r>
    </w:p>
    <w:p w14:paraId="625D32DA" w14:textId="77777777" w:rsidR="00AE5DD1" w:rsidRDefault="00AE5DD1" w:rsidP="00C54034">
      <w:pPr>
        <w:spacing w:after="0"/>
      </w:pPr>
    </w:p>
    <w:p w14:paraId="0D2F37D3" w14:textId="34FCD3FC" w:rsidR="00CC59BB" w:rsidRDefault="00CC59BB" w:rsidP="00C54034">
      <w:pPr>
        <w:spacing w:after="0"/>
      </w:pPr>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29E5D9A5" w14:textId="71DB5380" w:rsidR="00754167" w:rsidRDefault="00754167" w:rsidP="00C54034">
      <w:pPr>
        <w:spacing w:after="0"/>
      </w:pPr>
      <w:permStart w:id="1235513680" w:edGrp="everyone"/>
      <w:r w:rsidRPr="00754167">
        <w:lastRenderedPageBreak/>
        <w:t>Yes, we agree with the proposal to use ESA 2010 to classify bond issuers both because it complies with the European Statistical System and therefore with global standards, but moreover because it supports the continued deployment of CFI Codes and the use of Common Data Elements.</w:t>
      </w:r>
    </w:p>
    <w:p w14:paraId="5A0D5B9B" w14:textId="77777777" w:rsidR="00A95279" w:rsidRDefault="00A95279" w:rsidP="00C54034">
      <w:pPr>
        <w:spacing w:after="0"/>
      </w:pPr>
    </w:p>
    <w:p w14:paraId="18C4F057" w14:textId="7BBA01D9" w:rsidR="00CC59BB" w:rsidRDefault="00CC59BB" w:rsidP="00C54034">
      <w:pPr>
        <w:spacing w:after="0"/>
      </w:pPr>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0A4EB598" w14:textId="77777777" w:rsidR="002278F5" w:rsidRDefault="002278F5" w:rsidP="002278F5">
      <w:pPr>
        <w:spacing w:after="0"/>
      </w:pPr>
      <w:permStart w:id="864513806" w:edGrp="everyone"/>
      <w:r>
        <w:t xml:space="preserve"> Yes, we agree with the proposals as we remain very supportive of the move from dynamic to static thresholds.</w:t>
      </w:r>
    </w:p>
    <w:p w14:paraId="1E350298" w14:textId="77777777" w:rsidR="002278F5" w:rsidRDefault="002278F5" w:rsidP="002278F5">
      <w:pPr>
        <w:spacing w:after="0"/>
      </w:pPr>
    </w:p>
    <w:p w14:paraId="0899492F" w14:textId="77777777" w:rsidR="002278F5" w:rsidRDefault="002278F5" w:rsidP="002278F5">
      <w:pPr>
        <w:spacing w:after="0"/>
      </w:pPr>
      <w:r>
        <w:t xml:space="preserve">In terms of the pre-trade LIS proposals, these would appear to be appropriate when considering that the amending Regulation reduces the scope so that this pre-transparency obligation applies only to central limit order book and periodic auction trading systems, and no longer to voice trading and request-for-quote systems. </w:t>
      </w:r>
    </w:p>
    <w:p w14:paraId="55237D0E" w14:textId="77777777" w:rsidR="002278F5" w:rsidRDefault="002278F5" w:rsidP="002278F5">
      <w:pPr>
        <w:spacing w:after="0"/>
      </w:pPr>
    </w:p>
    <w:p w14:paraId="7B99560E" w14:textId="77777777" w:rsidR="002278F5" w:rsidRDefault="002278F5" w:rsidP="002278F5">
      <w:pPr>
        <w:spacing w:after="0"/>
      </w:pPr>
      <w:r>
        <w:t xml:space="preserve">The levels effectively set the pre-trade LIS such that all trades on an order-book are required to be pre-trade transparent; but given that this is anyway the case by definition, the question quickly becomes tautological. </w:t>
      </w:r>
    </w:p>
    <w:p w14:paraId="7742FE2C" w14:textId="77777777" w:rsidR="002278F5" w:rsidRDefault="002278F5" w:rsidP="002278F5">
      <w:pPr>
        <w:spacing w:after="0"/>
      </w:pPr>
    </w:p>
    <w:p w14:paraId="14CA150A" w14:textId="448749F3" w:rsidR="002278F5" w:rsidRDefault="002278F5" w:rsidP="002278F5">
      <w:pPr>
        <w:spacing w:after="0"/>
      </w:pPr>
      <w:r>
        <w:t>In the case of periodic auctions, we would again remind ESMA that most volume match auctions do not establish the price until the end of the methodology and therefore flag that this should not, or may require specific delegation, so as not to prevent these pre-trade thresholds provisioning a limitation.</w:t>
      </w:r>
    </w:p>
    <w:p w14:paraId="72102991" w14:textId="77777777" w:rsidR="002278F5" w:rsidRDefault="002278F5" w:rsidP="002278F5">
      <w:pPr>
        <w:spacing w:after="0"/>
      </w:pPr>
    </w:p>
    <w:p w14:paraId="23D7346A" w14:textId="579F4941" w:rsidR="00CC59BB" w:rsidRDefault="00CC59BB" w:rsidP="00C54034">
      <w:pPr>
        <w:spacing w:after="0"/>
      </w:pPr>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716CD14E" w14:textId="77777777" w:rsidR="00431CD8" w:rsidRDefault="00431CD8" w:rsidP="00431CD8">
      <w:pPr>
        <w:spacing w:after="0"/>
      </w:pPr>
      <w:permStart w:id="1293775397" w:edGrp="everyone"/>
      <w:r>
        <w:t>No, we disagree.</w:t>
      </w:r>
    </w:p>
    <w:p w14:paraId="1326ED82" w14:textId="77777777" w:rsidR="00431CD8" w:rsidRDefault="00431CD8" w:rsidP="00431CD8">
      <w:pPr>
        <w:spacing w:after="0"/>
      </w:pPr>
    </w:p>
    <w:p w14:paraId="76A685DC" w14:textId="77777777" w:rsidR="00431CD8" w:rsidRDefault="00431CD8" w:rsidP="00431CD8">
      <w:pPr>
        <w:spacing w:after="0"/>
      </w:pPr>
      <w:r>
        <w:t>Firstly, the size should better be set in the standard trading Units which for EUAs is Tons and not Lots.</w:t>
      </w:r>
    </w:p>
    <w:p w14:paraId="255D5A7A" w14:textId="77777777" w:rsidR="00431CD8" w:rsidRDefault="00431CD8" w:rsidP="00431CD8">
      <w:pPr>
        <w:spacing w:after="0"/>
      </w:pPr>
    </w:p>
    <w:p w14:paraId="6D6A31BE" w14:textId="77777777" w:rsidR="00431CD8" w:rsidRDefault="00431CD8" w:rsidP="00431CD8">
      <w:pPr>
        <w:spacing w:after="0"/>
      </w:pPr>
      <w:r>
        <w:lastRenderedPageBreak/>
        <w:t>The application of the 90% Quartile for EUAs as a liquid future would directly impact the Block size threshold which the exchange can set. An analysis of submitted blocks would place the appropriate level at 2 Lots.</w:t>
      </w:r>
    </w:p>
    <w:p w14:paraId="775AD20B" w14:textId="77777777" w:rsidR="00431CD8" w:rsidRDefault="00431CD8" w:rsidP="00431CD8">
      <w:pPr>
        <w:spacing w:after="0"/>
      </w:pPr>
    </w:p>
    <w:p w14:paraId="16963384" w14:textId="1E034AB9" w:rsidR="00431CD8" w:rsidRDefault="00431CD8" w:rsidP="00431CD8">
      <w:pPr>
        <w:spacing w:after="0"/>
      </w:pPr>
      <w:r>
        <w:t>The Eur 250,000 threshold for SFPs is appropriate.</w:t>
      </w:r>
    </w:p>
    <w:p w14:paraId="749E892F" w14:textId="77777777" w:rsidR="00431CD8" w:rsidRDefault="00431CD8" w:rsidP="00C54034">
      <w:pPr>
        <w:spacing w:after="0"/>
      </w:pPr>
    </w:p>
    <w:p w14:paraId="2E916F10" w14:textId="1B430188" w:rsidR="00CC59BB" w:rsidRDefault="00CC59BB" w:rsidP="00C54034">
      <w:pPr>
        <w:spacing w:after="0"/>
      </w:pPr>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36D7CF06" w14:textId="77777777" w:rsidR="008D7993" w:rsidRDefault="008D7993" w:rsidP="008D7993">
      <w:pPr>
        <w:spacing w:after="0"/>
      </w:pPr>
      <w:permStart w:id="1076438526" w:edGrp="everyone"/>
      <w:r w:rsidRPr="008D7993">
        <w:t>Under the caveat that we would much prefer not to have any transitional or iterative periods to the change implementation,  we support the  proposed approach taken for the illiquid waiver. This is because all the proposals would require substantial technical systems changes, and the management of these would be more effective in a guise of one single transition.</w:t>
      </w:r>
    </w:p>
    <w:p w14:paraId="6DD0C956" w14:textId="77777777" w:rsidR="008D7993" w:rsidRPr="008D7993" w:rsidRDefault="008D7993" w:rsidP="008D7993">
      <w:pPr>
        <w:spacing w:after="0"/>
      </w:pPr>
    </w:p>
    <w:p w14:paraId="102DDFFD" w14:textId="77777777" w:rsidR="008D7993" w:rsidRDefault="008D7993" w:rsidP="008D7993">
      <w:pPr>
        <w:spacing w:after="0"/>
      </w:pPr>
      <w:r w:rsidRPr="008D7993">
        <w:t xml:space="preserve">We support that the MiFIR review has introduced a static determination of liquidity for non-equity instruments, and therefore underscore that it is consequently very important to get this fixed threshold correct. </w:t>
      </w:r>
    </w:p>
    <w:p w14:paraId="20293CCF" w14:textId="77777777" w:rsidR="008D7993" w:rsidRPr="008D7993" w:rsidRDefault="008D7993" w:rsidP="008D7993">
      <w:pPr>
        <w:spacing w:after="0"/>
      </w:pPr>
    </w:p>
    <w:p w14:paraId="4AF6B956" w14:textId="77777777" w:rsidR="008D7993" w:rsidRDefault="008D7993" w:rsidP="008D7993">
      <w:pPr>
        <w:spacing w:after="0"/>
      </w:pPr>
      <w:r w:rsidRPr="008D7993">
        <w:t>Notwithstanding the fact that we consider the outcome for EUA LiS pre-trade thresholds to be wrong, we do consider that the overall approach and framework is correct. i.e. in the case of EUAs they are indeed correct to be “Liquid” albeit that this on exchange liquidity occurs by dint of brokered block submissions above the LIS.</w:t>
      </w:r>
    </w:p>
    <w:p w14:paraId="1C4571E0" w14:textId="77777777" w:rsidR="008D7993" w:rsidRPr="008D7993" w:rsidRDefault="008D7993" w:rsidP="008D7993">
      <w:pPr>
        <w:spacing w:after="0"/>
      </w:pPr>
    </w:p>
    <w:p w14:paraId="5FE5E555" w14:textId="3CEAC6C3" w:rsidR="0058643A" w:rsidRDefault="008D7993" w:rsidP="00C54034">
      <w:pPr>
        <w:spacing w:after="0"/>
      </w:pPr>
      <w:r w:rsidRPr="008D7993">
        <w:t>For SFPs these are clearly almost always illiquid, and the overall approach and framework is therefore correct.</w:t>
      </w:r>
    </w:p>
    <w:p w14:paraId="2568748C" w14:textId="77777777" w:rsidR="0058643A" w:rsidRDefault="0058643A" w:rsidP="00C54034">
      <w:pPr>
        <w:spacing w:after="0"/>
      </w:pPr>
    </w:p>
    <w:p w14:paraId="210AE453" w14:textId="119BE9E3" w:rsidR="00CC59BB" w:rsidRDefault="00CC59BB" w:rsidP="00C54034">
      <w:pPr>
        <w:spacing w:after="0"/>
      </w:pPr>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248C6FBD" w14:textId="77777777" w:rsidR="002B5C2D" w:rsidRDefault="002B5C2D" w:rsidP="002B5C2D">
      <w:pPr>
        <w:spacing w:after="0"/>
      </w:pPr>
      <w:permStart w:id="1516253385" w:edGrp="everyone"/>
      <w:r>
        <w:t xml:space="preserve">We broadly agree with the changes to column naming, removing references to CTP in the ‘applicability’ column, the venue of publication and the addition of a ‘flags’ column.  Foremost it should be set out that these changes are significant and will require schema changes which shall require </w:t>
      </w:r>
      <w:r>
        <w:lastRenderedPageBreak/>
        <w:t>substantial technical development by trading venues. In itself, whatever the details agreed, this necessitates a longer transition period than currently envisioned in order to comply, especially since there are further elements to consider including managing third-party reporting providers and emerging divergence with the UK. Emphasis should therefore be placed on an adequate transition period well in excess of 12 months following the Official Journal publication.</w:t>
      </w:r>
    </w:p>
    <w:p w14:paraId="733EAEEE" w14:textId="77777777" w:rsidR="002B5C2D" w:rsidRDefault="002B5C2D" w:rsidP="002B5C2D">
      <w:pPr>
        <w:spacing w:after="0"/>
      </w:pPr>
    </w:p>
    <w:p w14:paraId="3AA75ADC" w14:textId="1951D3FF" w:rsidR="002B5C2D" w:rsidRDefault="002B5C2D" w:rsidP="002B5C2D">
      <w:pPr>
        <w:spacing w:after="0"/>
      </w:pPr>
      <w:r>
        <w:t xml:space="preserve">We note that the addition of  new field [line item 6] ‘type of trading system’, largely duplicates existing line item [4] “ Venue of publication” wherein any MTF or OTF repopulated both with the same data. Therefore, new field 6 appears redundant where that venue information can be sourced from field 4. Alternatively, field 6 could be a simple Boolean switch between TV and APA. </w:t>
      </w:r>
    </w:p>
    <w:p w14:paraId="028359D0" w14:textId="308182EA" w:rsidR="000C4E36" w:rsidRDefault="00F363E0" w:rsidP="002B5C2D">
      <w:pPr>
        <w:spacing w:after="0"/>
      </w:pPr>
      <w:r>
        <w:t xml:space="preserve">In considering this </w:t>
      </w:r>
      <w:r w:rsidR="000C4E36" w:rsidRPr="000C4E36">
        <w:t>addition of ‘type of trading system</w:t>
      </w:r>
      <w:r>
        <w:t>,</w:t>
      </w:r>
      <w:r w:rsidR="000C4E36" w:rsidRPr="000C4E36">
        <w:t xml:space="preserve">’ </w:t>
      </w:r>
      <w:r>
        <w:t>we</w:t>
      </w:r>
      <w:r w:rsidR="000C4E36" w:rsidRPr="000C4E36">
        <w:t xml:space="preserve"> would prefer this to be </w:t>
      </w:r>
      <w:r w:rsidR="0078435D">
        <w:t>reconsidered as a list for the</w:t>
      </w:r>
      <w:r w:rsidR="000C4E36" w:rsidRPr="000C4E36">
        <w:t xml:space="preserve"> type</w:t>
      </w:r>
      <w:r w:rsidR="0078435D">
        <w:t>s</w:t>
      </w:r>
      <w:r w:rsidR="000C4E36" w:rsidRPr="000C4E36">
        <w:t xml:space="preserve"> of trading</w:t>
      </w:r>
      <w:r w:rsidR="0078435D">
        <w:t xml:space="preserve"> protocols </w:t>
      </w:r>
      <w:r w:rsidR="00C34A2D">
        <w:t xml:space="preserve">together within the system, because non-equities systems tend to be </w:t>
      </w:r>
      <w:r w:rsidR="00367596">
        <w:t>a collection of different protocols adhering to the same liquidity pool under the same MIC.</w:t>
      </w:r>
    </w:p>
    <w:p w14:paraId="094E3B9E" w14:textId="77777777" w:rsidR="002B5C2D" w:rsidRDefault="002B5C2D" w:rsidP="002B5C2D">
      <w:pPr>
        <w:spacing w:after="0"/>
      </w:pPr>
    </w:p>
    <w:p w14:paraId="4155826A" w14:textId="1DDED997" w:rsidR="002B5C2D" w:rsidRDefault="002B5C2D" w:rsidP="002B5C2D">
      <w:pPr>
        <w:spacing w:after="0"/>
      </w:pPr>
      <w:r>
        <w:t>We also note that the fields summarised in Table 5 are both supported and already widely implemented in the FIX and other standards with “Short Codes”.</w:t>
      </w:r>
    </w:p>
    <w:p w14:paraId="2D75DE53" w14:textId="77777777" w:rsidR="002B5C2D" w:rsidRDefault="002B5C2D" w:rsidP="002B5C2D">
      <w:pPr>
        <w:spacing w:after="0"/>
      </w:pPr>
    </w:p>
    <w:p w14:paraId="0878E3D8" w14:textId="533B854E" w:rsidR="002B5C2D" w:rsidRDefault="002B5C2D" w:rsidP="002B5C2D">
      <w:pPr>
        <w:spacing w:after="0"/>
      </w:pPr>
      <w:r>
        <w:t>We would ask ESMA to clarify both that the inclusion of ’VOIC’ and ‘RFQT’ here has no bearing on, nor conflict with their exclusion from pre-trade transparency; and furthermore, to confirm that ’VOIC’ and ‘RFQT’ does not include “X-OFF” activities such as Bilateral Trades resulting from the Reception and Transmission of Orders in arranging capacities.</w:t>
      </w:r>
    </w:p>
    <w:p w14:paraId="7E91C273" w14:textId="77777777" w:rsidR="002B5C2D" w:rsidRDefault="002B5C2D" w:rsidP="00C54034">
      <w:pPr>
        <w:spacing w:after="0"/>
      </w:pPr>
    </w:p>
    <w:p w14:paraId="2F36ADBA" w14:textId="069F8901" w:rsidR="00E706DD" w:rsidRDefault="008F50A6" w:rsidP="00C54034">
      <w:pPr>
        <w:spacing w:after="0"/>
      </w:pPr>
      <w:r>
        <w:t>Following our response to Question 1, the inclusion of CLOBs may need to be modified to “CLOBs together with Continuo</w:t>
      </w:r>
      <w:r w:rsidR="00414546">
        <w:t>us Auction Systems.”</w:t>
      </w:r>
    </w:p>
    <w:p w14:paraId="0B63D989" w14:textId="77777777" w:rsidR="00414546" w:rsidRDefault="00414546" w:rsidP="00C54034">
      <w:pPr>
        <w:spacing w:after="0"/>
      </w:pPr>
    </w:p>
    <w:p w14:paraId="049192E3" w14:textId="38DDB322" w:rsidR="00CC59BB" w:rsidRDefault="00CC59BB" w:rsidP="00C54034">
      <w:pPr>
        <w:spacing w:after="0"/>
      </w:pPr>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40545892" w14:textId="77777777" w:rsidR="006D5C5E" w:rsidRDefault="006D5C5E" w:rsidP="006D5C5E">
      <w:pPr>
        <w:spacing w:after="0"/>
      </w:pPr>
      <w:permStart w:id="869493798" w:edGrp="everyone"/>
      <w:r w:rsidRPr="006D5C5E">
        <w:t xml:space="preserve">No, we disagree concept of “as close to real-time as technically possible” as many necessary processes to achieve reporting are not solely technical. </w:t>
      </w:r>
    </w:p>
    <w:p w14:paraId="75119D46" w14:textId="77777777" w:rsidR="006D5C5E" w:rsidRPr="006D5C5E" w:rsidRDefault="006D5C5E" w:rsidP="006D5C5E">
      <w:pPr>
        <w:spacing w:after="0"/>
      </w:pPr>
    </w:p>
    <w:p w14:paraId="7ED6A1A4" w14:textId="77777777" w:rsidR="006D5C5E" w:rsidRDefault="006D5C5E" w:rsidP="006D5C5E">
      <w:pPr>
        <w:spacing w:after="0"/>
      </w:pPr>
      <w:r w:rsidRPr="006D5C5E">
        <w:t xml:space="preserve">The concept envisaged is a CLOB system inside a single trading venue. Where broker operated MTFs and OTFs are arranging trade legs and packages on core economic terms between multiple counterparties this is far from the actuality. </w:t>
      </w:r>
    </w:p>
    <w:p w14:paraId="44DED791" w14:textId="77777777" w:rsidR="006D5C5E" w:rsidRPr="006D5C5E" w:rsidRDefault="006D5C5E" w:rsidP="006D5C5E">
      <w:pPr>
        <w:spacing w:after="0"/>
      </w:pPr>
    </w:p>
    <w:p w14:paraId="0B041129" w14:textId="77777777" w:rsidR="006D5C5E" w:rsidRDefault="006D5C5E" w:rsidP="006D5C5E">
      <w:pPr>
        <w:spacing w:after="0"/>
      </w:pPr>
      <w:r w:rsidRPr="006D5C5E">
        <w:lastRenderedPageBreak/>
        <w:t xml:space="preserve">These not solely technical involve communications with the client and its further chain on matters around trade shape, allocation, and aggregation as well as confirmation of account and trading counterparty entity. </w:t>
      </w:r>
    </w:p>
    <w:p w14:paraId="168B8CF6" w14:textId="77777777" w:rsidR="006D5C5E" w:rsidRPr="006D5C5E" w:rsidRDefault="006D5C5E" w:rsidP="006D5C5E">
      <w:pPr>
        <w:spacing w:after="0"/>
      </w:pPr>
    </w:p>
    <w:p w14:paraId="3612F9AF" w14:textId="77777777" w:rsidR="006D5C5E" w:rsidRPr="006D5C5E" w:rsidRDefault="006D5C5E" w:rsidP="006D5C5E">
      <w:pPr>
        <w:spacing w:after="0"/>
      </w:pPr>
      <w:r w:rsidRPr="006D5C5E">
        <w:t xml:space="preserve">The concept of </w:t>
      </w:r>
      <w:r w:rsidRPr="006D5C5E">
        <w:rPr>
          <w:i/>
          <w:iCs/>
        </w:rPr>
        <w:t>“as close to real-time as technically possible”</w:t>
      </w:r>
      <w:r w:rsidRPr="006D5C5E">
        <w:t xml:space="preserve"> should be restricted to trades identified in Table 5 under the Formats ‘CLOB’ &amp; 'QDTS' only. For other trading systems the period should be 30 minutes, and the description term should be “</w:t>
      </w:r>
      <w:r w:rsidRPr="006D5C5E">
        <w:rPr>
          <w:i/>
          <w:iCs/>
        </w:rPr>
        <w:t>as close to real-time as possible.”</w:t>
      </w:r>
    </w:p>
    <w:p w14:paraId="2DB89326" w14:textId="77777777" w:rsidR="006D5C5E" w:rsidRDefault="006D5C5E" w:rsidP="00C54034">
      <w:pPr>
        <w:spacing w:after="0"/>
      </w:pPr>
    </w:p>
    <w:p w14:paraId="5EEF290B" w14:textId="34C6124B" w:rsidR="00CC59BB" w:rsidRDefault="00CC59BB" w:rsidP="00C54034">
      <w:pPr>
        <w:spacing w:after="0"/>
      </w:pPr>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10A18445" w14:textId="77777777" w:rsidR="0012429F" w:rsidRDefault="0012429F" w:rsidP="0012429F">
      <w:pPr>
        <w:spacing w:after="0"/>
      </w:pPr>
      <w:permStart w:id="1673160559" w:edGrp="everyone"/>
      <w:r w:rsidRPr="0012429F">
        <w:t>Yes, although we reiterate that the poor terminology between ESMA’s use of ”</w:t>
      </w:r>
      <w:r w:rsidRPr="0012429F">
        <w:rPr>
          <w:i/>
          <w:iCs/>
        </w:rPr>
        <w:t>OTC Transactions</w:t>
      </w:r>
      <w:r w:rsidRPr="0012429F">
        <w:t>” under MiFIR and “</w:t>
      </w:r>
      <w:r w:rsidRPr="0012429F">
        <w:rPr>
          <w:i/>
          <w:iCs/>
        </w:rPr>
        <w:t>OTC Derivatives</w:t>
      </w:r>
      <w:r w:rsidRPr="0012429F">
        <w:t xml:space="preserve">” under both EMIR and MIFIR should have been changed and made straightforward under this review opportunity in order to clarify and uniformly approach the treatment of trades made on MTFs and OTFs as organised trading venues. </w:t>
      </w:r>
    </w:p>
    <w:p w14:paraId="02B55AF3" w14:textId="77777777" w:rsidR="0012429F" w:rsidRPr="0012429F" w:rsidRDefault="0012429F" w:rsidP="0012429F">
      <w:pPr>
        <w:spacing w:after="0"/>
      </w:pPr>
    </w:p>
    <w:p w14:paraId="1F5C006B" w14:textId="77777777" w:rsidR="0012429F" w:rsidRDefault="0012429F" w:rsidP="0012429F">
      <w:pPr>
        <w:spacing w:after="0"/>
      </w:pPr>
      <w:r w:rsidRPr="0012429F">
        <w:t>The removal of the provisions under Article 7(5) and 7(6) of RTS 2 is correct and the level 1 text could be supplanted by further guidelines if needs be.</w:t>
      </w:r>
    </w:p>
    <w:p w14:paraId="7FAB43DE" w14:textId="77777777" w:rsidR="0012429F" w:rsidRPr="0012429F" w:rsidRDefault="0012429F" w:rsidP="0012429F">
      <w:pPr>
        <w:spacing w:after="0"/>
      </w:pPr>
    </w:p>
    <w:p w14:paraId="2788C8F0" w14:textId="77777777" w:rsidR="0012429F" w:rsidRPr="0012429F" w:rsidRDefault="0012429F" w:rsidP="0012429F">
      <w:pPr>
        <w:spacing w:after="0"/>
      </w:pPr>
      <w:r w:rsidRPr="0012429F">
        <w:t>In respect of the retention of Art 7 (7) where firms are conducting Matched Principal Model trades at different prices between the trade legs. We note that whilst ESMA has suggested a protocol for the operation where the trade is concluded on OTF, it has not extended this to the cases where the trade is concluded either on MTF using a subsidiary settlement facility, nor where the Investment Firm concludes outside a trading venue. In these cases, there will not be the situation for the same price with a single party interposed, and provision in the RTS should be made accordingly.</w:t>
      </w:r>
    </w:p>
    <w:p w14:paraId="7426BE48" w14:textId="77777777" w:rsidR="0012429F" w:rsidRDefault="0012429F" w:rsidP="0012429F">
      <w:pPr>
        <w:spacing w:after="0"/>
      </w:pPr>
    </w:p>
    <w:p w14:paraId="27E6CEFF" w14:textId="3D401F8A" w:rsidR="0012429F" w:rsidRDefault="0012429F" w:rsidP="00C54034">
      <w:pPr>
        <w:spacing w:after="0"/>
      </w:pPr>
      <w:r w:rsidRPr="0012429F">
        <w:t>In relation to the publication of package transactions, we agree with the deletion of the text in Article 7(8). To further note that the widely used FIX messaging standard supports a package transaction flag.</w:t>
      </w:r>
    </w:p>
    <w:p w14:paraId="780A0529" w14:textId="77777777" w:rsidR="0012429F" w:rsidRDefault="0012429F" w:rsidP="00C54034">
      <w:pPr>
        <w:spacing w:after="0"/>
      </w:pPr>
    </w:p>
    <w:p w14:paraId="664F86CF" w14:textId="5C9FC309" w:rsidR="00CC59BB" w:rsidRDefault="00CC59BB" w:rsidP="00C54034">
      <w:pPr>
        <w:spacing w:after="0"/>
      </w:pPr>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0F73E1EC" w14:textId="77777777" w:rsidR="000571E7" w:rsidRPr="000571E7" w:rsidRDefault="000571E7" w:rsidP="000571E7">
      <w:pPr>
        <w:spacing w:after="0"/>
      </w:pPr>
      <w:permStart w:id="1628839836" w:edGrp="everyone"/>
      <w:r w:rsidRPr="000571E7">
        <w:lastRenderedPageBreak/>
        <w:t xml:space="preserve">Yes, we agree with setting the liquidity thresholds at &gt;= EUR 1Bn for Sovereign &amp; public bonds, together with rather lower values for Corporate, convertible, and other bonds. </w:t>
      </w:r>
    </w:p>
    <w:p w14:paraId="0DA0469B" w14:textId="77777777" w:rsidR="000571E7" w:rsidRDefault="000571E7" w:rsidP="000571E7">
      <w:pPr>
        <w:spacing w:after="0"/>
      </w:pPr>
    </w:p>
    <w:p w14:paraId="6BAEC1FF" w14:textId="6638018C" w:rsidR="000571E7" w:rsidRPr="000571E7" w:rsidRDefault="000571E7" w:rsidP="000571E7">
      <w:pPr>
        <w:spacing w:after="0"/>
      </w:pPr>
      <w:r w:rsidRPr="000571E7">
        <w:t>In the case of the lower thresholds, we note that it is difficult to be correct in these determinations across the breadth of issues and multiple trading phases and external trading environments; therefore, overcompensation should be made in the provision of reviews for recalibration and for temporary disapplication’s to be simply instituted.</w:t>
      </w:r>
    </w:p>
    <w:p w14:paraId="123A6B6D" w14:textId="77777777" w:rsidR="000571E7" w:rsidRDefault="000571E7" w:rsidP="000571E7">
      <w:pPr>
        <w:spacing w:after="0"/>
      </w:pPr>
    </w:p>
    <w:p w14:paraId="2A554B60" w14:textId="54CE87BE" w:rsidR="000571E7" w:rsidRPr="000571E7" w:rsidRDefault="000571E7" w:rsidP="000571E7">
      <w:pPr>
        <w:spacing w:after="0"/>
      </w:pPr>
      <w:r w:rsidRPr="000571E7">
        <w:t xml:space="preserve">As per prior answers, an adequate transition period of over 12 months will be needed to ensure that trading venues have time to implement the necessary technical development processes to put this into force. </w:t>
      </w:r>
    </w:p>
    <w:p w14:paraId="0C05C7CC" w14:textId="77777777" w:rsidR="000571E7" w:rsidRDefault="000571E7" w:rsidP="000571E7">
      <w:pPr>
        <w:spacing w:after="0"/>
      </w:pPr>
    </w:p>
    <w:p w14:paraId="11EEDF04" w14:textId="77777777" w:rsidR="00493403" w:rsidRPr="00493403" w:rsidRDefault="00493403" w:rsidP="00493403">
      <w:pPr>
        <w:spacing w:after="0"/>
      </w:pPr>
      <w:r w:rsidRPr="00493403">
        <w:t>It would also be helpful to receive guidance from ESMA concerning back-reporting scenarios as the transition into the revised regime could be challenging where errors are identified, and subsequent resubmissions have to be made. The considerations around reflecting the EMIR-Refit transition protocols appear valid.</w:t>
      </w:r>
    </w:p>
    <w:p w14:paraId="703BD684" w14:textId="77777777" w:rsidR="000571E7" w:rsidRDefault="000571E7" w:rsidP="00C54034">
      <w:pPr>
        <w:spacing w:after="0"/>
      </w:pPr>
    </w:p>
    <w:p w14:paraId="709AF4D0" w14:textId="52DC8089" w:rsidR="00CC59BB" w:rsidRDefault="00CC59BB" w:rsidP="00C54034">
      <w:pPr>
        <w:spacing w:after="0"/>
      </w:pPr>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560BC2C9" w14:textId="77777777" w:rsidR="00C51825" w:rsidRPr="00C51825" w:rsidRDefault="00C51825" w:rsidP="00C51825">
      <w:pPr>
        <w:spacing w:after="0"/>
      </w:pPr>
      <w:permStart w:id="1550012690" w:edGrp="everyone"/>
      <w:r w:rsidRPr="00C51825">
        <w:t>No, we disagree. For the establishment of the price deferral across each of the largest three bond categories [3,4,5], the period set out should consistently be at end of T+1.</w:t>
      </w:r>
    </w:p>
    <w:p w14:paraId="5606EE05" w14:textId="77777777" w:rsidR="00C51825" w:rsidRDefault="00C51825" w:rsidP="00C51825">
      <w:pPr>
        <w:spacing w:after="0"/>
      </w:pPr>
    </w:p>
    <w:p w14:paraId="1C3C70FD" w14:textId="03224D95" w:rsidR="00C51825" w:rsidRPr="00C51825" w:rsidRDefault="00C51825" w:rsidP="00C51825">
      <w:pPr>
        <w:spacing w:after="0"/>
      </w:pPr>
      <w:r w:rsidRPr="00C51825">
        <w:t xml:space="preserve">As operators of trading venues our interest is to be able to broadcast established and traded prices as soon as they happen in order to build trading interest. However, is it plainly apparent for wholesale markets where risk is transferred both in transaction set packages and also in parcels that the end of day proposals as set out would pose a threat to liquidity provision and encourage less trading of smaller parcels at wider spreads to end users. </w:t>
      </w:r>
    </w:p>
    <w:p w14:paraId="09C91B20" w14:textId="77777777" w:rsidR="00C51825" w:rsidRDefault="00C51825" w:rsidP="00C51825">
      <w:pPr>
        <w:spacing w:after="0"/>
      </w:pPr>
    </w:p>
    <w:p w14:paraId="55C756D3" w14:textId="3983A120" w:rsidR="00C51825" w:rsidRPr="00C51825" w:rsidRDefault="00C51825" w:rsidP="00C51825">
      <w:pPr>
        <w:spacing w:after="0"/>
      </w:pPr>
      <w:r w:rsidRPr="00C51825">
        <w:t>This would be especially the case in Europe relative to other jurisdictions and as such appears to contradict the stated objectives in the CMU project.</w:t>
      </w:r>
    </w:p>
    <w:p w14:paraId="4182E804" w14:textId="77777777" w:rsidR="00C51825" w:rsidRDefault="00C51825" w:rsidP="00C54034">
      <w:pPr>
        <w:spacing w:after="0"/>
      </w:pPr>
    </w:p>
    <w:p w14:paraId="4BD36F6A" w14:textId="7B031D2B" w:rsidR="00CC59BB" w:rsidRDefault="00CC59BB" w:rsidP="00C54034">
      <w:pPr>
        <w:spacing w:after="0"/>
      </w:pPr>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lastRenderedPageBreak/>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E9E57A7" w14:textId="77777777" w:rsidR="00541520" w:rsidRPr="00541520" w:rsidRDefault="00541520" w:rsidP="00541520">
      <w:pPr>
        <w:spacing w:after="0"/>
      </w:pPr>
      <w:permStart w:id="1951602752" w:edGrp="everyone"/>
      <w:r w:rsidRPr="00541520">
        <w:t>No, we disagree. For the establishment of Volume deferral across each of the three bond categories the period set out should consistently be 4 weeks. Therefore Categories [3,4] should be changed from one-week and two-weeks to match Category [5] at 4 weeks.</w:t>
      </w:r>
    </w:p>
    <w:p w14:paraId="6F7780D4" w14:textId="77777777" w:rsidR="00541520" w:rsidRDefault="00541520" w:rsidP="00541520">
      <w:pPr>
        <w:spacing w:after="0"/>
      </w:pPr>
    </w:p>
    <w:p w14:paraId="0B95676E" w14:textId="4E8C17BD" w:rsidR="00541520" w:rsidRPr="00541520" w:rsidRDefault="00541520" w:rsidP="00541520">
      <w:pPr>
        <w:spacing w:after="0"/>
      </w:pPr>
      <w:r w:rsidRPr="00541520">
        <w:t xml:space="preserve">Across the lifetime of MiFID2 we have consistently advocated for effective volume masking in order to facilitate price and trade dissemination to encourage market participants to build liquidity into actively trading issues. However, the currently proposed lower deferrals for categories three and four, which is the majority of wholesale markets trading, would embed a disincentive towards market participation as hedged risk remains on trading books for longer periods of time. </w:t>
      </w:r>
    </w:p>
    <w:p w14:paraId="59A29DC9" w14:textId="77777777" w:rsidR="00541520" w:rsidRDefault="00541520" w:rsidP="00541520">
      <w:pPr>
        <w:spacing w:after="0"/>
      </w:pPr>
    </w:p>
    <w:p w14:paraId="7DADAA0E" w14:textId="71E0D6F0" w:rsidR="00541520" w:rsidRPr="00541520" w:rsidRDefault="00541520" w:rsidP="00541520">
      <w:pPr>
        <w:spacing w:after="0"/>
      </w:pPr>
      <w:r w:rsidRPr="00541520">
        <w:t xml:space="preserve">Mindful that no bond ever trades discreetly, nor in isolation, it also would discourage the choice of European liquidity pools relative to other global regimes for the activities of capital raising and risk transfer. </w:t>
      </w:r>
    </w:p>
    <w:p w14:paraId="009D53A3" w14:textId="77777777" w:rsidR="00541520" w:rsidRDefault="00541520" w:rsidP="00C54034">
      <w:pPr>
        <w:spacing w:after="0"/>
      </w:pPr>
    </w:p>
    <w:p w14:paraId="24AE9925" w14:textId="0394DADF" w:rsidR="00CC59BB" w:rsidRDefault="00CC59BB" w:rsidP="00C54034">
      <w:pPr>
        <w:spacing w:after="0"/>
      </w:pPr>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45672EDD" w14:textId="227DAD4D" w:rsidR="0060594E" w:rsidRDefault="0060594E" w:rsidP="00C54034">
      <w:pPr>
        <w:spacing w:after="0"/>
      </w:pPr>
      <w:permStart w:id="871322226" w:edGrp="everyone"/>
      <w:r w:rsidRPr="0060594E">
        <w:t>Yes, we agree.</w:t>
      </w:r>
    </w:p>
    <w:p w14:paraId="7AF9E269" w14:textId="77777777" w:rsidR="0060594E" w:rsidRDefault="0060594E" w:rsidP="00C54034">
      <w:pPr>
        <w:spacing w:after="0"/>
      </w:pPr>
    </w:p>
    <w:p w14:paraId="0A1DB7A7" w14:textId="262DC83A" w:rsidR="00CC59BB" w:rsidRDefault="00CC59BB" w:rsidP="00C54034">
      <w:pPr>
        <w:spacing w:after="0"/>
      </w:pPr>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73A4DA8C" w14:textId="7832CFF1" w:rsidR="0011464C" w:rsidRDefault="0011464C" w:rsidP="00C54034">
      <w:pPr>
        <w:spacing w:after="0"/>
      </w:pPr>
      <w:permStart w:id="1530005966" w:edGrp="everyone"/>
      <w:r w:rsidRPr="0011464C">
        <w:t>Yes, we agree.</w:t>
      </w:r>
    </w:p>
    <w:p w14:paraId="26A08C4B" w14:textId="77777777" w:rsidR="0011464C" w:rsidRDefault="0011464C" w:rsidP="00C54034">
      <w:pPr>
        <w:spacing w:after="0"/>
      </w:pPr>
    </w:p>
    <w:p w14:paraId="2CF74206" w14:textId="16611CF4" w:rsidR="00CC59BB" w:rsidRDefault="00CC59BB" w:rsidP="00C54034">
      <w:pPr>
        <w:spacing w:after="0"/>
      </w:pPr>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lastRenderedPageBreak/>
        <w:t>&lt;ESMA_QUESTION</w:t>
      </w:r>
      <w:r w:rsidR="00F93646">
        <w:t>_</w:t>
      </w:r>
      <w:r w:rsidR="00DD54B5">
        <w:t>CP1</w:t>
      </w:r>
      <w:r w:rsidR="00F93646">
        <w:t>_</w:t>
      </w:r>
      <w:r>
        <w:t>16&gt;</w:t>
      </w:r>
    </w:p>
    <w:p w14:paraId="2E062014" w14:textId="1828C962" w:rsidR="000A31BE" w:rsidRDefault="000A31BE" w:rsidP="00C54034">
      <w:pPr>
        <w:spacing w:after="0"/>
      </w:pPr>
      <w:permStart w:id="1731550419" w:edGrp="everyone"/>
      <w:r w:rsidRPr="000A31BE">
        <w:t>Yes, we agree.</w:t>
      </w:r>
    </w:p>
    <w:p w14:paraId="5304AC25" w14:textId="77777777" w:rsidR="000A31BE" w:rsidRDefault="000A31BE" w:rsidP="00C54034">
      <w:pPr>
        <w:spacing w:after="0"/>
      </w:pPr>
    </w:p>
    <w:p w14:paraId="37DE7513" w14:textId="3C097CC7" w:rsidR="00CC59BB" w:rsidRDefault="00CC59BB" w:rsidP="00C54034">
      <w:pPr>
        <w:spacing w:after="0"/>
      </w:pPr>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2155AD13" w14:textId="06D56109" w:rsidR="00BC6176" w:rsidRDefault="00BC6176" w:rsidP="00C54034">
      <w:pPr>
        <w:spacing w:after="0"/>
      </w:pPr>
      <w:permStart w:id="1212295819" w:edGrp="everyone"/>
      <w:r w:rsidRPr="00BC6176">
        <w:t>Yes, we agree in the case of front vintage only</w:t>
      </w:r>
      <w:r>
        <w:t>.</w:t>
      </w:r>
    </w:p>
    <w:p w14:paraId="3EB229F8" w14:textId="77777777" w:rsidR="00BC6176" w:rsidRDefault="00BC6176" w:rsidP="00C54034">
      <w:pPr>
        <w:spacing w:after="0"/>
      </w:pPr>
    </w:p>
    <w:p w14:paraId="78180F43" w14:textId="6EDD6680" w:rsidR="00CC59BB" w:rsidRDefault="00CC59BB" w:rsidP="00C54034">
      <w:pPr>
        <w:spacing w:after="0"/>
      </w:pPr>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3E1724AE" w14:textId="77777777" w:rsidR="004F0DF5" w:rsidRDefault="004F0DF5" w:rsidP="004F0DF5">
      <w:pPr>
        <w:spacing w:after="0"/>
      </w:pPr>
      <w:permStart w:id="1367754514" w:edGrp="everyone"/>
      <w:r>
        <w:t>No, we disagree.</w:t>
      </w:r>
    </w:p>
    <w:p w14:paraId="398FBB91" w14:textId="77777777" w:rsidR="004F0DF5" w:rsidRDefault="004F0DF5" w:rsidP="004F0DF5">
      <w:pPr>
        <w:spacing w:after="0"/>
      </w:pPr>
    </w:p>
    <w:p w14:paraId="18E6F556" w14:textId="08622E1D" w:rsidR="004F0DF5" w:rsidRDefault="004F0DF5" w:rsidP="004F0DF5">
      <w:pPr>
        <w:spacing w:after="0"/>
      </w:pPr>
      <w:r>
        <w:t>The deferral regime should we set out in the commonly traded unit of measurement and exchange, which for EUAs are Tonnes. [One lot of 1000 EUAs. Each EUA being an Allowance which is an entitlement to emit one tonne of carbon dioxide equivalent gas.]</w:t>
      </w:r>
    </w:p>
    <w:p w14:paraId="64D2DC81" w14:textId="77777777" w:rsidR="004F0DF5" w:rsidRDefault="004F0DF5" w:rsidP="004F0DF5">
      <w:pPr>
        <w:spacing w:after="0"/>
      </w:pPr>
    </w:p>
    <w:p w14:paraId="6F5EA19B" w14:textId="0C81A63B" w:rsidR="004F0DF5" w:rsidRDefault="004F0DF5" w:rsidP="004F0DF5">
      <w:pPr>
        <w:spacing w:after="0"/>
      </w:pPr>
      <w:r>
        <w:t>For EUAs the Pre-trade LIS is too large because this data point creates the exchange Bock size threshold. This should therefore be set at 2 lots or rather more correctly 2000 tonnes.</w:t>
      </w:r>
    </w:p>
    <w:p w14:paraId="35F4D44F" w14:textId="77777777" w:rsidR="004F0DF5" w:rsidRDefault="004F0DF5" w:rsidP="004F0DF5">
      <w:pPr>
        <w:spacing w:after="0"/>
      </w:pPr>
    </w:p>
    <w:p w14:paraId="1C6AAE72" w14:textId="4B45204C" w:rsidR="004F0DF5" w:rsidRDefault="004F0DF5" w:rsidP="004F0DF5">
      <w:pPr>
        <w:spacing w:after="0"/>
      </w:pPr>
      <w:r>
        <w:t>For the post-trade deferrals, a trade size of 25 lots is recognised to exceed the 80-90 percentile target by some distance, which together with only a T+1 deferral maximum may hinder the development of the ETS beyond its current level. We would query why this disincentive could be an objective for ESMA when other parts of the EC are undertaking measures to enhance the regime, most notably the planned ‘CBAM’.</w:t>
      </w:r>
    </w:p>
    <w:p w14:paraId="4D6232D6" w14:textId="77777777" w:rsidR="004F0DF5" w:rsidRDefault="004F0DF5" w:rsidP="004F0DF5">
      <w:pPr>
        <w:spacing w:after="0"/>
      </w:pPr>
    </w:p>
    <w:p w14:paraId="2D27C4BD" w14:textId="5BEA7A49" w:rsidR="004F0DF5" w:rsidRDefault="004F0DF5" w:rsidP="004F0DF5">
      <w:pPr>
        <w:spacing w:after="0"/>
      </w:pPr>
      <w:r>
        <w:t>An alternative methodology would be to target an 80% quartile and facilitate a 4-week deferral period.</w:t>
      </w:r>
    </w:p>
    <w:p w14:paraId="1F64D8E0" w14:textId="77777777" w:rsidR="004F0DF5" w:rsidRDefault="004F0DF5" w:rsidP="00C54034">
      <w:pPr>
        <w:spacing w:after="0"/>
      </w:pPr>
    </w:p>
    <w:p w14:paraId="4DCE5838" w14:textId="69B35230" w:rsidR="00CC59BB" w:rsidRDefault="00CC59BB" w:rsidP="00C54034">
      <w:pPr>
        <w:spacing w:after="0"/>
      </w:pPr>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lastRenderedPageBreak/>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3640552A" w14:textId="6F926FA9" w:rsidR="00E219AA" w:rsidRDefault="00E219AA" w:rsidP="00C54034">
      <w:pPr>
        <w:spacing w:after="0"/>
      </w:pPr>
      <w:permStart w:id="1244420503" w:edGrp="everyone"/>
      <w:r w:rsidRPr="00E219AA">
        <w:t>Yes, we agree.</w:t>
      </w:r>
    </w:p>
    <w:p w14:paraId="46DB8BE3" w14:textId="77777777" w:rsidR="00E219AA" w:rsidRDefault="00E219AA" w:rsidP="00C54034">
      <w:pPr>
        <w:spacing w:after="0"/>
      </w:pPr>
    </w:p>
    <w:p w14:paraId="5BCF67F2" w14:textId="5D0FEBF2" w:rsidR="00CC59BB" w:rsidRDefault="00CC59BB" w:rsidP="00C54034">
      <w:pPr>
        <w:spacing w:after="0"/>
      </w:pPr>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244D221C" w14:textId="0416E58C" w:rsidR="00F44716" w:rsidRDefault="00F44716" w:rsidP="00C54034">
      <w:pPr>
        <w:spacing w:after="0"/>
      </w:pPr>
      <w:permStart w:id="356003362" w:edGrp="everyone"/>
      <w:r w:rsidRPr="00F44716">
        <w:t>No comment.</w:t>
      </w:r>
    </w:p>
    <w:p w14:paraId="488DD450" w14:textId="77777777" w:rsidR="00F44716" w:rsidRDefault="00F44716" w:rsidP="00C54034">
      <w:pPr>
        <w:spacing w:after="0"/>
      </w:pPr>
    </w:p>
    <w:p w14:paraId="1EBE3E0A" w14:textId="3E22651D" w:rsidR="00CC59BB" w:rsidRDefault="00CC59BB" w:rsidP="00C54034">
      <w:pPr>
        <w:spacing w:after="0"/>
      </w:pPr>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D561F06" w14:textId="3B819D88" w:rsidR="00F44716" w:rsidRDefault="000627D3" w:rsidP="00C54034">
      <w:pPr>
        <w:spacing w:after="0"/>
      </w:pPr>
      <w:permStart w:id="780153713" w:edGrp="everyone"/>
      <w:r w:rsidRPr="000627D3">
        <w:t>No comment.</w:t>
      </w:r>
    </w:p>
    <w:p w14:paraId="4544C890" w14:textId="77777777" w:rsidR="00F44716" w:rsidRDefault="00F44716" w:rsidP="00C54034">
      <w:pPr>
        <w:spacing w:after="0"/>
      </w:pPr>
    </w:p>
    <w:p w14:paraId="224DD2F7" w14:textId="5BF0F06F" w:rsidR="00CC59BB" w:rsidRDefault="00CC59BB" w:rsidP="00C54034">
      <w:pPr>
        <w:spacing w:after="0"/>
      </w:pPr>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2B4733FA" w14:textId="77777777" w:rsidR="00683135" w:rsidRPr="00683135" w:rsidRDefault="00683135" w:rsidP="00683135">
      <w:pPr>
        <w:spacing w:after="0"/>
      </w:pPr>
      <w:permStart w:id="1310265670" w:edGrp="everyone"/>
      <w:r w:rsidRPr="00683135">
        <w:t xml:space="preserve">Noting the limitations now applied to the scope for national supplementary deferrals, but the protections these afford to individual sovereign issuers and their respective DMOs. </w:t>
      </w:r>
    </w:p>
    <w:p w14:paraId="353D0E15" w14:textId="77777777" w:rsidR="00683135" w:rsidRDefault="00683135" w:rsidP="00683135">
      <w:pPr>
        <w:spacing w:after="0"/>
      </w:pPr>
    </w:p>
    <w:p w14:paraId="65A1C513" w14:textId="1B08A20A" w:rsidR="00683135" w:rsidRPr="00683135" w:rsidRDefault="00683135" w:rsidP="00683135">
      <w:pPr>
        <w:spacing w:after="0"/>
      </w:pPr>
      <w:r w:rsidRPr="00683135">
        <w:t xml:space="preserve">We agree with the ESMA proposals for the treatment of aggregated data to be published, together with the subsequent components. </w:t>
      </w:r>
    </w:p>
    <w:p w14:paraId="43B893BD" w14:textId="77777777" w:rsidR="00683135" w:rsidRDefault="00683135" w:rsidP="00683135">
      <w:pPr>
        <w:spacing w:after="0"/>
      </w:pPr>
    </w:p>
    <w:p w14:paraId="448FD0B3" w14:textId="3F9EA1F9" w:rsidR="00A472CF" w:rsidRDefault="00683135" w:rsidP="00683135">
      <w:pPr>
        <w:spacing w:after="0"/>
      </w:pPr>
      <w:r w:rsidRPr="00683135">
        <w:t>We also agree that any such supplementary deferrals should be based on the volume omission under Article 13(3)(a).</w:t>
      </w:r>
    </w:p>
    <w:p w14:paraId="0D6BE465" w14:textId="77777777" w:rsidR="00A472CF" w:rsidRDefault="00A472CF" w:rsidP="00C54034">
      <w:pPr>
        <w:spacing w:after="0"/>
      </w:pPr>
    </w:p>
    <w:p w14:paraId="78CC4A39" w14:textId="5C463BAB" w:rsidR="00CC59BB" w:rsidRDefault="00CC59BB" w:rsidP="00C54034">
      <w:pPr>
        <w:spacing w:after="0"/>
      </w:pPr>
      <w:r>
        <w:t>TYPE YOUR TEXT HERE</w:t>
      </w:r>
    </w:p>
    <w:permEnd w:id="1310265670"/>
    <w:p w14:paraId="50486DF5" w14:textId="5B37BA66" w:rsidR="00CC59BB" w:rsidRDefault="00CC59BB" w:rsidP="00C54034">
      <w:pPr>
        <w:spacing w:after="0"/>
      </w:pPr>
      <w:r>
        <w:lastRenderedPageBreak/>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2BA3B59" w14:textId="2779189D" w:rsidR="002B300A" w:rsidRDefault="002B300A" w:rsidP="00C54034">
      <w:pPr>
        <w:spacing w:after="0"/>
      </w:pPr>
      <w:permStart w:id="1711693936" w:edGrp="everyone"/>
      <w:r w:rsidRPr="002B300A">
        <w:t>Yes, we agree.</w:t>
      </w:r>
    </w:p>
    <w:p w14:paraId="09C6B777" w14:textId="77777777" w:rsidR="002B300A" w:rsidRDefault="002B300A" w:rsidP="00C54034">
      <w:pPr>
        <w:spacing w:after="0"/>
      </w:pPr>
    </w:p>
    <w:p w14:paraId="18FF0F4B" w14:textId="0D838660" w:rsidR="00CC59BB" w:rsidRDefault="00CC59BB" w:rsidP="00C54034">
      <w:pPr>
        <w:spacing w:after="0"/>
      </w:pPr>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103A6F9A" w14:textId="77777777" w:rsidR="00A969BF" w:rsidRPr="00A969BF" w:rsidRDefault="00A969BF" w:rsidP="00A969BF">
      <w:pPr>
        <w:spacing w:after="0"/>
      </w:pPr>
      <w:permStart w:id="1126446852" w:edGrp="everyone"/>
      <w:r w:rsidRPr="00A969BF">
        <w:t>We consider that there are two broader issues which ESMA should consider.</w:t>
      </w:r>
    </w:p>
    <w:p w14:paraId="7E02CC94" w14:textId="77777777" w:rsidR="00A969BF" w:rsidRDefault="00A969BF" w:rsidP="00A969BF">
      <w:pPr>
        <w:spacing w:after="0"/>
      </w:pPr>
    </w:p>
    <w:p w14:paraId="2CD82955" w14:textId="360BCEA1" w:rsidR="00A969BF" w:rsidRPr="00A969BF" w:rsidRDefault="00A969BF" w:rsidP="00A969BF">
      <w:pPr>
        <w:spacing w:after="0"/>
      </w:pPr>
      <w:r w:rsidRPr="00A969BF">
        <w:t>Firstly, ESMA should revisit its quantitative reports (EQU/NQU reports) for which trading venues need to submit daily reports on every relevant ISIN/venue combination, even when the content of the report is a zero-value reflecting that there have been no trades in a particular instrument that day. Our members’ systems comprise some 660,000 IRD records and over 300,000,000 quant reports. There are significant data processing quality topics and costs associated with simply maintaining these reports in resilient storage. This makes queries and error-checks on zero submissions costly and burdensome; and therefore, it would make sense for ESMA to discontinue reporting of zero values.</w:t>
      </w:r>
    </w:p>
    <w:p w14:paraId="2D872E66" w14:textId="77777777" w:rsidR="00A969BF" w:rsidRDefault="00A969BF" w:rsidP="00A969BF">
      <w:pPr>
        <w:spacing w:after="0"/>
      </w:pPr>
    </w:p>
    <w:p w14:paraId="7BB6792B" w14:textId="04A5BBB8" w:rsidR="00A969BF" w:rsidRPr="00A969BF" w:rsidRDefault="00A969BF" w:rsidP="00A969BF">
      <w:pPr>
        <w:spacing w:after="0"/>
      </w:pPr>
      <w:r w:rsidRPr="00A969BF">
        <w:t xml:space="preserve">Secondly, we would urge ESMA to ensure the timely publishing of schemas, together with the provision of more guidance on when revised or replacement schemas  will be published, and provide more timely access to test systems ahead of implementation of new schemas. Firms note often finding themselves only days away from reporting deadlines for new schemas with only the draft sent from ESMA and not final version. As a </w:t>
      </w:r>
      <w:r w:rsidR="00E37386" w:rsidRPr="00A969BF">
        <w:t>consequence,</w:t>
      </w:r>
      <w:r w:rsidRPr="00A969BF">
        <w:t xml:space="preserve"> firms have undertaken production reporting based on such draft schema’s and guidance, which has challenged data quality targets.</w:t>
      </w:r>
    </w:p>
    <w:p w14:paraId="68F1D2A5" w14:textId="77777777" w:rsidR="00A969BF" w:rsidRDefault="00A969BF" w:rsidP="00A969BF">
      <w:pPr>
        <w:spacing w:after="0"/>
      </w:pPr>
    </w:p>
    <w:p w14:paraId="225357EA" w14:textId="5D282A76" w:rsidR="00A969BF" w:rsidRPr="00A969BF" w:rsidRDefault="00A969BF" w:rsidP="00A969BF">
      <w:pPr>
        <w:spacing w:after="0"/>
      </w:pPr>
      <w:r w:rsidRPr="00A969BF">
        <w:t>Given that the changes in Level 1 impose further complexity in respect of the treatment of central bank transactions, we would encourage ESMA to consider the recodification of these transactions via flags which would classify the intended transparency treatment for each trade leg.</w:t>
      </w:r>
    </w:p>
    <w:p w14:paraId="36B907FE" w14:textId="77777777" w:rsidR="00A969BF" w:rsidRDefault="00A969BF" w:rsidP="00C54034">
      <w:pPr>
        <w:spacing w:after="0"/>
      </w:pPr>
    </w:p>
    <w:p w14:paraId="2E4AEEE6" w14:textId="73746201" w:rsidR="00CC59BB" w:rsidRDefault="00CC59BB" w:rsidP="00C54034">
      <w:pPr>
        <w:spacing w:after="0"/>
      </w:pPr>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lastRenderedPageBreak/>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028840B9" w14:textId="77777777" w:rsidR="00BD07E6" w:rsidRDefault="00BD07E6" w:rsidP="00BD07E6">
      <w:pPr>
        <w:spacing w:after="0"/>
      </w:pPr>
      <w:permStart w:id="1428125549" w:edGrp="everyone"/>
      <w:r>
        <w:t xml:space="preserve">Changes to schemas and associated processing to accommodate changed reporting formats (and, in particular, trade flags) require substantial technology and system revisions. The scale of these changes to relevant trade capture systems &amp; technical protocols appears substantially underestimated in the consultation. </w:t>
      </w:r>
    </w:p>
    <w:p w14:paraId="3B2D4E52" w14:textId="77777777" w:rsidR="00762CA3" w:rsidRDefault="00762CA3" w:rsidP="00BD07E6">
      <w:pPr>
        <w:spacing w:after="0"/>
      </w:pPr>
    </w:p>
    <w:p w14:paraId="4027A87D" w14:textId="2ADEAA05" w:rsidR="00BD07E6" w:rsidRDefault="00BD07E6" w:rsidP="00BD07E6">
      <w:pPr>
        <w:spacing w:after="0"/>
      </w:pPr>
      <w:r>
        <w:t>Such changes carry a minimum lead time of up to 6 months from the point at which the RTS changes have been finalised, and prior to any outsourcing considerations, testing and application.</w:t>
      </w:r>
    </w:p>
    <w:p w14:paraId="4C778E7D" w14:textId="77777777" w:rsidR="00BD07E6" w:rsidRDefault="00BD07E6" w:rsidP="00BD07E6">
      <w:pPr>
        <w:spacing w:after="0"/>
      </w:pPr>
      <w:r>
        <w:t xml:space="preserve">Therefore, we consider that a minimum of 18-months will be necessary, together with further provisions for late-stage extensions, deferrals or ‘no-action’ measures. </w:t>
      </w:r>
    </w:p>
    <w:p w14:paraId="660F90D9" w14:textId="77777777" w:rsidR="00BD07E6" w:rsidRDefault="00BD07E6" w:rsidP="00BD07E6">
      <w:pPr>
        <w:spacing w:after="0"/>
      </w:pPr>
    </w:p>
    <w:p w14:paraId="21A24267" w14:textId="5FACD0A6" w:rsidR="00BD07E6" w:rsidRDefault="00BD07E6" w:rsidP="00BD07E6">
      <w:pPr>
        <w:spacing w:after="0"/>
      </w:pPr>
      <w:r>
        <w:t xml:space="preserve">It’s also </w:t>
      </w:r>
      <w:r w:rsidR="00762CA3">
        <w:t xml:space="preserve">important to </w:t>
      </w:r>
      <w:r>
        <w:t>highlight that, from an operational perspective, it would be significantly better to phase-in the changes rather than have one ‘big bang’ of change. This creates significant risk when it comes to day one of the new regime if we encounter issues. It makes it difficult to properly identify the causes of data quality issues.</w:t>
      </w:r>
    </w:p>
    <w:p w14:paraId="53940697" w14:textId="77777777" w:rsidR="00BD07E6" w:rsidRDefault="00BD07E6" w:rsidP="00BD07E6">
      <w:pPr>
        <w:spacing w:after="0"/>
      </w:pPr>
    </w:p>
    <w:p w14:paraId="07C5F53A" w14:textId="3AC65001" w:rsidR="00BD07E6" w:rsidRDefault="00786E2C" w:rsidP="00C54034">
      <w:pPr>
        <w:spacing w:after="0"/>
      </w:pPr>
      <w:r w:rsidRPr="00786E2C">
        <w:t>Further, the industry has adopted a working practice of giving three months’ notice for any changes relating to market data publication, whether both pre-trade and post-trade transparency. Together therefore a 6-month lead time would therefore apply for the systems alone, but wider third-party communications, their phasing, coordination and planning would require not less than an 18-month implementation.  We therefore believe that 1st May 2025 is overly ambitious and should be deferred until the start of 2026.</w:t>
      </w:r>
    </w:p>
    <w:p w14:paraId="2D0D30B1" w14:textId="77777777" w:rsidR="00786E2C" w:rsidRDefault="00786E2C" w:rsidP="00C54034">
      <w:pPr>
        <w:spacing w:after="0"/>
      </w:pPr>
    </w:p>
    <w:p w14:paraId="6D4F0CA9" w14:textId="0C0A720C" w:rsidR="00CC59BB" w:rsidRDefault="00CC59BB" w:rsidP="00C54034">
      <w:pPr>
        <w:spacing w:after="0"/>
      </w:pPr>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595FA3E6" w14:textId="77777777" w:rsidR="00996C85" w:rsidRPr="00996C85" w:rsidRDefault="00996C85" w:rsidP="00996C85">
      <w:pPr>
        <w:spacing w:after="0"/>
      </w:pPr>
      <w:permStart w:id="1672500431" w:edGrp="everyone"/>
      <w:r w:rsidRPr="00996C85">
        <w:t>The general approach appears very burdensome where, as ESMA explicitly recognises, the heterogeneity across different providers and business models makes any comparisons and expected outcomes highly tenuous. Likely ESMA would be better setting out what is unreasonable as a starting basis rather than trying to codify and model the entire world on the basis of assumptions.</w:t>
      </w:r>
    </w:p>
    <w:p w14:paraId="059F964A" w14:textId="77777777" w:rsidR="00996C85" w:rsidRDefault="00996C85" w:rsidP="00996C85">
      <w:pPr>
        <w:spacing w:after="0"/>
      </w:pPr>
    </w:p>
    <w:p w14:paraId="451F901D" w14:textId="06019436" w:rsidR="00996C85" w:rsidRPr="00996C85" w:rsidRDefault="00996C85" w:rsidP="00996C85">
      <w:pPr>
        <w:spacing w:after="0"/>
      </w:pPr>
      <w:r w:rsidRPr="00996C85">
        <w:t>Furthermore, ESMA acknowledges that the level 1 does not provide it with a price competition mandate to set explicit margins. Indeed, even if it did the enterprises in question are global and the reach and capacity of ESMA would need to be extraterritorial.</w:t>
      </w:r>
    </w:p>
    <w:p w14:paraId="6D238065" w14:textId="77777777" w:rsidR="00996C85" w:rsidRDefault="00996C85" w:rsidP="00996C85">
      <w:pPr>
        <w:spacing w:after="0"/>
      </w:pPr>
    </w:p>
    <w:p w14:paraId="66E86F0A" w14:textId="6AE4F8A3" w:rsidR="00996C85" w:rsidRPr="00996C85" w:rsidRDefault="00996C85" w:rsidP="00996C85">
      <w:pPr>
        <w:spacing w:after="0"/>
      </w:pPr>
      <w:r w:rsidRPr="00996C85">
        <w:t xml:space="preserve">The five categories of costs set out do indeed cover the scope of business operations; and clearly each business in scope will already have management metrics around their operating margins which describe the economic model of the business. </w:t>
      </w:r>
    </w:p>
    <w:p w14:paraId="6D17AE3E" w14:textId="77777777" w:rsidR="00996C85" w:rsidRDefault="00996C85" w:rsidP="00996C85">
      <w:pPr>
        <w:spacing w:after="0"/>
      </w:pPr>
    </w:p>
    <w:p w14:paraId="08B3C304" w14:textId="7D8B891A" w:rsidR="001F2BA0" w:rsidRDefault="00996C85" w:rsidP="00996C85">
      <w:pPr>
        <w:spacing w:after="0"/>
      </w:pPr>
      <w:r w:rsidRPr="00996C85">
        <w:t>Beyond this fact, the specified input data appears non-standard and incomparable. Firms will sometimes attain raw data from consolidated group operations whereas others may purchase clean data from third parties. Staff may be employed in different countries within the EU or across the globe.</w:t>
      </w:r>
    </w:p>
    <w:p w14:paraId="71375554" w14:textId="77777777" w:rsidR="001F2BA0" w:rsidRDefault="001F2BA0" w:rsidP="00C54034">
      <w:pPr>
        <w:spacing w:after="0"/>
      </w:pPr>
    </w:p>
    <w:p w14:paraId="0FF5B233" w14:textId="734D22A7" w:rsidR="00CC59BB" w:rsidRDefault="00CC59BB" w:rsidP="00C54034">
      <w:pPr>
        <w:spacing w:after="0"/>
      </w:pPr>
      <w:r>
        <w:t>TYPE YOUR TEXT HERE</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162748C2" w14:textId="548E778D" w:rsidR="00C6286F" w:rsidRDefault="00C6286F" w:rsidP="00FA4100">
      <w:pPr>
        <w:spacing w:after="0"/>
      </w:pPr>
      <w:permStart w:id="1840853704" w:edGrp="everyone"/>
      <w:r w:rsidRPr="00C6286F">
        <w:t>The five categories of costs set out do indeed cover the scope of business operation; however, the relative and absolute calculations to quantify these appears highly subjective based on business model and underlying assumptions.</w:t>
      </w:r>
    </w:p>
    <w:p w14:paraId="4D83CE4E" w14:textId="77777777" w:rsidR="00C6286F" w:rsidRDefault="00C6286F" w:rsidP="00FA4100">
      <w:pPr>
        <w:spacing w:after="0"/>
      </w:pPr>
    </w:p>
    <w:p w14:paraId="4DCAACF5" w14:textId="7C1F0806" w:rsidR="00FA4100" w:rsidRDefault="00FA4100" w:rsidP="00FA4100">
      <w:pPr>
        <w:spacing w:after="0"/>
      </w:pPr>
      <w:r>
        <w:t>TYPE YOUR TEXT HERE</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14B9E7F0" w14:textId="68547152" w:rsidR="00A529DA" w:rsidRPr="00A529DA" w:rsidRDefault="00A529DA" w:rsidP="00A529DA">
      <w:pPr>
        <w:spacing w:after="0"/>
      </w:pPr>
      <w:permStart w:id="636686123" w:edGrp="everyone"/>
      <w:r w:rsidRPr="00A529DA">
        <w:t xml:space="preserve">Yes, </w:t>
      </w:r>
      <w:r>
        <w:t>we agree. By</w:t>
      </w:r>
      <w:r w:rsidRPr="00A529DA">
        <w:t xml:space="preserve"> apportioning business costs based on the use of each specified categories of resource appears appropriate, but it’s likely that further guidance may be required to map this approach to accounting standards used by firms. </w:t>
      </w:r>
    </w:p>
    <w:p w14:paraId="41828785" w14:textId="77777777" w:rsidR="00A529DA" w:rsidRDefault="00A529DA" w:rsidP="00A529DA">
      <w:pPr>
        <w:spacing w:after="0"/>
      </w:pPr>
    </w:p>
    <w:p w14:paraId="3B03973D" w14:textId="0A8C4011" w:rsidR="00A529DA" w:rsidRPr="00A529DA" w:rsidRDefault="00A529DA" w:rsidP="00A529DA">
      <w:pPr>
        <w:spacing w:after="0"/>
      </w:pPr>
      <w:r w:rsidRPr="00A529DA">
        <w:lastRenderedPageBreak/>
        <w:t>Issues such as relevant accounting period need to be standardised and normalised; whilst the calendar terms for the basis periods of applicable costs and licences should be set out. Moreover, guidance as to which costs borne in the EU versus those in other locations or in other group entities may be applied.</w:t>
      </w:r>
    </w:p>
    <w:p w14:paraId="6794ECE6" w14:textId="77777777" w:rsidR="00A529DA" w:rsidRDefault="00A529DA" w:rsidP="00FA4100">
      <w:pPr>
        <w:spacing w:after="0"/>
      </w:pPr>
    </w:p>
    <w:p w14:paraId="5E2D8E53" w14:textId="77777777" w:rsidR="00A529DA" w:rsidRDefault="00A529DA" w:rsidP="00FA4100">
      <w:pPr>
        <w:spacing w:after="0"/>
      </w:pPr>
    </w:p>
    <w:p w14:paraId="4F76C4AE" w14:textId="57511F60" w:rsidR="00FA4100" w:rsidRDefault="00FA4100" w:rsidP="00FA4100">
      <w:pPr>
        <w:spacing w:after="0"/>
      </w:pPr>
      <w:r>
        <w:t>TYPE YOUR TEXT HERE</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3C3F487C" w14:textId="77777777" w:rsidR="000368F9" w:rsidRPr="000368F9" w:rsidRDefault="000368F9" w:rsidP="000368F9">
      <w:pPr>
        <w:spacing w:after="0"/>
      </w:pPr>
      <w:permStart w:id="1539128939" w:edGrp="everyone"/>
      <w:r w:rsidRPr="000368F9">
        <w:t>The concept of a standard and comparable margin attributable to the production and dissemination of market data is desirable. However, whether this ratio can be reliably attained in a meaningful way appears tenuous and unlikely.</w:t>
      </w:r>
    </w:p>
    <w:p w14:paraId="69828F5A" w14:textId="77777777" w:rsidR="000368F9" w:rsidRDefault="000368F9" w:rsidP="000368F9">
      <w:pPr>
        <w:spacing w:after="0"/>
      </w:pPr>
    </w:p>
    <w:p w14:paraId="62CC9217" w14:textId="58199C00" w:rsidR="000368F9" w:rsidRPr="000368F9" w:rsidRDefault="000368F9" w:rsidP="000368F9">
      <w:pPr>
        <w:spacing w:after="0"/>
      </w:pPr>
      <w:r w:rsidRPr="000368F9">
        <w:t xml:space="preserve">Without assessing trial data across a variety of business models it would be difficult to hold a view as to whether net profit as defined in Article 3 of the draft RTS can be a representative proxy of the margin applicable to data fees. In this way the regulatory text would be better sited following a trial period involving a diverse sample set of commercial data providers. </w:t>
      </w:r>
    </w:p>
    <w:p w14:paraId="4C86528C" w14:textId="77777777" w:rsidR="000368F9" w:rsidRDefault="000368F9" w:rsidP="000368F9">
      <w:pPr>
        <w:spacing w:after="0"/>
      </w:pPr>
    </w:p>
    <w:p w14:paraId="5D0D5C69" w14:textId="037F7A5F" w:rsidR="000368F9" w:rsidRPr="000368F9" w:rsidRDefault="000368F9" w:rsidP="000368F9">
      <w:pPr>
        <w:spacing w:after="0"/>
      </w:pPr>
      <w:r w:rsidRPr="000368F9">
        <w:t>It would appear that firms seeking to either increase or decrease the outcome data would hold ample tool to change both the costs and the charges in any accounting period to the extent that the derived margin ratio would not relate to the underlying business model or its user fees.</w:t>
      </w:r>
    </w:p>
    <w:p w14:paraId="74D8CD0C" w14:textId="77777777" w:rsidR="000368F9" w:rsidRDefault="000368F9" w:rsidP="00FA4100">
      <w:pPr>
        <w:spacing w:after="0"/>
      </w:pPr>
    </w:p>
    <w:p w14:paraId="24A07323" w14:textId="19DAAAD8" w:rsidR="00FA4100" w:rsidRDefault="00FA4100" w:rsidP="00FA4100">
      <w:pPr>
        <w:spacing w:after="0"/>
      </w:pPr>
      <w:r>
        <w:t>TYPE YOUR TEXT HERE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68274F3D" w14:textId="77777777" w:rsidR="00E759FD" w:rsidRPr="00E759FD" w:rsidRDefault="00E759FD" w:rsidP="00E759FD">
      <w:pPr>
        <w:spacing w:after="0"/>
      </w:pPr>
      <w:permStart w:id="307052998" w:edGrp="everyone"/>
      <w:r w:rsidRPr="00E759FD">
        <w:t xml:space="preserve">Yes, we agree with the proposed template in seeking to attain the data relevant to calculate the required outputs. </w:t>
      </w:r>
    </w:p>
    <w:p w14:paraId="3B5DB71F" w14:textId="21EE0DDA" w:rsidR="005A2690" w:rsidRDefault="00E759FD" w:rsidP="00E759FD">
      <w:pPr>
        <w:spacing w:after="0"/>
      </w:pPr>
      <w:r w:rsidRPr="00E759FD">
        <w:t xml:space="preserve">Again, we note that what costs are relevant to which activities in the European Union and which customers are paying for usage only within the European Union appears entirely subjective and </w:t>
      </w:r>
      <w:r w:rsidRPr="00E759FD">
        <w:lastRenderedPageBreak/>
        <w:t>without merit.</w:t>
      </w:r>
      <w:r w:rsidR="00D8799C">
        <w:t xml:space="preserve"> </w:t>
      </w:r>
      <w:r w:rsidR="00E37386">
        <w:t>Also,</w:t>
      </w:r>
      <w:r w:rsidR="001B3DC9">
        <w:t xml:space="preserve"> the fact that so little of </w:t>
      </w:r>
      <w:r w:rsidR="00AA7A0D">
        <w:t>m</w:t>
      </w:r>
      <w:r w:rsidR="001B3DC9">
        <w:t xml:space="preserve">any data firm’s activities concern the </w:t>
      </w:r>
      <w:r w:rsidR="00FB6A8C">
        <w:t xml:space="preserve">distribution of </w:t>
      </w:r>
      <w:r w:rsidR="001B3DC9">
        <w:t>in-scope MiFIR transparency data</w:t>
      </w:r>
      <w:r w:rsidR="00AA7A0D">
        <w:t xml:space="preserve"> makes the itemisation required very subjective indeed.</w:t>
      </w:r>
    </w:p>
    <w:p w14:paraId="5B357450" w14:textId="77777777" w:rsidR="005A2690" w:rsidRDefault="005A2690" w:rsidP="00FA4100">
      <w:pPr>
        <w:spacing w:after="0"/>
      </w:pPr>
    </w:p>
    <w:p w14:paraId="51A21E64" w14:textId="1546E114" w:rsidR="00FA4100" w:rsidRDefault="00FA4100" w:rsidP="00FA4100">
      <w:pPr>
        <w:spacing w:after="0"/>
      </w:pPr>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5B33C2A2" w14:textId="77777777" w:rsidR="00E6121E" w:rsidRPr="00E6121E" w:rsidRDefault="00E6121E" w:rsidP="00E6121E">
      <w:pPr>
        <w:spacing w:after="0"/>
      </w:pPr>
      <w:permStart w:id="884149456" w:edGrp="everyone"/>
      <w:r w:rsidRPr="00E6121E">
        <w:t>We agree that the criterion for a non-discriminatory basis should requires the market data provider to (i) apply the same fees, (ii) offer the same technical arrangements and (iii) apply the same terms and conditions related to data access to all customers.</w:t>
      </w:r>
    </w:p>
    <w:p w14:paraId="3892375C" w14:textId="77777777" w:rsidR="00E6121E" w:rsidRDefault="00E6121E" w:rsidP="00E6121E">
      <w:pPr>
        <w:spacing w:after="0"/>
      </w:pPr>
    </w:p>
    <w:p w14:paraId="6BBEB1C4" w14:textId="7B3843E9" w:rsidR="00E6121E" w:rsidRPr="00E6121E" w:rsidRDefault="00E6121E" w:rsidP="00E6121E">
      <w:pPr>
        <w:spacing w:after="0"/>
      </w:pPr>
      <w:r w:rsidRPr="00E6121E">
        <w:t>The requirements across points (1 – 5) in Annex 3/ Article 4 are all appropriate and relevant. We do not view any obstacles to non-discriminatory access to traded data; but are aware that users are categorised according to the type of user and the use-case. Therefore, we would add a further provision that use-type and the scale of supply really matters in determining the contractual service terms and the commensurate fees.</w:t>
      </w:r>
    </w:p>
    <w:p w14:paraId="2EF07E8D" w14:textId="77777777" w:rsidR="00E6121E" w:rsidRDefault="00E6121E" w:rsidP="00FA4100">
      <w:pPr>
        <w:spacing w:after="0"/>
      </w:pPr>
    </w:p>
    <w:p w14:paraId="0506021E" w14:textId="2F50198A" w:rsidR="00FA4100" w:rsidRDefault="00FA4100" w:rsidP="00FA4100">
      <w:pPr>
        <w:spacing w:after="0"/>
      </w:pPr>
      <w:r>
        <w:t>TYPE YOUR TEXT HERE</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1375D224" w14:textId="112F0601" w:rsidR="00E64152" w:rsidRPr="00E64152" w:rsidRDefault="00E64152" w:rsidP="00E64152">
      <w:pPr>
        <w:spacing w:after="0"/>
      </w:pPr>
      <w:permStart w:id="1310215157" w:edGrp="everyone"/>
      <w:r>
        <w:t xml:space="preserve">We concur that </w:t>
      </w:r>
      <w:r w:rsidRPr="00E64152">
        <w:t>ESMA correctly identifies that for different user types, so different arrangements for that data provision apply in terms of connectivity, transmission channels, the latency, the detail or granularity in the breath, the tagging and metadata, its structuring, and the volume of data. This also turns on the nature, structure, and volume of the data itself.</w:t>
      </w:r>
    </w:p>
    <w:p w14:paraId="46CC8ECC" w14:textId="77777777" w:rsidR="00B87310" w:rsidRDefault="00B87310" w:rsidP="00E64152">
      <w:pPr>
        <w:spacing w:after="0"/>
      </w:pPr>
    </w:p>
    <w:p w14:paraId="2A0B7523" w14:textId="0BB8ACDF" w:rsidR="00E64152" w:rsidRPr="00E64152" w:rsidRDefault="00E64152" w:rsidP="00E64152">
      <w:pPr>
        <w:spacing w:after="0"/>
      </w:pPr>
      <w:r w:rsidRPr="00E64152">
        <w:t>It is also generally accepted that data supply and contractual arrangements vary according to the use of data made by the user or the type of user. These have evolved to commonly concern either, “display” or “non-display” and for ingestion and consumption via  “desktop”, “an Enterprise”, or for the creation of “derived data” rights and for commercial redistribution.</w:t>
      </w:r>
    </w:p>
    <w:p w14:paraId="7CC45821" w14:textId="77777777" w:rsidR="00E64152" w:rsidRDefault="00E64152" w:rsidP="00FA4100">
      <w:pPr>
        <w:spacing w:after="0"/>
      </w:pPr>
    </w:p>
    <w:p w14:paraId="6FCDC957" w14:textId="1ED216E0" w:rsidR="00FA4100" w:rsidRDefault="00FA4100" w:rsidP="00FA4100">
      <w:pPr>
        <w:spacing w:after="0"/>
      </w:pPr>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lastRenderedPageBreak/>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29311953" w14:textId="059155B6" w:rsidR="009338CF" w:rsidRDefault="009338CF" w:rsidP="009338CF">
      <w:pPr>
        <w:spacing w:after="0"/>
      </w:pPr>
      <w:permStart w:id="1461735347" w:edGrp="everyone"/>
      <w:r w:rsidRPr="009338CF">
        <w:t>Yes, the formal legal adoption of fee categories would essentially codify current generally accepted market practice.</w:t>
      </w:r>
    </w:p>
    <w:p w14:paraId="7AFDA799" w14:textId="77777777" w:rsidR="009338CF" w:rsidRPr="009338CF" w:rsidRDefault="009338CF" w:rsidP="009338CF">
      <w:pPr>
        <w:spacing w:after="0"/>
      </w:pPr>
    </w:p>
    <w:p w14:paraId="5BA53BC6" w14:textId="77777777" w:rsidR="009338CF" w:rsidRPr="009338CF" w:rsidRDefault="009338CF" w:rsidP="009338CF">
      <w:pPr>
        <w:spacing w:after="0"/>
      </w:pPr>
      <w:r w:rsidRPr="009338CF">
        <w:t>We would add that the provision to use supplied data to create  “derived data” which is non-reversable is also a commonly used category.</w:t>
      </w:r>
    </w:p>
    <w:p w14:paraId="3D560CAD" w14:textId="77777777" w:rsidR="009338CF" w:rsidRDefault="009338CF" w:rsidP="00FA4100">
      <w:pPr>
        <w:spacing w:after="0"/>
      </w:pPr>
    </w:p>
    <w:p w14:paraId="7702A3CE" w14:textId="5E6755DE" w:rsidR="00FA4100" w:rsidRDefault="00FA4100" w:rsidP="00FA4100">
      <w:pPr>
        <w:spacing w:after="0"/>
      </w:pPr>
      <w:r>
        <w:t>TYPE YOUR TEXT HERE</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041CBAA6" w14:textId="77777777" w:rsidR="00EE1974" w:rsidRDefault="00EE1974" w:rsidP="00EE1974">
      <w:pPr>
        <w:spacing w:after="0"/>
      </w:pPr>
      <w:permStart w:id="526140180" w:edGrp="everyone"/>
      <w:r>
        <w:t>We agree with ESMA’s analysis regarding redistribution of market data, noting that this aspect is far less standardised and codified than the general consumption of data.</w:t>
      </w:r>
    </w:p>
    <w:p w14:paraId="2EB6A934" w14:textId="77777777" w:rsidR="00EE1974" w:rsidRDefault="00EE1974" w:rsidP="00EE1974">
      <w:pPr>
        <w:spacing w:after="0"/>
      </w:pPr>
    </w:p>
    <w:p w14:paraId="5D3129C0" w14:textId="77777777" w:rsidR="00EE1974" w:rsidRDefault="00EE1974" w:rsidP="00EE1974">
      <w:pPr>
        <w:spacing w:after="0"/>
      </w:pPr>
      <w:r>
        <w:t>Clearly the principal redistribution models sit with the major handful of data vendors, but across smaller and emerging market actors there is a wide diversity of approaches.</w:t>
      </w:r>
    </w:p>
    <w:p w14:paraId="6D67A7B5" w14:textId="77777777" w:rsidR="00EE1974" w:rsidRDefault="00EE1974" w:rsidP="00FA4100">
      <w:pPr>
        <w:spacing w:after="0"/>
      </w:pPr>
    </w:p>
    <w:p w14:paraId="6185C990" w14:textId="0AC2C762" w:rsidR="00FA4100" w:rsidRDefault="00FA4100" w:rsidP="00FA4100">
      <w:pPr>
        <w:spacing w:after="0"/>
      </w:pPr>
      <w:r>
        <w:t>TYPE YOUR TEXT HERE</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20F0C108" w14:textId="77777777" w:rsidR="0049362B" w:rsidRDefault="0049362B" w:rsidP="0049362B">
      <w:pPr>
        <w:spacing w:after="0"/>
      </w:pPr>
      <w:permStart w:id="657797640" w:edGrp="everyone"/>
      <w:r>
        <w:t>In addition to the non-exhaustive six-part list set out by ESMA in #244 could be: the labelling of data under ISO standards; the scope of data supplied; quality and corrections to the data supply; flexibility and variety to contractual timeframes offered; and the rights of appeal and adjudication subsequent to audit.</w:t>
      </w:r>
    </w:p>
    <w:p w14:paraId="11DBEB64" w14:textId="77777777" w:rsidR="0049362B" w:rsidRDefault="0049362B" w:rsidP="0049362B">
      <w:pPr>
        <w:spacing w:after="0"/>
      </w:pPr>
    </w:p>
    <w:p w14:paraId="0E8FD683" w14:textId="4F2A0FAB" w:rsidR="0049362B" w:rsidRDefault="0049362B" w:rsidP="0049362B">
      <w:pPr>
        <w:spacing w:after="0"/>
      </w:pPr>
      <w:r>
        <w:t>In respect of the quantum of fees, the general experience across the industry over recent decades has been the increasing volume of data points under existing fees rather than increasing unit prices.</w:t>
      </w:r>
    </w:p>
    <w:p w14:paraId="6329B90A" w14:textId="77777777" w:rsidR="0049362B" w:rsidRDefault="0049362B" w:rsidP="0049362B">
      <w:pPr>
        <w:spacing w:after="0"/>
      </w:pPr>
    </w:p>
    <w:p w14:paraId="64989935" w14:textId="12C79AF1" w:rsidR="00FA4100" w:rsidRDefault="00FA4100" w:rsidP="00FA4100">
      <w:pPr>
        <w:spacing w:after="0"/>
      </w:pPr>
      <w:r>
        <w:lastRenderedPageBreak/>
        <w:t>TYPE YOUR TEXT HERE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12A6D811" w14:textId="3C541567" w:rsidR="00986FE5" w:rsidRDefault="00986FE5" w:rsidP="00FA4100">
      <w:pPr>
        <w:spacing w:after="0"/>
      </w:pPr>
      <w:permStart w:id="1477078338" w:edGrp="everyone"/>
      <w:r w:rsidRPr="00986FE5">
        <w:t xml:space="preserve">ESMA’s objective in respect of the basic terms for data provision in Q36 is to set standard and de-minimus basic requirements. We agree that across the five </w:t>
      </w:r>
      <w:r>
        <w:t xml:space="preserve">itemised </w:t>
      </w:r>
      <w:r w:rsidRPr="00986FE5">
        <w:t xml:space="preserve">points specified </w:t>
      </w:r>
      <w:r>
        <w:t xml:space="preserve">in the question that </w:t>
      </w:r>
      <w:r w:rsidRPr="00986FE5">
        <w:t>these are broadly delivered.</w:t>
      </w:r>
    </w:p>
    <w:p w14:paraId="2645A6AC" w14:textId="77777777" w:rsidR="00977AF4" w:rsidRDefault="00977AF4" w:rsidP="00FA4100">
      <w:pPr>
        <w:spacing w:after="0"/>
      </w:pPr>
    </w:p>
    <w:p w14:paraId="456672CC" w14:textId="220771D6" w:rsidR="00FA4100" w:rsidRDefault="00FA4100" w:rsidP="00FA4100">
      <w:pPr>
        <w:spacing w:after="0"/>
      </w:pPr>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3AC12270" w14:textId="77777777" w:rsidR="00BA023C" w:rsidRDefault="00BA023C" w:rsidP="00BA023C">
      <w:pPr>
        <w:spacing w:after="0"/>
      </w:pPr>
      <w:permStart w:id="1201633413" w:edGrp="everyone"/>
      <w:r w:rsidRPr="00BA023C">
        <w:t>No. Generally the initial terms hold throughout the term and later-date insertions are unlikely. Clearly the desktop licence is essentially a ‘per-user’ model and is most exemplified by the standard Bloomberg Model.</w:t>
      </w:r>
    </w:p>
    <w:p w14:paraId="0E380231" w14:textId="77777777" w:rsidR="00BA023C" w:rsidRPr="00BA023C" w:rsidRDefault="00BA023C" w:rsidP="00BA023C">
      <w:pPr>
        <w:spacing w:after="0"/>
      </w:pPr>
    </w:p>
    <w:p w14:paraId="1E52F230" w14:textId="77777777" w:rsidR="00BA023C" w:rsidRDefault="00BA023C" w:rsidP="00BA023C">
      <w:pPr>
        <w:spacing w:after="0"/>
      </w:pPr>
      <w:r w:rsidRPr="00BA023C">
        <w:t>However, and as mentioned previously, market data agreements generally hold options for an either a desktop licence or an enterprise licence.</w:t>
      </w:r>
    </w:p>
    <w:p w14:paraId="7CC57C40" w14:textId="77777777" w:rsidR="00BA023C" w:rsidRPr="00BA023C" w:rsidRDefault="00BA023C" w:rsidP="00BA023C">
      <w:pPr>
        <w:spacing w:after="0"/>
      </w:pPr>
    </w:p>
    <w:p w14:paraId="6F21EA8F" w14:textId="77777777" w:rsidR="00BA023C" w:rsidRPr="00BA023C" w:rsidRDefault="00BA023C" w:rsidP="00BA023C">
      <w:pPr>
        <w:spacing w:after="0"/>
      </w:pPr>
      <w:r w:rsidRPr="00BA023C">
        <w:t>The proposed Article 12 on ‘Per user fees’, especially when taken together with the related provision across RTS Chapter IV concerning unbiased and fair contractual terms appear to embody sound and appropriate basic principles.</w:t>
      </w:r>
    </w:p>
    <w:p w14:paraId="67EE445A" w14:textId="77777777" w:rsidR="00BA023C" w:rsidRDefault="00BA023C" w:rsidP="00FA4100">
      <w:pPr>
        <w:spacing w:after="0"/>
      </w:pPr>
    </w:p>
    <w:p w14:paraId="179E543D" w14:textId="0CEFD5EB" w:rsidR="00FA4100" w:rsidRDefault="00FA4100" w:rsidP="00FA4100">
      <w:pPr>
        <w:spacing w:after="0"/>
      </w:pPr>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4E58538B" w14:textId="77777777" w:rsidR="00831A8B" w:rsidRDefault="00831A8B" w:rsidP="00831A8B">
      <w:pPr>
        <w:spacing w:after="0"/>
      </w:pPr>
      <w:permStart w:id="1252924652" w:edGrp="everyone"/>
      <w:r>
        <w:t>Yes, we agree.</w:t>
      </w:r>
    </w:p>
    <w:p w14:paraId="71CB2071" w14:textId="77777777" w:rsidR="00831A8B" w:rsidRDefault="00831A8B" w:rsidP="00831A8B">
      <w:pPr>
        <w:spacing w:after="0"/>
      </w:pPr>
    </w:p>
    <w:p w14:paraId="42BBD415" w14:textId="2D89DA82" w:rsidR="00320648" w:rsidRDefault="00831A8B" w:rsidP="00831A8B">
      <w:pPr>
        <w:spacing w:after="0"/>
      </w:pPr>
      <w:r>
        <w:t>The proposed Article 12 on penalties appear to set out sound and appropriate basic principles.</w:t>
      </w:r>
    </w:p>
    <w:p w14:paraId="04ECEF62" w14:textId="77777777" w:rsidR="00831A8B" w:rsidRDefault="00831A8B" w:rsidP="00831A8B">
      <w:pPr>
        <w:spacing w:after="0"/>
      </w:pPr>
    </w:p>
    <w:p w14:paraId="6337EF83" w14:textId="31CDE44B" w:rsidR="00FA4100" w:rsidRDefault="00FA4100" w:rsidP="00FA4100">
      <w:pPr>
        <w:spacing w:after="0"/>
      </w:pPr>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136D9309" w14:textId="77777777" w:rsidR="00225ECE" w:rsidRDefault="00225ECE" w:rsidP="00225ECE">
      <w:pPr>
        <w:spacing w:after="0"/>
      </w:pPr>
      <w:permStart w:id="2034649205" w:edGrp="everyone"/>
      <w:r>
        <w:t>Yes, we agree.</w:t>
      </w:r>
    </w:p>
    <w:p w14:paraId="2F0962F9" w14:textId="77777777" w:rsidR="00225ECE" w:rsidRDefault="00225ECE" w:rsidP="00225ECE">
      <w:pPr>
        <w:spacing w:after="0"/>
      </w:pPr>
    </w:p>
    <w:p w14:paraId="1E7A8299" w14:textId="6DAE85BA" w:rsidR="00831A8B" w:rsidRDefault="00225ECE" w:rsidP="00225ECE">
      <w:pPr>
        <w:spacing w:after="0"/>
      </w:pPr>
      <w:r>
        <w:t>The proposed Article 15 on audits appear proportionate and set out the appropriate basic principles.</w:t>
      </w:r>
    </w:p>
    <w:p w14:paraId="54AA4CE2" w14:textId="77777777" w:rsidR="00225ECE" w:rsidRDefault="00225ECE" w:rsidP="00225ECE">
      <w:pPr>
        <w:spacing w:after="0"/>
      </w:pPr>
    </w:p>
    <w:p w14:paraId="7B68B33D" w14:textId="10A82AB1" w:rsidR="00FA4100" w:rsidRDefault="00FA4100" w:rsidP="00FA4100">
      <w:pPr>
        <w:spacing w:after="0"/>
      </w:pPr>
      <w:r>
        <w:t>TYPE YOUR TEXT HERE</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20E24B2C" w14:textId="7F4CBA17" w:rsidR="00831A8B" w:rsidRDefault="0029052C" w:rsidP="00FA4100">
      <w:pPr>
        <w:spacing w:after="0"/>
      </w:pPr>
      <w:permStart w:id="1583374814" w:edGrp="everyone"/>
      <w:r w:rsidRPr="0029052C">
        <w:t>We would propose a basic “ombudsman right,” such that the right of appeal by a market user exists to the relevant NCA where it considers to the terms in the contractual data provisions clearly or persistently contravene the pertaining RTS.</w:t>
      </w:r>
    </w:p>
    <w:p w14:paraId="78CEDE2C" w14:textId="77777777" w:rsidR="0029052C" w:rsidRDefault="0029052C" w:rsidP="00FA4100">
      <w:pPr>
        <w:spacing w:after="0"/>
      </w:pPr>
    </w:p>
    <w:p w14:paraId="18BB7F98" w14:textId="5CF0E732" w:rsidR="00FA4100" w:rsidRDefault="00FA4100" w:rsidP="00FA4100">
      <w:pPr>
        <w:spacing w:after="0"/>
      </w:pPr>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32C81780" w14:textId="77777777" w:rsidR="00481F79" w:rsidRDefault="00481F79" w:rsidP="00481F79">
      <w:pPr>
        <w:spacing w:after="0"/>
      </w:pPr>
      <w:permStart w:id="1168114055" w:edGrp="everyone"/>
      <w:r>
        <w:t xml:space="preserve">We agree that a standardised publication template set should be developed and set out. </w:t>
      </w:r>
    </w:p>
    <w:p w14:paraId="7022D332" w14:textId="77777777" w:rsidR="00481F79" w:rsidRDefault="00481F79" w:rsidP="00481F79">
      <w:pPr>
        <w:spacing w:after="0"/>
      </w:pPr>
    </w:p>
    <w:p w14:paraId="29ACFBBE" w14:textId="5A4DA795" w:rsidR="00831A8B" w:rsidRDefault="00481F79" w:rsidP="00481F79">
      <w:pPr>
        <w:spacing w:after="0"/>
      </w:pPr>
      <w:r>
        <w:t>This may also include the deployment of Enterprise Agreements which would not have a per-user attribute, and for derived data or more commercial usage for which a per-user metric would not hold any utility.</w:t>
      </w:r>
    </w:p>
    <w:p w14:paraId="293A2617" w14:textId="77777777" w:rsidR="00481F79" w:rsidRDefault="00481F79" w:rsidP="00481F79">
      <w:pPr>
        <w:spacing w:after="0"/>
      </w:pPr>
    </w:p>
    <w:p w14:paraId="2DF108C1" w14:textId="246AA0F1" w:rsidR="00FA4100" w:rsidRDefault="00FA4100" w:rsidP="00FA4100">
      <w:pPr>
        <w:spacing w:after="0"/>
      </w:pPr>
      <w:r>
        <w:lastRenderedPageBreak/>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7CA8DA72" w14:textId="77777777" w:rsidR="00C15773" w:rsidRPr="00C15773" w:rsidRDefault="00C15773" w:rsidP="00C15773">
      <w:pPr>
        <w:spacing w:after="0"/>
      </w:pPr>
      <w:permStart w:id="658192178" w:edGrp="everyone"/>
      <w:r w:rsidRPr="00C15773">
        <w:t xml:space="preserve">We agree that a standardised publication template set should be developed and set out. </w:t>
      </w:r>
    </w:p>
    <w:p w14:paraId="28C700A5" w14:textId="74D142BE" w:rsidR="00C15773" w:rsidRDefault="00C15773" w:rsidP="00C15773">
      <w:pPr>
        <w:spacing w:after="0"/>
      </w:pPr>
      <w:r w:rsidRPr="00C15773">
        <w:t>This may also include the deployment of Enterprise Agreements which would not have a per-user attribute, and for derived data or more commercial usage for which a per-user metric would not hold any utility.</w:t>
      </w:r>
    </w:p>
    <w:p w14:paraId="7AD0811C" w14:textId="77777777" w:rsidR="000A41C5" w:rsidRDefault="000A41C5" w:rsidP="00C15773">
      <w:pPr>
        <w:spacing w:after="0"/>
      </w:pPr>
    </w:p>
    <w:p w14:paraId="0C4E6849" w14:textId="0EB09EC1" w:rsidR="00FA4100" w:rsidRDefault="00FA4100" w:rsidP="00FA4100">
      <w:pPr>
        <w:spacing w:after="0"/>
      </w:pPr>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180A2B5B" w14:textId="77777777" w:rsidR="00A76630" w:rsidRDefault="00A76630" w:rsidP="00A76630">
      <w:pPr>
        <w:spacing w:after="0"/>
      </w:pPr>
      <w:permStart w:id="1196837781" w:edGrp="everyone"/>
      <w:r w:rsidRPr="00A76630">
        <w:t>No. These appear outdated given modern technological developments including Colocation,  AI capabilities for unstructured data and Cloud-based adaptations.</w:t>
      </w:r>
    </w:p>
    <w:p w14:paraId="3673C31D" w14:textId="77777777" w:rsidR="00A76630" w:rsidRPr="00A76630" w:rsidRDefault="00A76630" w:rsidP="00A76630">
      <w:pPr>
        <w:spacing w:after="0"/>
      </w:pPr>
    </w:p>
    <w:p w14:paraId="58A6E224" w14:textId="592DF768" w:rsidR="00A76630" w:rsidRDefault="00A76630" w:rsidP="00A76630">
      <w:pPr>
        <w:spacing w:after="0"/>
      </w:pPr>
      <w:r w:rsidRPr="00A76630">
        <w:t>As per prior we would advocate a basic use categorisation of: Desktop; Enterprise and Derived Data.</w:t>
      </w:r>
    </w:p>
    <w:p w14:paraId="6A3BEB13" w14:textId="77777777" w:rsidR="00A76630" w:rsidRDefault="00A76630" w:rsidP="00A76630">
      <w:pPr>
        <w:spacing w:after="0"/>
      </w:pPr>
    </w:p>
    <w:p w14:paraId="7D9B56AD" w14:textId="35960E14" w:rsidR="00FA4100" w:rsidRDefault="00FA4100" w:rsidP="00FA4100">
      <w:pPr>
        <w:spacing w:after="0"/>
      </w:pPr>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0FF35AEE" w14:textId="77777777" w:rsidR="00525092" w:rsidRDefault="00525092" w:rsidP="00525092">
      <w:pPr>
        <w:spacing w:after="0"/>
      </w:pPr>
      <w:permStart w:id="1482058120" w:edGrp="everyone"/>
      <w:r>
        <w:t>These appear outdated given modern technological developments including AI capabilities for unstructured data and Cloud-based adaptations.</w:t>
      </w:r>
    </w:p>
    <w:p w14:paraId="6F8A3B26" w14:textId="77777777" w:rsidR="00525092" w:rsidRDefault="00525092" w:rsidP="00525092">
      <w:pPr>
        <w:spacing w:after="0"/>
      </w:pPr>
    </w:p>
    <w:p w14:paraId="036026A0" w14:textId="05F40AFF" w:rsidR="00525092" w:rsidRDefault="00525092" w:rsidP="00525092">
      <w:pPr>
        <w:spacing w:after="0"/>
      </w:pPr>
      <w:r>
        <w:lastRenderedPageBreak/>
        <w:t>As per prior we would advocate a basic use categorisation of: Desktop; Enterprise and Derived Data.</w:t>
      </w:r>
    </w:p>
    <w:p w14:paraId="52C6F5D8" w14:textId="77777777" w:rsidR="00525092" w:rsidRDefault="00525092" w:rsidP="00525092">
      <w:pPr>
        <w:spacing w:after="0"/>
      </w:pPr>
    </w:p>
    <w:p w14:paraId="2F526D3A" w14:textId="380A6F64" w:rsidR="00FA4100" w:rsidRDefault="00FA4100" w:rsidP="00FA4100">
      <w:pPr>
        <w:spacing w:after="0"/>
      </w:pPr>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1A48CC1F" w14:textId="75CB82BF" w:rsidR="00F20215" w:rsidRDefault="00F20215" w:rsidP="00FA4100">
      <w:pPr>
        <w:spacing w:after="0"/>
      </w:pPr>
      <w:permStart w:id="1375092011" w:edGrp="everyone"/>
      <w:r w:rsidRPr="00F20215">
        <w:t>No. The Cost Disclosures set out should be standardised and provided via an annex template as a set of “Key Disclosures Document”, otherwise the complexities and details of each supply model would obscure the information signals.</w:t>
      </w:r>
    </w:p>
    <w:p w14:paraId="11F1AAD8" w14:textId="77777777" w:rsidR="00F20215" w:rsidRDefault="00F20215" w:rsidP="00FA4100">
      <w:pPr>
        <w:spacing w:after="0"/>
      </w:pPr>
    </w:p>
    <w:p w14:paraId="4E3CB65A" w14:textId="226BBD45" w:rsidR="00FA4100" w:rsidRDefault="00FA4100" w:rsidP="00FA4100">
      <w:pPr>
        <w:spacing w:after="0"/>
      </w:pPr>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0E58B0A3" w14:textId="77777777" w:rsidR="00F27429" w:rsidRPr="00F27429" w:rsidRDefault="00F27429" w:rsidP="00F27429">
      <w:pPr>
        <w:spacing w:after="0"/>
      </w:pPr>
      <w:permStart w:id="1647450555" w:edGrp="everyone"/>
      <w:r w:rsidRPr="00F27429">
        <w:t>Yes, we agree.</w:t>
      </w:r>
    </w:p>
    <w:p w14:paraId="218F37B4" w14:textId="77777777" w:rsidR="00F27429" w:rsidRDefault="00F27429" w:rsidP="00FA4100">
      <w:pPr>
        <w:spacing w:after="0"/>
      </w:pPr>
    </w:p>
    <w:p w14:paraId="348660AD" w14:textId="232D7286" w:rsidR="00FA4100" w:rsidRDefault="00FA4100" w:rsidP="00FA4100">
      <w:pPr>
        <w:spacing w:after="0"/>
      </w:pPr>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7A9E1570" w14:textId="77777777" w:rsidR="0033355E" w:rsidRDefault="0033355E" w:rsidP="0033355E">
      <w:pPr>
        <w:spacing w:after="0"/>
      </w:pPr>
      <w:permStart w:id="738273573" w:edGrp="everyone"/>
      <w:r w:rsidRPr="0033355E">
        <w:t>No, we disagree.</w:t>
      </w:r>
    </w:p>
    <w:p w14:paraId="71DDA56E" w14:textId="77777777" w:rsidR="0033355E" w:rsidRPr="0033355E" w:rsidRDefault="0033355E" w:rsidP="0033355E">
      <w:pPr>
        <w:spacing w:after="0"/>
      </w:pPr>
    </w:p>
    <w:p w14:paraId="1DA95E21" w14:textId="77777777" w:rsidR="0033355E" w:rsidRPr="0033355E" w:rsidRDefault="0033355E" w:rsidP="0033355E">
      <w:pPr>
        <w:spacing w:after="0"/>
      </w:pPr>
      <w:r w:rsidRPr="0033355E">
        <w:t>A Basic registration and a validation against automated BOTs are prudent and essential, not least because the underlying trading venue could otherwise be compromised.</w:t>
      </w:r>
    </w:p>
    <w:p w14:paraId="0EEECF94" w14:textId="77777777" w:rsidR="0033355E" w:rsidRDefault="0033355E" w:rsidP="00FA4100">
      <w:pPr>
        <w:spacing w:after="0"/>
      </w:pPr>
    </w:p>
    <w:p w14:paraId="1B42158E" w14:textId="6EF02CAD" w:rsidR="00FA4100" w:rsidRDefault="00FA4100" w:rsidP="00FA4100">
      <w:pPr>
        <w:spacing w:after="0"/>
      </w:pPr>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E2CA088" w14:textId="77777777" w:rsidR="00542605" w:rsidRPr="00542605" w:rsidRDefault="00542605" w:rsidP="00542605">
      <w:pPr>
        <w:spacing w:after="0"/>
      </w:pPr>
      <w:permStart w:id="213343087" w:edGrp="everyone"/>
      <w:r w:rsidRPr="00542605">
        <w:t>No, we disagree.</w:t>
      </w:r>
    </w:p>
    <w:p w14:paraId="3115EF97" w14:textId="77777777" w:rsidR="00542605" w:rsidRDefault="00542605" w:rsidP="00542605">
      <w:pPr>
        <w:spacing w:after="0"/>
      </w:pPr>
    </w:p>
    <w:p w14:paraId="411772D9" w14:textId="6B5182DB" w:rsidR="00542605" w:rsidRPr="00542605" w:rsidRDefault="00542605" w:rsidP="00542605">
      <w:pPr>
        <w:spacing w:after="0"/>
      </w:pPr>
      <w:r w:rsidRPr="00542605">
        <w:t xml:space="preserve">There are significant technological requirements throughout the RTS, but moreover, there are commensurate legal and contractual changes implicit throughout. </w:t>
      </w:r>
    </w:p>
    <w:p w14:paraId="741BD89A" w14:textId="77777777" w:rsidR="00542605" w:rsidRDefault="00542605" w:rsidP="00542605">
      <w:pPr>
        <w:spacing w:after="0"/>
      </w:pPr>
    </w:p>
    <w:p w14:paraId="3B9DC8F9" w14:textId="70EDF6A4" w:rsidR="00542605" w:rsidRPr="00542605" w:rsidRDefault="00542605" w:rsidP="00542605">
      <w:pPr>
        <w:spacing w:after="0"/>
      </w:pPr>
      <w:r w:rsidRPr="00542605">
        <w:t>Changes to schemas and associated encodement to accommodate changed reporting formats (and, in particular, trade flags) require substantial technology and system revisions. The scale of these changes to relevant trade capture systems &amp; technical protocols appears substantially underestimated in the consultation. Such changes carry a minimum lead time of up to 6 months from the point at which the RTS changes have been finalised prior to any testing and application.</w:t>
      </w:r>
    </w:p>
    <w:p w14:paraId="4A921BE7" w14:textId="77777777" w:rsidR="00542605" w:rsidRDefault="00542605" w:rsidP="00542605">
      <w:pPr>
        <w:spacing w:after="0"/>
      </w:pPr>
    </w:p>
    <w:p w14:paraId="2F33BFA4" w14:textId="72E80844" w:rsidR="00542605" w:rsidRPr="00542605" w:rsidRDefault="00542605" w:rsidP="00542605">
      <w:pPr>
        <w:spacing w:after="0"/>
      </w:pPr>
      <w:r w:rsidRPr="00542605">
        <w:t xml:space="preserve">Further, the industry has adopted a working practice of giving 3 months’ notice for any changes relating to market data publication, whether both pre-trade and post-trade transparency. </w:t>
      </w:r>
    </w:p>
    <w:p w14:paraId="3BEFA05E" w14:textId="77777777" w:rsidR="00542605" w:rsidRDefault="00542605" w:rsidP="00542605">
      <w:pPr>
        <w:spacing w:after="0"/>
      </w:pPr>
    </w:p>
    <w:p w14:paraId="6F4BBF7B" w14:textId="1D34B3C1" w:rsidR="00542605" w:rsidRPr="00542605" w:rsidRDefault="00542605" w:rsidP="00542605">
      <w:pPr>
        <w:spacing w:after="0"/>
      </w:pPr>
      <w:r w:rsidRPr="00542605">
        <w:t xml:space="preserve">Together therefore a 6-month lead time would therefore apply for the systems alone, but wider third-party communications, coordination and planning would require not less than a 12-month implementation for the application of the data aspects. </w:t>
      </w:r>
      <w:r w:rsidR="00E37386" w:rsidRPr="00542605">
        <w:t>Therefore,</w:t>
      </w:r>
      <w:r w:rsidRPr="00542605">
        <w:t xml:space="preserve"> a prompt entry into force of the RTS should need to be accompanied by transitional provisions covering at least 18 months thereafter.</w:t>
      </w:r>
    </w:p>
    <w:p w14:paraId="380BC2BA" w14:textId="77777777" w:rsidR="00DE6A68" w:rsidRDefault="00DE6A68" w:rsidP="00AF502B">
      <w:pPr>
        <w:spacing w:after="0"/>
      </w:pPr>
    </w:p>
    <w:p w14:paraId="6684D051" w14:textId="4E79F729" w:rsidR="00AF502B" w:rsidRDefault="00AF502B" w:rsidP="00AF502B">
      <w:pPr>
        <w:spacing w:after="0"/>
      </w:pPr>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3FF0FA73" w14:textId="1AC4F3FB" w:rsidR="00523ED1" w:rsidRDefault="00523ED1" w:rsidP="00AF502B">
      <w:pPr>
        <w:spacing w:after="0"/>
      </w:pPr>
      <w:permStart w:id="1472730622" w:edGrp="everyone"/>
      <w:r w:rsidRPr="00523ED1">
        <w:t>No.</w:t>
      </w:r>
    </w:p>
    <w:p w14:paraId="45C9BC97" w14:textId="77777777" w:rsidR="007E25E4" w:rsidRDefault="007E25E4" w:rsidP="00AF502B">
      <w:pPr>
        <w:spacing w:after="0"/>
      </w:pPr>
    </w:p>
    <w:p w14:paraId="06F31AC6" w14:textId="1E79C115" w:rsidR="00AF502B" w:rsidRDefault="00AF502B" w:rsidP="00AF502B">
      <w:pPr>
        <w:spacing w:after="0"/>
      </w:pPr>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 xml:space="preserve">What level of resources (financial and other) would be required to implement and comply with the RTS and for which related cost (please distinguish between one </w:t>
      </w:r>
      <w:r w:rsidRPr="00AF502B">
        <w:lastRenderedPageBreak/>
        <w:t>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6B77B86E" w14:textId="0D560C29" w:rsidR="007E25E4" w:rsidRDefault="007E25E4" w:rsidP="00AF502B">
      <w:pPr>
        <w:spacing w:after="0"/>
      </w:pPr>
      <w:permStart w:id="104619003" w:edGrp="everyone"/>
      <w:r w:rsidRPr="007E25E4">
        <w:t xml:space="preserve">ESMA should seek confidential responses from individual firms on detailed questions relating to quantities in business models. This is due to the competitive nature of the commercial landscape as well as the heterogeneous scale and complexity of the activities between different organisations. </w:t>
      </w:r>
    </w:p>
    <w:p w14:paraId="44299231" w14:textId="77777777" w:rsidR="007E25E4" w:rsidRDefault="007E25E4" w:rsidP="00AF502B">
      <w:pPr>
        <w:spacing w:after="0"/>
      </w:pPr>
    </w:p>
    <w:p w14:paraId="006A6713" w14:textId="664B2282" w:rsidR="00AF502B" w:rsidRDefault="00AF502B" w:rsidP="00AF502B">
      <w:pPr>
        <w:spacing w:after="0"/>
      </w:pPr>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2D66475D" w14:textId="77777777" w:rsidR="00B47C1A" w:rsidRDefault="00B47C1A" w:rsidP="00B47C1A">
      <w:pPr>
        <w:spacing w:after="0"/>
      </w:pPr>
      <w:permStart w:id="130159860" w:edGrp="everyone"/>
      <w:r w:rsidRPr="00B47C1A">
        <w:t>Yes, we agree.</w:t>
      </w:r>
    </w:p>
    <w:p w14:paraId="711AFD84" w14:textId="77777777" w:rsidR="00B47C1A" w:rsidRPr="00B47C1A" w:rsidRDefault="00B47C1A" w:rsidP="00B47C1A">
      <w:pPr>
        <w:spacing w:after="0"/>
      </w:pPr>
    </w:p>
    <w:p w14:paraId="00B85A8F" w14:textId="0BD9F0F7" w:rsidR="00B47C1A" w:rsidRDefault="001F0FB9" w:rsidP="00B47C1A">
      <w:pPr>
        <w:spacing w:after="0"/>
      </w:pPr>
      <w:r w:rsidRPr="001F0FB9">
        <w:t xml:space="preserve">We </w:t>
      </w:r>
      <w:r>
        <w:t>would</w:t>
      </w:r>
      <w:r w:rsidRPr="001F0FB9">
        <w:t xml:space="preserve"> emphasise </w:t>
      </w:r>
      <w:r w:rsidR="00A81988">
        <w:t xml:space="preserve">that a </w:t>
      </w:r>
      <w:r w:rsidR="00A81988" w:rsidRPr="00A81988">
        <w:t xml:space="preserve">longer transition period than 12 months is needed for implementation </w:t>
      </w:r>
      <w:r w:rsidR="001F7CF8">
        <w:t>because the o</w:t>
      </w:r>
      <w:r w:rsidR="00B47C1A" w:rsidRPr="00B47C1A">
        <w:t>verall</w:t>
      </w:r>
      <w:r w:rsidR="001F7CF8">
        <w:t xml:space="preserve"> </w:t>
      </w:r>
      <w:r w:rsidR="00B47C1A" w:rsidRPr="00B47C1A">
        <w:t xml:space="preserve">changes to reference data reporting are significant and will result in </w:t>
      </w:r>
      <w:r w:rsidR="001F7CF8">
        <w:t xml:space="preserve">substantive </w:t>
      </w:r>
      <w:r w:rsidR="00B47C1A" w:rsidRPr="00B47C1A">
        <w:t>tech</w:t>
      </w:r>
      <w:r w:rsidR="0035312E">
        <w:t xml:space="preserve">nical </w:t>
      </w:r>
      <w:r w:rsidR="00B47C1A" w:rsidRPr="00B47C1A">
        <w:t xml:space="preserve">work to implement. </w:t>
      </w:r>
    </w:p>
    <w:p w14:paraId="1F6E0704" w14:textId="77777777" w:rsidR="0035312E" w:rsidRDefault="0035312E" w:rsidP="00B47C1A">
      <w:pPr>
        <w:spacing w:after="0"/>
      </w:pPr>
    </w:p>
    <w:p w14:paraId="47CC887C" w14:textId="3ACFB453" w:rsidR="00B47C1A" w:rsidRPr="00B47C1A" w:rsidRDefault="00B47C1A" w:rsidP="00B47C1A">
      <w:pPr>
        <w:spacing w:after="0"/>
      </w:pPr>
      <w:r w:rsidRPr="00B47C1A">
        <w:t>Divergence between UK and EU will create two</w:t>
      </w:r>
      <w:r w:rsidR="00D22AC0">
        <w:t xml:space="preserve"> separate</w:t>
      </w:r>
      <w:r w:rsidRPr="00B47C1A">
        <w:t xml:space="preserve"> reporting regimes, entailing significant costs and development time.</w:t>
      </w:r>
    </w:p>
    <w:p w14:paraId="43565F56" w14:textId="77777777" w:rsidR="00B47C1A" w:rsidRDefault="00B47C1A" w:rsidP="00237775">
      <w:pPr>
        <w:spacing w:after="0"/>
      </w:pPr>
    </w:p>
    <w:p w14:paraId="38575488" w14:textId="556CA081" w:rsidR="00237775" w:rsidRDefault="00237775" w:rsidP="00237775">
      <w:pPr>
        <w:spacing w:after="0"/>
      </w:pPr>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5E2F47A3" w14:textId="77777777" w:rsidR="00800E6C" w:rsidRPr="00800E6C" w:rsidRDefault="00800E6C" w:rsidP="00800E6C">
      <w:pPr>
        <w:spacing w:after="0"/>
      </w:pPr>
      <w:permStart w:id="360449157" w:edGrp="everyone"/>
      <w:r w:rsidRPr="00800E6C">
        <w:t xml:space="preserve">We would prefer to transition away from the MiFIR identifier as currently defined, and deploy the suggested CFI coding in its place. This would help move towards global standards and other harmonisation across EU legislative files. </w:t>
      </w:r>
    </w:p>
    <w:p w14:paraId="76099686" w14:textId="77777777" w:rsidR="00800E6C" w:rsidRDefault="00800E6C" w:rsidP="00800E6C">
      <w:pPr>
        <w:spacing w:after="0"/>
      </w:pPr>
    </w:p>
    <w:p w14:paraId="56DC1C05" w14:textId="42F2C202" w:rsidR="00800E6C" w:rsidRPr="00800E6C" w:rsidRDefault="00800E6C" w:rsidP="00800E6C">
      <w:pPr>
        <w:spacing w:after="0"/>
      </w:pPr>
      <w:r w:rsidRPr="00800E6C">
        <w:lastRenderedPageBreak/>
        <w:t>We note the detailed work done by ESMA in the Spring 2023  Consultation Paper Manual on post-trade transparency to fully comprehend the mapping and the coding misallocations, such that the transition would bring few surprises but better utility and granularity for the wider scope of RTS 23 envisaged in the consultation.</w:t>
      </w:r>
    </w:p>
    <w:p w14:paraId="3826C8D1" w14:textId="77777777" w:rsidR="00800E6C" w:rsidRDefault="00800E6C" w:rsidP="00800E6C">
      <w:pPr>
        <w:spacing w:after="0"/>
      </w:pPr>
    </w:p>
    <w:p w14:paraId="552BC38E" w14:textId="3FE10FC5" w:rsidR="00800E6C" w:rsidRPr="00800E6C" w:rsidRDefault="00800E6C" w:rsidP="00800E6C">
      <w:pPr>
        <w:spacing w:after="0"/>
      </w:pPr>
      <w:r w:rsidRPr="00800E6C">
        <w:t>Notwithstanding the greatly reduced scope of MTF and OTF reference data, we understand and would welcome clarification that with the submission of reference data applying to both transparency and transaction reporting purposes, all reference data will be submitted to FIRDS only, and not into FITRS.</w:t>
      </w:r>
    </w:p>
    <w:p w14:paraId="5AADF224" w14:textId="77777777" w:rsidR="00800E6C" w:rsidRDefault="00800E6C" w:rsidP="00237775">
      <w:pPr>
        <w:spacing w:after="0"/>
      </w:pPr>
    </w:p>
    <w:p w14:paraId="26A5BB0C" w14:textId="13DB2F30" w:rsidR="00237775" w:rsidRDefault="00237775" w:rsidP="00237775">
      <w:pPr>
        <w:spacing w:after="0"/>
      </w:pPr>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2B2D44E4" w14:textId="77777777" w:rsidR="009655C7" w:rsidRPr="009655C7" w:rsidRDefault="009655C7" w:rsidP="009655C7">
      <w:pPr>
        <w:spacing w:after="0"/>
      </w:pPr>
      <w:permStart w:id="1546738195" w:edGrp="everyone"/>
      <w:r w:rsidRPr="009655C7">
        <w:t xml:space="preserve">Notwithstanding our in Answer Q52 regarding a preference for a CFI basis; we would concur that the granularity level of the MiFIR identifier remains sufficient for the purposes of MiFIR. </w:t>
      </w:r>
    </w:p>
    <w:p w14:paraId="38231385" w14:textId="77777777" w:rsidR="009655C7" w:rsidRDefault="009655C7" w:rsidP="009655C7">
      <w:pPr>
        <w:spacing w:after="0"/>
      </w:pPr>
    </w:p>
    <w:p w14:paraId="02B8BA3F" w14:textId="5EA69806" w:rsidR="009655C7" w:rsidRPr="009655C7" w:rsidRDefault="009655C7" w:rsidP="009655C7">
      <w:pPr>
        <w:spacing w:after="0"/>
      </w:pPr>
      <w:r w:rsidRPr="009655C7">
        <w:t>Moving to a CFI basis however would better align the systematic trade processing by trading venues and market participants with related activities around the world.</w:t>
      </w:r>
    </w:p>
    <w:p w14:paraId="67B9ADF3" w14:textId="77777777" w:rsidR="004F3940" w:rsidRDefault="004F3940" w:rsidP="00237775">
      <w:pPr>
        <w:spacing w:after="0"/>
      </w:pPr>
    </w:p>
    <w:p w14:paraId="657DFE5E" w14:textId="0C8865E5" w:rsidR="00237775" w:rsidRDefault="00237775" w:rsidP="00237775">
      <w:pPr>
        <w:spacing w:after="0"/>
      </w:pPr>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2037CB59" w14:textId="77777777" w:rsidR="004D7D63" w:rsidRPr="004D7D63" w:rsidRDefault="004D7D63" w:rsidP="004D7D63">
      <w:pPr>
        <w:spacing w:after="0"/>
      </w:pPr>
      <w:permStart w:id="1006372258" w:edGrp="everyone"/>
      <w:r w:rsidRPr="004D7D63">
        <w:t>We support the consolidation of the Non-equity  reference data currently in RTS 2 into RTS 23, and note once again that the conflicting scope of the definition of “OTC Derivatives” in EMIR to that of “OTC instruments” in MiFIR should be addressed and simplified such that trading venues are treated homogeneously. The reviews of both EMIR and MiFIR were the proper time to align these definitions, but the actions appear to have been overlooked.</w:t>
      </w:r>
    </w:p>
    <w:p w14:paraId="515C5799" w14:textId="77777777" w:rsidR="004D7D63" w:rsidRDefault="004D7D63" w:rsidP="004D7D63">
      <w:pPr>
        <w:spacing w:after="0"/>
      </w:pPr>
    </w:p>
    <w:p w14:paraId="1780E3B6" w14:textId="570E0ED8" w:rsidR="004D7D63" w:rsidRPr="004D7D63" w:rsidRDefault="004D7D63" w:rsidP="004D7D63">
      <w:pPr>
        <w:spacing w:after="0"/>
      </w:pPr>
      <w:r w:rsidRPr="004D7D63">
        <w:lastRenderedPageBreak/>
        <w:t xml:space="preserve">For transactions concluded on MTFs and OTFs therefore it appears that the scope of  reference data that will be required to be reported will be far less than currently by dint of both the greatly reduced scope for transparency to certain prescribed instruments such as those under the DTO, but also the ISIN revisions currently under consideration in the EC Delegated Act. </w:t>
      </w:r>
    </w:p>
    <w:p w14:paraId="3135ED3D" w14:textId="77777777" w:rsidR="004D7D63" w:rsidRDefault="004D7D63" w:rsidP="004D7D63">
      <w:pPr>
        <w:spacing w:after="0"/>
      </w:pPr>
    </w:p>
    <w:p w14:paraId="46AC7071" w14:textId="53A66322" w:rsidR="004D7D63" w:rsidRPr="004D7D63" w:rsidRDefault="004D7D63" w:rsidP="004D7D63">
      <w:pPr>
        <w:spacing w:after="0"/>
      </w:pPr>
      <w:r w:rsidRPr="004D7D63">
        <w:t>This reduction of scope raises the question of data sufficiency for reporting firms to make  RTS 22 transaction reporting. Therefore, at this stage, and mindful of the comments in paragraph [320], it would appear more prudent to retain  the current whole set of reference data for non-equity instruments, currently in RTS 2, into RTS 23.</w:t>
      </w:r>
    </w:p>
    <w:p w14:paraId="63DDDAA3" w14:textId="77777777" w:rsidR="0002273B" w:rsidRDefault="0002273B" w:rsidP="00237775">
      <w:pPr>
        <w:spacing w:after="0"/>
      </w:pPr>
    </w:p>
    <w:p w14:paraId="56044347" w14:textId="7FC2810D" w:rsidR="00237775" w:rsidRDefault="00237775" w:rsidP="00237775">
      <w:pPr>
        <w:spacing w:after="0"/>
      </w:pPr>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4023396B" w14:textId="77777777" w:rsidR="00665A47" w:rsidRDefault="00665A47" w:rsidP="00665A47">
      <w:pPr>
        <w:spacing w:after="0"/>
      </w:pPr>
      <w:permStart w:id="1513240935" w:edGrp="everyone"/>
      <w:r w:rsidRPr="00665A47">
        <w:t xml:space="preserve">Yes, we fully support deleting  Field 5 of RTS 2, Annex IV. It follows from our answer to Question [53] above that migration to a CFI basis proceeds towards global standardisation, adds granularity and enables wider utility. </w:t>
      </w:r>
    </w:p>
    <w:p w14:paraId="4F9948AF" w14:textId="77777777" w:rsidR="00665A47" w:rsidRPr="00665A47" w:rsidRDefault="00665A47" w:rsidP="00665A47">
      <w:pPr>
        <w:spacing w:after="0"/>
      </w:pPr>
    </w:p>
    <w:p w14:paraId="225EA5CC" w14:textId="77777777" w:rsidR="00665A47" w:rsidRPr="00665A47" w:rsidRDefault="00665A47" w:rsidP="00665A47">
      <w:pPr>
        <w:spacing w:after="0"/>
      </w:pPr>
      <w:r w:rsidRPr="00665A47">
        <w:t>We understand that where further granularity is required, especially to delineate instrument specific terms not differentiated by the CFI encoding, such as settlement protocols or those applying to digital instruments, than further guidance may be welcome to specify common data elements [CDE] to achieve required transparency or data items for transaction reporting.</w:t>
      </w:r>
    </w:p>
    <w:p w14:paraId="747ED0F5" w14:textId="77777777" w:rsidR="00665A47" w:rsidRDefault="00665A47" w:rsidP="00237775">
      <w:pPr>
        <w:spacing w:after="0"/>
      </w:pPr>
    </w:p>
    <w:p w14:paraId="7EAEA6FB" w14:textId="6E5CADA7" w:rsidR="00237775" w:rsidRDefault="00237775" w:rsidP="00237775">
      <w:pPr>
        <w:spacing w:after="0"/>
      </w:pPr>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B7309D4" w14:textId="77777777" w:rsidR="00FB3D0D" w:rsidRPr="00FB3D0D" w:rsidRDefault="00FB3D0D" w:rsidP="00FB3D0D">
      <w:pPr>
        <w:spacing w:after="0"/>
      </w:pPr>
      <w:permStart w:id="42361542" w:edGrp="everyone"/>
      <w:r w:rsidRPr="00FB3D0D">
        <w:t>Yes, we agree.</w:t>
      </w:r>
    </w:p>
    <w:p w14:paraId="2C980ECB" w14:textId="77777777" w:rsidR="00FB3D0D" w:rsidRDefault="00FB3D0D" w:rsidP="00FB3D0D">
      <w:pPr>
        <w:spacing w:after="0"/>
      </w:pPr>
    </w:p>
    <w:p w14:paraId="574CAECE" w14:textId="3C373279" w:rsidR="00FB3D0D" w:rsidRPr="00FB3D0D" w:rsidRDefault="00FB3D0D" w:rsidP="00FB3D0D">
      <w:pPr>
        <w:spacing w:after="0"/>
      </w:pPr>
      <w:r w:rsidRPr="00FB3D0D">
        <w:t>We support the consolidation of the multiple RTS 2 fields into RTS 23 as set out in para [332].</w:t>
      </w:r>
    </w:p>
    <w:p w14:paraId="1DF4D99D" w14:textId="77777777" w:rsidR="00FB3D0D" w:rsidRDefault="00FB3D0D" w:rsidP="00FB3D0D">
      <w:pPr>
        <w:spacing w:after="0"/>
      </w:pPr>
    </w:p>
    <w:p w14:paraId="33DAF5CB" w14:textId="607C5C7C" w:rsidR="00FB3D0D" w:rsidRPr="00FB3D0D" w:rsidRDefault="00FB3D0D" w:rsidP="00FB3D0D">
      <w:pPr>
        <w:spacing w:after="0"/>
      </w:pPr>
      <w:r w:rsidRPr="00FB3D0D">
        <w:t>We also support the analysis and removal of the redundant fields in paragraphs [333; 334; 335; 336; &amp; 338].</w:t>
      </w:r>
    </w:p>
    <w:p w14:paraId="659E421B" w14:textId="77777777" w:rsidR="00FB3D0D" w:rsidRDefault="00FB3D0D" w:rsidP="00237775">
      <w:pPr>
        <w:spacing w:after="0"/>
      </w:pPr>
    </w:p>
    <w:p w14:paraId="0905D12E" w14:textId="327C4CE2" w:rsidR="00237775" w:rsidRDefault="00237775" w:rsidP="00237775">
      <w:pPr>
        <w:spacing w:after="0"/>
      </w:pPr>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2EA8B95" w14:textId="77777777" w:rsidR="000E1477" w:rsidRDefault="000E1477" w:rsidP="000E1477">
      <w:pPr>
        <w:spacing w:after="0"/>
      </w:pPr>
      <w:permStart w:id="416765104" w:edGrp="everyone"/>
      <w:r w:rsidRPr="000E1477">
        <w:t>Yes, we agree.</w:t>
      </w:r>
    </w:p>
    <w:p w14:paraId="0B4A5DCA" w14:textId="77777777" w:rsidR="000E1477" w:rsidRPr="000E1477" w:rsidRDefault="000E1477" w:rsidP="000E1477">
      <w:pPr>
        <w:spacing w:after="0"/>
      </w:pPr>
    </w:p>
    <w:p w14:paraId="5AF9B236" w14:textId="77777777" w:rsidR="000E1477" w:rsidRDefault="000E1477" w:rsidP="000E1477">
      <w:pPr>
        <w:spacing w:after="0"/>
      </w:pPr>
      <w:r w:rsidRPr="000E1477">
        <w:t>In respect of equity derivatives (Field 27), we note that there are further inconsistencies and inadequacies for transaction reporting both ‘Total Return Swaps’ and ‘Contracts for Difference’ and would therefore suggest a separate workstream for these instruments outside of the timeline limitations of this consultation package.</w:t>
      </w:r>
    </w:p>
    <w:p w14:paraId="54090A29" w14:textId="77777777" w:rsidR="000E1477" w:rsidRPr="000E1477" w:rsidRDefault="000E1477" w:rsidP="000E1477">
      <w:pPr>
        <w:spacing w:after="0"/>
      </w:pPr>
    </w:p>
    <w:p w14:paraId="6EC3FE51" w14:textId="77777777" w:rsidR="00237775" w:rsidRDefault="00237775" w:rsidP="00237775">
      <w:pPr>
        <w:spacing w:after="0"/>
      </w:pPr>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445484BD" w14:textId="797518EE" w:rsidR="006B3B44" w:rsidRDefault="006B3B44" w:rsidP="00237775">
      <w:pPr>
        <w:spacing w:after="0"/>
      </w:pPr>
      <w:permStart w:id="1014435575" w:edGrp="everyone"/>
      <w:r w:rsidRPr="006B3B44">
        <w:t>The main scope for simplification and alignment lies in the adoption of global standards such as CFI coding and common adoption of UPIs in order to harmonise cross border operations by firms.</w:t>
      </w:r>
    </w:p>
    <w:p w14:paraId="58F1C2DA" w14:textId="77777777" w:rsidR="006B3B44" w:rsidRDefault="006B3B44" w:rsidP="00237775">
      <w:pPr>
        <w:spacing w:after="0"/>
      </w:pPr>
    </w:p>
    <w:p w14:paraId="6759ACB9" w14:textId="3F94A396" w:rsidR="00237775" w:rsidRDefault="00237775" w:rsidP="00237775">
      <w:pPr>
        <w:spacing w:after="0"/>
      </w:pPr>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54F9BA3F" w14:textId="77777777" w:rsidR="00B44B0F" w:rsidRPr="00B44B0F" w:rsidRDefault="00B44B0F" w:rsidP="00B44B0F">
      <w:pPr>
        <w:spacing w:after="0"/>
      </w:pPr>
      <w:permStart w:id="220344249" w:edGrp="everyone"/>
      <w:r w:rsidRPr="00B44B0F">
        <w:t>We query whether any of the identified fields hold any utility given that they are better articulated in EMIR Refit and the data points can therefore be deduced from the UPI.</w:t>
      </w:r>
    </w:p>
    <w:p w14:paraId="447E2C2F" w14:textId="77777777" w:rsidR="00B44B0F" w:rsidRDefault="00B44B0F" w:rsidP="00237775">
      <w:pPr>
        <w:spacing w:after="0"/>
      </w:pPr>
    </w:p>
    <w:p w14:paraId="002010DF" w14:textId="715AD3D9" w:rsidR="00237775" w:rsidRDefault="00237775" w:rsidP="00237775">
      <w:pPr>
        <w:spacing w:after="0"/>
      </w:pPr>
      <w:r>
        <w:t>TYPE YOUR TEXT HERE</w:t>
      </w:r>
    </w:p>
    <w:permEnd w:id="220344249"/>
    <w:p w14:paraId="6933FBBF" w14:textId="666963EA" w:rsidR="00237775" w:rsidRDefault="00237775" w:rsidP="00237775">
      <w:pPr>
        <w:spacing w:after="0"/>
      </w:pPr>
      <w:r>
        <w:lastRenderedPageBreak/>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56B7F16D" w14:textId="77777777" w:rsidR="00677D3B" w:rsidRDefault="00677D3B" w:rsidP="00677D3B">
      <w:pPr>
        <w:spacing w:after="0"/>
      </w:pPr>
      <w:permStart w:id="415780132" w:edGrp="everyone"/>
      <w:r w:rsidRPr="00677D3B">
        <w:t xml:space="preserve">Yes, we agree with the amendment to exclude the field ‘Expiry date’ as proposed as it is a direct consequence from the objectives of the prospective Delegated Act on OTC Derivatives Identifying Reference Data for the purpose of transparency requirements. </w:t>
      </w:r>
    </w:p>
    <w:p w14:paraId="7DA16F24" w14:textId="77777777" w:rsidR="00677D3B" w:rsidRPr="00677D3B" w:rsidRDefault="00677D3B" w:rsidP="00677D3B">
      <w:pPr>
        <w:spacing w:after="0"/>
      </w:pPr>
    </w:p>
    <w:p w14:paraId="69B5C952" w14:textId="77777777" w:rsidR="00677D3B" w:rsidRPr="00677D3B" w:rsidRDefault="00677D3B" w:rsidP="00677D3B">
      <w:pPr>
        <w:spacing w:after="0"/>
      </w:pPr>
      <w:r w:rsidRPr="00677D3B">
        <w:t>We therefore also support the inclusion of a specific UPI field in RTS 23 as it becomes important for the single source supply, the harmonised application and effective cross-referencing of reference and transaction data that the UPI is fully integrated into FIRDS independent of any continued role for the ISIN.</w:t>
      </w:r>
    </w:p>
    <w:p w14:paraId="7DA5A500" w14:textId="77777777" w:rsidR="00677D3B" w:rsidRDefault="00677D3B" w:rsidP="00237775">
      <w:pPr>
        <w:spacing w:after="0"/>
      </w:pPr>
    </w:p>
    <w:p w14:paraId="1F6998D2" w14:textId="53E119BF" w:rsidR="00237775" w:rsidRDefault="00237775" w:rsidP="00237775">
      <w:pPr>
        <w:spacing w:after="0"/>
      </w:pPr>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1A0546FF" w14:textId="77777777" w:rsidR="003E1C79" w:rsidRPr="003E1C79" w:rsidRDefault="003E1C79" w:rsidP="003E1C79">
      <w:pPr>
        <w:spacing w:after="0"/>
      </w:pPr>
      <w:permStart w:id="838951323" w:edGrp="everyone"/>
      <w:r w:rsidRPr="003E1C79">
        <w:t xml:space="preserve">Yes, we agree with the base ESMA proposal for an implementation period lasting 18 months after publication in the OJ.  Our concerns with the timelines are noted above in Q51. This appropriately aligns with the other recent implementation timelines cited. </w:t>
      </w:r>
    </w:p>
    <w:p w14:paraId="18DD2439" w14:textId="77777777" w:rsidR="003E1C79" w:rsidRDefault="003E1C79" w:rsidP="003E1C79">
      <w:pPr>
        <w:spacing w:after="0"/>
      </w:pPr>
    </w:p>
    <w:p w14:paraId="57815A0F" w14:textId="2D831584" w:rsidR="003E1C79" w:rsidRPr="003E1C79" w:rsidRDefault="003E1C79" w:rsidP="003E1C79">
      <w:pPr>
        <w:spacing w:after="0"/>
      </w:pPr>
      <w:r w:rsidRPr="003E1C79">
        <w:t>It should be noted however, that the scale and complexity of the changes will not be fully understood until the publication of the technical standards, and the associated Delegated Act for the UPI.</w:t>
      </w:r>
    </w:p>
    <w:p w14:paraId="1876EF3D" w14:textId="77777777" w:rsidR="00BD2384" w:rsidRDefault="00BD2384" w:rsidP="00237775">
      <w:pPr>
        <w:spacing w:after="0"/>
      </w:pPr>
    </w:p>
    <w:p w14:paraId="54384DC5" w14:textId="4C19E51A" w:rsidR="00237775" w:rsidRDefault="00237775" w:rsidP="00237775">
      <w:pPr>
        <w:spacing w:after="0"/>
      </w:pPr>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B5CD580" w14:textId="77777777" w:rsidR="00EB531C" w:rsidRPr="00EB531C" w:rsidRDefault="00EB531C" w:rsidP="00EB531C">
      <w:pPr>
        <w:spacing w:after="0"/>
      </w:pPr>
      <w:permStart w:id="621418784" w:edGrp="everyone"/>
      <w:r w:rsidRPr="00EB531C">
        <w:lastRenderedPageBreak/>
        <w:t>Yes.  We are unclear why ISO 4914 UPI was not also included as this is expected to be a field under RTS 23, especially as it is referred to in section 14.2.</w:t>
      </w:r>
    </w:p>
    <w:p w14:paraId="40640DFB" w14:textId="77777777" w:rsidR="00EB531C" w:rsidRDefault="00EB531C" w:rsidP="00EB531C">
      <w:pPr>
        <w:spacing w:after="0"/>
      </w:pPr>
    </w:p>
    <w:p w14:paraId="43777A20" w14:textId="646CE397" w:rsidR="00EB531C" w:rsidRPr="00EB531C" w:rsidRDefault="00EB531C" w:rsidP="00EB531C">
      <w:pPr>
        <w:spacing w:after="0"/>
      </w:pPr>
      <w:r w:rsidRPr="00EB531C">
        <w:t>We note that in respect of new instruments such as crypto-assets, their derivatives and instruments that may be digitally held on-chain, we understand that the standards cited should be able to be adapted to be appropriately broad and inclusive.</w:t>
      </w:r>
    </w:p>
    <w:p w14:paraId="00E4249A" w14:textId="77777777" w:rsidR="00EB531C" w:rsidRDefault="00EB531C" w:rsidP="0015061C">
      <w:pPr>
        <w:spacing w:after="0"/>
      </w:pPr>
    </w:p>
    <w:p w14:paraId="48800964" w14:textId="0C0041AC" w:rsidR="0015061C" w:rsidRDefault="0015061C" w:rsidP="0015061C">
      <w:pPr>
        <w:spacing w:after="0"/>
      </w:pPr>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76CC2281" w14:textId="77777777" w:rsidR="008E5074" w:rsidRPr="008E5074" w:rsidRDefault="008E5074" w:rsidP="008E5074">
      <w:pPr>
        <w:spacing w:after="0"/>
      </w:pPr>
      <w:permStart w:id="1336420085" w:edGrp="everyone"/>
      <w:r w:rsidRPr="008E5074">
        <w:t>Yes, we agree overall with the proposed changes.</w:t>
      </w:r>
    </w:p>
    <w:p w14:paraId="21C5A202" w14:textId="77777777" w:rsidR="00E44D14" w:rsidRDefault="00E44D14" w:rsidP="008E5074">
      <w:pPr>
        <w:spacing w:after="0"/>
      </w:pPr>
    </w:p>
    <w:p w14:paraId="10549D16" w14:textId="21890D08" w:rsidR="008E5074" w:rsidRPr="008E5074" w:rsidRDefault="008E5074" w:rsidP="008E5074">
      <w:pPr>
        <w:spacing w:after="0"/>
      </w:pPr>
      <w:r w:rsidRPr="008E5074">
        <w:t>The field ‘Indicator of the index/benchmark of a floating rate bond’ [#20] should be restricted to  ISO Benchmark Curve Name Code.</w:t>
      </w:r>
    </w:p>
    <w:p w14:paraId="41D4F35D" w14:textId="77777777" w:rsidR="00E44D14" w:rsidRDefault="00E44D14" w:rsidP="008E5074">
      <w:pPr>
        <w:spacing w:after="0"/>
      </w:pPr>
    </w:p>
    <w:p w14:paraId="191B0FF7" w14:textId="1D4D8430" w:rsidR="008E5074" w:rsidRPr="008E5074" w:rsidRDefault="008E5074" w:rsidP="008E5074">
      <w:pPr>
        <w:spacing w:after="0"/>
      </w:pPr>
      <w:r w:rsidRPr="008E5074">
        <w:t>We suggest that there also be a new and specific field[s] or capability for Total Return Swaps [“TRS”] where traded  as spreads to the performance of the undying basket; and where the underlying basket may not be able to be described in terms of ISINs.</w:t>
      </w:r>
    </w:p>
    <w:p w14:paraId="2FF9CD80" w14:textId="77777777" w:rsidR="00E44D14" w:rsidRDefault="00E44D14" w:rsidP="008E5074">
      <w:pPr>
        <w:spacing w:after="0"/>
      </w:pPr>
    </w:p>
    <w:p w14:paraId="3E402855" w14:textId="38BC6EF7" w:rsidR="008E5074" w:rsidRPr="008E5074" w:rsidRDefault="008E5074" w:rsidP="008E5074">
      <w:pPr>
        <w:spacing w:after="0"/>
      </w:pPr>
      <w:r w:rsidRPr="008E5074">
        <w:t xml:space="preserve">Option Style [33] could also add an identity for Digital events traded as a single price such as Triggers, Barriers, Corridors,  range K/o’s’;  Knock-ins or related derivative types with multiple conditionalities  and more complex sets of mutually contingent options? </w:t>
      </w:r>
    </w:p>
    <w:p w14:paraId="467CB1C3" w14:textId="77777777" w:rsidR="00E44D14" w:rsidRDefault="00E44D14" w:rsidP="008E5074">
      <w:pPr>
        <w:spacing w:after="0"/>
      </w:pPr>
    </w:p>
    <w:p w14:paraId="3E582829" w14:textId="6823F50C" w:rsidR="008E5074" w:rsidRPr="008E5074" w:rsidRDefault="008E5074" w:rsidP="008E5074">
      <w:pPr>
        <w:spacing w:after="0"/>
      </w:pPr>
      <w:r w:rsidRPr="008E5074">
        <w:t>The FX Type [48] serves no purpose and should be removed as postulated.</w:t>
      </w:r>
    </w:p>
    <w:p w14:paraId="3AB90C91" w14:textId="77777777" w:rsidR="00E44D14" w:rsidRDefault="00E44D14" w:rsidP="008E5074">
      <w:pPr>
        <w:spacing w:after="0"/>
      </w:pPr>
    </w:p>
    <w:p w14:paraId="57097A38" w14:textId="2356243D" w:rsidR="008E5074" w:rsidRPr="008E5074" w:rsidRDefault="008E5074" w:rsidP="008E5074">
      <w:pPr>
        <w:spacing w:after="0"/>
      </w:pPr>
      <w:r w:rsidRPr="008E5074">
        <w:t>Emissions should be harmonised with the prospective changes in terminology addressed earlier in the consultation [CERE; ERUE; EUAA becoming redundant]</w:t>
      </w:r>
    </w:p>
    <w:p w14:paraId="79C7B186" w14:textId="77777777" w:rsidR="008E5074" w:rsidRDefault="008E5074" w:rsidP="008E5074">
      <w:pPr>
        <w:spacing w:after="0"/>
      </w:pPr>
    </w:p>
    <w:p w14:paraId="21A2A191" w14:textId="16D92466" w:rsidR="008E5074" w:rsidRPr="008E5074" w:rsidRDefault="00E44D14" w:rsidP="008E5074">
      <w:pPr>
        <w:spacing w:after="0"/>
      </w:pPr>
      <w:r>
        <w:t>U</w:t>
      </w:r>
      <w:r w:rsidR="008E5074" w:rsidRPr="008E5074">
        <w:t>nder ‘OTHC’ we would suggest adding a new category for traded certificates such as Guarantees of Origin [“GOO”]</w:t>
      </w:r>
    </w:p>
    <w:p w14:paraId="460FD465" w14:textId="77777777" w:rsidR="008E5074" w:rsidRDefault="008E5074" w:rsidP="008E5074">
      <w:pPr>
        <w:spacing w:after="0"/>
      </w:pPr>
    </w:p>
    <w:p w14:paraId="771D0EBD" w14:textId="789D4FEB" w:rsidR="008E5074" w:rsidRPr="008E5074" w:rsidRDefault="008E5074" w:rsidP="008E5074">
      <w:pPr>
        <w:spacing w:after="0"/>
      </w:pPr>
      <w:r w:rsidRPr="008E5074">
        <w:t>Otherwise under ‘OTHC’ we would suggest adding a new category for traded cryptoasset derivatives.</w:t>
      </w:r>
    </w:p>
    <w:p w14:paraId="7A4CFE7E" w14:textId="77777777" w:rsidR="008E5074" w:rsidRDefault="008E5074" w:rsidP="0015061C">
      <w:pPr>
        <w:spacing w:after="0"/>
      </w:pPr>
    </w:p>
    <w:p w14:paraId="51028F3F" w14:textId="2995FE64" w:rsidR="0015061C" w:rsidRDefault="0015061C" w:rsidP="0015061C">
      <w:pPr>
        <w:spacing w:after="0"/>
      </w:pPr>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6569D6AB" w14:textId="77777777" w:rsidR="005B35EA" w:rsidRPr="005B35EA" w:rsidRDefault="005B35EA" w:rsidP="005B35EA">
      <w:pPr>
        <w:spacing w:after="0"/>
      </w:pPr>
      <w:permStart w:id="1816345643" w:edGrp="everyone"/>
      <w:r w:rsidRPr="005B35EA">
        <w:t>Ostensibly this should be straightforward for the bulk of listed discreet securities which settle onto CSDs. Given possible non-standard cases it may be appropriate to delimit the FIRDs supply to a standard subset within the universe of eligible securities.</w:t>
      </w:r>
    </w:p>
    <w:p w14:paraId="7751A73C" w14:textId="77777777" w:rsidR="005B35EA" w:rsidRDefault="005B35EA" w:rsidP="005B35EA">
      <w:pPr>
        <w:spacing w:after="0"/>
      </w:pPr>
    </w:p>
    <w:p w14:paraId="285D5329" w14:textId="4FC94465" w:rsidR="005B35EA" w:rsidRPr="005B35EA" w:rsidRDefault="005B35EA" w:rsidP="005B35EA">
      <w:pPr>
        <w:spacing w:after="0"/>
      </w:pPr>
      <w:r w:rsidRPr="005B35EA">
        <w:t>One challenge with the proposed approach under CSDR may be to understand the identifier and the granularity with which CSDR should understand that list to be composed where  it may not necessarily be a simple task to describe and identify those securities which are in scope for the settlement discipline regime under CSDR.</w:t>
      </w:r>
    </w:p>
    <w:p w14:paraId="41A771E5" w14:textId="77777777" w:rsidR="005B35EA" w:rsidRDefault="005B35EA" w:rsidP="005B35EA">
      <w:pPr>
        <w:spacing w:after="0"/>
      </w:pPr>
    </w:p>
    <w:p w14:paraId="1F4C1B19" w14:textId="38697B2E" w:rsidR="005B35EA" w:rsidRPr="005B35EA" w:rsidRDefault="005B35EA" w:rsidP="005B35EA">
      <w:pPr>
        <w:spacing w:after="0"/>
      </w:pPr>
      <w:r w:rsidRPr="005B35EA">
        <w:t>Where a long list of ISINs for discreet securities is available that may be appropriate, but for other instruments, it may be that UPI or groupings under CFI delineation could be more appropriate.</w:t>
      </w:r>
    </w:p>
    <w:p w14:paraId="03C1AF29" w14:textId="77777777" w:rsidR="005B35EA" w:rsidRDefault="005B35EA" w:rsidP="005B35EA">
      <w:pPr>
        <w:spacing w:after="0"/>
      </w:pPr>
    </w:p>
    <w:p w14:paraId="45B84155" w14:textId="04D53E3F" w:rsidR="005B35EA" w:rsidRPr="005B35EA" w:rsidRDefault="005B35EA" w:rsidP="005B35EA">
      <w:pPr>
        <w:spacing w:after="0"/>
      </w:pPr>
      <w:r w:rsidRPr="005B35EA">
        <w:t xml:space="preserve">Similarly, where the securities are digital assets, but settled onto the CSD there may not be an adequate scope in FIRDs to describe these at the granularity required for the listing. </w:t>
      </w:r>
    </w:p>
    <w:p w14:paraId="38E93382" w14:textId="77777777" w:rsidR="005B35EA" w:rsidRDefault="005B35EA" w:rsidP="0015061C">
      <w:pPr>
        <w:spacing w:after="0"/>
      </w:pPr>
    </w:p>
    <w:p w14:paraId="104F714E" w14:textId="7F7B5141" w:rsidR="0015061C" w:rsidRDefault="0015061C" w:rsidP="0015061C">
      <w:pPr>
        <w:spacing w:after="0"/>
      </w:pPr>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6C6DFC02" w14:textId="77777777" w:rsidR="003C493B" w:rsidRPr="003C493B" w:rsidRDefault="003C493B" w:rsidP="003C493B">
      <w:pPr>
        <w:spacing w:after="0"/>
      </w:pPr>
      <w:permStart w:id="1261776209" w:edGrp="everyone"/>
      <w:r w:rsidRPr="003C493B">
        <w:t xml:space="preserve">Whilst the dependency of CSDR on FIRDs data and functionality is a valid and welcome use of the resource, the role of FIRDs as a reference database should not be crossed with other use cases inside that functionality. </w:t>
      </w:r>
    </w:p>
    <w:p w14:paraId="16F9AA25" w14:textId="77777777" w:rsidR="003C493B" w:rsidRDefault="003C493B" w:rsidP="003C493B">
      <w:pPr>
        <w:spacing w:after="0"/>
      </w:pPr>
    </w:p>
    <w:p w14:paraId="5269C393" w14:textId="739785EC" w:rsidR="003C493B" w:rsidRPr="003C493B" w:rsidRDefault="003C493B" w:rsidP="003C493B">
      <w:pPr>
        <w:spacing w:after="0"/>
      </w:pPr>
      <w:r w:rsidRPr="003C493B">
        <w:t>That ESMA should determine and provide published data for the trading venue within the Union with the highest turnover is welcome, but this data set should draw from FIRDs, but be functionally separate.</w:t>
      </w:r>
    </w:p>
    <w:p w14:paraId="5C4C0BCF" w14:textId="77777777" w:rsidR="003C493B" w:rsidRDefault="003C493B" w:rsidP="0015061C">
      <w:pPr>
        <w:spacing w:after="0"/>
      </w:pPr>
    </w:p>
    <w:p w14:paraId="39668347" w14:textId="76A613A1" w:rsidR="0015061C" w:rsidRDefault="0015061C" w:rsidP="0015061C">
      <w:pPr>
        <w:spacing w:after="0"/>
      </w:pPr>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lastRenderedPageBreak/>
        <w:t>Do you support inclusion of the new fields listed above?</w:t>
      </w:r>
    </w:p>
    <w:p w14:paraId="55A264D2" w14:textId="17ADA066" w:rsidR="0014711C" w:rsidRDefault="0014711C" w:rsidP="0014711C">
      <w:pPr>
        <w:spacing w:after="0"/>
      </w:pPr>
      <w:r>
        <w:t>&lt;ESMA_QUESTION_</w:t>
      </w:r>
      <w:r w:rsidR="00DD54B5">
        <w:t>CP1</w:t>
      </w:r>
      <w:r>
        <w:t>_66&gt;</w:t>
      </w:r>
    </w:p>
    <w:p w14:paraId="3B1FC685" w14:textId="77777777" w:rsidR="003F3A13" w:rsidRPr="003F3A13" w:rsidRDefault="003F3A13" w:rsidP="00840003">
      <w:pPr>
        <w:numPr>
          <w:ilvl w:val="0"/>
          <w:numId w:val="37"/>
        </w:numPr>
        <w:spacing w:after="0"/>
        <w:rPr>
          <w:i/>
          <w:iCs/>
        </w:rPr>
      </w:pPr>
      <w:permStart w:id="946935013" w:edGrp="everyone"/>
      <w:r w:rsidRPr="003F3A13">
        <w:rPr>
          <w:i/>
          <w:iCs/>
        </w:rPr>
        <w:t>To identify the administrator of benchmark</w:t>
      </w:r>
    </w:p>
    <w:p w14:paraId="4D0FA6CB" w14:textId="77777777" w:rsidR="003F3A13" w:rsidRPr="003F3A13" w:rsidRDefault="003F3A13" w:rsidP="00840003">
      <w:pPr>
        <w:numPr>
          <w:ilvl w:val="1"/>
          <w:numId w:val="37"/>
        </w:numPr>
        <w:spacing w:after="0"/>
      </w:pPr>
      <w:r w:rsidRPr="003F3A13">
        <w:rPr>
          <w:b/>
          <w:bCs/>
        </w:rPr>
        <w:t>Disagree</w:t>
      </w:r>
      <w:r w:rsidRPr="003F3A13">
        <w:t>: We would consider this important data to be better sited in a dedicated BMR reference data file. The Benchmark itself would have an ISIN from which the relevant fields could be cross referenced. This would also better deal with Third Country Benchmarks.</w:t>
      </w:r>
    </w:p>
    <w:p w14:paraId="6C7EA8B6" w14:textId="77777777" w:rsidR="003F3A13" w:rsidRPr="003F3A13" w:rsidRDefault="003F3A13" w:rsidP="00840003">
      <w:pPr>
        <w:numPr>
          <w:ilvl w:val="0"/>
          <w:numId w:val="37"/>
        </w:numPr>
        <w:spacing w:after="0"/>
        <w:rPr>
          <w:i/>
          <w:iCs/>
        </w:rPr>
      </w:pPr>
      <w:r w:rsidRPr="003F3A13">
        <w:rPr>
          <w:i/>
          <w:iCs/>
        </w:rPr>
        <w:t>To identify the fund manager</w:t>
      </w:r>
    </w:p>
    <w:p w14:paraId="521B4EB1" w14:textId="77777777" w:rsidR="003F3A13" w:rsidRPr="003F3A13" w:rsidRDefault="003F3A13" w:rsidP="00840003">
      <w:pPr>
        <w:numPr>
          <w:ilvl w:val="1"/>
          <w:numId w:val="37"/>
        </w:numPr>
        <w:spacing w:after="0"/>
      </w:pPr>
      <w:r w:rsidRPr="003F3A13">
        <w:rPr>
          <w:b/>
          <w:bCs/>
        </w:rPr>
        <w:t>Disagree</w:t>
      </w:r>
      <w:r w:rsidRPr="003F3A13">
        <w:t>: This does not appear to be relevant for instrument data. As per the prior answer, if this is relevant it could be cross-referenced elsewhere from the identity of the fund.</w:t>
      </w:r>
    </w:p>
    <w:p w14:paraId="7CA6D0D0" w14:textId="77777777" w:rsidR="003F3A13" w:rsidRPr="003F3A13" w:rsidRDefault="003F3A13" w:rsidP="00840003">
      <w:pPr>
        <w:numPr>
          <w:ilvl w:val="0"/>
          <w:numId w:val="37"/>
        </w:numPr>
        <w:spacing w:after="0"/>
        <w:rPr>
          <w:i/>
          <w:iCs/>
        </w:rPr>
      </w:pPr>
      <w:r w:rsidRPr="003F3A13">
        <w:rPr>
          <w:i/>
          <w:iCs/>
        </w:rPr>
        <w:t>To specify the minimum trading value (lot size) can take place ”. This is the lowest denomination of bond that can be purchased on the trading venue.</w:t>
      </w:r>
    </w:p>
    <w:p w14:paraId="26A5A6B6" w14:textId="77777777" w:rsidR="003F3A13" w:rsidRPr="003F3A13" w:rsidRDefault="003F3A13" w:rsidP="00840003">
      <w:pPr>
        <w:numPr>
          <w:ilvl w:val="1"/>
          <w:numId w:val="37"/>
        </w:numPr>
        <w:spacing w:after="0"/>
      </w:pPr>
      <w:r w:rsidRPr="003F3A13">
        <w:rPr>
          <w:b/>
          <w:bCs/>
        </w:rPr>
        <w:t>Agree</w:t>
      </w:r>
      <w:r w:rsidRPr="003F3A13">
        <w:t>: Usually this would be “Tick Size” as already set out in MiFID. Any new field should defer and only require this where Tick Size is not appropriate, rather than duplicating the reference data.</w:t>
      </w:r>
    </w:p>
    <w:p w14:paraId="3BF9645E" w14:textId="77777777" w:rsidR="003F3A13" w:rsidRPr="003F3A13" w:rsidRDefault="003F3A13" w:rsidP="00840003">
      <w:pPr>
        <w:numPr>
          <w:ilvl w:val="0"/>
          <w:numId w:val="37"/>
        </w:numPr>
        <w:spacing w:after="0"/>
        <w:rPr>
          <w:i/>
          <w:iCs/>
        </w:rPr>
      </w:pPr>
      <w:r w:rsidRPr="003F3A13">
        <w:rPr>
          <w:i/>
          <w:iCs/>
        </w:rPr>
        <w:t>To identify the DPE reporting the reference data</w:t>
      </w:r>
    </w:p>
    <w:p w14:paraId="698C323A" w14:textId="77777777" w:rsidR="003F3A13" w:rsidRPr="003F3A13" w:rsidRDefault="003F3A13" w:rsidP="00840003">
      <w:pPr>
        <w:numPr>
          <w:ilvl w:val="1"/>
          <w:numId w:val="37"/>
        </w:numPr>
        <w:spacing w:after="0"/>
      </w:pPr>
      <w:r w:rsidRPr="003F3A13">
        <w:t xml:space="preserve"> </w:t>
      </w:r>
      <w:r w:rsidRPr="003F3A13">
        <w:rPr>
          <w:b/>
          <w:bCs/>
        </w:rPr>
        <w:t>Agree</w:t>
      </w:r>
      <w:r w:rsidRPr="003F3A13">
        <w:t>: This may require an appropriate deferral in order to prevent reverse engineering of counterparties at risk after trading.</w:t>
      </w:r>
    </w:p>
    <w:p w14:paraId="426FD13B" w14:textId="77777777" w:rsidR="003F3A13" w:rsidRPr="003F3A13" w:rsidRDefault="003F3A13" w:rsidP="00840003">
      <w:pPr>
        <w:numPr>
          <w:ilvl w:val="0"/>
          <w:numId w:val="37"/>
        </w:numPr>
        <w:spacing w:after="0"/>
        <w:rPr>
          <w:i/>
          <w:iCs/>
        </w:rPr>
      </w:pPr>
      <w:r w:rsidRPr="003F3A13">
        <w:rPr>
          <w:i/>
          <w:iCs/>
        </w:rPr>
        <w:t>New field identifying the venue of admission to trading</w:t>
      </w:r>
    </w:p>
    <w:p w14:paraId="56BAAF6E" w14:textId="77777777" w:rsidR="003F3A13" w:rsidRPr="003F3A13" w:rsidRDefault="003F3A13" w:rsidP="00840003">
      <w:pPr>
        <w:numPr>
          <w:ilvl w:val="1"/>
          <w:numId w:val="37"/>
        </w:numPr>
        <w:spacing w:after="0"/>
      </w:pPr>
      <w:r w:rsidRPr="003F3A13">
        <w:rPr>
          <w:b/>
          <w:bCs/>
        </w:rPr>
        <w:t>Agree</w:t>
      </w:r>
      <w:r w:rsidRPr="003F3A13">
        <w:t xml:space="preserve">: We note that instrument reference data has historically held the identity of the first reporting entity which was not appropriate. </w:t>
      </w:r>
    </w:p>
    <w:p w14:paraId="52E8F77C" w14:textId="77777777" w:rsidR="003F3A13" w:rsidRPr="003F3A13" w:rsidRDefault="003F3A13" w:rsidP="00840003">
      <w:pPr>
        <w:numPr>
          <w:ilvl w:val="0"/>
          <w:numId w:val="37"/>
        </w:numPr>
        <w:spacing w:after="0"/>
        <w:rPr>
          <w:i/>
          <w:iCs/>
        </w:rPr>
      </w:pPr>
      <w:r w:rsidRPr="003F3A13">
        <w:rPr>
          <w:i/>
          <w:iCs/>
        </w:rPr>
        <w:t xml:space="preserve">New field to flag the action type such as new, modification, termination, error </w:t>
      </w:r>
    </w:p>
    <w:p w14:paraId="4E6B38CC" w14:textId="77777777" w:rsidR="003F3A13" w:rsidRPr="003F3A13" w:rsidRDefault="003F3A13" w:rsidP="00840003">
      <w:pPr>
        <w:numPr>
          <w:ilvl w:val="1"/>
          <w:numId w:val="37"/>
        </w:numPr>
        <w:spacing w:after="0"/>
      </w:pPr>
      <w:r w:rsidRPr="003F3A13">
        <w:rPr>
          <w:b/>
          <w:bCs/>
        </w:rPr>
        <w:t>Agree</w:t>
      </w:r>
      <w:r w:rsidRPr="003F3A13">
        <w:t>: This should link into EMIR</w:t>
      </w:r>
    </w:p>
    <w:p w14:paraId="026EC168" w14:textId="77777777" w:rsidR="003F3A13" w:rsidRPr="003F3A13" w:rsidRDefault="003F3A13" w:rsidP="00840003">
      <w:pPr>
        <w:numPr>
          <w:ilvl w:val="0"/>
          <w:numId w:val="37"/>
        </w:numPr>
        <w:spacing w:after="0"/>
        <w:rPr>
          <w:i/>
          <w:iCs/>
        </w:rPr>
      </w:pPr>
      <w:r w:rsidRPr="003F3A13">
        <w:rPr>
          <w:i/>
          <w:iCs/>
        </w:rPr>
        <w:t>Add a new field “delivery period” for commodity derivatives to distinguish between different products (with the same maturity date but different delivery periods). Applicable to electricity and gas derivatives.</w:t>
      </w:r>
    </w:p>
    <w:p w14:paraId="11464C3B" w14:textId="6DFE5758" w:rsidR="006D466A" w:rsidRDefault="003F3A13" w:rsidP="00840003">
      <w:pPr>
        <w:pStyle w:val="ListParagraph"/>
        <w:numPr>
          <w:ilvl w:val="1"/>
          <w:numId w:val="37"/>
        </w:numPr>
        <w:spacing w:after="0"/>
      </w:pPr>
      <w:r w:rsidRPr="00EB1F71">
        <w:rPr>
          <w:b/>
          <w:bCs/>
        </w:rPr>
        <w:t>Disagree</w:t>
      </w:r>
      <w:r w:rsidRPr="003F3A13">
        <w:t>: We would advocate that this field takes the REMIT data item identity and cross reference all the product details rather than seeking to duplicate a single characteristic.</w:t>
      </w:r>
    </w:p>
    <w:p w14:paraId="33BA21CD" w14:textId="77777777" w:rsidR="003F3A13" w:rsidRDefault="003F3A13" w:rsidP="003F3A13">
      <w:pPr>
        <w:spacing w:after="0"/>
      </w:pPr>
    </w:p>
    <w:p w14:paraId="52029F3C" w14:textId="076A3A2C" w:rsidR="0014711C" w:rsidRDefault="0014711C" w:rsidP="0014711C">
      <w:pPr>
        <w:spacing w:after="0"/>
      </w:pPr>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1ABD4F8D" w14:textId="77777777" w:rsidR="002C3817" w:rsidRPr="002C3817" w:rsidRDefault="002C3817" w:rsidP="002C3817">
      <w:pPr>
        <w:spacing w:after="0"/>
      </w:pPr>
      <w:permStart w:id="1485646338" w:edGrp="everyone"/>
      <w:r w:rsidRPr="002C3817">
        <w:t>We agree with all the six amendments suggested:</w:t>
      </w:r>
    </w:p>
    <w:p w14:paraId="6BA19EB3" w14:textId="77777777" w:rsidR="002C3817" w:rsidRPr="002C3817" w:rsidRDefault="002C3817" w:rsidP="00840003">
      <w:pPr>
        <w:numPr>
          <w:ilvl w:val="0"/>
          <w:numId w:val="38"/>
        </w:numPr>
        <w:spacing w:after="0"/>
        <w:rPr>
          <w:i/>
          <w:iCs/>
        </w:rPr>
      </w:pPr>
      <w:r w:rsidRPr="002C3817">
        <w:rPr>
          <w:i/>
          <w:iCs/>
        </w:rPr>
        <w:lastRenderedPageBreak/>
        <w:t>Need to align field’s name and description of fields 8 (Request for admission to trading by the issuer), 9 (Date of approval of the admission to trading), 10 (Date of request for admission to trading) with MAR and 12 (Termination date)</w:t>
      </w:r>
    </w:p>
    <w:p w14:paraId="325227FF" w14:textId="77777777" w:rsidR="002C3817" w:rsidRPr="002C3817" w:rsidRDefault="002C3817" w:rsidP="00840003">
      <w:pPr>
        <w:numPr>
          <w:ilvl w:val="0"/>
          <w:numId w:val="38"/>
        </w:numPr>
        <w:spacing w:after="0"/>
        <w:rPr>
          <w:i/>
          <w:iCs/>
        </w:rPr>
      </w:pPr>
      <w:r w:rsidRPr="002C3817">
        <w:rPr>
          <w:i/>
          <w:iCs/>
        </w:rPr>
        <w:t>Need of monitoring cases when an instrument is delisted and subsequently it is readmitted to trading</w:t>
      </w:r>
    </w:p>
    <w:p w14:paraId="14D53BEE" w14:textId="77777777" w:rsidR="002C3817" w:rsidRPr="002C3817" w:rsidRDefault="002C3817" w:rsidP="00840003">
      <w:pPr>
        <w:numPr>
          <w:ilvl w:val="0"/>
          <w:numId w:val="38"/>
        </w:numPr>
        <w:spacing w:after="0"/>
        <w:rPr>
          <w:i/>
          <w:iCs/>
        </w:rPr>
      </w:pPr>
      <w:r w:rsidRPr="002C3817">
        <w:rPr>
          <w:i/>
          <w:iCs/>
        </w:rPr>
        <w:t>Need to clarify in the description of field 11  (Date of admission to trading or date of the first trade)</w:t>
      </w:r>
    </w:p>
    <w:p w14:paraId="5368C837" w14:textId="77777777" w:rsidR="002C3817" w:rsidRPr="002C3817" w:rsidRDefault="002C3817" w:rsidP="00840003">
      <w:pPr>
        <w:numPr>
          <w:ilvl w:val="0"/>
          <w:numId w:val="38"/>
        </w:numPr>
        <w:spacing w:after="0"/>
        <w:rPr>
          <w:i/>
          <w:iCs/>
        </w:rPr>
      </w:pPr>
      <w:r w:rsidRPr="002C3817">
        <w:rPr>
          <w:i/>
          <w:iCs/>
        </w:rPr>
        <w:t>Currently Field 7 Financial Instrument Short Name is included in the venue-related section of fields. However, the FISN shall be consistent for a given ISIN irrespective of the venue of trading</w:t>
      </w:r>
    </w:p>
    <w:p w14:paraId="180418F1" w14:textId="77777777" w:rsidR="002C3817" w:rsidRDefault="002C3817" w:rsidP="00840003">
      <w:pPr>
        <w:numPr>
          <w:ilvl w:val="0"/>
          <w:numId w:val="38"/>
        </w:numPr>
        <w:spacing w:after="0"/>
        <w:rPr>
          <w:i/>
          <w:iCs/>
        </w:rPr>
      </w:pPr>
      <w:r w:rsidRPr="002C3817">
        <w:rPr>
          <w:i/>
          <w:iCs/>
        </w:rPr>
        <w:t>Field 17 (Nominal value per unit/minimum traded value) combines currently two different features, minimum trading value and nominal per unit</w:t>
      </w:r>
    </w:p>
    <w:p w14:paraId="3F461761" w14:textId="703D9B88" w:rsidR="002C3817" w:rsidRDefault="002C3817" w:rsidP="00840003">
      <w:pPr>
        <w:numPr>
          <w:ilvl w:val="0"/>
          <w:numId w:val="38"/>
        </w:numPr>
        <w:spacing w:after="0"/>
        <w:rPr>
          <w:i/>
          <w:iCs/>
        </w:rPr>
      </w:pPr>
      <w:r w:rsidRPr="002C3817">
        <w:rPr>
          <w:i/>
          <w:iCs/>
        </w:rPr>
        <w:t>To amend field 31 (Strike price) as this value is only relevant for options / warrants that do not have a strike price (such as stay-high-warrants that only have a knock-out, but no strike price)</w:t>
      </w:r>
      <w:r>
        <w:rPr>
          <w:i/>
          <w:iCs/>
        </w:rPr>
        <w:t>.</w:t>
      </w:r>
    </w:p>
    <w:p w14:paraId="2B9FA896" w14:textId="77777777" w:rsidR="002C3817" w:rsidRPr="002C3817" w:rsidRDefault="002C3817" w:rsidP="002C3817">
      <w:pPr>
        <w:spacing w:after="0"/>
        <w:rPr>
          <w:i/>
          <w:iCs/>
        </w:rPr>
      </w:pPr>
    </w:p>
    <w:p w14:paraId="6FA9D5E1" w14:textId="337F8CB7" w:rsidR="0015061C" w:rsidRDefault="0015061C" w:rsidP="0015061C">
      <w:pPr>
        <w:spacing w:after="0"/>
      </w:pPr>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74C15920" w14:textId="77777777" w:rsidR="005B05B9" w:rsidRPr="005B05B9" w:rsidRDefault="005B05B9" w:rsidP="005B05B9">
      <w:pPr>
        <w:spacing w:after="0"/>
      </w:pPr>
      <w:permStart w:id="1830689355" w:edGrp="everyone"/>
      <w:r w:rsidRPr="005B05B9">
        <w:t>We prefer option (ii) “</w:t>
      </w:r>
      <w:r w:rsidRPr="005B05B9">
        <w:rPr>
          <w:i/>
          <w:iCs/>
        </w:rPr>
        <w:t>implementing adequate reporting logic of events impacting the instrument (new, modification, termination etc) in order to enable ESMA to reconstruct all trading periods</w:t>
      </w:r>
      <w:r w:rsidRPr="005B05B9">
        <w:t>.”</w:t>
      </w:r>
    </w:p>
    <w:p w14:paraId="266A10A0" w14:textId="77777777" w:rsidR="005B05B9" w:rsidRDefault="005B05B9" w:rsidP="005B05B9">
      <w:pPr>
        <w:spacing w:after="0"/>
      </w:pPr>
    </w:p>
    <w:p w14:paraId="40A0D2BC" w14:textId="46A4414D" w:rsidR="005B05B9" w:rsidRDefault="005B05B9" w:rsidP="005B05B9">
      <w:pPr>
        <w:spacing w:after="0"/>
      </w:pPr>
      <w:r w:rsidRPr="005B05B9">
        <w:t>The proposed amendment for multiple time/date values to be reported would complicate the existing dependency on trading venues obligations to submit to FIRDS, whereas using the ‘Modify’ Action type will be simpler to implement and manage.</w:t>
      </w:r>
    </w:p>
    <w:p w14:paraId="2A0DACB1" w14:textId="77777777" w:rsidR="005B05B9" w:rsidRDefault="005B05B9" w:rsidP="005B05B9">
      <w:pPr>
        <w:spacing w:after="0"/>
      </w:pPr>
    </w:p>
    <w:p w14:paraId="55433929" w14:textId="294469F0" w:rsidR="0015061C" w:rsidRDefault="0015061C" w:rsidP="0015061C">
      <w:pPr>
        <w:spacing w:after="0"/>
      </w:pPr>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0CFCD84C" w14:textId="77777777" w:rsidR="00840003" w:rsidRPr="00840003" w:rsidRDefault="00840003" w:rsidP="00840003">
      <w:pPr>
        <w:spacing w:after="0"/>
      </w:pPr>
      <w:permStart w:id="1893227929" w:edGrp="everyone"/>
      <w:r w:rsidRPr="00840003">
        <w:t>We agree with all the five removals suggested:</w:t>
      </w:r>
    </w:p>
    <w:p w14:paraId="5B02A27D" w14:textId="77777777" w:rsidR="00840003" w:rsidRPr="00840003" w:rsidRDefault="00840003" w:rsidP="00840003">
      <w:pPr>
        <w:numPr>
          <w:ilvl w:val="0"/>
          <w:numId w:val="39"/>
        </w:numPr>
        <w:spacing w:after="0"/>
        <w:rPr>
          <w:i/>
          <w:iCs/>
        </w:rPr>
      </w:pPr>
      <w:r w:rsidRPr="00840003">
        <w:rPr>
          <w:i/>
          <w:iCs/>
        </w:rPr>
        <w:t>#23 Seniority of the bond</w:t>
      </w:r>
    </w:p>
    <w:p w14:paraId="0F208F2C" w14:textId="77777777" w:rsidR="00840003" w:rsidRPr="00840003" w:rsidRDefault="00840003" w:rsidP="00840003">
      <w:pPr>
        <w:numPr>
          <w:ilvl w:val="0"/>
          <w:numId w:val="39"/>
        </w:numPr>
        <w:spacing w:after="0"/>
        <w:rPr>
          <w:i/>
          <w:iCs/>
        </w:rPr>
      </w:pPr>
      <w:r w:rsidRPr="00840003">
        <w:rPr>
          <w:i/>
          <w:iCs/>
        </w:rPr>
        <w:lastRenderedPageBreak/>
        <w:t>#38 Transaction type</w:t>
      </w:r>
    </w:p>
    <w:p w14:paraId="6F2144D4" w14:textId="77777777" w:rsidR="00840003" w:rsidRPr="00840003" w:rsidRDefault="00840003" w:rsidP="00840003">
      <w:pPr>
        <w:numPr>
          <w:ilvl w:val="0"/>
          <w:numId w:val="39"/>
        </w:numPr>
        <w:spacing w:after="0"/>
        <w:rPr>
          <w:i/>
          <w:iCs/>
        </w:rPr>
      </w:pPr>
      <w:r w:rsidRPr="00840003">
        <w:rPr>
          <w:i/>
          <w:iCs/>
        </w:rPr>
        <w:t>#39 Final price type</w:t>
      </w:r>
    </w:p>
    <w:p w14:paraId="6A5A5B8B" w14:textId="77777777" w:rsidR="00840003" w:rsidRPr="00840003" w:rsidRDefault="00840003" w:rsidP="00840003">
      <w:pPr>
        <w:numPr>
          <w:ilvl w:val="0"/>
          <w:numId w:val="39"/>
        </w:numPr>
        <w:spacing w:after="0"/>
        <w:rPr>
          <w:i/>
          <w:iCs/>
        </w:rPr>
      </w:pPr>
      <w:r w:rsidRPr="00840003">
        <w:rPr>
          <w:i/>
          <w:iCs/>
        </w:rPr>
        <w:t>#40 Reference rate</w:t>
      </w:r>
    </w:p>
    <w:p w14:paraId="2776DE4E" w14:textId="77777777" w:rsidR="00840003" w:rsidRPr="00840003" w:rsidRDefault="00840003" w:rsidP="00840003">
      <w:pPr>
        <w:numPr>
          <w:ilvl w:val="0"/>
          <w:numId w:val="39"/>
        </w:numPr>
        <w:spacing w:after="0"/>
        <w:rPr>
          <w:i/>
          <w:iCs/>
        </w:rPr>
      </w:pPr>
      <w:r w:rsidRPr="00840003">
        <w:rPr>
          <w:i/>
          <w:iCs/>
        </w:rPr>
        <w:t># 48 FX Type</w:t>
      </w:r>
    </w:p>
    <w:p w14:paraId="0597008D" w14:textId="77777777" w:rsidR="00840003" w:rsidRDefault="00840003" w:rsidP="0015061C">
      <w:pPr>
        <w:spacing w:after="0"/>
      </w:pPr>
    </w:p>
    <w:p w14:paraId="526F0145" w14:textId="7E6F0EC8" w:rsidR="0015061C" w:rsidRDefault="0015061C" w:rsidP="0015061C">
      <w:pPr>
        <w:spacing w:after="0"/>
      </w:pPr>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76FBE7DF" w14:textId="77777777" w:rsidR="00F3025C" w:rsidRPr="00F3025C" w:rsidRDefault="00F3025C" w:rsidP="00F3025C">
      <w:pPr>
        <w:spacing w:after="0"/>
      </w:pPr>
      <w:permStart w:id="1885042034" w:edGrp="everyone"/>
      <w:r w:rsidRPr="00F3025C">
        <w:t>Regarding data transmission formats, we do not suggest that ESMA defines at this level of detail or restricts FIRDs accordingly. Rather industry should develop a preferred global approach and adoption of data encoding layers and transport formats.</w:t>
      </w:r>
    </w:p>
    <w:p w14:paraId="30108B1F" w14:textId="77777777" w:rsidR="00F3025C" w:rsidRDefault="00F3025C" w:rsidP="00F3025C">
      <w:pPr>
        <w:spacing w:after="0"/>
      </w:pPr>
    </w:p>
    <w:p w14:paraId="38FB3F5D" w14:textId="32F65B12" w:rsidR="00F3025C" w:rsidRPr="00F3025C" w:rsidRDefault="00F3025C" w:rsidP="00F3025C">
      <w:pPr>
        <w:spacing w:after="0"/>
      </w:pPr>
      <w:r w:rsidRPr="00F3025C">
        <w:t>In the event of any changes to reporting formats being brought about, it should be done separately to all the other reporting changes. So that we can isolate cause of any reporting fails.</w:t>
      </w:r>
    </w:p>
    <w:p w14:paraId="5731F7A5" w14:textId="77777777" w:rsidR="00F3025C" w:rsidRDefault="00F3025C" w:rsidP="00F3025C">
      <w:pPr>
        <w:spacing w:after="0"/>
      </w:pPr>
    </w:p>
    <w:p w14:paraId="19BA9540" w14:textId="72DE5A0F" w:rsidR="00F3025C" w:rsidRPr="00F3025C" w:rsidRDefault="00F3025C" w:rsidP="00F3025C">
      <w:pPr>
        <w:spacing w:after="0"/>
      </w:pPr>
      <w:r w:rsidRPr="00F3025C">
        <w:t>Moreover, we do not agree with JSON as being suitable for the reference data transmission requirements. The primary concern is standardisation and universal adoption, but regarding effectiveness and speed, JSON is a relatively more verbose presentation layer than SBE which is preferable for a number of reasons.  Encodings such as FAST and SBE are compatible with FIX and non-FIX application protocols so can be used to encode ISO 20022 messages, for example.</w:t>
      </w:r>
    </w:p>
    <w:p w14:paraId="25FC7026" w14:textId="77777777" w:rsidR="00F3025C" w:rsidRPr="00F3025C" w:rsidRDefault="00F3025C" w:rsidP="00F3025C">
      <w:pPr>
        <w:spacing w:after="0"/>
      </w:pPr>
      <w:r w:rsidRPr="00F3025C">
        <w:t>The MiFIR text is not specific as to whether it is referring just to the application layer, the presentation layer or a combination of these with or without the session layer. The underlying level 1 requirement of having a ‘harmonised format’ while recognising that this doesn’t define whether this applies to the business content (the application layer), the on-the-wire representation of that business content (the presentation layer) or both. JSON is an encoding (presentation layer), with FAST and SBE offering different encodings rather than XML as supposed by ESMA in the question.</w:t>
      </w:r>
    </w:p>
    <w:p w14:paraId="0A40CBFD" w14:textId="77777777" w:rsidR="00F3025C" w:rsidRDefault="00F3025C" w:rsidP="00F3025C">
      <w:pPr>
        <w:spacing w:after="0"/>
      </w:pPr>
    </w:p>
    <w:p w14:paraId="6067289C" w14:textId="4D0D1739" w:rsidR="00F3025C" w:rsidRPr="00F3025C" w:rsidRDefault="00F3025C" w:rsidP="00F3025C">
      <w:pPr>
        <w:spacing w:after="0"/>
      </w:pPr>
      <w:r w:rsidRPr="00F3025C">
        <w:t>The relevance of all of this to this question lies in the table of ‘categories defining quality of transmission protocols’ as these apply to these different levels. Performance and Compatibility can be a factor of all three of application, presentation and session layers, Security relates to presentation and session layers, and Reliability relates to the session layer.</w:t>
      </w:r>
    </w:p>
    <w:p w14:paraId="6B3E3892" w14:textId="77777777" w:rsidR="00F3025C" w:rsidRDefault="00F3025C" w:rsidP="00F3025C">
      <w:pPr>
        <w:spacing w:after="0"/>
      </w:pPr>
    </w:p>
    <w:p w14:paraId="708DDB76" w14:textId="31BE43DD" w:rsidR="00F3025C" w:rsidRPr="00F3025C" w:rsidRDefault="00F3025C" w:rsidP="00F3025C">
      <w:pPr>
        <w:spacing w:after="0"/>
      </w:pPr>
      <w:r w:rsidRPr="00F3025C">
        <w:t xml:space="preserve">The OSI defines messaging protocols as a layered stack with each layer representing a difference and clearly delineated component from business data all the way down to physical hardware. The OSI model has seven layers, but it is the top three that are the most relevant here – the ‘application’ </w:t>
      </w:r>
      <w:r w:rsidRPr="00F3025C">
        <w:lastRenderedPageBreak/>
        <w:t xml:space="preserve">layer (containing the business content), the ‘presentation’ layer (describing how the business content is represented on the wire, otherwise known as ‘encoding’) and the ‘session’ layer (which describes aspects such as authentication, message recoverability and similar). </w:t>
      </w:r>
    </w:p>
    <w:p w14:paraId="2E4466C3" w14:textId="77777777" w:rsidR="00F3025C" w:rsidRDefault="00F3025C" w:rsidP="00F3025C">
      <w:pPr>
        <w:spacing w:after="0"/>
      </w:pPr>
    </w:p>
    <w:p w14:paraId="0D292233" w14:textId="05B5E5FA" w:rsidR="00F3025C" w:rsidRPr="00F3025C" w:rsidRDefault="00F3025C" w:rsidP="00F3025C">
      <w:pPr>
        <w:spacing w:after="0"/>
      </w:pPr>
      <w:r w:rsidRPr="00F3025C">
        <w:t xml:space="preserve">By way of example, ISO 20022 has one application layer (its business domain model) and, at the time of writing, two encodings (XML and ASN.1) and no defined session layer. </w:t>
      </w:r>
    </w:p>
    <w:p w14:paraId="22B0A0D2" w14:textId="77777777" w:rsidR="00F3025C" w:rsidRDefault="00F3025C" w:rsidP="00F3025C">
      <w:pPr>
        <w:spacing w:after="0"/>
      </w:pPr>
    </w:p>
    <w:p w14:paraId="7E11BA64" w14:textId="1127107F" w:rsidR="00F3025C" w:rsidRPr="00F3025C" w:rsidRDefault="00F3025C" w:rsidP="00F3025C">
      <w:pPr>
        <w:spacing w:after="0"/>
      </w:pPr>
      <w:r w:rsidRPr="00F3025C">
        <w:t>The commonly deployed “</w:t>
      </w:r>
      <w:r w:rsidRPr="00F3025C">
        <w:rPr>
          <w:i/>
          <w:iCs/>
        </w:rPr>
        <w:t>FIX messaging suite</w:t>
      </w:r>
      <w:r w:rsidRPr="00F3025C">
        <w:t xml:space="preserve">” similarly splits into the FIX Protocol (application layer), various encodings (including FIX’s own ISO 3531-1 FIX Tag_Value encoding, Simple Binary Encoding and FIXML, but can equally be used with other encodings such as ASN.1, JSON and Google Protocol Buffers) as well as various sessions (including ISO 33531-2 FIX Session Layer, FIXP). </w:t>
      </w:r>
    </w:p>
    <w:p w14:paraId="2FB2BCA6" w14:textId="77777777" w:rsidR="00F3025C" w:rsidRDefault="00F3025C" w:rsidP="0015061C">
      <w:pPr>
        <w:spacing w:after="0"/>
      </w:pPr>
    </w:p>
    <w:p w14:paraId="5D1C51AA" w14:textId="67291FB8" w:rsidR="0015061C" w:rsidRDefault="0015061C" w:rsidP="0015061C">
      <w:pPr>
        <w:spacing w:after="0"/>
      </w:pPr>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FADF5CE" w14:textId="3FBBB46E" w:rsidR="00133D9B" w:rsidRDefault="00133D9B" w:rsidP="0015061C">
      <w:pPr>
        <w:spacing w:after="0"/>
      </w:pPr>
      <w:permStart w:id="1904763643" w:edGrp="everyone"/>
      <w:r w:rsidRPr="00133D9B">
        <w:t>Trading Venues do not currently envisage reporting as DPEs.</w:t>
      </w:r>
    </w:p>
    <w:p w14:paraId="4AFE0A62" w14:textId="77777777" w:rsidR="00133D9B" w:rsidRDefault="00133D9B" w:rsidP="0015061C">
      <w:pPr>
        <w:spacing w:after="0"/>
      </w:pPr>
    </w:p>
    <w:p w14:paraId="21C72504" w14:textId="57CEB2CB" w:rsidR="0015061C" w:rsidRDefault="0015061C" w:rsidP="0015061C">
      <w:pPr>
        <w:spacing w:after="0"/>
      </w:pPr>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BF0AE55" w14:textId="3AF431AE" w:rsidR="00133D9B" w:rsidRDefault="00133D9B" w:rsidP="0015061C">
      <w:pPr>
        <w:spacing w:after="0"/>
      </w:pPr>
      <w:permStart w:id="1129906537" w:edGrp="everyone"/>
      <w:r w:rsidRPr="00133D9B">
        <w:t>Trading Venues do not currently envisage reporting as DPEs.</w:t>
      </w:r>
    </w:p>
    <w:p w14:paraId="400FD892" w14:textId="77777777" w:rsidR="00133D9B" w:rsidRDefault="00133D9B" w:rsidP="0015061C">
      <w:pPr>
        <w:spacing w:after="0"/>
      </w:pPr>
    </w:p>
    <w:p w14:paraId="2181B100" w14:textId="4B5CBEC8" w:rsidR="0015061C" w:rsidRDefault="0015061C" w:rsidP="0015061C">
      <w:pPr>
        <w:spacing w:after="0"/>
      </w:pPr>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lastRenderedPageBreak/>
        <w:t>&lt;ESMA_QUESTION</w:t>
      </w:r>
      <w:r w:rsidR="00F93646">
        <w:t>_</w:t>
      </w:r>
      <w:r w:rsidR="00DD54B5">
        <w:t>CP1</w:t>
      </w:r>
      <w:r w:rsidR="00F93646">
        <w:t>_</w:t>
      </w:r>
      <w:r w:rsidR="00AE2A0A">
        <w:t>7</w:t>
      </w:r>
      <w:r w:rsidR="0014711C">
        <w:t>3</w:t>
      </w:r>
      <w:r>
        <w:t>&gt;</w:t>
      </w:r>
    </w:p>
    <w:p w14:paraId="75ACA233" w14:textId="004F1B39" w:rsidR="005517D0" w:rsidRPr="005517D0" w:rsidRDefault="005517D0" w:rsidP="005517D0">
      <w:pPr>
        <w:spacing w:after="0"/>
      </w:pPr>
      <w:permStart w:id="1106593597" w:edGrp="everyone"/>
      <w:r w:rsidRPr="005517D0">
        <w:t>No.</w:t>
      </w:r>
      <w:r>
        <w:t xml:space="preserve"> </w:t>
      </w:r>
      <w:r w:rsidRPr="005517D0">
        <w:t xml:space="preserve">From the perspective of trading venues, neither the incoming new instruments under the </w:t>
      </w:r>
      <w:r w:rsidRPr="005517D0">
        <w:rPr>
          <w:i/>
          <w:iCs/>
        </w:rPr>
        <w:t>CO and DTO</w:t>
      </w:r>
      <w:r w:rsidRPr="005517D0">
        <w:t xml:space="preserve">, nor the adjustments in respect of </w:t>
      </w:r>
      <w:r w:rsidRPr="005517D0">
        <w:rPr>
          <w:i/>
          <w:iCs/>
        </w:rPr>
        <w:t>uTOTV</w:t>
      </w:r>
      <w:r w:rsidRPr="005517D0">
        <w:t xml:space="preserve">  instruments call for any further adjustments.</w:t>
      </w:r>
    </w:p>
    <w:p w14:paraId="068C69C8" w14:textId="77777777" w:rsidR="005517D0" w:rsidRDefault="005517D0" w:rsidP="005F7979">
      <w:pPr>
        <w:spacing w:after="0"/>
      </w:pPr>
    </w:p>
    <w:p w14:paraId="4E89D76B" w14:textId="68830CBC" w:rsidR="005F7979" w:rsidRDefault="005F7979" w:rsidP="005F7979">
      <w:pPr>
        <w:spacing w:after="0"/>
      </w:pPr>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70AE" w14:textId="77777777" w:rsidR="000A429D" w:rsidRDefault="000A429D" w:rsidP="00F716D4">
      <w:r>
        <w:separator/>
      </w:r>
    </w:p>
    <w:p w14:paraId="258082FA" w14:textId="77777777" w:rsidR="000A429D" w:rsidRDefault="000A429D" w:rsidP="00F716D4"/>
  </w:endnote>
  <w:endnote w:type="continuationSeparator" w:id="0">
    <w:p w14:paraId="41BD8321" w14:textId="77777777" w:rsidR="000A429D" w:rsidRDefault="000A429D" w:rsidP="00F716D4">
      <w:r>
        <w:continuationSeparator/>
      </w:r>
    </w:p>
    <w:p w14:paraId="1E5C6E4B" w14:textId="77777777" w:rsidR="000A429D" w:rsidRDefault="000A429D" w:rsidP="00F716D4"/>
  </w:endnote>
  <w:endnote w:type="continuationNotice" w:id="1">
    <w:p w14:paraId="2995F29A" w14:textId="77777777" w:rsidR="000A429D" w:rsidRDefault="000A429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3745" w14:textId="77777777" w:rsidR="000A429D" w:rsidRDefault="000A429D" w:rsidP="00F716D4">
      <w:r>
        <w:separator/>
      </w:r>
    </w:p>
    <w:p w14:paraId="459E45FB" w14:textId="77777777" w:rsidR="000A429D" w:rsidRDefault="000A429D" w:rsidP="00F716D4"/>
  </w:footnote>
  <w:footnote w:type="continuationSeparator" w:id="0">
    <w:p w14:paraId="773F3FFA" w14:textId="77777777" w:rsidR="000A429D" w:rsidRDefault="000A429D" w:rsidP="00F716D4">
      <w:r>
        <w:continuationSeparator/>
      </w:r>
    </w:p>
    <w:p w14:paraId="50865DB2" w14:textId="77777777" w:rsidR="000A429D" w:rsidRDefault="000A429D" w:rsidP="00F716D4"/>
  </w:footnote>
  <w:footnote w:type="continuationNotice" w:id="1">
    <w:p w14:paraId="23BBEE3B" w14:textId="77777777" w:rsidR="000A429D" w:rsidRDefault="000A429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A6EF3"/>
    <w:multiLevelType w:val="hybridMultilevel"/>
    <w:tmpl w:val="53B6F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891C1E"/>
    <w:multiLevelType w:val="hybridMultilevel"/>
    <w:tmpl w:val="CAE8DBE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813869"/>
    <w:multiLevelType w:val="hybridMultilevel"/>
    <w:tmpl w:val="8C8437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9"/>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6"/>
  </w:num>
  <w:num w:numId="20" w16cid:durableId="1805388212">
    <w:abstractNumId w:val="35"/>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8"/>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2"/>
  </w:num>
  <w:num w:numId="35" w16cid:durableId="674843309">
    <w:abstractNumId w:val="18"/>
  </w:num>
  <w:num w:numId="36" w16cid:durableId="1954971501">
    <w:abstractNumId w:val="39"/>
  </w:num>
  <w:num w:numId="37" w16cid:durableId="1809544234">
    <w:abstractNumId w:val="10"/>
  </w:num>
  <w:num w:numId="38" w16cid:durableId="877091031">
    <w:abstractNumId w:val="36"/>
  </w:num>
  <w:num w:numId="39" w16cid:durableId="1762264437">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273B"/>
    <w:rsid w:val="00023713"/>
    <w:rsid w:val="00023C4D"/>
    <w:rsid w:val="000251E3"/>
    <w:rsid w:val="00025E71"/>
    <w:rsid w:val="00026226"/>
    <w:rsid w:val="00026269"/>
    <w:rsid w:val="00027154"/>
    <w:rsid w:val="00027ECF"/>
    <w:rsid w:val="000303BE"/>
    <w:rsid w:val="00030C62"/>
    <w:rsid w:val="00033A94"/>
    <w:rsid w:val="000344D6"/>
    <w:rsid w:val="00034960"/>
    <w:rsid w:val="000368F9"/>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1E7"/>
    <w:rsid w:val="000576D7"/>
    <w:rsid w:val="00060F72"/>
    <w:rsid w:val="00062592"/>
    <w:rsid w:val="000627D3"/>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1BE"/>
    <w:rsid w:val="000A358F"/>
    <w:rsid w:val="000A41C5"/>
    <w:rsid w:val="000A429D"/>
    <w:rsid w:val="000A43CC"/>
    <w:rsid w:val="000A7314"/>
    <w:rsid w:val="000A7B53"/>
    <w:rsid w:val="000A7B64"/>
    <w:rsid w:val="000B275C"/>
    <w:rsid w:val="000B2C3D"/>
    <w:rsid w:val="000B55C0"/>
    <w:rsid w:val="000B5DF2"/>
    <w:rsid w:val="000C06C9"/>
    <w:rsid w:val="000C1DCC"/>
    <w:rsid w:val="000C1FBC"/>
    <w:rsid w:val="000C2B6A"/>
    <w:rsid w:val="000C2F88"/>
    <w:rsid w:val="000C4E36"/>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477"/>
    <w:rsid w:val="000E18A8"/>
    <w:rsid w:val="000E1AEC"/>
    <w:rsid w:val="000E3937"/>
    <w:rsid w:val="000E4926"/>
    <w:rsid w:val="000E49B7"/>
    <w:rsid w:val="000E5F7F"/>
    <w:rsid w:val="000E7086"/>
    <w:rsid w:val="000E7C65"/>
    <w:rsid w:val="000F04D2"/>
    <w:rsid w:val="000F55B7"/>
    <w:rsid w:val="000F604F"/>
    <w:rsid w:val="000F7399"/>
    <w:rsid w:val="00100303"/>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464C"/>
    <w:rsid w:val="001168B2"/>
    <w:rsid w:val="00117C20"/>
    <w:rsid w:val="00120F0E"/>
    <w:rsid w:val="00121A5D"/>
    <w:rsid w:val="00121BED"/>
    <w:rsid w:val="00123D39"/>
    <w:rsid w:val="0012429F"/>
    <w:rsid w:val="001244CD"/>
    <w:rsid w:val="0012566F"/>
    <w:rsid w:val="001262B1"/>
    <w:rsid w:val="00130F41"/>
    <w:rsid w:val="00130FAF"/>
    <w:rsid w:val="00133D9B"/>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3DC9"/>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0FB9"/>
    <w:rsid w:val="001F2BA0"/>
    <w:rsid w:val="001F3996"/>
    <w:rsid w:val="001F44A4"/>
    <w:rsid w:val="001F579D"/>
    <w:rsid w:val="001F65EF"/>
    <w:rsid w:val="001F697B"/>
    <w:rsid w:val="001F7CF8"/>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ECE"/>
    <w:rsid w:val="002278F5"/>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028"/>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52C"/>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00A"/>
    <w:rsid w:val="002B3473"/>
    <w:rsid w:val="002B354F"/>
    <w:rsid w:val="002B3614"/>
    <w:rsid w:val="002B45D1"/>
    <w:rsid w:val="002B4ED8"/>
    <w:rsid w:val="002B4FAA"/>
    <w:rsid w:val="002B52C2"/>
    <w:rsid w:val="002B5C2D"/>
    <w:rsid w:val="002B7656"/>
    <w:rsid w:val="002C0642"/>
    <w:rsid w:val="002C1492"/>
    <w:rsid w:val="002C1E8B"/>
    <w:rsid w:val="002C2EFE"/>
    <w:rsid w:val="002C3817"/>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6C0A"/>
    <w:rsid w:val="00317FC8"/>
    <w:rsid w:val="00320648"/>
    <w:rsid w:val="00320C0C"/>
    <w:rsid w:val="003213F2"/>
    <w:rsid w:val="003223D7"/>
    <w:rsid w:val="00323D9F"/>
    <w:rsid w:val="00324FDB"/>
    <w:rsid w:val="00325F48"/>
    <w:rsid w:val="0033194F"/>
    <w:rsid w:val="00332304"/>
    <w:rsid w:val="00332406"/>
    <w:rsid w:val="00332D8D"/>
    <w:rsid w:val="0033355E"/>
    <w:rsid w:val="00336B56"/>
    <w:rsid w:val="00341B25"/>
    <w:rsid w:val="00341EC0"/>
    <w:rsid w:val="0034240C"/>
    <w:rsid w:val="0034374F"/>
    <w:rsid w:val="00344496"/>
    <w:rsid w:val="00344F5E"/>
    <w:rsid w:val="00345968"/>
    <w:rsid w:val="00347667"/>
    <w:rsid w:val="003507E2"/>
    <w:rsid w:val="003522B2"/>
    <w:rsid w:val="0035312E"/>
    <w:rsid w:val="0035455E"/>
    <w:rsid w:val="00354A6F"/>
    <w:rsid w:val="00354B48"/>
    <w:rsid w:val="00355789"/>
    <w:rsid w:val="003609B6"/>
    <w:rsid w:val="00361119"/>
    <w:rsid w:val="0036538D"/>
    <w:rsid w:val="003658F8"/>
    <w:rsid w:val="00365D12"/>
    <w:rsid w:val="00366E20"/>
    <w:rsid w:val="00367596"/>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93B"/>
    <w:rsid w:val="003C4A02"/>
    <w:rsid w:val="003C4F05"/>
    <w:rsid w:val="003C6191"/>
    <w:rsid w:val="003C6E49"/>
    <w:rsid w:val="003D0CBF"/>
    <w:rsid w:val="003D0DD6"/>
    <w:rsid w:val="003D4B73"/>
    <w:rsid w:val="003D503B"/>
    <w:rsid w:val="003D605E"/>
    <w:rsid w:val="003D61D1"/>
    <w:rsid w:val="003D6780"/>
    <w:rsid w:val="003D6FCB"/>
    <w:rsid w:val="003E0F84"/>
    <w:rsid w:val="003E1C79"/>
    <w:rsid w:val="003E1FF3"/>
    <w:rsid w:val="003E3ACA"/>
    <w:rsid w:val="003E50EA"/>
    <w:rsid w:val="003E68C7"/>
    <w:rsid w:val="003E79B0"/>
    <w:rsid w:val="003F0403"/>
    <w:rsid w:val="003F1094"/>
    <w:rsid w:val="003F2E45"/>
    <w:rsid w:val="003F3A13"/>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4546"/>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CD8"/>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F79"/>
    <w:rsid w:val="00482458"/>
    <w:rsid w:val="004837ED"/>
    <w:rsid w:val="00483942"/>
    <w:rsid w:val="004843CE"/>
    <w:rsid w:val="00485142"/>
    <w:rsid w:val="004852A7"/>
    <w:rsid w:val="00485CB3"/>
    <w:rsid w:val="00486C17"/>
    <w:rsid w:val="00486DE2"/>
    <w:rsid w:val="00487117"/>
    <w:rsid w:val="00487A32"/>
    <w:rsid w:val="00487A91"/>
    <w:rsid w:val="004901E5"/>
    <w:rsid w:val="0049027D"/>
    <w:rsid w:val="004903D4"/>
    <w:rsid w:val="0049052B"/>
    <w:rsid w:val="00492457"/>
    <w:rsid w:val="004924A8"/>
    <w:rsid w:val="00493403"/>
    <w:rsid w:val="004934BA"/>
    <w:rsid w:val="004934E9"/>
    <w:rsid w:val="0049362B"/>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63"/>
    <w:rsid w:val="004D7DEA"/>
    <w:rsid w:val="004E0A28"/>
    <w:rsid w:val="004E1A0F"/>
    <w:rsid w:val="004E2E89"/>
    <w:rsid w:val="004E33C2"/>
    <w:rsid w:val="004E3B9A"/>
    <w:rsid w:val="004E49B0"/>
    <w:rsid w:val="004E62DE"/>
    <w:rsid w:val="004E6B05"/>
    <w:rsid w:val="004E76A1"/>
    <w:rsid w:val="004F05DE"/>
    <w:rsid w:val="004F0DF5"/>
    <w:rsid w:val="004F3940"/>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3ED1"/>
    <w:rsid w:val="005242BA"/>
    <w:rsid w:val="005243B8"/>
    <w:rsid w:val="00525092"/>
    <w:rsid w:val="005252DD"/>
    <w:rsid w:val="00530A8D"/>
    <w:rsid w:val="00531C6D"/>
    <w:rsid w:val="00532EF4"/>
    <w:rsid w:val="005347CE"/>
    <w:rsid w:val="00535477"/>
    <w:rsid w:val="00535DEA"/>
    <w:rsid w:val="0053723A"/>
    <w:rsid w:val="00537636"/>
    <w:rsid w:val="00537B1D"/>
    <w:rsid w:val="00540191"/>
    <w:rsid w:val="00540A2A"/>
    <w:rsid w:val="00541520"/>
    <w:rsid w:val="00541F27"/>
    <w:rsid w:val="00542297"/>
    <w:rsid w:val="005424BC"/>
    <w:rsid w:val="00542605"/>
    <w:rsid w:val="00542A28"/>
    <w:rsid w:val="005441D4"/>
    <w:rsid w:val="0054672D"/>
    <w:rsid w:val="00550F4E"/>
    <w:rsid w:val="005517D0"/>
    <w:rsid w:val="00551E98"/>
    <w:rsid w:val="005532B5"/>
    <w:rsid w:val="00554A05"/>
    <w:rsid w:val="00554CBC"/>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643A"/>
    <w:rsid w:val="00587F1D"/>
    <w:rsid w:val="00590348"/>
    <w:rsid w:val="00591161"/>
    <w:rsid w:val="00592318"/>
    <w:rsid w:val="00593133"/>
    <w:rsid w:val="0059575D"/>
    <w:rsid w:val="00596825"/>
    <w:rsid w:val="005A06A0"/>
    <w:rsid w:val="005A150A"/>
    <w:rsid w:val="005A2690"/>
    <w:rsid w:val="005A2B3E"/>
    <w:rsid w:val="005A3644"/>
    <w:rsid w:val="005A4087"/>
    <w:rsid w:val="005A4B18"/>
    <w:rsid w:val="005A537E"/>
    <w:rsid w:val="005A6F43"/>
    <w:rsid w:val="005A767D"/>
    <w:rsid w:val="005A775C"/>
    <w:rsid w:val="005B00F1"/>
    <w:rsid w:val="005B05B9"/>
    <w:rsid w:val="005B0CE7"/>
    <w:rsid w:val="005B10E2"/>
    <w:rsid w:val="005B1803"/>
    <w:rsid w:val="005B35EA"/>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594E"/>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5A47"/>
    <w:rsid w:val="00666F74"/>
    <w:rsid w:val="00667FEA"/>
    <w:rsid w:val="006710D2"/>
    <w:rsid w:val="00671A8B"/>
    <w:rsid w:val="00671F53"/>
    <w:rsid w:val="006725A0"/>
    <w:rsid w:val="00674628"/>
    <w:rsid w:val="0067555E"/>
    <w:rsid w:val="00677D3B"/>
    <w:rsid w:val="00677FAD"/>
    <w:rsid w:val="006802DE"/>
    <w:rsid w:val="0068032D"/>
    <w:rsid w:val="0068068C"/>
    <w:rsid w:val="00681115"/>
    <w:rsid w:val="0068313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3B44"/>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66A"/>
    <w:rsid w:val="006D4F0C"/>
    <w:rsid w:val="006D5645"/>
    <w:rsid w:val="006D5C5E"/>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260"/>
    <w:rsid w:val="00736651"/>
    <w:rsid w:val="0073673C"/>
    <w:rsid w:val="00736935"/>
    <w:rsid w:val="007378EC"/>
    <w:rsid w:val="00737DD9"/>
    <w:rsid w:val="00743DE7"/>
    <w:rsid w:val="007446D7"/>
    <w:rsid w:val="0074509E"/>
    <w:rsid w:val="00745B9F"/>
    <w:rsid w:val="00747119"/>
    <w:rsid w:val="0074726F"/>
    <w:rsid w:val="00752D4F"/>
    <w:rsid w:val="0075409F"/>
    <w:rsid w:val="00754167"/>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CA3"/>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35D"/>
    <w:rsid w:val="00786E2C"/>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25E4"/>
    <w:rsid w:val="007E3514"/>
    <w:rsid w:val="007E4207"/>
    <w:rsid w:val="007E4AAA"/>
    <w:rsid w:val="007E4BD2"/>
    <w:rsid w:val="007E4C29"/>
    <w:rsid w:val="007E5E44"/>
    <w:rsid w:val="007F0DDA"/>
    <w:rsid w:val="007F1939"/>
    <w:rsid w:val="007F365C"/>
    <w:rsid w:val="007F5066"/>
    <w:rsid w:val="007F621C"/>
    <w:rsid w:val="007F7155"/>
    <w:rsid w:val="00800C28"/>
    <w:rsid w:val="00800E6C"/>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1A8B"/>
    <w:rsid w:val="00832134"/>
    <w:rsid w:val="0083219E"/>
    <w:rsid w:val="008324B3"/>
    <w:rsid w:val="0083497C"/>
    <w:rsid w:val="008352A6"/>
    <w:rsid w:val="00835B5B"/>
    <w:rsid w:val="00835CC2"/>
    <w:rsid w:val="008367AE"/>
    <w:rsid w:val="00836E50"/>
    <w:rsid w:val="00840003"/>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A5B"/>
    <w:rsid w:val="008A4CF6"/>
    <w:rsid w:val="008A4E42"/>
    <w:rsid w:val="008A51AA"/>
    <w:rsid w:val="008A6A12"/>
    <w:rsid w:val="008B0DC6"/>
    <w:rsid w:val="008B0E14"/>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D7993"/>
    <w:rsid w:val="008E1B6A"/>
    <w:rsid w:val="008E3054"/>
    <w:rsid w:val="008E32FF"/>
    <w:rsid w:val="008E5074"/>
    <w:rsid w:val="008E5625"/>
    <w:rsid w:val="008E5C5B"/>
    <w:rsid w:val="008E6A37"/>
    <w:rsid w:val="008F0354"/>
    <w:rsid w:val="008F085A"/>
    <w:rsid w:val="008F1462"/>
    <w:rsid w:val="008F14FF"/>
    <w:rsid w:val="008F2413"/>
    <w:rsid w:val="008F248D"/>
    <w:rsid w:val="008F4B2C"/>
    <w:rsid w:val="008F4C08"/>
    <w:rsid w:val="008F50A6"/>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38C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55C7"/>
    <w:rsid w:val="009661DF"/>
    <w:rsid w:val="009667BD"/>
    <w:rsid w:val="00967C2B"/>
    <w:rsid w:val="00967CE2"/>
    <w:rsid w:val="00971DA3"/>
    <w:rsid w:val="00972161"/>
    <w:rsid w:val="0097261B"/>
    <w:rsid w:val="00974881"/>
    <w:rsid w:val="00975FB5"/>
    <w:rsid w:val="0097606C"/>
    <w:rsid w:val="009771D1"/>
    <w:rsid w:val="00977AF4"/>
    <w:rsid w:val="0098012D"/>
    <w:rsid w:val="00980845"/>
    <w:rsid w:val="00981BD9"/>
    <w:rsid w:val="0098225F"/>
    <w:rsid w:val="00983A3C"/>
    <w:rsid w:val="00983EFA"/>
    <w:rsid w:val="00984C15"/>
    <w:rsid w:val="00986FE5"/>
    <w:rsid w:val="00987829"/>
    <w:rsid w:val="00987F7A"/>
    <w:rsid w:val="00991276"/>
    <w:rsid w:val="009923E7"/>
    <w:rsid w:val="00992697"/>
    <w:rsid w:val="00992D4E"/>
    <w:rsid w:val="00992F0C"/>
    <w:rsid w:val="009934BB"/>
    <w:rsid w:val="00993931"/>
    <w:rsid w:val="00994621"/>
    <w:rsid w:val="009947FF"/>
    <w:rsid w:val="0099544B"/>
    <w:rsid w:val="00996C85"/>
    <w:rsid w:val="009A07A6"/>
    <w:rsid w:val="009A0D56"/>
    <w:rsid w:val="009A31B9"/>
    <w:rsid w:val="009A3405"/>
    <w:rsid w:val="009A4D4F"/>
    <w:rsid w:val="009A53D8"/>
    <w:rsid w:val="009A597F"/>
    <w:rsid w:val="009A7B72"/>
    <w:rsid w:val="009A7F49"/>
    <w:rsid w:val="009B03C4"/>
    <w:rsid w:val="009B0AA2"/>
    <w:rsid w:val="009B1D02"/>
    <w:rsid w:val="009B51E8"/>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C6C2C"/>
    <w:rsid w:val="009D0219"/>
    <w:rsid w:val="009D0D55"/>
    <w:rsid w:val="009D2295"/>
    <w:rsid w:val="009D2511"/>
    <w:rsid w:val="009D3E7C"/>
    <w:rsid w:val="009D55CA"/>
    <w:rsid w:val="009D5661"/>
    <w:rsid w:val="009D5EF0"/>
    <w:rsid w:val="009D6401"/>
    <w:rsid w:val="009D6E99"/>
    <w:rsid w:val="009E046F"/>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CF"/>
    <w:rsid w:val="00A50847"/>
    <w:rsid w:val="00A512C7"/>
    <w:rsid w:val="00A529DA"/>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76630"/>
    <w:rsid w:val="00A81988"/>
    <w:rsid w:val="00A8217C"/>
    <w:rsid w:val="00A824A7"/>
    <w:rsid w:val="00A83644"/>
    <w:rsid w:val="00A83C07"/>
    <w:rsid w:val="00A83F40"/>
    <w:rsid w:val="00A84945"/>
    <w:rsid w:val="00A85543"/>
    <w:rsid w:val="00A86EDD"/>
    <w:rsid w:val="00A8728B"/>
    <w:rsid w:val="00A90FB5"/>
    <w:rsid w:val="00A91682"/>
    <w:rsid w:val="00A92125"/>
    <w:rsid w:val="00A92E4A"/>
    <w:rsid w:val="00A95279"/>
    <w:rsid w:val="00A95314"/>
    <w:rsid w:val="00A958CA"/>
    <w:rsid w:val="00A966B6"/>
    <w:rsid w:val="00A969BF"/>
    <w:rsid w:val="00A96B46"/>
    <w:rsid w:val="00AA003B"/>
    <w:rsid w:val="00AA016B"/>
    <w:rsid w:val="00AA15DD"/>
    <w:rsid w:val="00AA1C09"/>
    <w:rsid w:val="00AA2CC3"/>
    <w:rsid w:val="00AA2F67"/>
    <w:rsid w:val="00AA3569"/>
    <w:rsid w:val="00AA55E8"/>
    <w:rsid w:val="00AA5F4C"/>
    <w:rsid w:val="00AA615C"/>
    <w:rsid w:val="00AA6276"/>
    <w:rsid w:val="00AA6711"/>
    <w:rsid w:val="00AA7A0D"/>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A7F"/>
    <w:rsid w:val="00AE3BC6"/>
    <w:rsid w:val="00AE4D4F"/>
    <w:rsid w:val="00AE5DD1"/>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4B0F"/>
    <w:rsid w:val="00B455D1"/>
    <w:rsid w:val="00B46135"/>
    <w:rsid w:val="00B472AB"/>
    <w:rsid w:val="00B47C1A"/>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87310"/>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023C"/>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176"/>
    <w:rsid w:val="00BC6A9F"/>
    <w:rsid w:val="00BC7897"/>
    <w:rsid w:val="00BD06D7"/>
    <w:rsid w:val="00BD07E6"/>
    <w:rsid w:val="00BD0F35"/>
    <w:rsid w:val="00BD2384"/>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773"/>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A2D"/>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1825"/>
    <w:rsid w:val="00C5282C"/>
    <w:rsid w:val="00C52FBE"/>
    <w:rsid w:val="00C5355E"/>
    <w:rsid w:val="00C535E2"/>
    <w:rsid w:val="00C53FC1"/>
    <w:rsid w:val="00C54034"/>
    <w:rsid w:val="00C551D2"/>
    <w:rsid w:val="00C56438"/>
    <w:rsid w:val="00C570B3"/>
    <w:rsid w:val="00C57114"/>
    <w:rsid w:val="00C6009F"/>
    <w:rsid w:val="00C60417"/>
    <w:rsid w:val="00C6046F"/>
    <w:rsid w:val="00C6286F"/>
    <w:rsid w:val="00C638C2"/>
    <w:rsid w:val="00C651D4"/>
    <w:rsid w:val="00C65533"/>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774"/>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2786"/>
    <w:rsid w:val="00D228B4"/>
    <w:rsid w:val="00D22AC0"/>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99C"/>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6A68"/>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19AA"/>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386"/>
    <w:rsid w:val="00E40974"/>
    <w:rsid w:val="00E40AAB"/>
    <w:rsid w:val="00E41205"/>
    <w:rsid w:val="00E41F32"/>
    <w:rsid w:val="00E42608"/>
    <w:rsid w:val="00E43536"/>
    <w:rsid w:val="00E43DA3"/>
    <w:rsid w:val="00E44B80"/>
    <w:rsid w:val="00E44D14"/>
    <w:rsid w:val="00E45938"/>
    <w:rsid w:val="00E47430"/>
    <w:rsid w:val="00E474BD"/>
    <w:rsid w:val="00E50FB7"/>
    <w:rsid w:val="00E5199F"/>
    <w:rsid w:val="00E526DF"/>
    <w:rsid w:val="00E53C15"/>
    <w:rsid w:val="00E54EE6"/>
    <w:rsid w:val="00E56715"/>
    <w:rsid w:val="00E56C2C"/>
    <w:rsid w:val="00E57F8E"/>
    <w:rsid w:val="00E60B13"/>
    <w:rsid w:val="00E611C8"/>
    <w:rsid w:val="00E6121E"/>
    <w:rsid w:val="00E6344A"/>
    <w:rsid w:val="00E64152"/>
    <w:rsid w:val="00E64E69"/>
    <w:rsid w:val="00E64FB7"/>
    <w:rsid w:val="00E66129"/>
    <w:rsid w:val="00E669A1"/>
    <w:rsid w:val="00E679BA"/>
    <w:rsid w:val="00E70243"/>
    <w:rsid w:val="00E706DD"/>
    <w:rsid w:val="00E70E2E"/>
    <w:rsid w:val="00E72CC6"/>
    <w:rsid w:val="00E73D44"/>
    <w:rsid w:val="00E7494A"/>
    <w:rsid w:val="00E74BE2"/>
    <w:rsid w:val="00E74C66"/>
    <w:rsid w:val="00E75933"/>
    <w:rsid w:val="00E759FD"/>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F71"/>
    <w:rsid w:val="00EB24ED"/>
    <w:rsid w:val="00EB2A00"/>
    <w:rsid w:val="00EB309B"/>
    <w:rsid w:val="00EB3AA2"/>
    <w:rsid w:val="00EB4763"/>
    <w:rsid w:val="00EB531C"/>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974"/>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0674A"/>
    <w:rsid w:val="00F107EF"/>
    <w:rsid w:val="00F10A54"/>
    <w:rsid w:val="00F123D0"/>
    <w:rsid w:val="00F13200"/>
    <w:rsid w:val="00F13411"/>
    <w:rsid w:val="00F143BA"/>
    <w:rsid w:val="00F14D98"/>
    <w:rsid w:val="00F20215"/>
    <w:rsid w:val="00F2081B"/>
    <w:rsid w:val="00F20A43"/>
    <w:rsid w:val="00F20C51"/>
    <w:rsid w:val="00F21049"/>
    <w:rsid w:val="00F218AE"/>
    <w:rsid w:val="00F22232"/>
    <w:rsid w:val="00F2228E"/>
    <w:rsid w:val="00F22D3C"/>
    <w:rsid w:val="00F23D66"/>
    <w:rsid w:val="00F24E6F"/>
    <w:rsid w:val="00F26069"/>
    <w:rsid w:val="00F26B7E"/>
    <w:rsid w:val="00F27429"/>
    <w:rsid w:val="00F27D7D"/>
    <w:rsid w:val="00F3002B"/>
    <w:rsid w:val="00F3025C"/>
    <w:rsid w:val="00F30BC9"/>
    <w:rsid w:val="00F3144E"/>
    <w:rsid w:val="00F32462"/>
    <w:rsid w:val="00F32FF7"/>
    <w:rsid w:val="00F33869"/>
    <w:rsid w:val="00F33EDE"/>
    <w:rsid w:val="00F3568B"/>
    <w:rsid w:val="00F363E0"/>
    <w:rsid w:val="00F377CD"/>
    <w:rsid w:val="00F40C3B"/>
    <w:rsid w:val="00F40CE0"/>
    <w:rsid w:val="00F42DBC"/>
    <w:rsid w:val="00F4308D"/>
    <w:rsid w:val="00F44012"/>
    <w:rsid w:val="00F44716"/>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0D"/>
    <w:rsid w:val="00FB3DD1"/>
    <w:rsid w:val="00FB51FD"/>
    <w:rsid w:val="00FB5667"/>
    <w:rsid w:val="00FB629B"/>
    <w:rsid w:val="00FB6A8C"/>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F501166ADEB4385355192EDA8E244" ma:contentTypeVersion="15" ma:contentTypeDescription="Create a new document." ma:contentTypeScope="" ma:versionID="35914f3b2c7d9008a7d345cc6aee262a">
  <xsd:schema xmlns:xsd="http://www.w3.org/2001/XMLSchema" xmlns:xs="http://www.w3.org/2001/XMLSchema" xmlns:p="http://schemas.microsoft.com/office/2006/metadata/properties" xmlns:ns2="b024ad5b-af6b-44c1-aae6-51df71a5efa9" xmlns:ns3="b78b5191-36be-4515-8866-7c7989a03b3f" targetNamespace="http://schemas.microsoft.com/office/2006/metadata/properties" ma:root="true" ma:fieldsID="796772c548169115b23c51465499e99a" ns2:_="" ns3:_="">
    <xsd:import namespace="b024ad5b-af6b-44c1-aae6-51df71a5efa9"/>
    <xsd:import namespace="b78b5191-36be-4515-8866-7c7989a03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4ad5b-af6b-44c1-aae6-51df71a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f7433-0968-47c0-bb35-1c860e879c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5191-36be-4515-8866-7c7989a03b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a9c8fc-69e9-41eb-82d3-f2f6a8b00177}" ma:internalName="TaxCatchAll" ma:showField="CatchAllData" ma:web="b78b5191-36be-4515-8866-7c7989a03b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8b5191-36be-4515-8866-7c7989a03b3f" xsi:nil="true"/>
    <SharedWithUsers xmlns="b78b5191-36be-4515-8866-7c7989a03b3f">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b024ad5b-af6b-44c1-aae6-51df71a5ef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D07AC202-B462-48CD-9A07-3B707431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4ad5b-af6b-44c1-aae6-51df71a5efa9"/>
    <ds:schemaRef ds:uri="b78b5191-36be-4515-8866-7c7989a03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b78b5191-36be-4515-8866-7c7989a03b3f"/>
    <ds:schemaRef ds:uri="b024ad5b-af6b-44c1-aae6-51df71a5efa9"/>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36</Pages>
  <Words>9445</Words>
  <Characters>53841</Characters>
  <Application>Microsoft Office Word</Application>
  <DocSecurity>8</DocSecurity>
  <Lines>448</Lines>
  <Paragraphs>126</Paragraphs>
  <ScaleCrop>false</ScaleCrop>
  <Company>ESMA</Company>
  <LinksUpToDate>false</LinksUpToDate>
  <CharactersWithSpaces>63160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Alexander McDonald</cp:lastModifiedBy>
  <cp:revision>126</cp:revision>
  <cp:lastPrinted>2015-02-18T11:01:00Z</cp:lastPrinted>
  <dcterms:created xsi:type="dcterms:W3CDTF">2024-08-26T20:28:00Z</dcterms:created>
  <dcterms:modified xsi:type="dcterms:W3CDTF">2024-08-28T18:54:00Z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5b9e4768-1c25-4875-b735-1a83496cc6ff</vt:lpwstr>
  </property>
  <property fmtid="{D5CDD505-2E9C-101B-9397-08002B2CF9AE}" pid="3" name="EsmaAudience">
    <vt:lpwstr/>
  </property>
  <property fmtid="{D5CDD505-2E9C-101B-9397-08002B2CF9AE}" pid="4" name="TeamName">
    <vt:lpwstr>9;#Trading Unit|0cda11c1-7d91-4d51-b3a1-339122a07b73</vt:lpwstr>
  </property>
  <property fmtid="{D5CDD505-2E9C-101B-9397-08002B2CF9AE}" pid="5" name="Topic">
    <vt:lpwstr>396;#MiFIR review|8e1f943c-95af-4c0c-bb85-794622e8f573</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1008;#MiFIR Review - Consultation Paper 2 - RTS 2, RCB and Reference Data|9a04b656-9ada-4168-ad3c-16b81ab61b24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ContentTypeId">
    <vt:lpwstr>0x010100D8BF501166ADEB4385355192EDA8E244</vt:lpwstr>
  </property>
</Properties>
</file>