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Subtitle"/>
      </w:pPr>
      <w:r w:rsidRPr="008D4656">
        <w:t>RTS 2, RTS on reasonable commercial basis and RTS 23</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0AA2"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ListParagraph"/>
        <w:numPr>
          <w:ilvl w:val="0"/>
          <w:numId w:val="35"/>
        </w:numPr>
        <w:contextualSpacing w:val="0"/>
      </w:pPr>
      <w:r w:rsidRPr="005B6B12">
        <w:t>respond to the question stated;</w:t>
      </w:r>
    </w:p>
    <w:p w14:paraId="73161343" w14:textId="77777777" w:rsidR="00E70E2E" w:rsidRPr="005B6B12" w:rsidRDefault="00E70E2E" w:rsidP="008F14FF">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ListParagraph"/>
        <w:numPr>
          <w:ilvl w:val="0"/>
          <w:numId w:val="35"/>
        </w:numPr>
        <w:contextualSpacing w:val="0"/>
      </w:pPr>
      <w:r w:rsidRPr="005B6B12">
        <w:t>contain a clear rationale; and</w:t>
      </w:r>
    </w:p>
    <w:p w14:paraId="30D73002" w14:textId="77777777" w:rsidR="00E70E2E" w:rsidRPr="005B6B12" w:rsidRDefault="00E70E2E" w:rsidP="008F14FF">
      <w:pPr>
        <w:pStyle w:val="ListParagraph"/>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ListParagraph"/>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74E9CD5B" w:rsidR="00C2682A" w:rsidRPr="00104E00" w:rsidRDefault="00760071" w:rsidP="00104E00">
                <w:pPr>
                  <w:jc w:val="left"/>
                  <w:rPr>
                    <w:rStyle w:val="PlaceholderText"/>
                  </w:rPr>
                </w:pPr>
                <w:r>
                  <w:rPr>
                    <w:rStyle w:val="PlaceholderText"/>
                  </w:rPr>
                  <w:t>Aquis Exchange Europe</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3BEFB49"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760071">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76C272F4" w:rsidR="00C2682A" w:rsidRPr="00104E00" w:rsidRDefault="0075387E" w:rsidP="00104E00">
                <w:pPr>
                  <w:jc w:val="left"/>
                </w:pPr>
                <w:r>
                  <w:t>France</w:t>
                </w:r>
              </w:p>
            </w:tc>
          </w:sdtContent>
        </w:sdt>
      </w:tr>
      <w:permEnd w:id="1727412903"/>
    </w:tbl>
    <w:p w14:paraId="398E9C9E" w14:textId="10C9CC3D" w:rsidR="00C2682A" w:rsidRDefault="00C2682A" w:rsidP="00F716D4"/>
    <w:p w14:paraId="7F986E69" w14:textId="77777777" w:rsidR="00FA4100" w:rsidRDefault="00BB1973" w:rsidP="00054B2B">
      <w:pPr>
        <w:pStyle w:val="Heading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694B3729" w14:textId="05D9F980" w:rsidR="00CC59BB" w:rsidRDefault="00CC59BB" w:rsidP="00C54034">
      <w:pPr>
        <w:spacing w:after="0"/>
      </w:pPr>
      <w:permStart w:id="124340805" w:edGrp="everyone"/>
      <w:r>
        <w:t>TYPE YOUR TEXT HERE</w:t>
      </w:r>
    </w:p>
    <w:permEnd w:id="124340805"/>
    <w:p w14:paraId="059016CF" w14:textId="551D29BB"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59A0405A" w14:textId="0A61B9B2" w:rsidR="00CC59BB" w:rsidRDefault="00CC59BB" w:rsidP="00C54034">
      <w:pPr>
        <w:spacing w:after="0"/>
      </w:pPr>
      <w:permStart w:id="1947404220" w:edGrp="everyone"/>
      <w:r>
        <w:t>TYPE YOUR TEXT HERE</w:t>
      </w:r>
    </w:p>
    <w:permEnd w:id="1947404220"/>
    <w:p w14:paraId="73D19FBF" w14:textId="271B17D2"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0D2F37D3" w14:textId="77777777" w:rsidR="00CC59BB" w:rsidRDefault="00CC59BB" w:rsidP="00C54034">
      <w:pPr>
        <w:spacing w:after="0"/>
      </w:pPr>
      <w:permStart w:id="2005885194" w:edGrp="everyone"/>
      <w:r>
        <w:t>TYPE YOUR TEXT HERE</w:t>
      </w:r>
    </w:p>
    <w:permEnd w:id="2005885194"/>
    <w:p w14:paraId="677D639B" w14:textId="09541F89"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lastRenderedPageBreak/>
        <w:t>&lt;ESMA_QUESTION</w:t>
      </w:r>
      <w:r w:rsidR="00F93646">
        <w:t>_</w:t>
      </w:r>
      <w:r w:rsidR="00DD54B5">
        <w:t>CP1</w:t>
      </w:r>
      <w:r w:rsidR="00F93646">
        <w:t>_</w:t>
      </w:r>
      <w:r>
        <w:t>4&gt;</w:t>
      </w:r>
    </w:p>
    <w:p w14:paraId="18C4F057" w14:textId="77777777" w:rsidR="00CC59BB" w:rsidRDefault="00CC59BB" w:rsidP="00C54034">
      <w:pPr>
        <w:spacing w:after="0"/>
      </w:pPr>
      <w:permStart w:id="1235513680" w:edGrp="everyone"/>
      <w:r>
        <w:t>TYPE YOUR TEXT HERE</w:t>
      </w:r>
    </w:p>
    <w:permEnd w:id="1235513680"/>
    <w:p w14:paraId="5645007D" w14:textId="0478EC7F"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23D7346A" w14:textId="77777777" w:rsidR="00CC59BB" w:rsidRDefault="00CC59BB" w:rsidP="00C54034">
      <w:pPr>
        <w:spacing w:after="0"/>
      </w:pPr>
      <w:permStart w:id="864513806" w:edGrp="everyone"/>
      <w:r>
        <w:t>TYPE YOUR TEXT HERE</w:t>
      </w:r>
    </w:p>
    <w:permEnd w:id="864513806"/>
    <w:p w14:paraId="12028E38" w14:textId="393FCEAE"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2E916F10" w14:textId="77777777" w:rsidR="00CC59BB" w:rsidRDefault="00CC59BB" w:rsidP="00C54034">
      <w:pPr>
        <w:spacing w:after="0"/>
      </w:pPr>
      <w:permStart w:id="1293775397" w:edGrp="everyone"/>
      <w:r>
        <w:t>TYPE YOUR TEXT HERE</w:t>
      </w:r>
    </w:p>
    <w:permEnd w:id="1293775397"/>
    <w:p w14:paraId="1C5E841E" w14:textId="0C213C97"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210AE453" w14:textId="77777777" w:rsidR="00CC59BB" w:rsidRDefault="00CC59BB" w:rsidP="00C54034">
      <w:pPr>
        <w:spacing w:after="0"/>
      </w:pPr>
      <w:permStart w:id="1076438526" w:edGrp="everyone"/>
      <w:r>
        <w:t>TYPE YOUR TEXT HERE</w:t>
      </w:r>
    </w:p>
    <w:permEnd w:id="1076438526"/>
    <w:p w14:paraId="39E613CD" w14:textId="198901D6"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049192E3" w14:textId="77777777" w:rsidR="00CC59BB" w:rsidRDefault="00CC59BB" w:rsidP="00C54034">
      <w:pPr>
        <w:spacing w:after="0"/>
      </w:pPr>
      <w:permStart w:id="1516253385" w:edGrp="everyone"/>
      <w:r>
        <w:t>TYPE YOUR TEXT HERE</w:t>
      </w:r>
    </w:p>
    <w:permEnd w:id="1516253385"/>
    <w:p w14:paraId="5FBCB5E0" w14:textId="510E3A1F"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t>&lt;ESMA_QUESTION</w:t>
      </w:r>
      <w:r w:rsidR="00F93646">
        <w:t>_</w:t>
      </w:r>
      <w:r w:rsidR="00DD54B5">
        <w:t>CP1</w:t>
      </w:r>
      <w:r w:rsidR="00F93646">
        <w:t>_</w:t>
      </w:r>
      <w:r>
        <w:t>9&gt;</w:t>
      </w:r>
    </w:p>
    <w:p w14:paraId="5EEF290B" w14:textId="77777777" w:rsidR="00CC59BB" w:rsidRDefault="00CC59BB" w:rsidP="00C54034">
      <w:pPr>
        <w:spacing w:after="0"/>
      </w:pPr>
      <w:permStart w:id="869493798" w:edGrp="everyone"/>
      <w:r>
        <w:t>TYPE YOUR TEXT HERE</w:t>
      </w:r>
    </w:p>
    <w:permEnd w:id="869493798"/>
    <w:p w14:paraId="1806692F" w14:textId="4CAE62D7"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664F86CF" w14:textId="77777777" w:rsidR="00CC59BB" w:rsidRDefault="00CC59BB" w:rsidP="00C54034">
      <w:pPr>
        <w:spacing w:after="0"/>
      </w:pPr>
      <w:permStart w:id="1673160559" w:edGrp="everyone"/>
      <w:r>
        <w:t>TYPE YOUR TEXT HERE</w:t>
      </w:r>
    </w:p>
    <w:permEnd w:id="1673160559"/>
    <w:p w14:paraId="13F39FB3" w14:textId="0746132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709AF4D0" w14:textId="77777777" w:rsidR="00CC59BB" w:rsidRDefault="00CC59BB" w:rsidP="00C54034">
      <w:pPr>
        <w:spacing w:after="0"/>
      </w:pPr>
      <w:permStart w:id="1628839836" w:edGrp="everyone"/>
      <w:r>
        <w:t>TYPE YOUR TEXT HERE</w:t>
      </w:r>
    </w:p>
    <w:permEnd w:id="1628839836"/>
    <w:p w14:paraId="03AED2EA" w14:textId="25983A93" w:rsidR="00CC59BB" w:rsidRDefault="00CC59BB" w:rsidP="00C54034">
      <w:pPr>
        <w:spacing w:after="0"/>
      </w:pPr>
      <w:r>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4BD36F6A" w14:textId="77777777" w:rsidR="00CC59BB" w:rsidRDefault="00CC59BB" w:rsidP="00C54034">
      <w:pPr>
        <w:spacing w:after="0"/>
      </w:pPr>
      <w:permStart w:id="1550012690" w:edGrp="everyone"/>
      <w:r>
        <w:t>TYPE YOUR TEXT HERE</w:t>
      </w:r>
    </w:p>
    <w:permEnd w:id="1550012690"/>
    <w:p w14:paraId="09660EE7" w14:textId="14C7F7ED" w:rsidR="00CC59BB" w:rsidRDefault="00CC59BB" w:rsidP="00C54034">
      <w:pPr>
        <w:spacing w:after="0"/>
      </w:pPr>
      <w:r>
        <w:t>&lt;ESMA_QUESTION</w:t>
      </w:r>
      <w:r w:rsidR="00F93646">
        <w:t>_</w:t>
      </w:r>
      <w:r w:rsidR="00DD54B5">
        <w:t>CP1</w:t>
      </w:r>
      <w:r w:rsidR="00F93646">
        <w:t>_</w:t>
      </w:r>
      <w:r>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t>Do you agree with the maximum deferral period set out in the tables above</w:t>
      </w:r>
      <w:r>
        <w:t>?</w:t>
      </w:r>
    </w:p>
    <w:p w14:paraId="7FBA2F1E" w14:textId="5E7D6AF6" w:rsidR="00CC59BB" w:rsidRDefault="00CC59BB" w:rsidP="00C54034">
      <w:pPr>
        <w:spacing w:after="0"/>
      </w:pPr>
      <w:r>
        <w:t>&lt;ESMA_QUESTION</w:t>
      </w:r>
      <w:r w:rsidR="00F93646">
        <w:t>_</w:t>
      </w:r>
      <w:r w:rsidR="00DD54B5">
        <w:t>CP1</w:t>
      </w:r>
      <w:r w:rsidR="00F93646">
        <w:t>_</w:t>
      </w:r>
      <w:r>
        <w:t>13&gt;</w:t>
      </w:r>
    </w:p>
    <w:p w14:paraId="24AE9925" w14:textId="77777777" w:rsidR="00CC59BB" w:rsidRDefault="00CC59BB" w:rsidP="00C54034">
      <w:pPr>
        <w:spacing w:after="0"/>
      </w:pPr>
      <w:permStart w:id="1951602752" w:edGrp="everyone"/>
      <w:r>
        <w:t>TYPE YOUR TEXT HERE</w:t>
      </w:r>
    </w:p>
    <w:permEnd w:id="1951602752"/>
    <w:p w14:paraId="5935F509" w14:textId="3E24B41A" w:rsidR="00CC59BB" w:rsidRDefault="00CC59BB" w:rsidP="00C54034">
      <w:pPr>
        <w:spacing w:after="0"/>
      </w:pPr>
      <w:r>
        <w:t>&lt;ESMA_QUESTION</w:t>
      </w:r>
      <w:r w:rsidR="00F93646">
        <w:t>_</w:t>
      </w:r>
      <w:r w:rsidR="00DD54B5">
        <w:t>CP1</w:t>
      </w:r>
      <w:r w:rsidR="00F93646">
        <w:t>_</w:t>
      </w:r>
      <w:r>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0A1DB7A7" w14:textId="77777777" w:rsidR="00CC59BB" w:rsidRDefault="00CC59BB" w:rsidP="00C54034">
      <w:pPr>
        <w:spacing w:after="0"/>
      </w:pPr>
      <w:permStart w:id="871322226" w:edGrp="everyone"/>
      <w:r>
        <w:t>TYPE YOUR TEXT HERE</w:t>
      </w:r>
    </w:p>
    <w:permEnd w:id="871322226"/>
    <w:p w14:paraId="311B3E37" w14:textId="10F93C29"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lastRenderedPageBreak/>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2CF74206" w14:textId="77777777" w:rsidR="00CC59BB" w:rsidRDefault="00CC59BB" w:rsidP="00C54034">
      <w:pPr>
        <w:spacing w:after="0"/>
      </w:pPr>
      <w:permStart w:id="1530005966" w:edGrp="everyone"/>
      <w:r>
        <w:t>TYPE YOUR TEXT HERE</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37DE7513" w14:textId="77777777" w:rsidR="00CC59BB" w:rsidRDefault="00CC59BB" w:rsidP="00C54034">
      <w:pPr>
        <w:spacing w:after="0"/>
      </w:pPr>
      <w:permStart w:id="1731550419" w:edGrp="everyone"/>
      <w:r>
        <w:t>TYPE YOUR TEXT HERE</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t>&lt;ESMA_QUESTION</w:t>
      </w:r>
      <w:r w:rsidR="00F93646">
        <w:t>_</w:t>
      </w:r>
      <w:r w:rsidR="00DD54B5">
        <w:t>CP1</w:t>
      </w:r>
      <w:r w:rsidR="00F93646">
        <w:t>_</w:t>
      </w:r>
      <w:r>
        <w:t>17&gt;</w:t>
      </w:r>
    </w:p>
    <w:p w14:paraId="78180F43" w14:textId="77777777" w:rsidR="00CC59BB" w:rsidRDefault="00CC59BB" w:rsidP="00C54034">
      <w:pPr>
        <w:spacing w:after="0"/>
      </w:pPr>
      <w:permStart w:id="1212295819" w:edGrp="everyone"/>
      <w:r>
        <w:t>TYPE YOUR TEXT HERE</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4DCE5838" w14:textId="77777777" w:rsidR="00CC59BB" w:rsidRDefault="00CC59BB" w:rsidP="00C54034">
      <w:pPr>
        <w:spacing w:after="0"/>
      </w:pPr>
      <w:permStart w:id="1367754514" w:edGrp="everyone"/>
      <w:r>
        <w:t>TYPE YOUR TEXT HERE</w:t>
      </w: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5BCF67F2" w14:textId="77777777" w:rsidR="00CC59BB" w:rsidRDefault="00CC59BB" w:rsidP="00C54034">
      <w:pPr>
        <w:spacing w:after="0"/>
      </w:pPr>
      <w:permStart w:id="1244420503" w:edGrp="everyone"/>
      <w:r>
        <w:t>TYPE YOUR TEXT HERE</w:t>
      </w:r>
    </w:p>
    <w:permEnd w:id="1244420503"/>
    <w:p w14:paraId="3ED38D2D" w14:textId="41392D32"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1EBE3E0A" w14:textId="77777777" w:rsidR="00CC59BB" w:rsidRDefault="00CC59BB" w:rsidP="00C54034">
      <w:pPr>
        <w:spacing w:after="0"/>
      </w:pPr>
      <w:permStart w:id="356003362" w:edGrp="everyone"/>
      <w:r>
        <w:t>TYPE YOUR TEXT HERE</w:t>
      </w:r>
    </w:p>
    <w:permEnd w:id="356003362"/>
    <w:p w14:paraId="035EB72A" w14:textId="07E26E36" w:rsidR="00CC59BB" w:rsidRDefault="00CC59BB" w:rsidP="00C54034">
      <w:pPr>
        <w:spacing w:after="0"/>
      </w:pPr>
      <w:r>
        <w:lastRenderedPageBreak/>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224DD2F7" w14:textId="77777777" w:rsidR="00CC59BB" w:rsidRDefault="00CC59BB" w:rsidP="00C54034">
      <w:pPr>
        <w:spacing w:after="0"/>
      </w:pPr>
      <w:permStart w:id="780153713" w:edGrp="everyone"/>
      <w:r>
        <w:t>TYPE YOUR TEXT HERE</w:t>
      </w:r>
    </w:p>
    <w:permEnd w:id="780153713"/>
    <w:p w14:paraId="1EA31870" w14:textId="0F6D334D"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78CC4A39" w14:textId="77777777" w:rsidR="00CC59BB" w:rsidRDefault="00CC59BB" w:rsidP="00C54034">
      <w:pPr>
        <w:spacing w:after="0"/>
      </w:pPr>
      <w:permStart w:id="1310265670" w:edGrp="everyone"/>
      <w:r>
        <w:t>TYPE YOUR TEXT HERE</w:t>
      </w:r>
    </w:p>
    <w:permEnd w:id="1310265670"/>
    <w:p w14:paraId="50486DF5" w14:textId="5B37BA66" w:rsidR="00CC59BB" w:rsidRDefault="00CC59BB" w:rsidP="00C54034">
      <w:pPr>
        <w:spacing w:after="0"/>
      </w:pPr>
      <w:r>
        <w:t>&lt;ESMA_QUESTION</w:t>
      </w:r>
      <w:r w:rsidR="00F93646">
        <w:t>_</w:t>
      </w:r>
      <w:r w:rsidR="00DD54B5">
        <w:t>CP1</w:t>
      </w:r>
      <w:r w:rsidR="00F93646">
        <w:t>_</w:t>
      </w:r>
      <w:r>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18FF0F4B" w14:textId="77777777" w:rsidR="00CC59BB" w:rsidRDefault="00CC59BB" w:rsidP="00C54034">
      <w:pPr>
        <w:spacing w:after="0"/>
      </w:pPr>
      <w:permStart w:id="1711693936" w:edGrp="everyone"/>
      <w:r>
        <w:t>TYPE YOUR TEXT HERE</w:t>
      </w:r>
    </w:p>
    <w:permEnd w:id="1711693936"/>
    <w:p w14:paraId="0BFA64C6" w14:textId="15078538" w:rsidR="00CC59BB" w:rsidRDefault="00CC59BB" w:rsidP="00C54034">
      <w:pPr>
        <w:spacing w:after="0"/>
      </w:pPr>
      <w:r>
        <w:t>&lt;ESMA_QUESTION</w:t>
      </w:r>
      <w:r w:rsidR="00F93646">
        <w:t>_</w:t>
      </w:r>
      <w:r w:rsidR="00DD54B5">
        <w:t>CP1</w:t>
      </w:r>
      <w:r w:rsidR="00F93646">
        <w:t>_</w:t>
      </w:r>
      <w:r>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t>Do you have any further comment or suggestion on the draft RTS? Please elaborate your answer</w:t>
      </w:r>
      <w:r w:rsidR="00C05202">
        <w:t>.</w:t>
      </w:r>
    </w:p>
    <w:p w14:paraId="3BA1190E" w14:textId="5FC80168" w:rsidR="00CC59BB" w:rsidRDefault="00CC59BB" w:rsidP="00C54034">
      <w:pPr>
        <w:spacing w:after="0"/>
      </w:pPr>
      <w:r>
        <w:t>&lt;ESMA_QUESTION</w:t>
      </w:r>
      <w:r w:rsidR="00F93646">
        <w:t>_</w:t>
      </w:r>
      <w:r w:rsidR="00DD54B5">
        <w:t>CP1</w:t>
      </w:r>
      <w:r w:rsidR="00F93646">
        <w:t>_</w:t>
      </w:r>
      <w:r>
        <w:t>24&gt;</w:t>
      </w:r>
    </w:p>
    <w:p w14:paraId="2E4AEEE6" w14:textId="77777777" w:rsidR="00CC59BB" w:rsidRDefault="00CC59BB" w:rsidP="00C54034">
      <w:pPr>
        <w:spacing w:after="0"/>
      </w:pPr>
      <w:permStart w:id="1126446852" w:edGrp="everyone"/>
      <w:r>
        <w:t>TYPE YOUR TEXT HERE</w:t>
      </w:r>
    </w:p>
    <w:permEnd w:id="1126446852"/>
    <w:p w14:paraId="0BBBCBF8" w14:textId="4A1771A8"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t>What level of resources (financial and other) would be required to implement and comply with the draft amended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6D4F0CA9" w14:textId="77777777" w:rsidR="00CC59BB" w:rsidRDefault="00CC59BB" w:rsidP="00C54034">
      <w:pPr>
        <w:spacing w:after="0"/>
      </w:pPr>
      <w:permStart w:id="1428125549" w:edGrp="everyone"/>
      <w:r>
        <w:t>TYPE YOUR TEXT HERE</w:t>
      </w:r>
    </w:p>
    <w:permEnd w:id="1428125549"/>
    <w:p w14:paraId="5B23956B" w14:textId="57EC005E"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1456CFD2" w14:textId="77777777" w:rsidR="007C2717" w:rsidRDefault="007C2717" w:rsidP="007C2717">
      <w:pPr>
        <w:spacing w:after="0"/>
      </w:pPr>
      <w:permStart w:id="1672500431" w:edGrp="everyone"/>
      <w:r>
        <w:t>In general, we agree with the objective to enhance transparency and clarity on market data costs and prices, with a view to 1) make the production and distribution of data an economically viable activity for providers and 2) make data accessible to a larger audience.</w:t>
      </w:r>
    </w:p>
    <w:p w14:paraId="616F54CC" w14:textId="77777777" w:rsidR="007C2717" w:rsidRDefault="007C2717" w:rsidP="007C2717">
      <w:pPr>
        <w:spacing w:after="0"/>
      </w:pPr>
    </w:p>
    <w:p w14:paraId="07150814" w14:textId="77777777" w:rsidR="007C2717" w:rsidRDefault="007C2717" w:rsidP="007C2717">
      <w:pPr>
        <w:spacing w:after="0"/>
      </w:pPr>
      <w:r>
        <w:t xml:space="preserve">However, we note that in the case of a Trading Venue (‘TV’), isolating the costs of producing market data from the cost of running an exchange can be challenging in practice. ‘Annex IV – Regulatory Technical Standards on RCB’ says: “To establish fees for market data on an RCB, it is important to differentiate, for instance, the costs which are attributable to the primary business of trading venues in terms of bringing together buyers and sellers from the costs directly attributable to the production and dissemination of market data.” The production of market data is indeed a “by-product” of the operations of a TV, however the market data is also a fundamental part of the primary business of a TV in “bringing together buyers and sellers” and therefore the costs of both activities are intimately linked. </w:t>
      </w:r>
    </w:p>
    <w:p w14:paraId="4CE3A54E" w14:textId="77777777" w:rsidR="007C2717" w:rsidRDefault="007C2717" w:rsidP="007C2717">
      <w:pPr>
        <w:spacing w:after="0"/>
      </w:pPr>
    </w:p>
    <w:p w14:paraId="54498A76" w14:textId="77777777" w:rsidR="007C2717" w:rsidRDefault="007C2717" w:rsidP="007C2717">
      <w:pPr>
        <w:spacing w:after="0"/>
      </w:pPr>
      <w:r>
        <w:t>As a result, in the case of a TV, costs of production will essentially be “joint” costs shared with other services, and the allocation of costs to one activity or the other will inevitably require the use of allocation keys based on resource-usage, which requires judgment.</w:t>
      </w:r>
    </w:p>
    <w:p w14:paraId="2451A4A4" w14:textId="77777777" w:rsidR="007C2717" w:rsidRDefault="007C2717" w:rsidP="007C2717">
      <w:pPr>
        <w:spacing w:after="0"/>
      </w:pPr>
    </w:p>
    <w:p w14:paraId="70E25377" w14:textId="6B25DDE6" w:rsidR="007C2717" w:rsidRDefault="007C2717" w:rsidP="007C2717">
      <w:pPr>
        <w:spacing w:after="0"/>
      </w:pPr>
      <w:r>
        <w:t>The question of the “reasonable margin” is addressed below (Q29)</w:t>
      </w:r>
    </w:p>
    <w:permEnd w:id="1672500431"/>
    <w:p w14:paraId="5FC1FF01" w14:textId="7E37CFC4"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694F0F3A" w14:textId="77777777" w:rsidR="00C97A4A" w:rsidRDefault="00C97A4A" w:rsidP="00C97A4A">
      <w:pPr>
        <w:spacing w:after="0"/>
      </w:pPr>
      <w:permStart w:id="1840853704" w:edGrp="everyone"/>
      <w:r>
        <w:t>We agree that cost categories should be standardised in order to get consistent reporting and benchmarking across providers.</w:t>
      </w:r>
    </w:p>
    <w:p w14:paraId="19082660" w14:textId="77777777" w:rsidR="00C97A4A" w:rsidRDefault="00C97A4A" w:rsidP="00C97A4A">
      <w:pPr>
        <w:spacing w:after="0"/>
      </w:pPr>
    </w:p>
    <w:p w14:paraId="68B4DF7A" w14:textId="77777777" w:rsidR="00C97A4A" w:rsidRDefault="00C97A4A" w:rsidP="00C97A4A">
      <w:pPr>
        <w:spacing w:after="0"/>
      </w:pPr>
      <w:r>
        <w:t xml:space="preserve">According to article 2 of the draft RTS on RCB, costs attributed to these categories should be “directly associated with the production and dissemination of market data”. However, article 3 stipulates that the margin should correspond to net profits. We therefore interpret those indirect costs, including, for instance, an allocation of overhead and management costs can be included into </w:t>
      </w:r>
      <w:r>
        <w:lastRenderedPageBreak/>
        <w:t>“administrative costs” in compliance with 2(1)e and 2(6) of RTS. This should in our view be clarified in order to avoid varying interpretations across various providers.</w:t>
      </w:r>
    </w:p>
    <w:p w14:paraId="7DEE4AC5" w14:textId="77777777" w:rsidR="00C97A4A" w:rsidRDefault="00C97A4A" w:rsidP="00C97A4A">
      <w:pPr>
        <w:spacing w:after="0"/>
      </w:pPr>
    </w:p>
    <w:p w14:paraId="39B766A5" w14:textId="77777777" w:rsidR="00C97A4A" w:rsidRDefault="00C97A4A" w:rsidP="00C97A4A">
      <w:pPr>
        <w:spacing w:after="0"/>
      </w:pPr>
      <w:r>
        <w:t>We also believe that the definition of “financial costs” should be further clarified. For instance, which taxes are included and how the depreciation/amortization of fixed-assets should be mapped under this category.</w:t>
      </w:r>
    </w:p>
    <w:p w14:paraId="4BE9A42D" w14:textId="77777777" w:rsidR="00C97A4A" w:rsidRDefault="00C97A4A" w:rsidP="00C97A4A">
      <w:pPr>
        <w:spacing w:after="0"/>
      </w:pPr>
    </w:p>
    <w:p w14:paraId="19741E3C" w14:textId="5D4C4330" w:rsidR="00C97A4A" w:rsidRDefault="00C97A4A" w:rsidP="00C97A4A">
      <w:pPr>
        <w:spacing w:after="0"/>
      </w:pPr>
      <w:r>
        <w:t>It is worth noting that the future Consolidated Tape Provider (‘CTP’) will also be obliged to calculate costs under the same standards which will provide a useful basis for comparison for the larger TVs who will have to isolate trading costs from market data costs.</w:t>
      </w:r>
    </w:p>
    <w:permEnd w:id="1840853704"/>
    <w:p w14:paraId="735A0EF0" w14:textId="482151B5"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02042A78" w14:textId="77777777" w:rsidR="00C46C71" w:rsidRDefault="00C46C71" w:rsidP="00C46C71">
      <w:pPr>
        <w:spacing w:after="0"/>
      </w:pPr>
      <w:permStart w:id="636686123" w:edGrp="everyone"/>
      <w:r>
        <w:t>We agree that joint costs should be apportioned on the basis of resource usage. Allocation keys used for that purpose should be reviewed on a regular basis.</w:t>
      </w:r>
    </w:p>
    <w:p w14:paraId="74DDFE54" w14:textId="77777777" w:rsidR="00C46C71" w:rsidRDefault="00C46C71" w:rsidP="00C46C71">
      <w:pPr>
        <w:spacing w:after="0"/>
      </w:pPr>
    </w:p>
    <w:p w14:paraId="4D63AF71" w14:textId="01E2632C" w:rsidR="00C46C71" w:rsidRDefault="00C46C71" w:rsidP="00FA4100">
      <w:pPr>
        <w:spacing w:after="0"/>
      </w:pPr>
      <w:r>
        <w:t>We do not believe that the methodology should be further specified in the RTS, as there is already a requirement to explicit</w:t>
      </w:r>
      <w:r w:rsidR="000123D8">
        <w:t>ly specify</w:t>
      </w:r>
      <w:r>
        <w:t xml:space="preserve"> the method in Annex I and II.</w:t>
      </w:r>
    </w:p>
    <w:permEnd w:id="636686123"/>
    <w:p w14:paraId="1A641ECE" w14:textId="6DF0E3E5" w:rsidR="00FA4100" w:rsidRDefault="00FA4100" w:rsidP="00FA4100">
      <w:pPr>
        <w:spacing w:after="0"/>
      </w:pPr>
      <w:r>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19DD73FB" w14:textId="77777777" w:rsidR="00CA3C10" w:rsidRDefault="00CA3C10" w:rsidP="00CA3C10">
      <w:pPr>
        <w:spacing w:after="0"/>
      </w:pPr>
      <w:permStart w:id="1539128939" w:edGrp="everyone"/>
      <w:r>
        <w:t>TVs have diverse business mixes, making it difficult to set Market Data margins to a level that “reasonably compares” to the overall margin of a TV will inevitably lead to quite disparate results and margin levels.</w:t>
      </w:r>
    </w:p>
    <w:p w14:paraId="5FB7261E" w14:textId="77777777" w:rsidR="00CA3C10" w:rsidRDefault="00CA3C10" w:rsidP="00CA3C10">
      <w:pPr>
        <w:spacing w:after="0"/>
      </w:pPr>
    </w:p>
    <w:p w14:paraId="103E471C" w14:textId="77777777" w:rsidR="00CA3C10" w:rsidRDefault="00CA3C10" w:rsidP="00CA3C10">
      <w:pPr>
        <w:spacing w:after="0"/>
      </w:pPr>
      <w:r>
        <w:t>Disparity will depend on the mix of businesses (some TVs have vertical integration with clearing &amp; settlement activities, others cover different asset classes, etc), the maturity of companies (new entrants need time to reach breakeven) and size (larger firms have a larger critical mass to amortize fixed costs).</w:t>
      </w:r>
    </w:p>
    <w:p w14:paraId="403ABA77" w14:textId="77777777" w:rsidR="00CA3C10" w:rsidRDefault="00CA3C10" w:rsidP="00CA3C10">
      <w:pPr>
        <w:spacing w:after="0"/>
      </w:pPr>
    </w:p>
    <w:p w14:paraId="0C662334" w14:textId="28103109" w:rsidR="00CA3C10" w:rsidRDefault="00CA3C10" w:rsidP="00CA3C10">
      <w:pPr>
        <w:spacing w:after="0"/>
      </w:pPr>
      <w:r>
        <w:lastRenderedPageBreak/>
        <w:t>The margin that would be achieved by the future CTP could serve as an interesting point of comparison.</w:t>
      </w:r>
    </w:p>
    <w:permEnd w:id="1539128939"/>
    <w:p w14:paraId="3A6DBF09" w14:textId="6FB89FE0" w:rsidR="00FA4100" w:rsidRDefault="00FA4100" w:rsidP="00FA4100">
      <w:pPr>
        <w:spacing w:after="0"/>
      </w:pPr>
      <w:r>
        <w:t>&lt;ESMA_QUESTION</w:t>
      </w:r>
      <w:r w:rsidR="00F93646">
        <w:t>_</w:t>
      </w:r>
      <w:r w:rsidR="00DD54B5">
        <w:t>CP1</w:t>
      </w:r>
      <w:r w:rsidR="00F93646">
        <w:t>_</w:t>
      </w:r>
      <w:r>
        <w:t>2</w:t>
      </w:r>
      <w:r w:rsidR="00737DD9">
        <w:t>9</w:t>
      </w:r>
      <w:r>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t>&lt;ESMA_QUESTION</w:t>
      </w:r>
      <w:r w:rsidR="00F93646">
        <w:t>_</w:t>
      </w:r>
      <w:r w:rsidR="00DD54B5">
        <w:t>CP1</w:t>
      </w:r>
      <w:r w:rsidR="00F93646">
        <w:t>_</w:t>
      </w:r>
      <w:r w:rsidR="00737DD9">
        <w:t>30</w:t>
      </w:r>
      <w:r>
        <w:t>&gt;</w:t>
      </w:r>
    </w:p>
    <w:p w14:paraId="1B0AAC76" w14:textId="77777777" w:rsidR="00A75F4E" w:rsidRDefault="00A75F4E" w:rsidP="00A75F4E">
      <w:pPr>
        <w:spacing w:after="0"/>
      </w:pPr>
      <w:permStart w:id="307052998" w:edGrp="everyone"/>
      <w:r>
        <w:t xml:space="preserve">We find the proposed template fairly complex and have concerns that it won’t genuinely deliver on its objective to provide comparison across various data providers, given the variety of data providers’ profile. We believe that the disclosure specified on market data policies per article 21 already provides very detailed information, including types of costs, allocation key, etc. The effort to produce the information required under article 23 would represent a significant internal effort and should not lead to another situation like “RTS 27”. It would also disproportionately impact TVs who do not have large teams of people to help comply with such additional reporting requirements – and would likely create an unintended consequence of some TVs having to increase their costs just to comply. </w:t>
      </w:r>
    </w:p>
    <w:p w14:paraId="6A7F4B72" w14:textId="77777777" w:rsidR="00A75F4E" w:rsidRDefault="00A75F4E" w:rsidP="00A75F4E">
      <w:pPr>
        <w:spacing w:after="0"/>
      </w:pPr>
    </w:p>
    <w:p w14:paraId="103A343C" w14:textId="307E4422" w:rsidR="00A75F4E" w:rsidRDefault="00A75F4E" w:rsidP="00A75F4E">
      <w:pPr>
        <w:spacing w:after="0"/>
      </w:pPr>
      <w:r>
        <w:t>With a view to provide more transparency into market data fees, we believe that standardisation of fee schedules under a harmonized template, and standardisation of market data and usage-related definitions would be a much more beneficial approach.</w:t>
      </w:r>
    </w:p>
    <w:permEnd w:id="307052998"/>
    <w:p w14:paraId="5374C4DC" w14:textId="0372E2D8"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4B7BA7C2" w14:textId="77777777" w:rsidR="00996DFC" w:rsidRDefault="00996DFC" w:rsidP="00996DFC">
      <w:pPr>
        <w:spacing w:after="0"/>
      </w:pPr>
      <w:permStart w:id="884149456" w:edGrp="everyone"/>
      <w:r>
        <w:t>We find that a significant obstacle to the access of data, competition and innovation,  is the relatively obscure nature of some market data agreements, fee schedules and policies, and their disparity across various TVs/providers. In that respect, standardization of market data fee schedules, definitions and use-cases (</w:t>
      </w:r>
      <w:proofErr w:type="spellStart"/>
      <w:r>
        <w:t>eg</w:t>
      </w:r>
      <w:proofErr w:type="spellEnd"/>
      <w:r>
        <w:t xml:space="preserve"> “non-display”, “derived work”, etc) would greatly help overcome these obstacles. </w:t>
      </w:r>
    </w:p>
    <w:p w14:paraId="61DF8CAD" w14:textId="77777777" w:rsidR="00996DFC" w:rsidRDefault="00996DFC" w:rsidP="00996DFC">
      <w:pPr>
        <w:spacing w:after="0"/>
      </w:pPr>
    </w:p>
    <w:p w14:paraId="5824A276" w14:textId="77777777" w:rsidR="00996DFC" w:rsidRDefault="00996DFC" w:rsidP="00996DFC">
      <w:pPr>
        <w:spacing w:after="0"/>
      </w:pPr>
      <w:r>
        <w:t xml:space="preserve">Under the current market model (with the disparities as described above), a market participant that wants to compete or innovate is forced to spend time and resource on interpreting different market data fee schedules and policies, comparing definitions and then often (in our own experience), having to debate with TVs/providers about which use-case and fees apply. Failing to be thorough in such analysis, or not proactively checking with a TV that one’s intended use is covered by a particular use-case, can result in the consumer later being subject to audits and possible </w:t>
      </w:r>
      <w:r>
        <w:lastRenderedPageBreak/>
        <w:t xml:space="preserve">penalties for interpreting the permitted usage differently to how the TV intended. Such audits also then take up time and resource from both the TV and the consumer. </w:t>
      </w:r>
    </w:p>
    <w:p w14:paraId="10796C00" w14:textId="77777777" w:rsidR="00996DFC" w:rsidRDefault="00996DFC" w:rsidP="00996DFC">
      <w:pPr>
        <w:spacing w:after="0"/>
      </w:pPr>
    </w:p>
    <w:p w14:paraId="1D30FB64" w14:textId="77777777" w:rsidR="00996DFC" w:rsidRDefault="00996DFC" w:rsidP="00996DFC">
      <w:pPr>
        <w:spacing w:after="0"/>
      </w:pPr>
      <w:r>
        <w:t xml:space="preserve">Conversely, the disparities described here, combined with the number of TVs in Europe, also mean that when a consumer contacts TVs proactively and in good faith to validate a specific use case, the consumer risks having their work delayed and possibly priced out of innovating, by even a few of those TVs applying a different definition and additional costs. </w:t>
      </w:r>
    </w:p>
    <w:p w14:paraId="7B28F86D" w14:textId="77777777" w:rsidR="00996DFC" w:rsidRDefault="00996DFC" w:rsidP="00996DFC">
      <w:pPr>
        <w:spacing w:after="0"/>
      </w:pPr>
    </w:p>
    <w:p w14:paraId="6DCF6A47" w14:textId="77777777" w:rsidR="00996DFC" w:rsidRDefault="00996DFC" w:rsidP="00996DFC">
      <w:pPr>
        <w:spacing w:after="0"/>
      </w:pPr>
      <w:r>
        <w:t xml:space="preserve">Under the revised model, there should be a more streamlined set of use-cases (e.g. Non-display, Distribution), to be provided on a reasonable commercial basis, and those use-cases should cover all sub-categories of usage rather than a use-by-use basis. </w:t>
      </w:r>
    </w:p>
    <w:p w14:paraId="492D0939" w14:textId="77777777" w:rsidR="00996DFC" w:rsidRDefault="00996DFC" w:rsidP="00996DFC">
      <w:pPr>
        <w:spacing w:after="0"/>
      </w:pPr>
    </w:p>
    <w:p w14:paraId="31CC6B4E" w14:textId="1847C996" w:rsidR="00996DFC" w:rsidRDefault="004F1F88" w:rsidP="00996DFC">
      <w:pPr>
        <w:spacing w:after="0"/>
      </w:pPr>
      <w:r>
        <w:t xml:space="preserve">We </w:t>
      </w:r>
      <w:r w:rsidRPr="004F1F88">
        <w:t>believe that closing auction data should be available as a disaggregated option</w:t>
      </w:r>
      <w:r w:rsidR="00A52506">
        <w:t>.</w:t>
      </w:r>
    </w:p>
    <w:permEnd w:id="884149456"/>
    <w:p w14:paraId="528BFC7C" w14:textId="5A8F0C9E" w:rsidR="00FA4100" w:rsidRDefault="00FA4100" w:rsidP="00FA4100">
      <w:pPr>
        <w:spacing w:after="0"/>
      </w:pPr>
      <w:r>
        <w:t>&lt;ESMA_QUESTION</w:t>
      </w:r>
      <w:r w:rsidR="00F93646">
        <w:t>_</w:t>
      </w:r>
      <w:r w:rsidR="00DD54B5">
        <w:t>CP1</w:t>
      </w:r>
      <w:r w:rsidR="00F93646">
        <w:t>_</w:t>
      </w:r>
      <w:r w:rsidR="00737DD9">
        <w:t>31</w:t>
      </w:r>
      <w:r>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54AF5019" w14:textId="77777777" w:rsidR="00117F02" w:rsidRDefault="00117F02" w:rsidP="00117F02">
      <w:pPr>
        <w:spacing w:after="0"/>
      </w:pPr>
      <w:permStart w:id="1310215157" w:edGrp="everyone"/>
      <w:r>
        <w:t>A TV incurs significant staff costs to produce market data because of the integrated and complex business environment. Inflation is a substantial component of the cost base both for salaries and in other direct costs. A further cost, and another important distinction between a TV and a vendor, is a proportion of irrecoverable VAT on supplier invoices. Vendors enjoy 100% recovery of Input VAT, but a TV, whose primary business is an exempt supply is exposed to these costs.</w:t>
      </w:r>
    </w:p>
    <w:p w14:paraId="64A0C0F9" w14:textId="77777777" w:rsidR="00117F02" w:rsidRDefault="00117F02" w:rsidP="00117F02">
      <w:pPr>
        <w:spacing w:after="0"/>
      </w:pPr>
    </w:p>
    <w:p w14:paraId="6FCDC957" w14:textId="0617EDE5" w:rsidR="00FA4100" w:rsidRDefault="00117F02" w:rsidP="00117F02">
      <w:pPr>
        <w:spacing w:after="0"/>
      </w:pPr>
      <w:r>
        <w:t>Clearly pricing is dependent on the number of users as the proportion of “fixed cost” is quite significant.</w:t>
      </w:r>
    </w:p>
    <w:permEnd w:id="1310215157"/>
    <w:p w14:paraId="44B1FFE6" w14:textId="2D8A632F" w:rsidR="00FA4100" w:rsidRDefault="00FA4100" w:rsidP="00FA4100">
      <w:pPr>
        <w:spacing w:after="0"/>
      </w:pPr>
      <w:r>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5AE6522E" w14:textId="77777777" w:rsidR="00F82C06" w:rsidRDefault="00F82C06" w:rsidP="00F82C06">
      <w:pPr>
        <w:spacing w:after="0"/>
      </w:pPr>
      <w:permStart w:id="1461735347" w:edGrp="everyone"/>
      <w:r>
        <w:t>We agree in general but believe that, for TV, members should be defined as a separate category, as they contribute to the production of data together with using it and therefore specific pricing arrangements can legitimately be set for this category.</w:t>
      </w:r>
    </w:p>
    <w:p w14:paraId="50EB9211" w14:textId="77777777" w:rsidR="00F82C06" w:rsidRDefault="00F82C06" w:rsidP="00F82C06">
      <w:pPr>
        <w:spacing w:after="0"/>
      </w:pPr>
    </w:p>
    <w:p w14:paraId="33625523" w14:textId="14E4C714" w:rsidR="00E41F0D" w:rsidRDefault="00F82C06" w:rsidP="00FA4100">
      <w:pPr>
        <w:spacing w:after="0"/>
      </w:pPr>
      <w:r>
        <w:t xml:space="preserve">In our experience, precise definitions of user and fee categories are sometimes not enough to come up with an objective interpretation of prices, e.g. certain providers would try and set prices for trading venues “per MIC code”. It should be clearly prohibited to apply pricing criteria that are </w:t>
      </w:r>
      <w:r>
        <w:lastRenderedPageBreak/>
        <w:t>not explicitly agreed and that contradicts the cost-based principle (there is no real marginal cost addition in charging a TV that operates one vs several MICs).</w:t>
      </w:r>
    </w:p>
    <w:permEnd w:id="1461735347"/>
    <w:p w14:paraId="3B530B2D" w14:textId="34C98E3C"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593EC563" w14:textId="13B4898F" w:rsidR="000C5231" w:rsidRDefault="00DB0365" w:rsidP="00FA4100">
      <w:pPr>
        <w:spacing w:after="0"/>
      </w:pPr>
      <w:permStart w:id="526140180" w:edGrp="everyone"/>
      <w:r w:rsidRPr="00DB0365">
        <w:t>We agree that a widely accepted model consists for data providers of charging a licence fee to the redistributor, then collecting via the redistributor a per-user/per-device fee. We believe this model to be the most effective in terms of democratising access to market data without requiring end-users to disproportionate direct connectivity costs with providers. However, we support ESMA’s view that this model should be coupled with robust processes ensuring that an end-user does not get charged twice for the same data.</w:t>
      </w:r>
    </w:p>
    <w:permEnd w:id="526140180"/>
    <w:p w14:paraId="649290BF" w14:textId="1BB065D1"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6E75871A" w14:textId="77777777" w:rsidR="0083135E" w:rsidRDefault="0083135E" w:rsidP="0083135E">
      <w:pPr>
        <w:spacing w:after="0"/>
      </w:pPr>
      <w:permStart w:id="657797640" w:edGrp="everyone"/>
      <w:r>
        <w:t>As already mentioned, we are sometimes seeing inconsistent definitions/interpretations of what “derived work” means depending on the data provider charging for it. Clearly, the use of primary data by a TV to operate a MTF should be classified as “non display” and not “derived work”.</w:t>
      </w:r>
    </w:p>
    <w:p w14:paraId="2DCCD1C7" w14:textId="77777777" w:rsidR="0083135E" w:rsidRDefault="0083135E" w:rsidP="0083135E">
      <w:pPr>
        <w:spacing w:after="0"/>
      </w:pPr>
    </w:p>
    <w:p w14:paraId="7A739FDF" w14:textId="176B1C7E" w:rsidR="0083135E" w:rsidRDefault="0083135E" w:rsidP="0083135E">
      <w:pPr>
        <w:spacing w:after="0"/>
      </w:pPr>
      <w:r>
        <w:t xml:space="preserve">We’ve also seen some providers trying to charge TVs based on “MIC codes” : we believe this is not in line with the cost-based approach and that a “non-display” fee should be “all inclusive”. On a similar note, we think that </w:t>
      </w:r>
      <w:r w:rsidR="005F53F2">
        <w:t xml:space="preserve">the </w:t>
      </w:r>
      <w:r>
        <w:t>definition of group of companies / affiliates should be harmonized and applied in line with the cost-based principle (e.g. if there is no marginal cost addition, customers should not be charged based on the number of entities that utilize the data).</w:t>
      </w:r>
    </w:p>
    <w:permEnd w:id="657797640"/>
    <w:p w14:paraId="4D3A7320" w14:textId="215BC9EB"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186A66E3" w14:textId="77777777" w:rsidR="004A07D3" w:rsidRDefault="004A07D3" w:rsidP="004A07D3">
      <w:pPr>
        <w:spacing w:after="0"/>
      </w:pPr>
      <w:permStart w:id="1477078338" w:edGrp="everyone"/>
      <w:r>
        <w:t>We agree in general with this section, subject to the following points :</w:t>
      </w:r>
    </w:p>
    <w:p w14:paraId="44F9C664" w14:textId="77777777" w:rsidR="004A07D3" w:rsidRDefault="004A07D3" w:rsidP="004A07D3">
      <w:pPr>
        <w:spacing w:after="0"/>
      </w:pPr>
      <w:r>
        <w:lastRenderedPageBreak/>
        <w:t>•</w:t>
      </w:r>
      <w:r>
        <w:tab/>
        <w:t>With respect draft RTS article 7, there should in our view be a deadline for the data provider to answer to a user request.</w:t>
      </w:r>
    </w:p>
    <w:p w14:paraId="3D3CBF72" w14:textId="05CD5015" w:rsidR="004A07D3" w:rsidRDefault="004A07D3" w:rsidP="004A07D3">
      <w:pPr>
        <w:spacing w:after="0"/>
      </w:pPr>
      <w:r>
        <w:t>•</w:t>
      </w:r>
      <w:r>
        <w:tab/>
        <w:t>Article 8 is setting generous objectives, although very generic with no provisions as to the process for clearing litigations</w:t>
      </w:r>
      <w:r w:rsidR="00F93111">
        <w:t>.</w:t>
      </w:r>
    </w:p>
    <w:p w14:paraId="1437F654" w14:textId="34F79B8B" w:rsidR="00482F12" w:rsidRDefault="004A07D3" w:rsidP="004A0B91">
      <w:pPr>
        <w:spacing w:after="0"/>
      </w:pPr>
      <w:r>
        <w:t>•</w:t>
      </w:r>
      <w:r>
        <w:tab/>
        <w:t>With respect to Article 13 and as mentioned earlier, we believe that closing auction data should be disaggregated from other data.</w:t>
      </w:r>
    </w:p>
    <w:permEnd w:id="1477078338"/>
    <w:p w14:paraId="064ED13B" w14:textId="25479F6E"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46178FA3" w14:textId="05AEF73B" w:rsidR="005C161A" w:rsidRDefault="005C161A" w:rsidP="00FA4100">
      <w:pPr>
        <w:spacing w:after="0"/>
      </w:pPr>
      <w:permStart w:id="1201633413" w:edGrp="everyone"/>
      <w:r w:rsidRPr="005C161A">
        <w:t>In our experience, the per-user policy is challenging to apply in practice, especially for smaller organisations. When data is provided to end-users through redistributors, the unit of count often is per device/accessID. There must therefore be a process in place to make sure a single user/person is not charged twice for the same data, and the wording of the RTS indeed is flexible enough to allow for various ways to achieve this objective without putting disproportionate obligations to data providers depending on their size.</w:t>
      </w:r>
    </w:p>
    <w:permEnd w:id="1201633413"/>
    <w:p w14:paraId="301253FF" w14:textId="30CB0F5E"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6337EF83" w14:textId="57E9B6FE" w:rsidR="00FA4100" w:rsidRDefault="008C42A7" w:rsidP="00FA4100">
      <w:pPr>
        <w:spacing w:after="0"/>
      </w:pPr>
      <w:permStart w:id="1252924652" w:edGrp="everyone"/>
      <w:r w:rsidRPr="008C42A7">
        <w:t>We agree in the principles and in particular to the provisions regarding time limit in the application of penalties.</w:t>
      </w:r>
    </w:p>
    <w:permEnd w:id="1252924652"/>
    <w:p w14:paraId="73EC67D4" w14:textId="64CBF251"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28D0316A" w14:textId="45608EF6" w:rsidR="004D1BD5" w:rsidRDefault="004D1BD5" w:rsidP="00FA4100">
      <w:pPr>
        <w:spacing w:after="0"/>
      </w:pPr>
      <w:permStart w:id="2034649205" w:edGrp="everyone"/>
      <w:r w:rsidRPr="004D1BD5">
        <w:t>We appreciate that an audit should be triggered on a clearly stated and justified suspicion of infringement, thus limit</w:t>
      </w:r>
      <w:r w:rsidR="00F10157">
        <w:t>ing</w:t>
      </w:r>
      <w:r w:rsidRPr="004D1BD5">
        <w:t xml:space="preserve"> the scope of the investigation to what is strictly required. We also believe that the pre-contractual obligations prescribed in the draft RTS would help mitigate uncertainty about the use of the data and therefore reduce the risk and likelihood of an audit.</w:t>
      </w:r>
    </w:p>
    <w:permEnd w:id="2034649205"/>
    <w:p w14:paraId="7AB11DDF" w14:textId="1947D185" w:rsidR="00FA4100" w:rsidRDefault="00FA4100" w:rsidP="00FA4100">
      <w:pPr>
        <w:spacing w:after="0"/>
      </w:pPr>
      <w:r>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lastRenderedPageBreak/>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2A229D1A" w14:textId="33A25085" w:rsidR="007043A5" w:rsidRDefault="007043A5" w:rsidP="007043A5">
      <w:pPr>
        <w:spacing w:after="0"/>
      </w:pPr>
      <w:permStart w:id="1583374814" w:edGrp="everyone"/>
      <w:r>
        <w:t>Yes, we review periodically our agreements in light of legal and regulatory developments, and with respect to any question</w:t>
      </w:r>
      <w:r w:rsidR="001C5EB5">
        <w:t>s</w:t>
      </w:r>
      <w:r>
        <w:t xml:space="preserve"> from clients.</w:t>
      </w:r>
    </w:p>
    <w:p w14:paraId="1C320A9E" w14:textId="77777777" w:rsidR="007043A5" w:rsidRDefault="007043A5" w:rsidP="007043A5">
      <w:pPr>
        <w:spacing w:after="0"/>
      </w:pPr>
    </w:p>
    <w:p w14:paraId="43881799" w14:textId="0920BD6D" w:rsidR="007043A5" w:rsidRDefault="007043A5" w:rsidP="007043A5">
      <w:pPr>
        <w:spacing w:after="0"/>
      </w:pPr>
      <w:r>
        <w:t>We maintain a robust audit trail of customers feedback</w:t>
      </w:r>
      <w:r w:rsidR="00C73AA1">
        <w:t xml:space="preserve"> and </w:t>
      </w:r>
      <w:r>
        <w:t>questions.</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309ED23D" w14:textId="77B72AEF" w:rsidR="004F5C2F" w:rsidRDefault="004F5C2F" w:rsidP="004F5C2F">
      <w:pPr>
        <w:spacing w:after="0"/>
      </w:pPr>
      <w:permStart w:id="1168114055" w:edGrp="everyone"/>
      <w:r>
        <w:t xml:space="preserve">As mentioned above, we believe that the cost section will be challenging to produce and have concerns </w:t>
      </w:r>
      <w:r w:rsidR="004E5A9C">
        <w:t xml:space="preserve">about whether </w:t>
      </w:r>
      <w:r>
        <w:t>it can serve fair comparison/benchmarking given the variety in the profiles of various providers.</w:t>
      </w:r>
    </w:p>
    <w:p w14:paraId="5D64DDF3" w14:textId="77777777" w:rsidR="004F5C2F" w:rsidRDefault="004F5C2F" w:rsidP="004F5C2F">
      <w:pPr>
        <w:spacing w:after="0"/>
      </w:pPr>
    </w:p>
    <w:p w14:paraId="6B5E6D37" w14:textId="57F43E42" w:rsidR="004F5C2F" w:rsidRDefault="004F5C2F" w:rsidP="004F5C2F">
      <w:pPr>
        <w:spacing w:after="0"/>
      </w:pPr>
      <w:r>
        <w:t>We note that the revenues derived from market data (and % of total revenue for the provider) is no longer reported, as was the case under (EU) No 2017/567 Art 11.</w:t>
      </w:r>
    </w:p>
    <w:permEnd w:id="1168114055"/>
    <w:p w14:paraId="12E9A005" w14:textId="4C32666D"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345A8169" w14:textId="05FF298C" w:rsidR="0064198B" w:rsidRDefault="0064198B" w:rsidP="005721F2">
      <w:pPr>
        <w:spacing w:after="0"/>
      </w:pPr>
      <w:permStart w:id="658192178" w:edGrp="everyone"/>
      <w:r w:rsidRPr="0064198B">
        <w:t>We appreciate the effort to further clarify/standardise definitions. As indicated earlier, we believe that such terms as “derived work” or “non-display” usage should be further clarified to avoid misinterpretations on  use-cases.</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562E8B76" w14:textId="77777777" w:rsidR="00B4782B" w:rsidRDefault="00B4782B" w:rsidP="00B4782B">
      <w:pPr>
        <w:spacing w:after="0"/>
      </w:pPr>
      <w:permStart w:id="1196837781" w:edGrp="everyone"/>
      <w:r>
        <w:lastRenderedPageBreak/>
        <w:t>We agree that user-id is the relevant unit of count for display data (without prejudice to the per user principle).</w:t>
      </w:r>
    </w:p>
    <w:p w14:paraId="52A9180A" w14:textId="77777777" w:rsidR="00B4782B" w:rsidRDefault="00B4782B" w:rsidP="00B4782B">
      <w:pPr>
        <w:spacing w:after="0"/>
      </w:pPr>
    </w:p>
    <w:p w14:paraId="3CD5BA22" w14:textId="3C0C203C" w:rsidR="00B4782B" w:rsidRDefault="00B4782B" w:rsidP="00B4782B">
      <w:pPr>
        <w:spacing w:after="0"/>
      </w:pPr>
      <w:r>
        <w:t>Non display data usually attracts an overall licence fee encompassing all use cases.</w:t>
      </w: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2F526D3A" w14:textId="19552E38" w:rsidR="00FA4100" w:rsidRDefault="00554CEF" w:rsidP="00FA4100">
      <w:pPr>
        <w:spacing w:after="0"/>
      </w:pPr>
      <w:permStart w:id="1482058120" w:edGrp="everyone"/>
      <w:r w:rsidRPr="00554CEF">
        <w:t>Depending on the volume of data being disseminated, there could potentially be marginal power usage costs / bandwidth usage charges.</w:t>
      </w:r>
      <w:r w:rsidR="004E39AA">
        <w:t xml:space="preserve"> </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12551A1B" w14:textId="77777777" w:rsidR="00D17F90" w:rsidRDefault="00C54662" w:rsidP="00FA4100">
      <w:pPr>
        <w:spacing w:after="0"/>
      </w:pPr>
      <w:permStart w:id="1375092011" w:edGrp="everyone"/>
      <w:r w:rsidRPr="00C54662">
        <w:t>As previously mentioned, we believe that overhead costs should be included in order to get a full-cost approach, consistent with the net margin principle per article 2 of draft RTS.</w:t>
      </w:r>
    </w:p>
    <w:permEnd w:id="1375092011"/>
    <w:p w14:paraId="0A2C8A1E" w14:textId="0319DD8D"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6B4FE391" w14:textId="7D4A88DD" w:rsidR="00B34384" w:rsidRDefault="00B34384" w:rsidP="00B34384">
      <w:pPr>
        <w:spacing w:after="0"/>
      </w:pPr>
      <w:permStart w:id="1647450555" w:edGrp="everyone"/>
      <w:r>
        <w:t>We do not request registration to users for accessing our t+15 data as that would be a disproportionate, unnecessary administrative process for an organisation of our size.</w:t>
      </w:r>
    </w:p>
    <w:p w14:paraId="72DA170D" w14:textId="77777777" w:rsidR="00B34384" w:rsidRDefault="00B34384" w:rsidP="00B34384">
      <w:pPr>
        <w:spacing w:after="0"/>
      </w:pPr>
    </w:p>
    <w:p w14:paraId="4EA3D4B2" w14:textId="33B344C9" w:rsidR="00BB24E8" w:rsidRDefault="00B34384" w:rsidP="00B34384">
      <w:pPr>
        <w:spacing w:after="0"/>
      </w:pPr>
      <w:r>
        <w:t>We agree that providing full details of pre-trade data is complex and often results in information difficult to interpret and analyse, although machine-readable. Top of book BBO is a more pragmatic approach but would require development work to be provided.</w:t>
      </w:r>
    </w:p>
    <w:permEnd w:id="1647450555"/>
    <w:p w14:paraId="22379A1A" w14:textId="756E4189"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0A0B6F60" w14:textId="17953FF4" w:rsidR="00D44264" w:rsidRDefault="005076FD" w:rsidP="00FA4100">
      <w:pPr>
        <w:spacing w:after="0"/>
      </w:pPr>
      <w:permStart w:id="738273573" w:edGrp="everyone"/>
      <w:r w:rsidRPr="005076FD">
        <w:lastRenderedPageBreak/>
        <w:t>Yes, we agree this should be left to the discretion of the providers.</w:t>
      </w:r>
    </w:p>
    <w:permEnd w:id="738273573"/>
    <w:p w14:paraId="5141BA55" w14:textId="23FF0910"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23D771E8" w14:textId="77777777" w:rsidR="008D73E5" w:rsidRDefault="008D73E5" w:rsidP="008D73E5">
      <w:pPr>
        <w:spacing w:after="0"/>
      </w:pPr>
      <w:permStart w:id="213343087" w:edGrp="everyone"/>
      <w:r>
        <w:t xml:space="preserve">In general, 3 months is a reasonable timeframe for implementing the requirements of the draft RTS. </w:t>
      </w:r>
    </w:p>
    <w:p w14:paraId="1B398FED" w14:textId="77777777" w:rsidR="008D73E5" w:rsidRDefault="008D73E5" w:rsidP="008D73E5">
      <w:pPr>
        <w:spacing w:after="0"/>
      </w:pPr>
    </w:p>
    <w:p w14:paraId="0F3AAAC6" w14:textId="0A5324E2" w:rsidR="008D73E5" w:rsidRDefault="008D73E5" w:rsidP="008D73E5">
      <w:pPr>
        <w:spacing w:after="0"/>
      </w:pPr>
      <w:r>
        <w:t>It should be noted that the information required under the 2 annexes would rely on the latest audited financial information.</w:t>
      </w:r>
    </w:p>
    <w:permEnd w:id="213343087"/>
    <w:p w14:paraId="1038ADC9" w14:textId="5CF05ECE"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06F31AC6" w14:textId="77777777" w:rsidR="00AF502B" w:rsidRDefault="00AF502B" w:rsidP="00AF502B">
      <w:pPr>
        <w:spacing w:after="0"/>
      </w:pPr>
      <w:permStart w:id="1472730622" w:edGrp="everyone"/>
      <w:r>
        <w:t>TYPE YOUR TEXT HERE</w:t>
      </w: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5AC2A4A3" w14:textId="4122647A" w:rsidR="008203ED" w:rsidRDefault="00FE709F" w:rsidP="00AF502B">
      <w:pPr>
        <w:spacing w:after="0"/>
      </w:pPr>
      <w:permStart w:id="104619003" w:edGrp="everyone"/>
      <w:r w:rsidRPr="00FE709F">
        <w:t xml:space="preserve">The table below summarises the impact for our organisation in </w:t>
      </w:r>
      <w:r w:rsidR="00C44EE9">
        <w:t>terms of person</w:t>
      </w:r>
      <w:r w:rsidRPr="00FE709F">
        <w:t>-days</w:t>
      </w:r>
      <w:r w:rsidR="00C44EE9">
        <w:t>:</w:t>
      </w:r>
    </w:p>
    <w:p w14:paraId="7938B81C" w14:textId="1BD17983" w:rsidR="008203ED" w:rsidRDefault="008203ED" w:rsidP="00AF502B">
      <w:pPr>
        <w:spacing w:after="0"/>
      </w:pPr>
    </w:p>
    <w:p w14:paraId="481AF5C2" w14:textId="2E56BCEB" w:rsidR="00665800" w:rsidRDefault="00665800" w:rsidP="00AF502B">
      <w:pPr>
        <w:spacing w:after="0"/>
      </w:pPr>
      <w:r w:rsidRPr="00665800">
        <w:lastRenderedPageBreak/>
        <w:drawing>
          <wp:inline distT="0" distB="0" distL="0" distR="0" wp14:anchorId="509A5DA9" wp14:editId="03602E00">
            <wp:extent cx="5976620" cy="1988820"/>
            <wp:effectExtent l="0" t="0" r="5080" b="0"/>
            <wp:docPr id="454020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20855" name=""/>
                    <pic:cNvPicPr/>
                  </pic:nvPicPr>
                  <pic:blipFill>
                    <a:blip r:embed="rId24"/>
                    <a:stretch>
                      <a:fillRect/>
                    </a:stretch>
                  </pic:blipFill>
                  <pic:spPr>
                    <a:xfrm>
                      <a:off x="0" y="0"/>
                      <a:ext cx="5976620" cy="1988820"/>
                    </a:xfrm>
                    <a:prstGeom prst="rect">
                      <a:avLst/>
                    </a:prstGeom>
                  </pic:spPr>
                </pic:pic>
              </a:graphicData>
            </a:graphic>
          </wp:inline>
        </w:drawing>
      </w:r>
    </w:p>
    <w:permEnd w:id="104619003"/>
    <w:p w14:paraId="2FF65986" w14:textId="66FC3BFB"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16FD1B1C" w14:textId="05938208" w:rsidR="00F920F7" w:rsidRDefault="00F920F7" w:rsidP="00F920F7">
      <w:pPr>
        <w:spacing w:after="0"/>
      </w:pPr>
      <w:permStart w:id="130159860" w:edGrp="everyone"/>
      <w:r>
        <w:t>Yes. We agree with the proposal. It is sensible to define a common daily reporting frequency</w:t>
      </w:r>
    </w:p>
    <w:p w14:paraId="38575488" w14:textId="443CAB1A" w:rsidR="00237775" w:rsidRDefault="00F920F7" w:rsidP="00F920F7">
      <w:pPr>
        <w:spacing w:after="0"/>
      </w:pPr>
      <w:r>
        <w:t>applicable to all elements of the reference data.</w:t>
      </w:r>
    </w:p>
    <w:permEnd w:id="130159860"/>
    <w:p w14:paraId="0952B2BC" w14:textId="4AC853A2"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0A3D4436" w14:textId="77777777" w:rsidR="006332B9" w:rsidRDefault="00D204A5" w:rsidP="00237775">
      <w:pPr>
        <w:spacing w:after="0"/>
      </w:pPr>
      <w:permStart w:id="360449157" w:edGrp="everyone"/>
      <w:r>
        <w:t xml:space="preserve">Yes. The granularity level of the </w:t>
      </w:r>
      <w:proofErr w:type="spellStart"/>
      <w:r>
        <w:t>MiFIR</w:t>
      </w:r>
      <w:proofErr w:type="spellEnd"/>
      <w:r>
        <w:t xml:space="preserve"> identifier is adequate. </w:t>
      </w:r>
      <w:proofErr w:type="spellStart"/>
      <w:r>
        <w:t>Tthe</w:t>
      </w:r>
      <w:proofErr w:type="spellEnd"/>
      <w:r>
        <w:t xml:space="preserve"> CFI identifier should be included in RTS 23 considering limitations in increasing the granularity with the use of MIFIR to classify instruments and </w:t>
      </w:r>
      <w:proofErr w:type="spellStart"/>
      <w:r>
        <w:t>underlyings</w:t>
      </w:r>
      <w:proofErr w:type="spellEnd"/>
    </w:p>
    <w:permEnd w:id="360449157"/>
    <w:p w14:paraId="3F0578A7" w14:textId="51BE3D2A"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3CF60045" w14:textId="77777777" w:rsidR="0048568E" w:rsidRDefault="0048568E" w:rsidP="00237775">
      <w:pPr>
        <w:spacing w:after="0"/>
      </w:pPr>
      <w:permStart w:id="1546738195" w:edGrp="everyone"/>
      <w:r>
        <w:t>Yes, please refer to Question 52.</w:t>
      </w:r>
    </w:p>
    <w:permEnd w:id="1546738195"/>
    <w:p w14:paraId="2D943B9C" w14:textId="15ECEABD"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56044347" w14:textId="18B8C4C9" w:rsidR="00237775" w:rsidRDefault="00C16CE1" w:rsidP="00237775">
      <w:pPr>
        <w:spacing w:after="0"/>
      </w:pPr>
      <w:permStart w:id="1006372258" w:edGrp="everyone"/>
      <w:r w:rsidRPr="00C16CE1">
        <w:t xml:space="preserve">We can expect transition costs with a much more limited scope of non-equity instruments for transparency purposes and </w:t>
      </w:r>
      <w:proofErr w:type="spellStart"/>
      <w:r w:rsidRPr="00C16CE1">
        <w:t>consequentely</w:t>
      </w:r>
      <w:proofErr w:type="spellEnd"/>
      <w:r w:rsidRPr="00C16CE1">
        <w:t xml:space="preserve"> a reduced set of the required reference data. We suggest that the whole set of reference data currently in RTS 2 shall be maintained. Furthermore, we still have to identify/agree on the codes that might be removed for certain instruments.</w:t>
      </w:r>
    </w:p>
    <w:permEnd w:id="1006372258"/>
    <w:p w14:paraId="7C95D36E" w14:textId="4921941D"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t>&lt;ESMA_QUESTION</w:t>
      </w:r>
      <w:r w:rsidR="00F93646">
        <w:t>_</w:t>
      </w:r>
      <w:r w:rsidR="00DD54B5">
        <w:t>CP1</w:t>
      </w:r>
      <w:r w:rsidR="00F93646">
        <w:t>_</w:t>
      </w:r>
      <w:r>
        <w:t>55&gt;</w:t>
      </w:r>
    </w:p>
    <w:p w14:paraId="464B56EF" w14:textId="77777777" w:rsidR="000F7172" w:rsidRDefault="000F7172" w:rsidP="00237775">
      <w:pPr>
        <w:spacing w:after="0"/>
      </w:pPr>
      <w:permStart w:id="1513240935" w:edGrp="everyone"/>
      <w:r w:rsidRPr="000F7172">
        <w:t>Yes - CFI code should be used in this case since same information (re Contract type) may be retrieved directly from the CFI</w:t>
      </w:r>
      <w:r>
        <w:t xml:space="preserve"> code.</w:t>
      </w:r>
    </w:p>
    <w:permEnd w:id="1513240935"/>
    <w:p w14:paraId="0D48E731" w14:textId="1607DA38"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55C8DBA6" w14:textId="156AE320" w:rsidR="00E45735" w:rsidRDefault="00E45735" w:rsidP="00E45735">
      <w:pPr>
        <w:spacing w:after="0"/>
      </w:pPr>
      <w:permStart w:id="42361542" w:edGrp="everyone"/>
      <w:r>
        <w:t>Yes - we agree with the proposed alignments between RTS2 (FITRS) and RTS23 (FIRDS).</w:t>
      </w:r>
    </w:p>
    <w:p w14:paraId="0905D12E" w14:textId="217598DC" w:rsidR="00237775" w:rsidRDefault="00E45735" w:rsidP="00E45735">
      <w:pPr>
        <w:spacing w:after="0"/>
      </w:pPr>
      <w:r>
        <w:t>Non feasible alignments are still to be identified.</w:t>
      </w:r>
    </w:p>
    <w:permEnd w:id="42361542"/>
    <w:p w14:paraId="3F368B2E" w14:textId="179C4ED7" w:rsidR="00237775" w:rsidRDefault="00237775" w:rsidP="00237775">
      <w:pPr>
        <w:spacing w:after="0"/>
      </w:pPr>
      <w:r>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6EC3FE51" w14:textId="49A7A4A3" w:rsidR="00237775" w:rsidRDefault="0062524B" w:rsidP="0062524B">
      <w:pPr>
        <w:spacing w:after="0"/>
      </w:pPr>
      <w:permStart w:id="416765104" w:edGrp="everyone"/>
      <w:r>
        <w:t>Yes - we agree with the proposition considering dissimilar approaches that RTS 2 and the CFI code adopted for the</w:t>
      </w:r>
      <w:r w:rsidR="00753F9E">
        <w:t xml:space="preserve"> </w:t>
      </w:r>
      <w:r>
        <w:t>classification of swaps and other derivatives on equity.</w:t>
      </w:r>
    </w:p>
    <w:permEnd w:id="416765104"/>
    <w:p w14:paraId="70006A3A" w14:textId="235EA449"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46456FAE" w14:textId="22B3E2BC" w:rsidR="00A26471" w:rsidRDefault="00C01020" w:rsidP="00A26471">
      <w:pPr>
        <w:spacing w:after="0"/>
      </w:pPr>
      <w:permStart w:id="1014435575" w:edGrp="everyone"/>
      <w:r w:rsidRPr="00C01020">
        <w:t>T</w:t>
      </w:r>
      <w:r w:rsidR="00A26471" w:rsidRPr="00C01020">
        <w:t>h</w:t>
      </w:r>
      <w:r w:rsidR="00A26471">
        <w:t>ere</w:t>
      </w:r>
      <w:r>
        <w:t xml:space="preserve"> is </w:t>
      </w:r>
      <w:r w:rsidR="00A26471">
        <w:t>scope to make reference data for transaction reporting simpler and more consistent. This could save financial firms money on data maintenance and improve the quality of regulatory oversight.</w:t>
      </w:r>
    </w:p>
    <w:p w14:paraId="70DA4332" w14:textId="77777777" w:rsidR="00A26471" w:rsidRDefault="00A26471" w:rsidP="00A26471">
      <w:pPr>
        <w:spacing w:after="0"/>
      </w:pPr>
    </w:p>
    <w:p w14:paraId="34BACF7D" w14:textId="3B1AED6A" w:rsidR="00A26471" w:rsidRDefault="00A26471" w:rsidP="00A26471">
      <w:pPr>
        <w:spacing w:after="0"/>
      </w:pPr>
      <w:r>
        <w:t>Benefits:</w:t>
      </w:r>
    </w:p>
    <w:p w14:paraId="7DB6CC5E" w14:textId="31186C8A" w:rsidR="00A26471" w:rsidRDefault="00A26471" w:rsidP="00C01020">
      <w:pPr>
        <w:pStyle w:val="ListParagraph"/>
        <w:numPr>
          <w:ilvl w:val="0"/>
          <w:numId w:val="52"/>
        </w:numPr>
        <w:spacing w:after="0"/>
      </w:pPr>
      <w:r>
        <w:t xml:space="preserve">Firms could </w:t>
      </w:r>
      <w:r w:rsidR="00FA7EC1">
        <w:t xml:space="preserve">reduce costs by </w:t>
      </w:r>
      <w:r>
        <w:t>spend</w:t>
      </w:r>
      <w:r w:rsidR="00FA7EC1">
        <w:t>ing</w:t>
      </w:r>
      <w:r>
        <w:t xml:space="preserve"> less on keeping their data up-to-date.</w:t>
      </w:r>
    </w:p>
    <w:p w14:paraId="68CB3831" w14:textId="141E145F" w:rsidR="00A26471" w:rsidRDefault="00A26471" w:rsidP="00C01020">
      <w:pPr>
        <w:pStyle w:val="ListParagraph"/>
        <w:numPr>
          <w:ilvl w:val="0"/>
          <w:numId w:val="52"/>
        </w:numPr>
        <w:spacing w:after="0"/>
      </w:pPr>
      <w:r>
        <w:t>Information would be more accurate and reliable</w:t>
      </w:r>
      <w:r w:rsidR="000E646D">
        <w:t xml:space="preserve"> with better data</w:t>
      </w:r>
      <w:r>
        <w:t>.</w:t>
      </w:r>
    </w:p>
    <w:p w14:paraId="1260591C" w14:textId="7F3B9A52" w:rsidR="00494606" w:rsidRDefault="00A26471" w:rsidP="00A26471">
      <w:pPr>
        <w:pStyle w:val="ListParagraph"/>
        <w:numPr>
          <w:ilvl w:val="0"/>
          <w:numId w:val="52"/>
        </w:numPr>
        <w:spacing w:after="0"/>
      </w:pPr>
      <w:r>
        <w:t>Market participants would have a clearer picture</w:t>
      </w:r>
      <w:r w:rsidR="000E646D">
        <w:t xml:space="preserve"> with greater transparency</w:t>
      </w:r>
      <w:r>
        <w:t>.</w:t>
      </w:r>
    </w:p>
    <w:p w14:paraId="49306110" w14:textId="31E93CF8" w:rsidR="00A26471" w:rsidRDefault="00A26471" w:rsidP="00A26471">
      <w:pPr>
        <w:spacing w:after="0"/>
      </w:pPr>
      <w:r>
        <w:t>Challenges:</w:t>
      </w:r>
    </w:p>
    <w:p w14:paraId="60088F28" w14:textId="07C4EB3A" w:rsidR="00A26471" w:rsidRDefault="00A26471" w:rsidP="00C01020">
      <w:pPr>
        <w:pStyle w:val="ListParagraph"/>
        <w:numPr>
          <w:ilvl w:val="0"/>
          <w:numId w:val="53"/>
        </w:numPr>
        <w:spacing w:after="0"/>
      </w:pPr>
      <w:r>
        <w:t>Implementing new standards might require upfront investment</w:t>
      </w:r>
      <w:r w:rsidR="00494606">
        <w:t xml:space="preserve"> and incur initial costs</w:t>
      </w:r>
      <w:r>
        <w:t>.</w:t>
      </w:r>
    </w:p>
    <w:p w14:paraId="4368E465" w14:textId="2C6017B9" w:rsidR="00A26471" w:rsidRDefault="00A26471" w:rsidP="00C01020">
      <w:pPr>
        <w:pStyle w:val="ListParagraph"/>
        <w:numPr>
          <w:ilvl w:val="0"/>
          <w:numId w:val="53"/>
        </w:numPr>
        <w:spacing w:after="0"/>
      </w:pPr>
      <w:r>
        <w:t>Maintaining the new system could incur additional</w:t>
      </w:r>
      <w:r w:rsidR="00494606">
        <w:t xml:space="preserve"> ongoing</w:t>
      </w:r>
      <w:r>
        <w:t xml:space="preserve"> expenses.</w:t>
      </w:r>
    </w:p>
    <w:p w14:paraId="2A0EE1FE" w14:textId="605AC073" w:rsidR="00A26471" w:rsidRDefault="00A26471" w:rsidP="00C01020">
      <w:pPr>
        <w:pStyle w:val="ListParagraph"/>
        <w:numPr>
          <w:ilvl w:val="0"/>
          <w:numId w:val="53"/>
        </w:numPr>
        <w:spacing w:after="0"/>
      </w:pPr>
      <w:r>
        <w:t>Change management</w:t>
      </w:r>
      <w:r w:rsidR="003F0823">
        <w:t xml:space="preserve"> can be tricky in g</w:t>
      </w:r>
      <w:r>
        <w:t>etting firms to adopt new ways of workin</w:t>
      </w:r>
      <w:r w:rsidR="003F0823">
        <w:t>g</w:t>
      </w:r>
      <w:r>
        <w:t>.</w:t>
      </w:r>
    </w:p>
    <w:p w14:paraId="570DB395" w14:textId="77777777" w:rsidR="003F0823" w:rsidRDefault="003F0823" w:rsidP="00A26471">
      <w:pPr>
        <w:spacing w:after="0"/>
      </w:pPr>
    </w:p>
    <w:p w14:paraId="6759ACB9" w14:textId="24A459FF" w:rsidR="00237775" w:rsidRDefault="00A26471" w:rsidP="00A26471">
      <w:pPr>
        <w:spacing w:after="0"/>
      </w:pPr>
      <w:r>
        <w:t>Consolidating data flows to ESMA</w:t>
      </w:r>
      <w:r w:rsidR="00C01020">
        <w:t xml:space="preserve"> by s</w:t>
      </w:r>
      <w:r>
        <w:t>implifying reference data could reduce the amount of information firms need to send to ESMA. This could make things easier for both firms and the regulator. However, it's important to ensure that any changes don't compromise the quality of the data.</w:t>
      </w:r>
    </w:p>
    <w:permEnd w:id="1014435575"/>
    <w:p w14:paraId="764428E5" w14:textId="0B14B7B7"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002010DF" w14:textId="77777777" w:rsidR="00237775" w:rsidRDefault="00237775" w:rsidP="00237775">
      <w:pPr>
        <w:spacing w:after="0"/>
      </w:pPr>
      <w:permStart w:id="220344249" w:edGrp="everyone"/>
      <w:r>
        <w:t>TYPE YOUR TEXT HERE</w:t>
      </w:r>
    </w:p>
    <w:permEnd w:id="220344249"/>
    <w:p w14:paraId="6933FBBF" w14:textId="666963EA"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4A6D4637" w14:textId="18D2660F" w:rsidR="00B8114D" w:rsidRDefault="00B8114D" w:rsidP="00B8114D">
      <w:pPr>
        <w:spacing w:after="0"/>
      </w:pPr>
      <w:permStart w:id="415780132" w:edGrp="everyone"/>
      <w:r>
        <w:lastRenderedPageBreak/>
        <w:t xml:space="preserve">Yes </w:t>
      </w:r>
      <w:r w:rsidR="00D943FC">
        <w:t>–</w:t>
      </w:r>
      <w:r>
        <w:t xml:space="preserve"> </w:t>
      </w:r>
      <w:r w:rsidR="00D943FC">
        <w:t>We agree</w:t>
      </w:r>
      <w:r>
        <w:t xml:space="preserve"> with the required RTS 23 changes. This will also depend on the finali</w:t>
      </w:r>
      <w:r w:rsidR="00D943FC">
        <w:t>s</w:t>
      </w:r>
      <w:r>
        <w:t>ed</w:t>
      </w:r>
    </w:p>
    <w:p w14:paraId="5D2B7DBA" w14:textId="5AA21AC6" w:rsidR="00B8114D" w:rsidRDefault="00B8114D" w:rsidP="00B8114D">
      <w:pPr>
        <w:spacing w:after="0"/>
      </w:pPr>
      <w:r>
        <w:t>consultation paper from the Commission in</w:t>
      </w:r>
      <w:r w:rsidR="00D943FC">
        <w:t>c</w:t>
      </w:r>
      <w:r>
        <w:t>luding the delegated act with regards to</w:t>
      </w:r>
    </w:p>
    <w:p w14:paraId="1F6998D2" w14:textId="17EA0928" w:rsidR="00237775" w:rsidRDefault="00B8114D" w:rsidP="00B8114D">
      <w:pPr>
        <w:spacing w:after="0"/>
      </w:pPr>
      <w:r>
        <w:t xml:space="preserve">the identifying reference data to be used under Article 27 of </w:t>
      </w:r>
      <w:proofErr w:type="spellStart"/>
      <w:r>
        <w:t>MiFIR</w:t>
      </w:r>
      <w:proofErr w:type="spellEnd"/>
      <w:r w:rsidR="00D943FC">
        <w:t>.</w:t>
      </w:r>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2A130B4E" w14:textId="3EBB9A89" w:rsidR="009D0910" w:rsidRDefault="009D0910" w:rsidP="009D0910">
      <w:pPr>
        <w:spacing w:after="0"/>
      </w:pPr>
      <w:permStart w:id="838951323" w:edGrp="everyone"/>
      <w:r>
        <w:t>Yes. ESMA is of the view that 12 months should be envisaged with regards to the</w:t>
      </w:r>
    </w:p>
    <w:p w14:paraId="211C9175" w14:textId="77777777" w:rsidR="00583A57" w:rsidRDefault="009D0910" w:rsidP="00237775">
      <w:pPr>
        <w:spacing w:after="0"/>
      </w:pPr>
      <w:r>
        <w:t>reporting of the reference data. Feasibility is yet to be confirmed.</w:t>
      </w:r>
    </w:p>
    <w:permEnd w:id="838951323"/>
    <w:p w14:paraId="0F0C5F74" w14:textId="07715027"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0C14DBFE" w14:textId="77777777" w:rsidR="00A82510" w:rsidRDefault="009A7E71" w:rsidP="0015061C">
      <w:pPr>
        <w:spacing w:after="0"/>
      </w:pPr>
      <w:permStart w:id="621418784" w:edGrp="everyone"/>
      <w:r w:rsidRPr="009A7E71">
        <w:t>There are several international standards and recommendations that</w:t>
      </w:r>
      <w:r>
        <w:t xml:space="preserve"> c</w:t>
      </w:r>
      <w:r w:rsidRPr="009A7E71">
        <w:t>ould be considered for the RTS on reference data. These include ISO</w:t>
      </w:r>
      <w:r w:rsidR="00A82510">
        <w:t xml:space="preserve"> standards (</w:t>
      </w:r>
      <w:r w:rsidR="00A82510">
        <w:t>(15022 + 20022)</w:t>
      </w:r>
      <w:r w:rsidRPr="009A7E71">
        <w:t>, FSB recommendations, ISRO principles, and EU regulations.</w:t>
      </w:r>
    </w:p>
    <w:permEnd w:id="621418784"/>
    <w:p w14:paraId="72F5213C" w14:textId="1D457136"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51028F3F" w14:textId="29861CED" w:rsidR="0015061C" w:rsidRDefault="00712E69" w:rsidP="0015061C">
      <w:pPr>
        <w:spacing w:after="0"/>
      </w:pPr>
      <w:permStart w:id="1336420085" w:edGrp="everyone"/>
      <w:r>
        <w:t xml:space="preserve">Yes. We agree </w:t>
      </w:r>
      <w:proofErr w:type="spellStart"/>
      <w:r>
        <w:t>wth</w:t>
      </w:r>
      <w:proofErr w:type="spellEnd"/>
      <w:r>
        <w:t xml:space="preserve"> the proposed changes.</w:t>
      </w:r>
    </w:p>
    <w:permEnd w:id="1336420085"/>
    <w:p w14:paraId="6A3E3928" w14:textId="69DDE8C1"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104F714E" w14:textId="43693E4C" w:rsidR="0015061C" w:rsidRDefault="00FC6D82" w:rsidP="0015061C">
      <w:pPr>
        <w:spacing w:after="0"/>
      </w:pPr>
      <w:permStart w:id="1816345643" w:edGrp="everyone"/>
      <w:r w:rsidRPr="00FC6D82">
        <w:t xml:space="preserve">CSDR publications into FIRDS could be challenging due to data compatibility, quality, technical integration, regulatory compliance, operational impact, and user experience issues. To address these challenges, careful planning, testing, and ongoing monitoring </w:t>
      </w:r>
      <w:r>
        <w:t xml:space="preserve">will be </w:t>
      </w:r>
      <w:r w:rsidRPr="00FC6D82">
        <w:t>essential.</w:t>
      </w:r>
    </w:p>
    <w:permEnd w:id="1816345643"/>
    <w:p w14:paraId="52BA802C" w14:textId="73FF9E4D"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62CCE38B" w14:textId="6ABDDB27" w:rsidR="006970A4" w:rsidRDefault="006970A4" w:rsidP="006970A4">
      <w:pPr>
        <w:spacing w:after="0"/>
      </w:pPr>
      <w:permStart w:id="1261776209" w:edGrp="everyone"/>
      <w:r>
        <w:t>While a CSDR scope indicator can streamline identification for CSDs and reduce errors, it may also increase the data burden on reporting entities and require ongoing maintenance. Similarly, knowing the main trading venue can be valuable for market participants, but determining the "highest turnover" or "most relevant market" can be challenging and may require periodic updates.</w:t>
      </w:r>
    </w:p>
    <w:p w14:paraId="69423BD0" w14:textId="77777777" w:rsidR="006970A4" w:rsidRDefault="006970A4" w:rsidP="006970A4">
      <w:pPr>
        <w:spacing w:after="0"/>
      </w:pPr>
    </w:p>
    <w:p w14:paraId="39668347" w14:textId="2CFD7F1E" w:rsidR="0015061C" w:rsidRDefault="006970A4" w:rsidP="006970A4">
      <w:pPr>
        <w:spacing w:after="0"/>
      </w:pPr>
      <w:r>
        <w:t>Ultimately, the decision to include these additional fields should be based on a careful evaluation of the potential benefits and costs, considering factors such as regulatory requirements, market needs, operational efficiency, and the data burden on reporting entities.</w:t>
      </w:r>
    </w:p>
    <w:permEnd w:id="1261776209"/>
    <w:p w14:paraId="2CC71190" w14:textId="7FD4271D" w:rsidR="0015061C" w:rsidRDefault="0015061C" w:rsidP="0015061C">
      <w:pPr>
        <w:spacing w:after="0"/>
      </w:pPr>
      <w:r>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t>Do you support inclusion of the new fields listed above?</w:t>
      </w:r>
    </w:p>
    <w:p w14:paraId="55A264D2" w14:textId="17ADA066" w:rsidR="0014711C" w:rsidRDefault="0014711C" w:rsidP="0014711C">
      <w:pPr>
        <w:spacing w:after="0"/>
      </w:pPr>
      <w:r>
        <w:t>&lt;ESMA_QUESTION_</w:t>
      </w:r>
      <w:r w:rsidR="00DD54B5">
        <w:t>CP1</w:t>
      </w:r>
      <w:r>
        <w:t>_66&gt;</w:t>
      </w:r>
    </w:p>
    <w:p w14:paraId="52029F3C" w14:textId="6BBB5BF1" w:rsidR="0014711C" w:rsidRDefault="0050121D" w:rsidP="0050121D">
      <w:pPr>
        <w:spacing w:after="0"/>
      </w:pPr>
      <w:permStart w:id="946935013" w:edGrp="everyone"/>
      <w:r>
        <w:t xml:space="preserve">Yes </w:t>
      </w:r>
      <w:r w:rsidR="00B73FB7">
        <w:t>–</w:t>
      </w:r>
      <w:r>
        <w:t xml:space="preserve"> 'Field Action type' would be very helpful </w:t>
      </w:r>
      <w:r w:rsidR="00C246E8">
        <w:t xml:space="preserve">by </w:t>
      </w:r>
      <w:r>
        <w:t xml:space="preserve">allowing </w:t>
      </w:r>
      <w:r w:rsidR="00C246E8">
        <w:t xml:space="preserve">us </w:t>
      </w:r>
      <w:r>
        <w:t xml:space="preserve">to distinguish between a new re-admission to trading and a correction of a previously reported admission date. This will be preventing </w:t>
      </w:r>
      <w:r w:rsidR="00115BDA">
        <w:t>excessive</w:t>
      </w:r>
      <w:r>
        <w:t xml:space="preserve"> data reporting/processing to occur between ESMA and reporting venues."</w:t>
      </w:r>
    </w:p>
    <w:permEnd w:id="946935013"/>
    <w:p w14:paraId="49A39D8F" w14:textId="41884631" w:rsidR="0014711C" w:rsidRDefault="0014711C" w:rsidP="0014711C">
      <w:pPr>
        <w:spacing w:after="0"/>
      </w:pPr>
      <w:r>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6FA9D5E1" w14:textId="071B1666" w:rsidR="0015061C" w:rsidRDefault="008E2259" w:rsidP="008E2259">
      <w:pPr>
        <w:spacing w:after="0"/>
      </w:pPr>
      <w:permStart w:id="1485646338" w:edGrp="everyone"/>
      <w:r>
        <w:t>Yes – We agree with the new proposal to allow TVs to report multiple values for</w:t>
      </w:r>
      <w:r w:rsidR="00C13BF7">
        <w:t xml:space="preserve"> </w:t>
      </w:r>
      <w:r>
        <w:t>time/dates in the relevant fields 10,11 and 12</w:t>
      </w:r>
      <w:r w:rsidR="00C13BF7">
        <w:t>.</w:t>
      </w:r>
    </w:p>
    <w:permEnd w:id="1485646338"/>
    <w:p w14:paraId="617F05D5" w14:textId="27712F43"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0EF4CD83" w14:textId="62F9A047" w:rsidR="0015061C" w:rsidRDefault="00B6357B" w:rsidP="0015061C">
      <w:pPr>
        <w:spacing w:after="0"/>
      </w:pPr>
      <w:permStart w:id="1830689355" w:edGrp="everyone"/>
      <w:r w:rsidRPr="00B6357B">
        <w:lastRenderedPageBreak/>
        <w:t>Option (ii) is preferable for monitoring de-listing and re-admission. Reporting events directly allows ESMA to reconstruct trading periods efficiently, accurately, and flexibly. This approach avoids the need to store and process vast amounts of historical data, reducing the risk of errors and ensuring scalability.</w:t>
      </w:r>
      <w:permEnd w:id="1830689355"/>
      <w:r w:rsidR="0015061C">
        <w:t>&lt;ESMA_QUESTION</w:t>
      </w:r>
      <w:r w:rsidR="00F93646">
        <w:t>_</w:t>
      </w:r>
      <w:r w:rsidR="00DD54B5">
        <w:t>CP1</w:t>
      </w:r>
      <w:r w:rsidR="00F93646">
        <w:t>_</w:t>
      </w:r>
      <w:r w:rsidR="0015061C">
        <w:t>6</w:t>
      </w:r>
      <w:r w:rsidR="0014711C">
        <w:t>8</w:t>
      </w:r>
      <w:r w:rsidR="0015061C">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3276951D" w14:textId="77777777" w:rsidR="00090815" w:rsidRDefault="00090815" w:rsidP="0015061C">
      <w:pPr>
        <w:spacing w:after="0"/>
      </w:pPr>
      <w:permStart w:id="1893227929" w:edGrp="everyone"/>
      <w:r>
        <w:t>Yes.</w:t>
      </w:r>
    </w:p>
    <w:permEnd w:id="1893227929"/>
    <w:p w14:paraId="079093FA" w14:textId="2EE56C40"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2C7E80A3" w14:textId="36168563" w:rsidR="001241F4" w:rsidRDefault="001241F4" w:rsidP="0015061C">
      <w:pPr>
        <w:spacing w:after="0"/>
      </w:pPr>
      <w:permStart w:id="1885042034" w:edGrp="everyone"/>
      <w:r w:rsidRPr="001241F4">
        <w:t>We do recognise that JSON is in general becoming more prevalent. However, should a move to JSON be decided upon, we recommend that there be a transition period during which both formats are available to allow firms to migrate away from XML in a safe and controlled manner and recognise that there will be an implementation cost to industry participants</w:t>
      </w:r>
      <w:r>
        <w:t xml:space="preserve"> that use other formats</w:t>
      </w:r>
      <w:r w:rsidRPr="001241F4">
        <w:t>.</w:t>
      </w:r>
    </w:p>
    <w:permEnd w:id="1885042034"/>
    <w:p w14:paraId="2275BCED" w14:textId="3EC52739"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77594128" w14:textId="484166DE" w:rsidR="00692ADF" w:rsidRDefault="00B16F6F" w:rsidP="0014711C">
      <w:pPr>
        <w:spacing w:after="0"/>
      </w:pPr>
      <w:permStart w:id="1904763643" w:edGrp="everyone"/>
      <w:r w:rsidRPr="00B16F6F">
        <w:t>To ensure accurate reference data reporting by DPEs, ESMA should clarify financial instrument categories, harmonise requirements with other market participants, specify data fields and validation rules, consider DPE-specific characteristics, and clarify reporting responsibility for dual DPE transactions.</w:t>
      </w:r>
      <w:permEnd w:id="1904763643"/>
      <w:r w:rsidR="0015061C">
        <w:t>&lt;ESMA_QUESTION</w:t>
      </w:r>
      <w:r w:rsidR="00F93646">
        <w:t>_</w:t>
      </w:r>
      <w:r w:rsidR="00DD54B5">
        <w:t>CP1</w:t>
      </w:r>
      <w:r w:rsidR="00F93646">
        <w:t>_</w:t>
      </w:r>
      <w:r w:rsidR="00AE2A0A">
        <w:t>7</w:t>
      </w:r>
      <w:r w:rsidR="0014711C">
        <w:t>1</w:t>
      </w:r>
      <w:r w:rsidR="0015061C">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2181B100" w14:textId="3A792515" w:rsidR="0015061C" w:rsidRDefault="00C81651" w:rsidP="0015061C">
      <w:pPr>
        <w:spacing w:after="0"/>
      </w:pPr>
      <w:permStart w:id="1129906537" w:edGrp="everyone"/>
      <w:r w:rsidRPr="00C81651">
        <w:lastRenderedPageBreak/>
        <w:t>To ensure the DPE register is usable and interoperable, it should include a standardi</w:t>
      </w:r>
      <w:r>
        <w:t>s</w:t>
      </w:r>
      <w:r w:rsidRPr="00C81651">
        <w:t>ed taxonomy, unique identifiers, descriptions, parent-child relationships, and mappings to other taxonomies.</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4E89D76B" w14:textId="77777777" w:rsidR="005F7979" w:rsidRDefault="005F7979" w:rsidP="005F7979">
      <w:pPr>
        <w:spacing w:after="0"/>
      </w:pPr>
      <w:permStart w:id="1106593597" w:edGrp="everyone"/>
      <w:r>
        <w:t>TYPE YOUR TEXT HERE</w:t>
      </w:r>
    </w:p>
    <w:permEnd w:id="1106593597"/>
    <w:p w14:paraId="77D2B3F1" w14:textId="3C30A5D5" w:rsidR="00692ADF" w:rsidRDefault="005F7979" w:rsidP="00692ADF">
      <w:pPr>
        <w:spacing w:after="0"/>
      </w:pPr>
      <w:r>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26BFB" w14:textId="77777777" w:rsidR="009D02C8" w:rsidRDefault="009D02C8" w:rsidP="00F716D4">
      <w:r>
        <w:separator/>
      </w:r>
    </w:p>
    <w:p w14:paraId="4515811B" w14:textId="77777777" w:rsidR="009D02C8" w:rsidRDefault="009D02C8" w:rsidP="00F716D4"/>
  </w:endnote>
  <w:endnote w:type="continuationSeparator" w:id="0">
    <w:p w14:paraId="50BF1C75" w14:textId="77777777" w:rsidR="009D02C8" w:rsidRDefault="009D02C8" w:rsidP="00F716D4">
      <w:r>
        <w:continuationSeparator/>
      </w:r>
    </w:p>
    <w:p w14:paraId="4EB39217" w14:textId="77777777" w:rsidR="009D02C8" w:rsidRDefault="009D02C8" w:rsidP="00F716D4"/>
  </w:endnote>
  <w:endnote w:type="continuationNotice" w:id="1">
    <w:p w14:paraId="264EF681" w14:textId="77777777" w:rsidR="009D02C8" w:rsidRDefault="009D02C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65ADF" w14:textId="77777777" w:rsidR="009D02C8" w:rsidRDefault="009D02C8" w:rsidP="00F716D4">
      <w:r>
        <w:separator/>
      </w:r>
    </w:p>
    <w:p w14:paraId="6458FE45" w14:textId="77777777" w:rsidR="009D02C8" w:rsidRDefault="009D02C8" w:rsidP="00F716D4"/>
  </w:footnote>
  <w:footnote w:type="continuationSeparator" w:id="0">
    <w:p w14:paraId="6540BB82" w14:textId="77777777" w:rsidR="009D02C8" w:rsidRDefault="009D02C8" w:rsidP="00F716D4">
      <w:r>
        <w:continuationSeparator/>
      </w:r>
    </w:p>
    <w:p w14:paraId="7F665E5D" w14:textId="77777777" w:rsidR="009D02C8" w:rsidRDefault="009D02C8" w:rsidP="00F716D4"/>
  </w:footnote>
  <w:footnote w:type="continuationNotice" w:id="1">
    <w:p w14:paraId="2D9ABAEC" w14:textId="77777777" w:rsidR="009D02C8" w:rsidRDefault="009D02C8"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992065153" name="Picture 199206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513533365" name="Picture 151353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862184209" name="Picture 86218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E540AF"/>
    <w:multiLevelType w:val="hybridMultilevel"/>
    <w:tmpl w:val="67963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EC2516"/>
    <w:multiLevelType w:val="hybridMultilevel"/>
    <w:tmpl w:val="D6621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7BE33BA"/>
    <w:multiLevelType w:val="hybridMultilevel"/>
    <w:tmpl w:val="469A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19"/>
  </w:num>
  <w:num w:numId="3" w16cid:durableId="550074866">
    <w:abstractNumId w:val="11"/>
  </w:num>
  <w:num w:numId="4" w16cid:durableId="1881627233">
    <w:abstractNumId w:val="24"/>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3"/>
  </w:num>
  <w:num w:numId="14" w16cid:durableId="1495758855">
    <w:abstractNumId w:val="10"/>
  </w:num>
  <w:num w:numId="15" w16cid:durableId="1186556611">
    <w:abstractNumId w:val="1"/>
  </w:num>
  <w:num w:numId="16" w16cid:durableId="679087124">
    <w:abstractNumId w:val="14"/>
  </w:num>
  <w:num w:numId="17" w16cid:durableId="1695498691">
    <w:abstractNumId w:val="15"/>
  </w:num>
  <w:num w:numId="18" w16cid:durableId="1042363640">
    <w:abstractNumId w:val="17"/>
  </w:num>
  <w:num w:numId="19" w16cid:durableId="820345968">
    <w:abstractNumId w:val="26"/>
  </w:num>
  <w:num w:numId="20" w16cid:durableId="1805388212">
    <w:abstractNumId w:val="36"/>
  </w:num>
  <w:num w:numId="21" w16cid:durableId="538709007">
    <w:abstractNumId w:val="25"/>
  </w:num>
  <w:num w:numId="22" w16cid:durableId="104540172">
    <w:abstractNumId w:val="9"/>
  </w:num>
  <w:num w:numId="23" w16cid:durableId="1824349076">
    <w:abstractNumId w:val="29"/>
  </w:num>
  <w:num w:numId="24" w16cid:durableId="672032853">
    <w:abstractNumId w:val="28"/>
  </w:num>
  <w:num w:numId="25" w16cid:durableId="48917541">
    <w:abstractNumId w:val="20"/>
  </w:num>
  <w:num w:numId="26" w16cid:durableId="978925443">
    <w:abstractNumId w:val="33"/>
  </w:num>
  <w:num w:numId="27" w16cid:durableId="1036613928">
    <w:abstractNumId w:val="38"/>
  </w:num>
  <w:num w:numId="28" w16cid:durableId="872039349">
    <w:abstractNumId w:val="7"/>
  </w:num>
  <w:num w:numId="29" w16cid:durableId="924530660">
    <w:abstractNumId w:val="3"/>
  </w:num>
  <w:num w:numId="30" w16cid:durableId="419180233">
    <w:abstractNumId w:val="22"/>
  </w:num>
  <w:num w:numId="31" w16cid:durableId="276761337">
    <w:abstractNumId w:val="21"/>
  </w:num>
  <w:num w:numId="32" w16cid:durableId="1166238383">
    <w:abstractNumId w:val="35"/>
  </w:num>
  <w:num w:numId="33" w16cid:durableId="2076850202">
    <w:abstractNumId w:val="34"/>
  </w:num>
  <w:num w:numId="34" w16cid:durableId="469176496">
    <w:abstractNumId w:val="12"/>
  </w:num>
  <w:num w:numId="35" w16cid:durableId="674843309">
    <w:abstractNumId w:val="18"/>
  </w:num>
  <w:num w:numId="36" w16cid:durableId="1954971501">
    <w:abstractNumId w:val="39"/>
  </w:num>
  <w:num w:numId="37" w16cid:durableId="1819835511">
    <w:abstractNumId w:val="12"/>
  </w:num>
  <w:num w:numId="38" w16cid:durableId="1204094006">
    <w:abstractNumId w:val="12"/>
  </w:num>
  <w:num w:numId="39" w16cid:durableId="1717659379">
    <w:abstractNumId w:val="12"/>
  </w:num>
  <w:num w:numId="40" w16cid:durableId="1353989290">
    <w:abstractNumId w:val="12"/>
  </w:num>
  <w:num w:numId="41" w16cid:durableId="1579946960">
    <w:abstractNumId w:val="12"/>
  </w:num>
  <w:num w:numId="42" w16cid:durableId="1235777839">
    <w:abstractNumId w:val="12"/>
  </w:num>
  <w:num w:numId="43" w16cid:durableId="1125153549">
    <w:abstractNumId w:val="12"/>
  </w:num>
  <w:num w:numId="44" w16cid:durableId="755521582">
    <w:abstractNumId w:val="12"/>
  </w:num>
  <w:num w:numId="45" w16cid:durableId="1361205528">
    <w:abstractNumId w:val="12"/>
  </w:num>
  <w:num w:numId="46" w16cid:durableId="1003556738">
    <w:abstractNumId w:val="12"/>
  </w:num>
  <w:num w:numId="47" w16cid:durableId="635260301">
    <w:abstractNumId w:val="12"/>
  </w:num>
  <w:num w:numId="48" w16cid:durableId="1458374981">
    <w:abstractNumId w:val="12"/>
  </w:num>
  <w:num w:numId="49" w16cid:durableId="1460300743">
    <w:abstractNumId w:val="12"/>
  </w:num>
  <w:num w:numId="50" w16cid:durableId="1709180681">
    <w:abstractNumId w:val="12"/>
  </w:num>
  <w:num w:numId="51" w16cid:durableId="904073567">
    <w:abstractNumId w:val="6"/>
  </w:num>
  <w:num w:numId="52" w16cid:durableId="449861797">
    <w:abstractNumId w:val="32"/>
  </w:num>
  <w:num w:numId="53" w16cid:durableId="213601690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0F9B"/>
    <w:rsid w:val="00001490"/>
    <w:rsid w:val="00002232"/>
    <w:rsid w:val="00002491"/>
    <w:rsid w:val="0000378E"/>
    <w:rsid w:val="00003AEB"/>
    <w:rsid w:val="00005BBA"/>
    <w:rsid w:val="00005D8C"/>
    <w:rsid w:val="00006C2B"/>
    <w:rsid w:val="00007014"/>
    <w:rsid w:val="00007968"/>
    <w:rsid w:val="0001067A"/>
    <w:rsid w:val="000123D8"/>
    <w:rsid w:val="00013978"/>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C62"/>
    <w:rsid w:val="00032395"/>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815"/>
    <w:rsid w:val="000921AE"/>
    <w:rsid w:val="000921D7"/>
    <w:rsid w:val="000925FF"/>
    <w:rsid w:val="000932E0"/>
    <w:rsid w:val="00094853"/>
    <w:rsid w:val="00094C4C"/>
    <w:rsid w:val="000951DE"/>
    <w:rsid w:val="00096762"/>
    <w:rsid w:val="000969C8"/>
    <w:rsid w:val="0009752D"/>
    <w:rsid w:val="00097AEE"/>
    <w:rsid w:val="000A014A"/>
    <w:rsid w:val="000A0396"/>
    <w:rsid w:val="000A04B6"/>
    <w:rsid w:val="000A0E36"/>
    <w:rsid w:val="000A1BD2"/>
    <w:rsid w:val="000A2127"/>
    <w:rsid w:val="000A3468"/>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37E7"/>
    <w:rsid w:val="000C5231"/>
    <w:rsid w:val="000C55C8"/>
    <w:rsid w:val="000C57C4"/>
    <w:rsid w:val="000C5FD3"/>
    <w:rsid w:val="000C701D"/>
    <w:rsid w:val="000C7C4A"/>
    <w:rsid w:val="000D11D9"/>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46D"/>
    <w:rsid w:val="000E7086"/>
    <w:rsid w:val="000E7C65"/>
    <w:rsid w:val="000F04D2"/>
    <w:rsid w:val="000F55B7"/>
    <w:rsid w:val="000F604F"/>
    <w:rsid w:val="000F7172"/>
    <w:rsid w:val="000F7399"/>
    <w:rsid w:val="00101BF1"/>
    <w:rsid w:val="001027F1"/>
    <w:rsid w:val="00104DA1"/>
    <w:rsid w:val="00104E00"/>
    <w:rsid w:val="00104F2E"/>
    <w:rsid w:val="001072DD"/>
    <w:rsid w:val="00110D7A"/>
    <w:rsid w:val="00111464"/>
    <w:rsid w:val="0011167D"/>
    <w:rsid w:val="00112892"/>
    <w:rsid w:val="00112E48"/>
    <w:rsid w:val="001130EA"/>
    <w:rsid w:val="001138E8"/>
    <w:rsid w:val="00114259"/>
    <w:rsid w:val="00115BDA"/>
    <w:rsid w:val="001168B2"/>
    <w:rsid w:val="00117C20"/>
    <w:rsid w:val="00117F02"/>
    <w:rsid w:val="00120F0E"/>
    <w:rsid w:val="00121A5D"/>
    <w:rsid w:val="00121BED"/>
    <w:rsid w:val="00123D39"/>
    <w:rsid w:val="001241F4"/>
    <w:rsid w:val="001244CD"/>
    <w:rsid w:val="0012566F"/>
    <w:rsid w:val="001262B1"/>
    <w:rsid w:val="00130F41"/>
    <w:rsid w:val="00130FAF"/>
    <w:rsid w:val="0013465A"/>
    <w:rsid w:val="00135F2B"/>
    <w:rsid w:val="001372DD"/>
    <w:rsid w:val="00137973"/>
    <w:rsid w:val="001405BA"/>
    <w:rsid w:val="00141497"/>
    <w:rsid w:val="0014253A"/>
    <w:rsid w:val="001425C8"/>
    <w:rsid w:val="001431AE"/>
    <w:rsid w:val="00143B87"/>
    <w:rsid w:val="001459E3"/>
    <w:rsid w:val="00145DA0"/>
    <w:rsid w:val="00146A0B"/>
    <w:rsid w:val="0014711C"/>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5D3"/>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1CF"/>
    <w:rsid w:val="001C270F"/>
    <w:rsid w:val="001C397C"/>
    <w:rsid w:val="001C4679"/>
    <w:rsid w:val="001C5770"/>
    <w:rsid w:val="001C5EB5"/>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E6FF6"/>
    <w:rsid w:val="001F06E6"/>
    <w:rsid w:val="001F0F63"/>
    <w:rsid w:val="001F3996"/>
    <w:rsid w:val="001F44A4"/>
    <w:rsid w:val="001F579D"/>
    <w:rsid w:val="001F65EF"/>
    <w:rsid w:val="001F697B"/>
    <w:rsid w:val="002005A6"/>
    <w:rsid w:val="00202B01"/>
    <w:rsid w:val="00204CBC"/>
    <w:rsid w:val="002051F1"/>
    <w:rsid w:val="002067BA"/>
    <w:rsid w:val="0021058D"/>
    <w:rsid w:val="00211E2F"/>
    <w:rsid w:val="00211E9E"/>
    <w:rsid w:val="00214FB4"/>
    <w:rsid w:val="00215940"/>
    <w:rsid w:val="00217235"/>
    <w:rsid w:val="00217C23"/>
    <w:rsid w:val="00220561"/>
    <w:rsid w:val="00220CE4"/>
    <w:rsid w:val="00222D9B"/>
    <w:rsid w:val="00223788"/>
    <w:rsid w:val="00223D11"/>
    <w:rsid w:val="002242D3"/>
    <w:rsid w:val="00227C1A"/>
    <w:rsid w:val="002301E6"/>
    <w:rsid w:val="00231C55"/>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09A"/>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A6B02"/>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C7F0F"/>
    <w:rsid w:val="002D08B8"/>
    <w:rsid w:val="002D14F3"/>
    <w:rsid w:val="002D16E4"/>
    <w:rsid w:val="002D2FEF"/>
    <w:rsid w:val="002D36C2"/>
    <w:rsid w:val="002D3D2C"/>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0C0C"/>
    <w:rsid w:val="003213F2"/>
    <w:rsid w:val="003223D7"/>
    <w:rsid w:val="00323064"/>
    <w:rsid w:val="00323D9F"/>
    <w:rsid w:val="00324FDB"/>
    <w:rsid w:val="00325F48"/>
    <w:rsid w:val="0033194F"/>
    <w:rsid w:val="00332304"/>
    <w:rsid w:val="00332406"/>
    <w:rsid w:val="00332D8D"/>
    <w:rsid w:val="00336B56"/>
    <w:rsid w:val="00341B25"/>
    <w:rsid w:val="00341EC0"/>
    <w:rsid w:val="0034240C"/>
    <w:rsid w:val="0034374F"/>
    <w:rsid w:val="00344496"/>
    <w:rsid w:val="00344F5E"/>
    <w:rsid w:val="00345968"/>
    <w:rsid w:val="00347667"/>
    <w:rsid w:val="003507E2"/>
    <w:rsid w:val="003522B2"/>
    <w:rsid w:val="0035455E"/>
    <w:rsid w:val="00354A6F"/>
    <w:rsid w:val="00354B48"/>
    <w:rsid w:val="00355789"/>
    <w:rsid w:val="003609B6"/>
    <w:rsid w:val="00361119"/>
    <w:rsid w:val="0036538D"/>
    <w:rsid w:val="003658F8"/>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63D8"/>
    <w:rsid w:val="003B69BF"/>
    <w:rsid w:val="003B7A99"/>
    <w:rsid w:val="003C0343"/>
    <w:rsid w:val="003C1C32"/>
    <w:rsid w:val="003C3C1A"/>
    <w:rsid w:val="003C40DA"/>
    <w:rsid w:val="003C42BA"/>
    <w:rsid w:val="003C462F"/>
    <w:rsid w:val="003C4A02"/>
    <w:rsid w:val="003C4F05"/>
    <w:rsid w:val="003C6191"/>
    <w:rsid w:val="003C6E49"/>
    <w:rsid w:val="003D0CBF"/>
    <w:rsid w:val="003D0DD6"/>
    <w:rsid w:val="003D4B73"/>
    <w:rsid w:val="003D503B"/>
    <w:rsid w:val="003D5B8A"/>
    <w:rsid w:val="003D605E"/>
    <w:rsid w:val="003D61D1"/>
    <w:rsid w:val="003D6780"/>
    <w:rsid w:val="003D6FCB"/>
    <w:rsid w:val="003E0F84"/>
    <w:rsid w:val="003E1FF3"/>
    <w:rsid w:val="003E3ACA"/>
    <w:rsid w:val="003E50EA"/>
    <w:rsid w:val="003E68C7"/>
    <w:rsid w:val="003E79B0"/>
    <w:rsid w:val="003F0403"/>
    <w:rsid w:val="003F0823"/>
    <w:rsid w:val="003F1094"/>
    <w:rsid w:val="003F2E45"/>
    <w:rsid w:val="003F3EFE"/>
    <w:rsid w:val="003F40B8"/>
    <w:rsid w:val="003F5C06"/>
    <w:rsid w:val="003F7C22"/>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6F7A"/>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2F12"/>
    <w:rsid w:val="004837ED"/>
    <w:rsid w:val="00483942"/>
    <w:rsid w:val="004843CE"/>
    <w:rsid w:val="00485142"/>
    <w:rsid w:val="004852A7"/>
    <w:rsid w:val="0048568E"/>
    <w:rsid w:val="00486C17"/>
    <w:rsid w:val="00486DE2"/>
    <w:rsid w:val="00487117"/>
    <w:rsid w:val="00487A32"/>
    <w:rsid w:val="00487A91"/>
    <w:rsid w:val="004901E5"/>
    <w:rsid w:val="0049027D"/>
    <w:rsid w:val="004903D4"/>
    <w:rsid w:val="0049052B"/>
    <w:rsid w:val="00492457"/>
    <w:rsid w:val="004924A8"/>
    <w:rsid w:val="004934BA"/>
    <w:rsid w:val="004934E9"/>
    <w:rsid w:val="00494606"/>
    <w:rsid w:val="00494737"/>
    <w:rsid w:val="00494D5C"/>
    <w:rsid w:val="00495A6A"/>
    <w:rsid w:val="004964F6"/>
    <w:rsid w:val="00496821"/>
    <w:rsid w:val="00497750"/>
    <w:rsid w:val="00497B44"/>
    <w:rsid w:val="004A00E5"/>
    <w:rsid w:val="004A01A7"/>
    <w:rsid w:val="004A07D3"/>
    <w:rsid w:val="004A0B91"/>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BD5"/>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9AA"/>
    <w:rsid w:val="004E3B9A"/>
    <w:rsid w:val="004E49B0"/>
    <w:rsid w:val="004E5A9C"/>
    <w:rsid w:val="004E62DE"/>
    <w:rsid w:val="004E6B05"/>
    <w:rsid w:val="004E76A1"/>
    <w:rsid w:val="004F05DE"/>
    <w:rsid w:val="004F1F88"/>
    <w:rsid w:val="004F5C2F"/>
    <w:rsid w:val="004F6376"/>
    <w:rsid w:val="004F6A93"/>
    <w:rsid w:val="004F6F14"/>
    <w:rsid w:val="004F728D"/>
    <w:rsid w:val="004F76D9"/>
    <w:rsid w:val="004F79A6"/>
    <w:rsid w:val="0050121D"/>
    <w:rsid w:val="00501BF5"/>
    <w:rsid w:val="00501D8B"/>
    <w:rsid w:val="00503A3E"/>
    <w:rsid w:val="00503F59"/>
    <w:rsid w:val="005049A7"/>
    <w:rsid w:val="005053B2"/>
    <w:rsid w:val="00506331"/>
    <w:rsid w:val="005076FD"/>
    <w:rsid w:val="00507D11"/>
    <w:rsid w:val="00510662"/>
    <w:rsid w:val="005109B7"/>
    <w:rsid w:val="00510A19"/>
    <w:rsid w:val="00511AAB"/>
    <w:rsid w:val="00511CAD"/>
    <w:rsid w:val="00512845"/>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AFC"/>
    <w:rsid w:val="00537B1D"/>
    <w:rsid w:val="00540191"/>
    <w:rsid w:val="00540A2A"/>
    <w:rsid w:val="00541F27"/>
    <w:rsid w:val="00542297"/>
    <w:rsid w:val="005424BC"/>
    <w:rsid w:val="00542A28"/>
    <w:rsid w:val="005441D4"/>
    <w:rsid w:val="00544E04"/>
    <w:rsid w:val="0054672D"/>
    <w:rsid w:val="00550F4E"/>
    <w:rsid w:val="00551E98"/>
    <w:rsid w:val="005532B5"/>
    <w:rsid w:val="00554A05"/>
    <w:rsid w:val="00554CEF"/>
    <w:rsid w:val="00555849"/>
    <w:rsid w:val="005559A8"/>
    <w:rsid w:val="00557048"/>
    <w:rsid w:val="00557099"/>
    <w:rsid w:val="00557FB5"/>
    <w:rsid w:val="00561AED"/>
    <w:rsid w:val="005648A8"/>
    <w:rsid w:val="00564DE3"/>
    <w:rsid w:val="00564E44"/>
    <w:rsid w:val="00566C6A"/>
    <w:rsid w:val="00566CE5"/>
    <w:rsid w:val="00566D36"/>
    <w:rsid w:val="005703AE"/>
    <w:rsid w:val="0057163A"/>
    <w:rsid w:val="0057174D"/>
    <w:rsid w:val="005721F2"/>
    <w:rsid w:val="00572B29"/>
    <w:rsid w:val="00573569"/>
    <w:rsid w:val="00573871"/>
    <w:rsid w:val="0057389E"/>
    <w:rsid w:val="0057454B"/>
    <w:rsid w:val="005765C0"/>
    <w:rsid w:val="005778DE"/>
    <w:rsid w:val="00580B3F"/>
    <w:rsid w:val="005825F2"/>
    <w:rsid w:val="00583885"/>
    <w:rsid w:val="00583A57"/>
    <w:rsid w:val="005860AF"/>
    <w:rsid w:val="00587F1D"/>
    <w:rsid w:val="00590348"/>
    <w:rsid w:val="00591161"/>
    <w:rsid w:val="00592318"/>
    <w:rsid w:val="00593133"/>
    <w:rsid w:val="0059575D"/>
    <w:rsid w:val="00596825"/>
    <w:rsid w:val="005A06A0"/>
    <w:rsid w:val="005A150A"/>
    <w:rsid w:val="005A23A5"/>
    <w:rsid w:val="005A2B3E"/>
    <w:rsid w:val="005A3644"/>
    <w:rsid w:val="005A4087"/>
    <w:rsid w:val="005A4B18"/>
    <w:rsid w:val="005A537E"/>
    <w:rsid w:val="005A5FB2"/>
    <w:rsid w:val="005A6F43"/>
    <w:rsid w:val="005A767D"/>
    <w:rsid w:val="005A775C"/>
    <w:rsid w:val="005B00F1"/>
    <w:rsid w:val="005B0CE7"/>
    <w:rsid w:val="005B10E2"/>
    <w:rsid w:val="005B1803"/>
    <w:rsid w:val="005B4079"/>
    <w:rsid w:val="005B428E"/>
    <w:rsid w:val="005B4DED"/>
    <w:rsid w:val="005B5B3C"/>
    <w:rsid w:val="005B64CB"/>
    <w:rsid w:val="005B65C0"/>
    <w:rsid w:val="005B6AAA"/>
    <w:rsid w:val="005B7554"/>
    <w:rsid w:val="005B7C78"/>
    <w:rsid w:val="005C0FB2"/>
    <w:rsid w:val="005C1169"/>
    <w:rsid w:val="005C161A"/>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BC6"/>
    <w:rsid w:val="005D5EB1"/>
    <w:rsid w:val="005D6A29"/>
    <w:rsid w:val="005E0481"/>
    <w:rsid w:val="005E10BF"/>
    <w:rsid w:val="005E1834"/>
    <w:rsid w:val="005E49E5"/>
    <w:rsid w:val="005E4E00"/>
    <w:rsid w:val="005E5481"/>
    <w:rsid w:val="005E55E4"/>
    <w:rsid w:val="005E6C5F"/>
    <w:rsid w:val="005E7636"/>
    <w:rsid w:val="005F028E"/>
    <w:rsid w:val="005F04B4"/>
    <w:rsid w:val="005F0A64"/>
    <w:rsid w:val="005F11A4"/>
    <w:rsid w:val="005F19F8"/>
    <w:rsid w:val="005F3FB1"/>
    <w:rsid w:val="005F4C33"/>
    <w:rsid w:val="005F4D29"/>
    <w:rsid w:val="005F53F2"/>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24B"/>
    <w:rsid w:val="00625F82"/>
    <w:rsid w:val="00627999"/>
    <w:rsid w:val="00630FF7"/>
    <w:rsid w:val="006332B9"/>
    <w:rsid w:val="00633433"/>
    <w:rsid w:val="006341B5"/>
    <w:rsid w:val="006346C9"/>
    <w:rsid w:val="00634727"/>
    <w:rsid w:val="00634B64"/>
    <w:rsid w:val="0063578C"/>
    <w:rsid w:val="0063642C"/>
    <w:rsid w:val="0063681E"/>
    <w:rsid w:val="00636FF9"/>
    <w:rsid w:val="00640DCD"/>
    <w:rsid w:val="0064198B"/>
    <w:rsid w:val="00641DC3"/>
    <w:rsid w:val="00642972"/>
    <w:rsid w:val="00644F4D"/>
    <w:rsid w:val="006469B1"/>
    <w:rsid w:val="00646C0D"/>
    <w:rsid w:val="00646C30"/>
    <w:rsid w:val="006476F7"/>
    <w:rsid w:val="0064779E"/>
    <w:rsid w:val="006501FA"/>
    <w:rsid w:val="006509B0"/>
    <w:rsid w:val="00651904"/>
    <w:rsid w:val="006521F3"/>
    <w:rsid w:val="006524D5"/>
    <w:rsid w:val="00652BBD"/>
    <w:rsid w:val="00653633"/>
    <w:rsid w:val="00653EC2"/>
    <w:rsid w:val="00653F69"/>
    <w:rsid w:val="00654936"/>
    <w:rsid w:val="00655485"/>
    <w:rsid w:val="006558B3"/>
    <w:rsid w:val="00660BF0"/>
    <w:rsid w:val="0066189C"/>
    <w:rsid w:val="006630CF"/>
    <w:rsid w:val="00663EFF"/>
    <w:rsid w:val="00664FFB"/>
    <w:rsid w:val="00665800"/>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0A4"/>
    <w:rsid w:val="0069780E"/>
    <w:rsid w:val="006A0AFA"/>
    <w:rsid w:val="006A2CA2"/>
    <w:rsid w:val="006B2D40"/>
    <w:rsid w:val="006B34DF"/>
    <w:rsid w:val="006B39B2"/>
    <w:rsid w:val="006B3AF9"/>
    <w:rsid w:val="006B45A0"/>
    <w:rsid w:val="006B514F"/>
    <w:rsid w:val="006B5668"/>
    <w:rsid w:val="006B5F71"/>
    <w:rsid w:val="006B6E44"/>
    <w:rsid w:val="006B7059"/>
    <w:rsid w:val="006B7287"/>
    <w:rsid w:val="006B7F2E"/>
    <w:rsid w:val="006C0BF8"/>
    <w:rsid w:val="006C2253"/>
    <w:rsid w:val="006C2CCB"/>
    <w:rsid w:val="006C368D"/>
    <w:rsid w:val="006C4334"/>
    <w:rsid w:val="006C4B0F"/>
    <w:rsid w:val="006C5E96"/>
    <w:rsid w:val="006D399F"/>
    <w:rsid w:val="006D4F0C"/>
    <w:rsid w:val="006D5645"/>
    <w:rsid w:val="006D7A15"/>
    <w:rsid w:val="006E0C8A"/>
    <w:rsid w:val="006E2A23"/>
    <w:rsid w:val="006E35E5"/>
    <w:rsid w:val="006E3943"/>
    <w:rsid w:val="006E3C72"/>
    <w:rsid w:val="006E4F20"/>
    <w:rsid w:val="006E649A"/>
    <w:rsid w:val="006F08DC"/>
    <w:rsid w:val="006F1C20"/>
    <w:rsid w:val="006F247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A5"/>
    <w:rsid w:val="007043F0"/>
    <w:rsid w:val="0070482E"/>
    <w:rsid w:val="00704D25"/>
    <w:rsid w:val="00710519"/>
    <w:rsid w:val="00710F6E"/>
    <w:rsid w:val="00711663"/>
    <w:rsid w:val="007116B4"/>
    <w:rsid w:val="007121FB"/>
    <w:rsid w:val="00712580"/>
    <w:rsid w:val="00712E69"/>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119"/>
    <w:rsid w:val="0074726F"/>
    <w:rsid w:val="00752D4F"/>
    <w:rsid w:val="0075387E"/>
    <w:rsid w:val="00753EB9"/>
    <w:rsid w:val="00753F9E"/>
    <w:rsid w:val="0075409F"/>
    <w:rsid w:val="0075525A"/>
    <w:rsid w:val="00755609"/>
    <w:rsid w:val="00755958"/>
    <w:rsid w:val="00755986"/>
    <w:rsid w:val="00755C86"/>
    <w:rsid w:val="00755E19"/>
    <w:rsid w:val="00756BFF"/>
    <w:rsid w:val="00756D77"/>
    <w:rsid w:val="00760041"/>
    <w:rsid w:val="0076007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5FB"/>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2717"/>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E7567"/>
    <w:rsid w:val="007F0DDA"/>
    <w:rsid w:val="007F1939"/>
    <w:rsid w:val="007F365C"/>
    <w:rsid w:val="007F5066"/>
    <w:rsid w:val="007F621C"/>
    <w:rsid w:val="007F7155"/>
    <w:rsid w:val="00800C28"/>
    <w:rsid w:val="0080245E"/>
    <w:rsid w:val="00802924"/>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3ED"/>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35E"/>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045B"/>
    <w:rsid w:val="00871F04"/>
    <w:rsid w:val="008746C1"/>
    <w:rsid w:val="00880224"/>
    <w:rsid w:val="008803F3"/>
    <w:rsid w:val="0088244C"/>
    <w:rsid w:val="00883367"/>
    <w:rsid w:val="00884C47"/>
    <w:rsid w:val="00885E6F"/>
    <w:rsid w:val="008861AC"/>
    <w:rsid w:val="008868E4"/>
    <w:rsid w:val="00886A60"/>
    <w:rsid w:val="0088759B"/>
    <w:rsid w:val="008909B4"/>
    <w:rsid w:val="008922E8"/>
    <w:rsid w:val="00892E72"/>
    <w:rsid w:val="00893916"/>
    <w:rsid w:val="0089442C"/>
    <w:rsid w:val="00895818"/>
    <w:rsid w:val="008A2585"/>
    <w:rsid w:val="008A2718"/>
    <w:rsid w:val="008A4CF6"/>
    <w:rsid w:val="008A4E42"/>
    <w:rsid w:val="008A51AA"/>
    <w:rsid w:val="008A6A12"/>
    <w:rsid w:val="008B0DC6"/>
    <w:rsid w:val="008B164D"/>
    <w:rsid w:val="008B2B9E"/>
    <w:rsid w:val="008B31F5"/>
    <w:rsid w:val="008B4C79"/>
    <w:rsid w:val="008B5D2D"/>
    <w:rsid w:val="008B6361"/>
    <w:rsid w:val="008B7CB9"/>
    <w:rsid w:val="008C0320"/>
    <w:rsid w:val="008C2A81"/>
    <w:rsid w:val="008C3863"/>
    <w:rsid w:val="008C3B6B"/>
    <w:rsid w:val="008C42A7"/>
    <w:rsid w:val="008C4396"/>
    <w:rsid w:val="008C4BDC"/>
    <w:rsid w:val="008C50FF"/>
    <w:rsid w:val="008C5435"/>
    <w:rsid w:val="008C6BD1"/>
    <w:rsid w:val="008D2DB5"/>
    <w:rsid w:val="008D3F10"/>
    <w:rsid w:val="008D4656"/>
    <w:rsid w:val="008D611D"/>
    <w:rsid w:val="008D73E5"/>
    <w:rsid w:val="008E1B6A"/>
    <w:rsid w:val="008E2259"/>
    <w:rsid w:val="008E3054"/>
    <w:rsid w:val="008E32FF"/>
    <w:rsid w:val="008E5625"/>
    <w:rsid w:val="008E5C5B"/>
    <w:rsid w:val="008E6A37"/>
    <w:rsid w:val="008F0354"/>
    <w:rsid w:val="008F085A"/>
    <w:rsid w:val="008F1462"/>
    <w:rsid w:val="008F14FF"/>
    <w:rsid w:val="008F2413"/>
    <w:rsid w:val="008F248D"/>
    <w:rsid w:val="008F4B2C"/>
    <w:rsid w:val="008F4C08"/>
    <w:rsid w:val="008F6851"/>
    <w:rsid w:val="008F7BC4"/>
    <w:rsid w:val="009003B8"/>
    <w:rsid w:val="009005FD"/>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1D8"/>
    <w:rsid w:val="00923BCF"/>
    <w:rsid w:val="00925AEC"/>
    <w:rsid w:val="0092751A"/>
    <w:rsid w:val="009305C4"/>
    <w:rsid w:val="00931FAF"/>
    <w:rsid w:val="00932478"/>
    <w:rsid w:val="009360F6"/>
    <w:rsid w:val="009371DC"/>
    <w:rsid w:val="0093759D"/>
    <w:rsid w:val="00940239"/>
    <w:rsid w:val="00940BE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39B5"/>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C"/>
    <w:rsid w:val="009934BB"/>
    <w:rsid w:val="00994621"/>
    <w:rsid w:val="009947FF"/>
    <w:rsid w:val="0099544B"/>
    <w:rsid w:val="00996DFC"/>
    <w:rsid w:val="009A07A6"/>
    <w:rsid w:val="009A0D56"/>
    <w:rsid w:val="009A31B9"/>
    <w:rsid w:val="009A3405"/>
    <w:rsid w:val="009A4D4F"/>
    <w:rsid w:val="009A53D8"/>
    <w:rsid w:val="009A597F"/>
    <w:rsid w:val="009A7B72"/>
    <w:rsid w:val="009A7E71"/>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D0219"/>
    <w:rsid w:val="009D02C8"/>
    <w:rsid w:val="009D0910"/>
    <w:rsid w:val="009D0D55"/>
    <w:rsid w:val="009D2295"/>
    <w:rsid w:val="009D2511"/>
    <w:rsid w:val="009D3E7C"/>
    <w:rsid w:val="009D55CA"/>
    <w:rsid w:val="009D5661"/>
    <w:rsid w:val="009D5EF0"/>
    <w:rsid w:val="009D6401"/>
    <w:rsid w:val="009D6E99"/>
    <w:rsid w:val="009E0711"/>
    <w:rsid w:val="009E085F"/>
    <w:rsid w:val="009E1917"/>
    <w:rsid w:val="009E3594"/>
    <w:rsid w:val="009E4AC8"/>
    <w:rsid w:val="009E6B77"/>
    <w:rsid w:val="009E7724"/>
    <w:rsid w:val="009E7D1F"/>
    <w:rsid w:val="009F1D82"/>
    <w:rsid w:val="009F37AA"/>
    <w:rsid w:val="009F383A"/>
    <w:rsid w:val="009F544C"/>
    <w:rsid w:val="009F5731"/>
    <w:rsid w:val="009F58FA"/>
    <w:rsid w:val="009F6321"/>
    <w:rsid w:val="009F6378"/>
    <w:rsid w:val="009F7669"/>
    <w:rsid w:val="009F7F45"/>
    <w:rsid w:val="009F7FD5"/>
    <w:rsid w:val="00A005D4"/>
    <w:rsid w:val="00A0083C"/>
    <w:rsid w:val="00A01A90"/>
    <w:rsid w:val="00A02370"/>
    <w:rsid w:val="00A0386B"/>
    <w:rsid w:val="00A04685"/>
    <w:rsid w:val="00A04C57"/>
    <w:rsid w:val="00A06340"/>
    <w:rsid w:val="00A06567"/>
    <w:rsid w:val="00A0684F"/>
    <w:rsid w:val="00A06867"/>
    <w:rsid w:val="00A10148"/>
    <w:rsid w:val="00A113FD"/>
    <w:rsid w:val="00A114F4"/>
    <w:rsid w:val="00A11DDE"/>
    <w:rsid w:val="00A127A7"/>
    <w:rsid w:val="00A129F4"/>
    <w:rsid w:val="00A136F4"/>
    <w:rsid w:val="00A160D3"/>
    <w:rsid w:val="00A16DC9"/>
    <w:rsid w:val="00A20225"/>
    <w:rsid w:val="00A24269"/>
    <w:rsid w:val="00A243E4"/>
    <w:rsid w:val="00A25392"/>
    <w:rsid w:val="00A25ED4"/>
    <w:rsid w:val="00A263DF"/>
    <w:rsid w:val="00A26471"/>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506"/>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2F0"/>
    <w:rsid w:val="00A74F9F"/>
    <w:rsid w:val="00A750B3"/>
    <w:rsid w:val="00A75559"/>
    <w:rsid w:val="00A75F4E"/>
    <w:rsid w:val="00A7623D"/>
    <w:rsid w:val="00A8217C"/>
    <w:rsid w:val="00A824A7"/>
    <w:rsid w:val="00A82510"/>
    <w:rsid w:val="00A83644"/>
    <w:rsid w:val="00A83C07"/>
    <w:rsid w:val="00A83F40"/>
    <w:rsid w:val="00A84945"/>
    <w:rsid w:val="00A85543"/>
    <w:rsid w:val="00A86EDD"/>
    <w:rsid w:val="00A8728B"/>
    <w:rsid w:val="00A91682"/>
    <w:rsid w:val="00A92125"/>
    <w:rsid w:val="00A92E4A"/>
    <w:rsid w:val="00A95314"/>
    <w:rsid w:val="00A958CA"/>
    <w:rsid w:val="00A966B6"/>
    <w:rsid w:val="00A96B46"/>
    <w:rsid w:val="00AA003B"/>
    <w:rsid w:val="00AA016B"/>
    <w:rsid w:val="00AA15DD"/>
    <w:rsid w:val="00AA1C09"/>
    <w:rsid w:val="00AA2F67"/>
    <w:rsid w:val="00AA3569"/>
    <w:rsid w:val="00AA55E8"/>
    <w:rsid w:val="00AA5F4C"/>
    <w:rsid w:val="00AA615C"/>
    <w:rsid w:val="00AA6276"/>
    <w:rsid w:val="00AA6711"/>
    <w:rsid w:val="00AB0A0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05B"/>
    <w:rsid w:val="00AD3B43"/>
    <w:rsid w:val="00AD4FF2"/>
    <w:rsid w:val="00AD506C"/>
    <w:rsid w:val="00AD6BE5"/>
    <w:rsid w:val="00AD783E"/>
    <w:rsid w:val="00AE1393"/>
    <w:rsid w:val="00AE17DF"/>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6F6F"/>
    <w:rsid w:val="00B176B9"/>
    <w:rsid w:val="00B17AD5"/>
    <w:rsid w:val="00B17DC8"/>
    <w:rsid w:val="00B17E1E"/>
    <w:rsid w:val="00B207F1"/>
    <w:rsid w:val="00B20A42"/>
    <w:rsid w:val="00B20BDE"/>
    <w:rsid w:val="00B20C41"/>
    <w:rsid w:val="00B2138D"/>
    <w:rsid w:val="00B21768"/>
    <w:rsid w:val="00B233B7"/>
    <w:rsid w:val="00B23F86"/>
    <w:rsid w:val="00B248A0"/>
    <w:rsid w:val="00B24B42"/>
    <w:rsid w:val="00B24DC6"/>
    <w:rsid w:val="00B24E30"/>
    <w:rsid w:val="00B258F3"/>
    <w:rsid w:val="00B25E0D"/>
    <w:rsid w:val="00B25E63"/>
    <w:rsid w:val="00B2659C"/>
    <w:rsid w:val="00B26B13"/>
    <w:rsid w:val="00B26BD2"/>
    <w:rsid w:val="00B26FD7"/>
    <w:rsid w:val="00B270AB"/>
    <w:rsid w:val="00B2725B"/>
    <w:rsid w:val="00B306FC"/>
    <w:rsid w:val="00B309D2"/>
    <w:rsid w:val="00B30E4F"/>
    <w:rsid w:val="00B3124F"/>
    <w:rsid w:val="00B33294"/>
    <w:rsid w:val="00B33657"/>
    <w:rsid w:val="00B34384"/>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82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351C"/>
    <w:rsid w:val="00B6357B"/>
    <w:rsid w:val="00B6439A"/>
    <w:rsid w:val="00B6443B"/>
    <w:rsid w:val="00B6517B"/>
    <w:rsid w:val="00B65E71"/>
    <w:rsid w:val="00B66003"/>
    <w:rsid w:val="00B66C26"/>
    <w:rsid w:val="00B67829"/>
    <w:rsid w:val="00B71FB3"/>
    <w:rsid w:val="00B73492"/>
    <w:rsid w:val="00B73FB7"/>
    <w:rsid w:val="00B7512A"/>
    <w:rsid w:val="00B75265"/>
    <w:rsid w:val="00B76548"/>
    <w:rsid w:val="00B76BED"/>
    <w:rsid w:val="00B806E6"/>
    <w:rsid w:val="00B8114D"/>
    <w:rsid w:val="00B82DC1"/>
    <w:rsid w:val="00B833BF"/>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B5A"/>
    <w:rsid w:val="00BA5828"/>
    <w:rsid w:val="00BA64B3"/>
    <w:rsid w:val="00BA754A"/>
    <w:rsid w:val="00BA7820"/>
    <w:rsid w:val="00BA794C"/>
    <w:rsid w:val="00BB09FB"/>
    <w:rsid w:val="00BB1973"/>
    <w:rsid w:val="00BB238D"/>
    <w:rsid w:val="00BB24E8"/>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53BB"/>
    <w:rsid w:val="00BF62D2"/>
    <w:rsid w:val="00BF6D9E"/>
    <w:rsid w:val="00BF71BB"/>
    <w:rsid w:val="00BF76F7"/>
    <w:rsid w:val="00BF79B0"/>
    <w:rsid w:val="00BF7C9F"/>
    <w:rsid w:val="00C00012"/>
    <w:rsid w:val="00C000A5"/>
    <w:rsid w:val="00C006B4"/>
    <w:rsid w:val="00C00938"/>
    <w:rsid w:val="00C00E2A"/>
    <w:rsid w:val="00C0102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BF7"/>
    <w:rsid w:val="00C13ED7"/>
    <w:rsid w:val="00C14615"/>
    <w:rsid w:val="00C14F48"/>
    <w:rsid w:val="00C15296"/>
    <w:rsid w:val="00C16CE1"/>
    <w:rsid w:val="00C17750"/>
    <w:rsid w:val="00C2094B"/>
    <w:rsid w:val="00C20DC5"/>
    <w:rsid w:val="00C228C1"/>
    <w:rsid w:val="00C2294E"/>
    <w:rsid w:val="00C22A5B"/>
    <w:rsid w:val="00C23412"/>
    <w:rsid w:val="00C246E8"/>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4EE9"/>
    <w:rsid w:val="00C456E8"/>
    <w:rsid w:val="00C46630"/>
    <w:rsid w:val="00C46C71"/>
    <w:rsid w:val="00C47A2F"/>
    <w:rsid w:val="00C50D18"/>
    <w:rsid w:val="00C51179"/>
    <w:rsid w:val="00C5156C"/>
    <w:rsid w:val="00C5282C"/>
    <w:rsid w:val="00C52FBE"/>
    <w:rsid w:val="00C5355E"/>
    <w:rsid w:val="00C535E2"/>
    <w:rsid w:val="00C53FC1"/>
    <w:rsid w:val="00C54034"/>
    <w:rsid w:val="00C54662"/>
    <w:rsid w:val="00C551D2"/>
    <w:rsid w:val="00C56438"/>
    <w:rsid w:val="00C570B3"/>
    <w:rsid w:val="00C57114"/>
    <w:rsid w:val="00C6009F"/>
    <w:rsid w:val="00C60417"/>
    <w:rsid w:val="00C6046F"/>
    <w:rsid w:val="00C638C2"/>
    <w:rsid w:val="00C651D4"/>
    <w:rsid w:val="00C6669E"/>
    <w:rsid w:val="00C672B0"/>
    <w:rsid w:val="00C729C7"/>
    <w:rsid w:val="00C73AA1"/>
    <w:rsid w:val="00C777AD"/>
    <w:rsid w:val="00C80C53"/>
    <w:rsid w:val="00C81195"/>
    <w:rsid w:val="00C81651"/>
    <w:rsid w:val="00C81798"/>
    <w:rsid w:val="00C85387"/>
    <w:rsid w:val="00C85E52"/>
    <w:rsid w:val="00C86471"/>
    <w:rsid w:val="00C8677B"/>
    <w:rsid w:val="00C86F96"/>
    <w:rsid w:val="00C909C6"/>
    <w:rsid w:val="00C923B7"/>
    <w:rsid w:val="00C94D4C"/>
    <w:rsid w:val="00C96C1E"/>
    <w:rsid w:val="00C96CA4"/>
    <w:rsid w:val="00C97A4A"/>
    <w:rsid w:val="00CA012C"/>
    <w:rsid w:val="00CA0AA6"/>
    <w:rsid w:val="00CA2897"/>
    <w:rsid w:val="00CA3C10"/>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0410"/>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F3F"/>
    <w:rsid w:val="00D11749"/>
    <w:rsid w:val="00D117B4"/>
    <w:rsid w:val="00D12A7D"/>
    <w:rsid w:val="00D13AB0"/>
    <w:rsid w:val="00D1519E"/>
    <w:rsid w:val="00D152B7"/>
    <w:rsid w:val="00D16EDC"/>
    <w:rsid w:val="00D17F90"/>
    <w:rsid w:val="00D17FDE"/>
    <w:rsid w:val="00D201CB"/>
    <w:rsid w:val="00D204A5"/>
    <w:rsid w:val="00D22786"/>
    <w:rsid w:val="00D228B4"/>
    <w:rsid w:val="00D25AC4"/>
    <w:rsid w:val="00D268D0"/>
    <w:rsid w:val="00D305F6"/>
    <w:rsid w:val="00D30B25"/>
    <w:rsid w:val="00D3175A"/>
    <w:rsid w:val="00D31A00"/>
    <w:rsid w:val="00D323E4"/>
    <w:rsid w:val="00D32871"/>
    <w:rsid w:val="00D329F6"/>
    <w:rsid w:val="00D33881"/>
    <w:rsid w:val="00D34282"/>
    <w:rsid w:val="00D366B1"/>
    <w:rsid w:val="00D37858"/>
    <w:rsid w:val="00D37AE0"/>
    <w:rsid w:val="00D416A8"/>
    <w:rsid w:val="00D4217D"/>
    <w:rsid w:val="00D4257C"/>
    <w:rsid w:val="00D425AC"/>
    <w:rsid w:val="00D42823"/>
    <w:rsid w:val="00D42D5E"/>
    <w:rsid w:val="00D43F14"/>
    <w:rsid w:val="00D44264"/>
    <w:rsid w:val="00D44C18"/>
    <w:rsid w:val="00D4556D"/>
    <w:rsid w:val="00D47D12"/>
    <w:rsid w:val="00D511C6"/>
    <w:rsid w:val="00D5121D"/>
    <w:rsid w:val="00D516AC"/>
    <w:rsid w:val="00D521BB"/>
    <w:rsid w:val="00D52875"/>
    <w:rsid w:val="00D53941"/>
    <w:rsid w:val="00D54050"/>
    <w:rsid w:val="00D56AC0"/>
    <w:rsid w:val="00D6081B"/>
    <w:rsid w:val="00D608F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FC"/>
    <w:rsid w:val="00DA0FA7"/>
    <w:rsid w:val="00DA12B0"/>
    <w:rsid w:val="00DA2BA0"/>
    <w:rsid w:val="00DA39AD"/>
    <w:rsid w:val="00DA3DF2"/>
    <w:rsid w:val="00DA5B13"/>
    <w:rsid w:val="00DA6917"/>
    <w:rsid w:val="00DA6926"/>
    <w:rsid w:val="00DB0365"/>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4B5"/>
    <w:rsid w:val="00DD61F5"/>
    <w:rsid w:val="00DD7418"/>
    <w:rsid w:val="00DE64A6"/>
    <w:rsid w:val="00DE66EB"/>
    <w:rsid w:val="00DE7035"/>
    <w:rsid w:val="00DF12E3"/>
    <w:rsid w:val="00DF2A20"/>
    <w:rsid w:val="00DF3F1D"/>
    <w:rsid w:val="00DF595C"/>
    <w:rsid w:val="00DF7EA7"/>
    <w:rsid w:val="00E04548"/>
    <w:rsid w:val="00E0484E"/>
    <w:rsid w:val="00E0513A"/>
    <w:rsid w:val="00E05711"/>
    <w:rsid w:val="00E063F8"/>
    <w:rsid w:val="00E114D6"/>
    <w:rsid w:val="00E1166E"/>
    <w:rsid w:val="00E11DBD"/>
    <w:rsid w:val="00E13211"/>
    <w:rsid w:val="00E136FC"/>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0D"/>
    <w:rsid w:val="00E41F32"/>
    <w:rsid w:val="00E42608"/>
    <w:rsid w:val="00E43536"/>
    <w:rsid w:val="00E43DA3"/>
    <w:rsid w:val="00E44B80"/>
    <w:rsid w:val="00E45735"/>
    <w:rsid w:val="00E45938"/>
    <w:rsid w:val="00E47430"/>
    <w:rsid w:val="00E474BD"/>
    <w:rsid w:val="00E50FB7"/>
    <w:rsid w:val="00E5199F"/>
    <w:rsid w:val="00E526DF"/>
    <w:rsid w:val="00E53C15"/>
    <w:rsid w:val="00E54EE6"/>
    <w:rsid w:val="00E56715"/>
    <w:rsid w:val="00E56C2C"/>
    <w:rsid w:val="00E57F8E"/>
    <w:rsid w:val="00E60B13"/>
    <w:rsid w:val="00E611C8"/>
    <w:rsid w:val="00E6344A"/>
    <w:rsid w:val="00E64E69"/>
    <w:rsid w:val="00E64FB7"/>
    <w:rsid w:val="00E669A1"/>
    <w:rsid w:val="00E679BA"/>
    <w:rsid w:val="00E70243"/>
    <w:rsid w:val="00E70E2E"/>
    <w:rsid w:val="00E71CE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0E34"/>
    <w:rsid w:val="00EE311C"/>
    <w:rsid w:val="00EE56FF"/>
    <w:rsid w:val="00EE5886"/>
    <w:rsid w:val="00EE5FBF"/>
    <w:rsid w:val="00EE6472"/>
    <w:rsid w:val="00EE76F2"/>
    <w:rsid w:val="00EF0769"/>
    <w:rsid w:val="00EF0D7C"/>
    <w:rsid w:val="00EF314C"/>
    <w:rsid w:val="00EF383B"/>
    <w:rsid w:val="00EF40D8"/>
    <w:rsid w:val="00EF40E2"/>
    <w:rsid w:val="00EF61C1"/>
    <w:rsid w:val="00EF6E68"/>
    <w:rsid w:val="00EF76DB"/>
    <w:rsid w:val="00F005FD"/>
    <w:rsid w:val="00F016BE"/>
    <w:rsid w:val="00F02C04"/>
    <w:rsid w:val="00F03203"/>
    <w:rsid w:val="00F03AF1"/>
    <w:rsid w:val="00F04BCD"/>
    <w:rsid w:val="00F05A8C"/>
    <w:rsid w:val="00F06211"/>
    <w:rsid w:val="00F10157"/>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44E"/>
    <w:rsid w:val="00F32462"/>
    <w:rsid w:val="00F32FF7"/>
    <w:rsid w:val="00F33EDE"/>
    <w:rsid w:val="00F3441F"/>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5960"/>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C06"/>
    <w:rsid w:val="00F82FF3"/>
    <w:rsid w:val="00F83468"/>
    <w:rsid w:val="00F8453C"/>
    <w:rsid w:val="00F84D4C"/>
    <w:rsid w:val="00F85CB9"/>
    <w:rsid w:val="00F8657D"/>
    <w:rsid w:val="00F8730F"/>
    <w:rsid w:val="00F87468"/>
    <w:rsid w:val="00F87897"/>
    <w:rsid w:val="00F87DA3"/>
    <w:rsid w:val="00F90004"/>
    <w:rsid w:val="00F90EF4"/>
    <w:rsid w:val="00F917BF"/>
    <w:rsid w:val="00F920B4"/>
    <w:rsid w:val="00F920F7"/>
    <w:rsid w:val="00F9260D"/>
    <w:rsid w:val="00F92727"/>
    <w:rsid w:val="00F93111"/>
    <w:rsid w:val="00F93646"/>
    <w:rsid w:val="00F93CCF"/>
    <w:rsid w:val="00F94307"/>
    <w:rsid w:val="00F9580B"/>
    <w:rsid w:val="00F95F15"/>
    <w:rsid w:val="00F975CA"/>
    <w:rsid w:val="00FA0B60"/>
    <w:rsid w:val="00FA21B1"/>
    <w:rsid w:val="00FA2528"/>
    <w:rsid w:val="00FA4100"/>
    <w:rsid w:val="00FA5524"/>
    <w:rsid w:val="00FA5535"/>
    <w:rsid w:val="00FA7206"/>
    <w:rsid w:val="00FA7EC1"/>
    <w:rsid w:val="00FA7EFB"/>
    <w:rsid w:val="00FB0816"/>
    <w:rsid w:val="00FB08C2"/>
    <w:rsid w:val="00FB3DD1"/>
    <w:rsid w:val="00FB51FD"/>
    <w:rsid w:val="00FB5667"/>
    <w:rsid w:val="00FB629B"/>
    <w:rsid w:val="00FB7A97"/>
    <w:rsid w:val="00FB7C12"/>
    <w:rsid w:val="00FC1601"/>
    <w:rsid w:val="00FC1B9B"/>
    <w:rsid w:val="00FC318D"/>
    <w:rsid w:val="00FC36CF"/>
    <w:rsid w:val="00FC40BC"/>
    <w:rsid w:val="00FC41FC"/>
    <w:rsid w:val="00FC4F6E"/>
    <w:rsid w:val="00FC506C"/>
    <w:rsid w:val="00FC578C"/>
    <w:rsid w:val="00FC5A37"/>
    <w:rsid w:val="00FC6D82"/>
    <w:rsid w:val="00FC7836"/>
    <w:rsid w:val="00FD13EA"/>
    <w:rsid w:val="00FD5C3A"/>
    <w:rsid w:val="00FD5EC4"/>
    <w:rsid w:val="00FD7858"/>
    <w:rsid w:val="00FD7A8D"/>
    <w:rsid w:val="00FE11A0"/>
    <w:rsid w:val="00FE1330"/>
    <w:rsid w:val="00FE1CE5"/>
    <w:rsid w:val="00FE2832"/>
    <w:rsid w:val="00FE2D38"/>
    <w:rsid w:val="00FE3929"/>
    <w:rsid w:val="00FE3E32"/>
    <w:rsid w:val="00FE709F"/>
    <w:rsid w:val="00FF0445"/>
    <w:rsid w:val="00FF097B"/>
    <w:rsid w:val="00FF0B6E"/>
    <w:rsid w:val="00FF1C1B"/>
    <w:rsid w:val="00FF2067"/>
    <w:rsid w:val="00FF3BC4"/>
    <w:rsid w:val="00FF4B66"/>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A732F0"/>
    <w:pPr>
      <w:numPr>
        <w:numId w:val="34"/>
      </w:numPr>
      <w:contextualSpacing/>
    </w:pPr>
    <w:rPr>
      <w:b/>
      <w:szCs w:val="22"/>
    </w:rPr>
  </w:style>
  <w:style w:type="character" w:customStyle="1" w:styleId="QuestionstyleChar">
    <w:name w:val="Question style Char"/>
    <w:basedOn w:val="DefaultParagraphFont"/>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75e9fb5-4f01-411f-a7a6-52d05c4935b4" xsi:nil="true"/>
    <SharedWithUsers xmlns="775e9fb5-4f01-411f-a7a6-52d05c4935b4">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71c27bb-1db3-4467-bca5-0aee81417cec">
      <Terms xmlns="http://schemas.microsoft.com/office/infopath/2007/PartnerControls"/>
    </lcf76f155ced4ddcb4097134ff3c332f>
    <picID xmlns="f71c27bb-1db3-4467-bca5-0aee81417c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B6117CED48D3D4CBD0FB704D6484950" ma:contentTypeVersion="19" ma:contentTypeDescription="Create a new document." ma:contentTypeScope="" ma:versionID="786821bbafbda5a96ba3c3ee4c8cdaf9">
  <xsd:schema xmlns:xsd="http://www.w3.org/2001/XMLSchema" xmlns:xs="http://www.w3.org/2001/XMLSchema" xmlns:p="http://schemas.microsoft.com/office/2006/metadata/properties" xmlns:ns2="f71c27bb-1db3-4467-bca5-0aee81417cec" xmlns:ns3="775e9fb5-4f01-411f-a7a6-52d05c4935b4" targetNamespace="http://schemas.microsoft.com/office/2006/metadata/properties" ma:root="true" ma:fieldsID="664d64290ab160df4458f788f3dede59" ns2:_="" ns3:_="">
    <xsd:import namespace="f71c27bb-1db3-4467-bca5-0aee81417cec"/>
    <xsd:import namespace="775e9fb5-4f01-411f-a7a6-52d05c4935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picI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c27bb-1db3-4467-bca5-0aee81417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icID" ma:index="21" nillable="true" ma:displayName="picID" ma:format="Dropdown" ma:internalName="picID">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4c0ae18-fba6-44a5-a955-6e50b82f9f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5e9fb5-4f01-411f-a7a6-52d05c493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0793a3b-79fe-42fa-bb40-aaad2f3d177f}" ma:internalName="TaxCatchAll" ma:showField="CatchAllData" ma:web="775e9fb5-4f01-411f-a7a6-52d05c493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775e9fb5-4f01-411f-a7a6-52d05c4935b4"/>
    <ds:schemaRef ds:uri="f71c27bb-1db3-4467-bca5-0aee81417cec"/>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E69FA474-EE75-40EE-B1EA-FABE0AB98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c27bb-1db3-4467-bca5-0aee81417cec"/>
    <ds:schemaRef ds:uri="775e9fb5-4f01-411f-a7a6-52d05c493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24</Pages>
  <Words>5701</Words>
  <Characters>32501</Characters>
  <Application>Microsoft Office Word</Application>
  <DocSecurity>8</DocSecurity>
  <Lines>270</Lines>
  <Paragraphs>76</Paragraphs>
  <ScaleCrop>false</ScaleCrop>
  <Company>ESMA</Company>
  <LinksUpToDate>false</LinksUpToDate>
  <CharactersWithSpaces>38126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Ferdous Hussain</cp:lastModifiedBy>
  <cp:revision>213</cp:revision>
  <cp:lastPrinted>2015-02-18T11:01:00Z</cp:lastPrinted>
  <dcterms:created xsi:type="dcterms:W3CDTF">2024-04-30T11:26:00Z</dcterms:created>
  <dcterms:modified xsi:type="dcterms:W3CDTF">2024-08-28T15:53:00Z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5b9e4768-1c25-4875-b735-1a83496cc6ff</vt:lpwstr>
  </property>
  <property fmtid="{D5CDD505-2E9C-101B-9397-08002B2CF9AE}" pid="4" name="EsmaAudience">
    <vt:lpwstr/>
  </property>
  <property fmtid="{D5CDD505-2E9C-101B-9397-08002B2CF9AE}" pid="5" name="TeamName">
    <vt:lpwstr>9;#Trading Unit|0cda11c1-7d91-4d51-b3a1-339122a07b73</vt:lpwstr>
  </property>
  <property fmtid="{D5CDD505-2E9C-101B-9397-08002B2CF9AE}" pid="6" name="Topic">
    <vt:lpwstr>396;#MiFIR review|8e1f943c-95af-4c0c-bb85-794622e8f573</vt:lpwstr>
  </property>
  <property fmtid="{D5CDD505-2E9C-101B-9397-08002B2CF9AE}" pid="7" name="ConfidentialityLevel">
    <vt:lpwstr>6;#Regular|07f1e362-856b-423d-bea6-a14079762141</vt:lpwstr>
  </property>
  <property fmtid="{D5CDD505-2E9C-101B-9397-08002B2CF9AE}" pid="8" name="DocumentType">
    <vt:lpwstr>103;#Form / Request|efe27f23-61a2-47e7-916e-544dd02c80f4</vt:lpwstr>
  </property>
  <property fmtid="{D5CDD505-2E9C-101B-9397-08002B2CF9AE}" pid="9" name="SubTopic">
    <vt:lpwstr>1008;#MiFIR Review - Consultation Paper 2 - RTS 2, RCB and Reference Data|9a04b656-9ada-4168-ad3c-16b81ab61b24</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DocumentSetDescription">
    <vt:lpwstr/>
  </property>
  <property fmtid="{D5CDD505-2E9C-101B-9397-08002B2CF9AE}" pid="15" name="_ExtendedDescription">
    <vt:lpwstr/>
  </property>
  <property fmtid="{D5CDD505-2E9C-101B-9397-08002B2CF9AE}" pid="16" name="URL">
    <vt:lpwstr/>
  </property>
  <property fmtid="{D5CDD505-2E9C-101B-9397-08002B2CF9AE}" pid="17" name="MediaServiceImageTags">
    <vt:lpwstr/>
  </property>
</Properties>
</file>