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50127662" w:rsidR="00C2682A" w:rsidRPr="00104E00" w:rsidRDefault="00F4219D" w:rsidP="00104E00">
                <w:pPr>
                  <w:jc w:val="left"/>
                  <w:rPr>
                    <w:rStyle w:val="PlaceholderText"/>
                  </w:rPr>
                </w:pPr>
                <w:r>
                  <w:rPr>
                    <w:rStyle w:val="PlaceholderText"/>
                  </w:rPr>
                  <w:t>The Alternative Investment Management Association (AIMA)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5B1C54B9"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4219D">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7605DAD2" w:rsidR="00C2682A" w:rsidRPr="00104E00" w:rsidRDefault="00F4219D"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1E2CE7B" w:rsidR="00C2682A" w:rsidRPr="00104E00" w:rsidRDefault="00F4219D" w:rsidP="00104E00">
                <w:pPr>
                  <w:jc w:val="left"/>
                </w:pPr>
                <w:r>
                  <w:t>International</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lastRenderedPageBreak/>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lastRenderedPageBreak/>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lastRenderedPageBreak/>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30C787C6" w14:textId="77777777" w:rsidR="00F4219D" w:rsidRPr="00894D43" w:rsidRDefault="00F4219D" w:rsidP="00F4219D">
      <w:pPr>
        <w:spacing w:line="240" w:lineRule="auto"/>
        <w:rPr>
          <w:rFonts w:ascii="Open Sans" w:hAnsi="Open Sans" w:cs="Open Sans"/>
          <w:sz w:val="20"/>
          <w:shd w:val="clear" w:color="auto" w:fill="FFFFFF"/>
        </w:rPr>
      </w:pPr>
      <w:permStart w:id="1126446852" w:edGrp="everyone"/>
      <w:r w:rsidRPr="00894D43">
        <w:rPr>
          <w:rFonts w:ascii="Open Sans" w:hAnsi="Open Sans" w:cs="Open Sans"/>
          <w:sz w:val="20"/>
        </w:rPr>
        <w:lastRenderedPageBreak/>
        <w:t>The Alternative Investment Management Association</w:t>
      </w:r>
      <w:r w:rsidRPr="00894D43">
        <w:rPr>
          <w:rStyle w:val="FootnoteReference"/>
          <w:rFonts w:ascii="Open Sans" w:hAnsi="Open Sans" w:cs="Open Sans"/>
          <w:sz w:val="20"/>
        </w:rPr>
        <w:footnoteReference w:id="2"/>
      </w:r>
      <w:r w:rsidRPr="00894D43">
        <w:rPr>
          <w:rFonts w:ascii="Open Sans" w:hAnsi="Open Sans" w:cs="Open Sans"/>
          <w:sz w:val="20"/>
        </w:rPr>
        <w:t xml:space="preserve"> (AIMA) welcomes the opportunity to submit comments to </w:t>
      </w:r>
      <w:r>
        <w:rPr>
          <w:rFonts w:ascii="Open Sans" w:hAnsi="Open Sans" w:cs="Open Sans"/>
          <w:sz w:val="20"/>
        </w:rPr>
        <w:t xml:space="preserve">the European Securities and Markets Authority </w:t>
      </w:r>
      <w:r w:rsidRPr="00894D43">
        <w:rPr>
          <w:rFonts w:ascii="Open Sans" w:hAnsi="Open Sans" w:cs="Open Sans"/>
          <w:sz w:val="20"/>
        </w:rPr>
        <w:t>(</w:t>
      </w:r>
      <w:r>
        <w:rPr>
          <w:rFonts w:ascii="Open Sans" w:hAnsi="Open Sans" w:cs="Open Sans"/>
          <w:sz w:val="20"/>
        </w:rPr>
        <w:t>ESMA</w:t>
      </w:r>
      <w:r w:rsidRPr="00894D43">
        <w:rPr>
          <w:rFonts w:ascii="Open Sans" w:hAnsi="Open Sans" w:cs="Open Sans"/>
          <w:sz w:val="20"/>
        </w:rPr>
        <w:t>) in response to its consultation</w:t>
      </w:r>
      <w:r>
        <w:rPr>
          <w:rFonts w:ascii="Open Sans" w:hAnsi="Open Sans" w:cs="Open Sans"/>
          <w:sz w:val="20"/>
        </w:rPr>
        <w:t xml:space="preserve"> paper</w:t>
      </w:r>
      <w:r w:rsidRPr="00894D43">
        <w:rPr>
          <w:rFonts w:ascii="Open Sans" w:hAnsi="Open Sans" w:cs="Open Sans"/>
          <w:sz w:val="20"/>
        </w:rPr>
        <w:t xml:space="preserve"> on </w:t>
      </w:r>
      <w:r>
        <w:rPr>
          <w:rFonts w:ascii="Open Sans" w:hAnsi="Open Sans" w:cs="Open Sans"/>
          <w:sz w:val="20"/>
        </w:rPr>
        <w:t>the amendment of RTS 2 on non-equity transparency</w:t>
      </w:r>
      <w:r w:rsidRPr="00894D43">
        <w:rPr>
          <w:rFonts w:ascii="Open Sans" w:hAnsi="Open Sans" w:cs="Open Sans"/>
          <w:sz w:val="20"/>
        </w:rPr>
        <w:t xml:space="preserve"> (the “consultation”)</w:t>
      </w:r>
      <w:r w:rsidRPr="00894D43">
        <w:rPr>
          <w:rStyle w:val="FootnoteReference"/>
          <w:rFonts w:ascii="Open Sans" w:hAnsi="Open Sans" w:cs="Open Sans"/>
          <w:sz w:val="20"/>
        </w:rPr>
        <w:footnoteReference w:id="3"/>
      </w:r>
      <w:r w:rsidRPr="00894D43">
        <w:rPr>
          <w:rFonts w:ascii="Open Sans" w:hAnsi="Open Sans" w:cs="Open Sans"/>
          <w:sz w:val="20"/>
        </w:rPr>
        <w:t xml:space="preserve">. </w:t>
      </w:r>
    </w:p>
    <w:p w14:paraId="71B08E98" w14:textId="77777777" w:rsidR="00F4219D" w:rsidRDefault="00F4219D" w:rsidP="00F4219D">
      <w:pPr>
        <w:spacing w:after="0"/>
        <w:rPr>
          <w:rFonts w:ascii="Open Sans" w:hAnsi="Open Sans" w:cs="Open Sans"/>
          <w:sz w:val="20"/>
        </w:rPr>
      </w:pPr>
      <w:r w:rsidRPr="00894D43">
        <w:rPr>
          <w:rFonts w:ascii="Open Sans" w:hAnsi="Open Sans" w:cs="Open Sans"/>
          <w:sz w:val="20"/>
        </w:rPr>
        <w:t xml:space="preserve">AIMA </w:t>
      </w:r>
      <w:r>
        <w:rPr>
          <w:rFonts w:ascii="Open Sans" w:hAnsi="Open Sans" w:cs="Open Sans"/>
          <w:sz w:val="20"/>
        </w:rPr>
        <w:t xml:space="preserve">supports the objectives of the </w:t>
      </w:r>
      <w:proofErr w:type="spellStart"/>
      <w:r>
        <w:rPr>
          <w:rFonts w:ascii="Open Sans" w:hAnsi="Open Sans" w:cs="Open Sans"/>
          <w:sz w:val="20"/>
        </w:rPr>
        <w:t>MiFIR</w:t>
      </w:r>
      <w:proofErr w:type="spellEnd"/>
      <w:r>
        <w:rPr>
          <w:rFonts w:ascii="Open Sans" w:hAnsi="Open Sans" w:cs="Open Sans"/>
          <w:sz w:val="20"/>
        </w:rPr>
        <w:t xml:space="preserve"> Review</w:t>
      </w:r>
      <w:r>
        <w:rPr>
          <w:rStyle w:val="FootnoteReference"/>
          <w:rFonts w:ascii="Open Sans" w:hAnsi="Open Sans" w:cs="Open Sans"/>
          <w:sz w:val="20"/>
        </w:rPr>
        <w:footnoteReference w:id="4"/>
      </w:r>
      <w:r>
        <w:rPr>
          <w:rFonts w:ascii="Open Sans" w:hAnsi="Open Sans" w:cs="Open Sans"/>
          <w:sz w:val="20"/>
        </w:rPr>
        <w:t xml:space="preserve"> to </w:t>
      </w:r>
      <w:r w:rsidRPr="00817332">
        <w:rPr>
          <w:rFonts w:ascii="Open Sans" w:hAnsi="Open Sans" w:cs="Open Sans"/>
          <w:sz w:val="20"/>
        </w:rPr>
        <w:t xml:space="preserve">improve transparency on markets in financial instruments, enhance the level playing field between regulated markets and systematic </w:t>
      </w:r>
      <w:proofErr w:type="spellStart"/>
      <w:r w:rsidRPr="00817332">
        <w:rPr>
          <w:rFonts w:ascii="Open Sans" w:hAnsi="Open Sans" w:cs="Open Sans"/>
          <w:sz w:val="20"/>
        </w:rPr>
        <w:t>internalisers</w:t>
      </w:r>
      <w:proofErr w:type="spellEnd"/>
      <w:r w:rsidRPr="00817332">
        <w:rPr>
          <w:rFonts w:ascii="Open Sans" w:hAnsi="Open Sans" w:cs="Open Sans"/>
          <w:sz w:val="20"/>
        </w:rPr>
        <w:t xml:space="preserve"> and increase the international competitiveness of the EU’s capital markets</w:t>
      </w:r>
      <w:r>
        <w:rPr>
          <w:rFonts w:ascii="Open Sans" w:hAnsi="Open Sans" w:cs="Open Sans"/>
          <w:sz w:val="20"/>
        </w:rPr>
        <w:t xml:space="preserve">. We welcome the introduction of a new regime for non-equity transparency and provisions to improve pre- and post-trade transparency. </w:t>
      </w:r>
      <w:proofErr w:type="gramStart"/>
      <w:r>
        <w:rPr>
          <w:rFonts w:ascii="Open Sans" w:hAnsi="Open Sans" w:cs="Open Sans"/>
          <w:sz w:val="20"/>
        </w:rPr>
        <w:t>In particular, we</w:t>
      </w:r>
      <w:proofErr w:type="gramEnd"/>
      <w:r>
        <w:rPr>
          <w:rFonts w:ascii="Open Sans" w:hAnsi="Open Sans" w:cs="Open Sans"/>
          <w:sz w:val="20"/>
        </w:rPr>
        <w:t xml:space="preserve"> support the creation of a new streamlined post-trade deferral regime for bond and derivative markets which removes the discretion of National Competent Authorities, sets out in the ‘Level 1’ text the maximum durations that ESMA shall apply for establishing the price and volume deferrals for transactions and requires ESMA to recalibrate the applicable deferral durations regularly. </w:t>
      </w:r>
      <w:r w:rsidRPr="00894D43">
        <w:rPr>
          <w:rFonts w:ascii="Open Sans" w:hAnsi="Open Sans" w:cs="Open Sans"/>
          <w:sz w:val="20"/>
        </w:rPr>
        <w:t xml:space="preserve">We believe that improvements to the regime </w:t>
      </w:r>
      <w:r>
        <w:rPr>
          <w:rFonts w:ascii="Open Sans" w:hAnsi="Open Sans" w:cs="Open Sans"/>
          <w:sz w:val="20"/>
        </w:rPr>
        <w:t>can</w:t>
      </w:r>
      <w:r w:rsidRPr="00894D43">
        <w:rPr>
          <w:rFonts w:ascii="Open Sans" w:hAnsi="Open Sans" w:cs="Open Sans"/>
          <w:sz w:val="20"/>
        </w:rPr>
        <w:t xml:space="preserve"> </w:t>
      </w:r>
      <w:r>
        <w:rPr>
          <w:rFonts w:ascii="Open Sans" w:hAnsi="Open Sans" w:cs="Open Sans"/>
          <w:sz w:val="20"/>
        </w:rPr>
        <w:t>enhance market functioning</w:t>
      </w:r>
      <w:r w:rsidRPr="00894D43">
        <w:rPr>
          <w:rFonts w:ascii="Open Sans" w:hAnsi="Open Sans" w:cs="Open Sans"/>
          <w:sz w:val="20"/>
        </w:rPr>
        <w:t xml:space="preserve"> and lower costs for market participants and investors.</w:t>
      </w:r>
    </w:p>
    <w:p w14:paraId="1D5B4AFE" w14:textId="77777777" w:rsidR="00F4219D" w:rsidRPr="00894D43" w:rsidRDefault="00F4219D" w:rsidP="00F4219D">
      <w:pPr>
        <w:spacing w:after="0" w:line="240" w:lineRule="auto"/>
        <w:rPr>
          <w:rFonts w:ascii="Open Sans" w:hAnsi="Open Sans" w:cs="Open Sans"/>
          <w:sz w:val="20"/>
        </w:rPr>
      </w:pPr>
    </w:p>
    <w:p w14:paraId="5258A9CB" w14:textId="77777777" w:rsidR="00F4219D" w:rsidRDefault="00F4219D" w:rsidP="00F4219D">
      <w:pPr>
        <w:spacing w:after="0"/>
        <w:rPr>
          <w:rFonts w:ascii="Open Sans" w:hAnsi="Open Sans" w:cs="Open Sans"/>
          <w:sz w:val="20"/>
        </w:rPr>
      </w:pPr>
      <w:r>
        <w:rPr>
          <w:rFonts w:ascii="Open Sans" w:hAnsi="Open Sans" w:cs="Open Sans"/>
          <w:sz w:val="20"/>
        </w:rPr>
        <w:t>In this response, AIMA would like to highlight key principles for ESMA to consider as it amends the post-trade deferrals regime for bonds, structured finance products and emission allowances.</w:t>
      </w:r>
    </w:p>
    <w:p w14:paraId="2E76C171" w14:textId="77777777" w:rsidR="00F4219D" w:rsidRPr="005E6388" w:rsidRDefault="00F4219D" w:rsidP="00F4219D">
      <w:pPr>
        <w:spacing w:after="0"/>
        <w:rPr>
          <w:rFonts w:ascii="Open Sans" w:hAnsi="Open Sans" w:cs="Open Sans"/>
          <w:sz w:val="20"/>
          <w:u w:val="single"/>
        </w:rPr>
      </w:pPr>
    </w:p>
    <w:p w14:paraId="1CE7C6B9" w14:textId="77777777" w:rsidR="00F4219D" w:rsidRPr="00EB19E0" w:rsidRDefault="00F4219D" w:rsidP="00F4219D">
      <w:pPr>
        <w:pStyle w:val="ListParagraph"/>
        <w:numPr>
          <w:ilvl w:val="0"/>
          <w:numId w:val="37"/>
        </w:numPr>
        <w:spacing w:after="160" w:line="259" w:lineRule="auto"/>
        <w:rPr>
          <w:rFonts w:ascii="Open Sans" w:hAnsi="Open Sans" w:cs="Open Sans"/>
          <w:sz w:val="20"/>
        </w:rPr>
      </w:pPr>
      <w:r w:rsidRPr="005E6388">
        <w:rPr>
          <w:rFonts w:ascii="Open Sans" w:hAnsi="Open Sans" w:cs="Open Sans"/>
          <w:sz w:val="20"/>
          <w:u w:val="single"/>
        </w:rPr>
        <w:t>AIMA b</w:t>
      </w:r>
      <w:r w:rsidRPr="00EB19E0">
        <w:rPr>
          <w:rFonts w:ascii="Open Sans" w:hAnsi="Open Sans" w:cs="Open Sans"/>
          <w:sz w:val="20"/>
          <w:u w:val="single"/>
        </w:rPr>
        <w:t>elieves that the calibration of deferrals must be data-led</w:t>
      </w:r>
    </w:p>
    <w:p w14:paraId="02BF634E" w14:textId="77777777" w:rsidR="00F4219D" w:rsidRDefault="00F4219D" w:rsidP="00F4219D">
      <w:pPr>
        <w:pStyle w:val="ListParagraph"/>
        <w:ind w:left="502"/>
        <w:rPr>
          <w:rFonts w:ascii="Open Sans" w:hAnsi="Open Sans" w:cs="Open Sans"/>
          <w:sz w:val="20"/>
        </w:rPr>
      </w:pPr>
    </w:p>
    <w:p w14:paraId="03514E61" w14:textId="77777777" w:rsidR="00F4219D" w:rsidRDefault="00F4219D" w:rsidP="00F4219D">
      <w:pPr>
        <w:pStyle w:val="ListParagraph"/>
        <w:ind w:left="502"/>
        <w:rPr>
          <w:rFonts w:ascii="Open Sans" w:hAnsi="Open Sans" w:cs="Open Sans"/>
          <w:sz w:val="20"/>
        </w:rPr>
      </w:pPr>
      <w:r w:rsidRPr="00EB19E0">
        <w:rPr>
          <w:rFonts w:ascii="Open Sans" w:hAnsi="Open Sans" w:cs="Open Sans"/>
          <w:sz w:val="20"/>
        </w:rPr>
        <w:t xml:space="preserve">AIMA believes that ESMA’s calibration of timeframes and trade size thresholds, particularly with respect to large-in-scale transactions or transactions in less liquid securities, must be supported </w:t>
      </w:r>
      <w:r w:rsidRPr="00EB19E0">
        <w:rPr>
          <w:rFonts w:ascii="Open Sans" w:hAnsi="Open Sans" w:cs="Open Sans"/>
          <w:sz w:val="20"/>
        </w:rPr>
        <w:lastRenderedPageBreak/>
        <w:t xml:space="preserve">with relevant extensive and detailed data analysis to ensure that informed and robust judgements are made. We believe that consideration must be given to the way in which liquidity provision </w:t>
      </w:r>
      <w:r w:rsidRPr="00EB19E0">
        <w:rPr>
          <w:rFonts w:ascii="Open Sans" w:eastAsia="Times New Roman" w:hAnsi="Open Sans" w:cs="Open Sans"/>
          <w:sz w:val="20"/>
        </w:rPr>
        <w:t>is potentially impacted by the calibration of deferrals.</w:t>
      </w:r>
      <w:r w:rsidRPr="00EB19E0">
        <w:rPr>
          <w:rFonts w:ascii="Open Sans" w:hAnsi="Open Sans" w:cs="Open Sans"/>
          <w:sz w:val="20"/>
        </w:rPr>
        <w:t xml:space="preserve"> </w:t>
      </w:r>
    </w:p>
    <w:p w14:paraId="613884B4" w14:textId="77777777" w:rsidR="00F4219D" w:rsidRDefault="00F4219D" w:rsidP="00F4219D">
      <w:pPr>
        <w:pStyle w:val="ListParagraph"/>
        <w:ind w:left="502"/>
        <w:rPr>
          <w:rFonts w:ascii="Open Sans" w:hAnsi="Open Sans" w:cs="Open Sans"/>
          <w:sz w:val="20"/>
        </w:rPr>
      </w:pPr>
    </w:p>
    <w:p w14:paraId="5047D755" w14:textId="77777777" w:rsidR="00F4219D" w:rsidRPr="00780DFD" w:rsidRDefault="00F4219D" w:rsidP="00F4219D">
      <w:pPr>
        <w:pStyle w:val="ListParagraph"/>
        <w:ind w:left="502"/>
      </w:pPr>
      <w:r w:rsidRPr="00EB19E0">
        <w:rPr>
          <w:rFonts w:ascii="Open Sans" w:hAnsi="Open Sans" w:cs="Open Sans"/>
          <w:sz w:val="20"/>
        </w:rPr>
        <w:t xml:space="preserve">While we believe that greater transparency can help to facilitate price discovery and, therefore, greater market efficiency and liquidity, we also recognise that such transparency, such as the detail of post-trade information and timing of its publication, can create risks and higher costs for both parties to a transaction. It is important that deferrals are calibrated appropriately. Such would enable liquidity providers to hedge their positions, improving pricing for firms and outcomes for investors. </w:t>
      </w:r>
    </w:p>
    <w:p w14:paraId="6F1CCA4B" w14:textId="77777777" w:rsidR="00F4219D" w:rsidRPr="00894D43" w:rsidRDefault="00F4219D" w:rsidP="00F4219D">
      <w:pPr>
        <w:pStyle w:val="ListParagraph"/>
        <w:rPr>
          <w:rFonts w:ascii="Open Sans" w:hAnsi="Open Sans" w:cs="Open Sans"/>
          <w:sz w:val="20"/>
        </w:rPr>
      </w:pPr>
    </w:p>
    <w:p w14:paraId="3E898719" w14:textId="77777777" w:rsidR="00F4219D" w:rsidRPr="00EB19E0" w:rsidRDefault="00F4219D" w:rsidP="00F4219D">
      <w:pPr>
        <w:pStyle w:val="ListParagraph"/>
        <w:numPr>
          <w:ilvl w:val="0"/>
          <w:numId w:val="37"/>
        </w:numPr>
        <w:spacing w:after="160" w:line="259" w:lineRule="auto"/>
        <w:rPr>
          <w:rFonts w:ascii="Open Sans" w:hAnsi="Open Sans" w:cs="Open Sans"/>
          <w:sz w:val="20"/>
        </w:rPr>
      </w:pPr>
      <w:r w:rsidRPr="005E6388">
        <w:rPr>
          <w:rFonts w:ascii="Open Sans" w:hAnsi="Open Sans" w:cs="Open Sans"/>
          <w:sz w:val="20"/>
          <w:u w:val="single"/>
        </w:rPr>
        <w:t>AIMA strongly</w:t>
      </w:r>
      <w:r w:rsidRPr="00EB19E0">
        <w:rPr>
          <w:rFonts w:ascii="Open Sans" w:hAnsi="Open Sans" w:cs="Open Sans"/>
          <w:sz w:val="20"/>
          <w:u w:val="single"/>
        </w:rPr>
        <w:t xml:space="preserve"> believes that ESMA should set volume caps for large-in-scale trades</w:t>
      </w:r>
    </w:p>
    <w:p w14:paraId="3D109AA1" w14:textId="77777777" w:rsidR="00F4219D" w:rsidRDefault="00F4219D" w:rsidP="00F4219D">
      <w:pPr>
        <w:pStyle w:val="ListParagraph"/>
        <w:ind w:left="502"/>
        <w:rPr>
          <w:rFonts w:ascii="Open Sans" w:hAnsi="Open Sans" w:cs="Open Sans"/>
          <w:sz w:val="20"/>
        </w:rPr>
      </w:pPr>
    </w:p>
    <w:p w14:paraId="4108F671" w14:textId="77777777" w:rsidR="00F4219D" w:rsidRPr="00EB19E0" w:rsidRDefault="00F4219D" w:rsidP="00F4219D">
      <w:pPr>
        <w:pStyle w:val="ListParagraph"/>
        <w:ind w:left="502"/>
        <w:rPr>
          <w:rFonts w:ascii="Open Sans" w:hAnsi="Open Sans" w:cs="Open Sans"/>
          <w:sz w:val="20"/>
        </w:rPr>
      </w:pPr>
      <w:r w:rsidRPr="00EB19E0">
        <w:rPr>
          <w:rFonts w:ascii="Open Sans" w:eastAsia="Times New Roman" w:hAnsi="Open Sans" w:cs="Open Sans"/>
          <w:sz w:val="20"/>
        </w:rPr>
        <w:t xml:space="preserve">We strongly believe that ESMA should </w:t>
      </w:r>
      <w:r w:rsidRPr="00EB19E0">
        <w:rPr>
          <w:rFonts w:ascii="Open Sans" w:hAnsi="Open Sans" w:cs="Open Sans"/>
          <w:sz w:val="20"/>
        </w:rPr>
        <w:t>cap size information for trades in Category 5 such that (</w:t>
      </w:r>
      <w:proofErr w:type="spellStart"/>
      <w:r w:rsidRPr="00EB19E0">
        <w:rPr>
          <w:rFonts w:ascii="Open Sans" w:hAnsi="Open Sans" w:cs="Open Sans"/>
          <w:sz w:val="20"/>
        </w:rPr>
        <w:t>i</w:t>
      </w:r>
      <w:proofErr w:type="spellEnd"/>
      <w:r w:rsidRPr="00EB19E0">
        <w:rPr>
          <w:rFonts w:ascii="Open Sans" w:hAnsi="Open Sans" w:cs="Open Sans"/>
          <w:sz w:val="20"/>
        </w:rPr>
        <w:t xml:space="preserve">) actual volume is disclosed only up to the level of the applicable cap; and (ii) for trades above this level, information in post-trade reports only indicate that the trade is above the cap. We believe </w:t>
      </w:r>
      <w:r w:rsidRPr="00EB19E0">
        <w:rPr>
          <w:rFonts w:ascii="Open Sans" w:eastAsia="Times New Roman" w:hAnsi="Open Sans" w:cs="Open Sans"/>
          <w:sz w:val="20"/>
        </w:rPr>
        <w:t xml:space="preserve">that the </w:t>
      </w:r>
      <w:proofErr w:type="gramStart"/>
      <w:r w:rsidRPr="00EB19E0">
        <w:rPr>
          <w:rFonts w:ascii="Open Sans" w:eastAsia="Times New Roman" w:hAnsi="Open Sans" w:cs="Open Sans"/>
          <w:sz w:val="20"/>
        </w:rPr>
        <w:t>particular sensitivity</w:t>
      </w:r>
      <w:proofErr w:type="gramEnd"/>
      <w:r w:rsidRPr="00EB19E0">
        <w:rPr>
          <w:rFonts w:ascii="Open Sans" w:eastAsia="Times New Roman" w:hAnsi="Open Sans" w:cs="Open Sans"/>
          <w:sz w:val="20"/>
        </w:rPr>
        <w:t xml:space="preserve"> of size information for large-in-scale trades, </w:t>
      </w:r>
      <w:r w:rsidRPr="00EB19E0">
        <w:rPr>
          <w:rFonts w:ascii="Open Sans" w:hAnsi="Open Sans" w:cs="Open Sans"/>
          <w:sz w:val="20"/>
        </w:rPr>
        <w:t>which reflect a relatively small percentage of overall transactions</w:t>
      </w:r>
      <w:r w:rsidRPr="00EB19E0">
        <w:rPr>
          <w:rFonts w:ascii="Open Sans" w:eastAsia="Times New Roman" w:hAnsi="Open Sans" w:cs="Open Sans"/>
          <w:sz w:val="20"/>
        </w:rPr>
        <w:t>, means that use of a volume capping mechanism is appropriate to protect the anonymity of trading interests of</w:t>
      </w:r>
      <w:r w:rsidRPr="00EB19E0">
        <w:rPr>
          <w:rFonts w:ascii="Open Sans" w:hAnsi="Open Sans" w:cs="Open Sans"/>
          <w:sz w:val="20"/>
        </w:rPr>
        <w:t xml:space="preserve"> both liquidity providers and their buy-side clients. With volume capping present in the US and proposed</w:t>
      </w:r>
      <w:r>
        <w:rPr>
          <w:rStyle w:val="FootnoteReference"/>
          <w:rFonts w:ascii="Open Sans" w:hAnsi="Open Sans" w:cs="Open Sans"/>
          <w:sz w:val="20"/>
        </w:rPr>
        <w:footnoteReference w:id="5"/>
      </w:r>
      <w:r w:rsidRPr="00EB19E0">
        <w:rPr>
          <w:rFonts w:ascii="Open Sans" w:hAnsi="Open Sans" w:cs="Open Sans"/>
          <w:sz w:val="20"/>
        </w:rPr>
        <w:t xml:space="preserve"> by the UK’s Financial Conduct Authority, such an approach would support the competitiveness of EU markets and uphold the European Commission’s objective of </w:t>
      </w:r>
      <w:r>
        <w:rPr>
          <w:rFonts w:ascii="Open Sans" w:hAnsi="Open Sans" w:cs="Open Sans"/>
          <w:sz w:val="20"/>
        </w:rPr>
        <w:t>“</w:t>
      </w:r>
      <w:r w:rsidRPr="00EB19E0">
        <w:rPr>
          <w:rFonts w:ascii="Open Sans" w:hAnsi="Open Sans" w:cs="Open Sans"/>
          <w:sz w:val="20"/>
        </w:rPr>
        <w:t>fostering a true and efficient single market for trading</w:t>
      </w:r>
      <w:r>
        <w:rPr>
          <w:rFonts w:ascii="Open Sans" w:hAnsi="Open Sans" w:cs="Open Sans"/>
          <w:sz w:val="20"/>
        </w:rPr>
        <w:t>”</w:t>
      </w:r>
      <w:r w:rsidRPr="00EB19E0">
        <w:rPr>
          <w:rFonts w:ascii="Open Sans" w:hAnsi="Open Sans" w:cs="Open Sans"/>
          <w:sz w:val="20"/>
        </w:rPr>
        <w:t>.</w:t>
      </w:r>
    </w:p>
    <w:p w14:paraId="2E4AEEE6" w14:textId="059BCCA3" w:rsidR="00CC59BB" w:rsidRPr="00F4219D" w:rsidRDefault="00F4219D" w:rsidP="00C54034">
      <w:pPr>
        <w:spacing w:after="0"/>
        <w:rPr>
          <w:rFonts w:ascii="Open Sans" w:hAnsi="Open Sans" w:cs="Open Sans"/>
          <w:sz w:val="20"/>
        </w:rPr>
      </w:pPr>
      <w:r w:rsidRPr="00894D43">
        <w:rPr>
          <w:rFonts w:ascii="Open Sans" w:hAnsi="Open Sans" w:cs="Open Sans"/>
          <w:sz w:val="20"/>
        </w:rPr>
        <w:t xml:space="preserve">We would be happy to discuss our position further. </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lastRenderedPageBreak/>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7FC524F1" w14:textId="77777777" w:rsidR="00470559" w:rsidRDefault="00470559" w:rsidP="00470559">
      <w:pPr>
        <w:pStyle w:val="ListParagraph"/>
        <w:ind w:left="360"/>
        <w:rPr>
          <w:rFonts w:ascii="Open Sans" w:hAnsi="Open Sans" w:cs="Open Sans"/>
          <w:sz w:val="20"/>
        </w:rPr>
      </w:pPr>
      <w:permStart w:id="1672500431" w:edGrp="everyone"/>
      <w:r w:rsidRPr="00543FB6">
        <w:rPr>
          <w:rFonts w:ascii="Open Sans" w:hAnsi="Open Sans" w:cs="Open Sans"/>
          <w:sz w:val="20"/>
          <w:u w:val="single"/>
        </w:rPr>
        <w:t>AIMA agrees with the general approach to identify the costs and margin solely attributable to the production and dissemination</w:t>
      </w:r>
      <w:r>
        <w:rPr>
          <w:rFonts w:ascii="Open Sans" w:hAnsi="Open Sans" w:cs="Open Sans"/>
          <w:sz w:val="20"/>
          <w:u w:val="single"/>
        </w:rPr>
        <w:t xml:space="preserve"> of market data</w:t>
      </w:r>
      <w:r w:rsidRPr="00EB34E8">
        <w:rPr>
          <w:rFonts w:ascii="Open Sans" w:hAnsi="Open Sans" w:cs="Open Sans"/>
          <w:sz w:val="20"/>
        </w:rPr>
        <w:t xml:space="preserve">. </w:t>
      </w:r>
      <w:r>
        <w:rPr>
          <w:rFonts w:ascii="Open Sans" w:hAnsi="Open Sans" w:cs="Open Sans"/>
          <w:sz w:val="20"/>
        </w:rPr>
        <w:t xml:space="preserve">We believe that market </w:t>
      </w:r>
      <w:r w:rsidRPr="00B154CF">
        <w:rPr>
          <w:rFonts w:ascii="Open Sans" w:hAnsi="Open Sans" w:cs="Open Sans"/>
          <w:sz w:val="20"/>
        </w:rPr>
        <w:t>data fees should be tied to the cost of producing the data and not</w:t>
      </w:r>
      <w:r>
        <w:rPr>
          <w:rFonts w:ascii="Open Sans" w:hAnsi="Open Sans" w:cs="Open Sans"/>
          <w:sz w:val="20"/>
        </w:rPr>
        <w:t xml:space="preserve"> based</w:t>
      </w:r>
      <w:r w:rsidRPr="00B154CF">
        <w:rPr>
          <w:rFonts w:ascii="Open Sans" w:hAnsi="Open Sans" w:cs="Open Sans"/>
          <w:sz w:val="20"/>
        </w:rPr>
        <w:t xml:space="preserve"> on use-case.</w:t>
      </w:r>
    </w:p>
    <w:p w14:paraId="49272337" w14:textId="77777777" w:rsidR="00470559" w:rsidRDefault="00470559" w:rsidP="00470559">
      <w:pPr>
        <w:pStyle w:val="ListParagraph"/>
        <w:ind w:left="360"/>
        <w:rPr>
          <w:rFonts w:ascii="Open Sans" w:hAnsi="Open Sans" w:cs="Open Sans"/>
          <w:sz w:val="20"/>
        </w:rPr>
      </w:pPr>
    </w:p>
    <w:p w14:paraId="7D7EE3F2" w14:textId="77777777" w:rsidR="00470559" w:rsidRDefault="00470559" w:rsidP="00470559">
      <w:pPr>
        <w:pStyle w:val="ListParagraph"/>
        <w:ind w:left="360"/>
        <w:rPr>
          <w:rFonts w:ascii="Open Sans" w:hAnsi="Open Sans" w:cs="Open Sans"/>
          <w:sz w:val="20"/>
        </w:rPr>
      </w:pPr>
      <w:r w:rsidRPr="00B154CF">
        <w:rPr>
          <w:rFonts w:ascii="Open Sans" w:hAnsi="Open Sans" w:cs="Open Sans"/>
          <w:sz w:val="20"/>
        </w:rPr>
        <w:t>In place of per user/per use-case licensing, some firms support entity/enterprise-level licensing – that is, having one licence with a data provider for use throughout the firm. This tends to be preferred by larger firms as it enables users to fully realise the value of market data within their organisation by eliminating the possibility of additional fees or reporting requirements being incurred for new use</w:t>
      </w:r>
      <w:r>
        <w:rPr>
          <w:rFonts w:ascii="Open Sans" w:hAnsi="Open Sans" w:cs="Open Sans"/>
          <w:sz w:val="20"/>
        </w:rPr>
        <w:t>-</w:t>
      </w:r>
      <w:r w:rsidRPr="00B154CF">
        <w:rPr>
          <w:rFonts w:ascii="Open Sans" w:hAnsi="Open Sans" w:cs="Open Sans"/>
          <w:sz w:val="20"/>
        </w:rPr>
        <w:t>cases defined by market data providers. However, we would caution that firms should not be prohibited by entity/enterprise licensing for small use</w:t>
      </w:r>
      <w:r>
        <w:rPr>
          <w:rFonts w:ascii="Open Sans" w:hAnsi="Open Sans" w:cs="Open Sans"/>
          <w:sz w:val="20"/>
        </w:rPr>
        <w:t>-</w:t>
      </w:r>
      <w:r w:rsidRPr="00B154CF">
        <w:rPr>
          <w:rFonts w:ascii="Open Sans" w:hAnsi="Open Sans" w:cs="Open Sans"/>
          <w:sz w:val="20"/>
        </w:rPr>
        <w:t>cases or where there are only a small number of users. Firms note that data vendors are taking a more aggressive approach to multi-entity licences and insisting on individual licences for different geographical locations. As a result, where users are in different locations, firms are forced to pay multiple site-wide licences which further increases costs.</w:t>
      </w:r>
    </w:p>
    <w:p w14:paraId="07FBBB7F" w14:textId="77777777" w:rsidR="00470559" w:rsidRDefault="00470559" w:rsidP="00470559">
      <w:pPr>
        <w:pStyle w:val="ListParagraph"/>
        <w:ind w:left="360"/>
        <w:rPr>
          <w:rFonts w:ascii="Open Sans" w:hAnsi="Open Sans" w:cs="Open Sans"/>
          <w:sz w:val="20"/>
        </w:rPr>
      </w:pPr>
    </w:p>
    <w:p w14:paraId="0FF5B233" w14:textId="78C31D7A" w:rsidR="00CC59BB" w:rsidRPr="00470559" w:rsidRDefault="00470559" w:rsidP="00470559">
      <w:pPr>
        <w:pStyle w:val="ListParagraph"/>
        <w:ind w:left="360"/>
        <w:rPr>
          <w:rFonts w:ascii="Open Sans" w:hAnsi="Open Sans" w:cs="Open Sans"/>
          <w:sz w:val="20"/>
        </w:rPr>
      </w:pPr>
      <w:r w:rsidRPr="00EB34E8">
        <w:rPr>
          <w:rFonts w:ascii="Open Sans" w:hAnsi="Open Sans" w:cs="Open Sans"/>
          <w:sz w:val="20"/>
        </w:rPr>
        <w:t>We believe that a cross-venue benchmark of the cost categories would be helpful to identify outliers per category.</w:t>
      </w:r>
      <w:r>
        <w:rPr>
          <w:rFonts w:ascii="Open Sans" w:hAnsi="Open Sans" w:cs="Open Sans"/>
          <w:sz w:val="20"/>
        </w:rPr>
        <w:t xml:space="preserve"> We would also welcome additional transparency around the proportion of a data provider’s revenue that is attributed to market data production.</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5096F9C3" w14:textId="77777777" w:rsidR="00DE686A" w:rsidRDefault="00DE686A" w:rsidP="00DE686A">
      <w:pPr>
        <w:pStyle w:val="ListParagraph"/>
        <w:ind w:left="360"/>
        <w:rPr>
          <w:rFonts w:ascii="Open Sans" w:hAnsi="Open Sans" w:cs="Open Sans"/>
          <w:sz w:val="20"/>
        </w:rPr>
      </w:pPr>
      <w:permStart w:id="1840853704" w:edGrp="everyone"/>
      <w:r>
        <w:t xml:space="preserve"> </w:t>
      </w:r>
      <w:r w:rsidRPr="00543FB6">
        <w:rPr>
          <w:rFonts w:ascii="Open Sans" w:hAnsi="Open Sans" w:cs="Open Sans"/>
          <w:sz w:val="20"/>
          <w:u w:val="single"/>
        </w:rPr>
        <w:t>AIMA agrees with the proposed approach to cost calculation based on the identification of different cost categories attributable to the production and dissemination of market data</w:t>
      </w:r>
      <w:r w:rsidRPr="00EB34E8">
        <w:rPr>
          <w:rFonts w:ascii="Open Sans" w:hAnsi="Open Sans" w:cs="Open Sans"/>
          <w:sz w:val="20"/>
        </w:rPr>
        <w:t xml:space="preserve">. The fact that trading data from individual venues is unique and non-substitutable has allowed data licensing </w:t>
      </w:r>
      <w:r w:rsidRPr="00EB34E8">
        <w:rPr>
          <w:rFonts w:ascii="Open Sans" w:hAnsi="Open Sans" w:cs="Open Sans"/>
          <w:sz w:val="20"/>
        </w:rPr>
        <w:lastRenderedPageBreak/>
        <w:t xml:space="preserve">agreements to become increasingly detailed and onerous. Trading venues have been able to increase proprietary and consolidated market data fees by changing the terms of licensing agreements, creating new categories of fees and redefining and re-categorising fees. We agree that the main costs directly associated with the production and distribution of market data relate to infrastructure, connectivity, personnel employed, financial costs and other administrative costs. </w:t>
      </w:r>
      <w:r w:rsidRPr="00543FB6">
        <w:rPr>
          <w:rFonts w:ascii="Open Sans" w:hAnsi="Open Sans" w:cs="Open Sans"/>
          <w:sz w:val="20"/>
          <w:u w:val="single"/>
        </w:rPr>
        <w:t>However, we would note that such cost calculation could be open to abuse with costs re-charged internally and inflated</w:t>
      </w:r>
      <w:r w:rsidRPr="00EB34E8">
        <w:rPr>
          <w:rFonts w:ascii="Open Sans" w:hAnsi="Open Sans" w:cs="Open Sans"/>
          <w:sz w:val="20"/>
        </w:rPr>
        <w:t xml:space="preserve">. </w:t>
      </w:r>
    </w:p>
    <w:p w14:paraId="4AF89517" w14:textId="77777777" w:rsidR="00DE686A" w:rsidRDefault="00DE686A" w:rsidP="00DE686A">
      <w:pPr>
        <w:pStyle w:val="ListParagraph"/>
        <w:ind w:left="360"/>
        <w:rPr>
          <w:rFonts w:ascii="Open Sans" w:hAnsi="Open Sans" w:cs="Open Sans"/>
          <w:sz w:val="20"/>
        </w:rPr>
      </w:pPr>
    </w:p>
    <w:p w14:paraId="4DCAACF5" w14:textId="3ECC0232" w:rsidR="00FA4100" w:rsidRPr="00DE686A" w:rsidRDefault="00DE686A" w:rsidP="00DE686A">
      <w:pPr>
        <w:pStyle w:val="ListParagraph"/>
        <w:ind w:left="360"/>
        <w:rPr>
          <w:rFonts w:ascii="Open Sans" w:hAnsi="Open Sans" w:cs="Open Sans"/>
          <w:sz w:val="20"/>
        </w:rPr>
      </w:pPr>
      <w:r w:rsidRPr="00543FB6">
        <w:rPr>
          <w:rFonts w:ascii="Open Sans" w:hAnsi="Open Sans" w:cs="Open Sans"/>
          <w:sz w:val="20"/>
          <w:u w:val="single"/>
        </w:rPr>
        <w:t>We agree with ESMA that audit costs should be borne by data providers and not by data clients</w:t>
      </w:r>
      <w:r w:rsidRPr="00EB34E8">
        <w:rPr>
          <w:rFonts w:ascii="Open Sans" w:hAnsi="Open Sans" w:cs="Open Sans"/>
          <w:sz w:val="20"/>
        </w:rPr>
        <w:t>. In relation to connectivity costs, we would flag that enforcing practices such as standardisation of data feed formats would reduce costs for data users.</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77777777" w:rsidR="00FA4100" w:rsidRDefault="00FA4100" w:rsidP="00FA4100">
      <w:pPr>
        <w:spacing w:after="0"/>
      </w:pPr>
      <w:permStart w:id="636686123" w:edGrp="everyone"/>
      <w:r>
        <w:t>TYPE YOUR TEXT HERE</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090FB7B3" w14:textId="77777777" w:rsidR="00402379" w:rsidRDefault="00402379" w:rsidP="00402379">
      <w:pPr>
        <w:pStyle w:val="ListParagraph"/>
        <w:ind w:left="360"/>
        <w:rPr>
          <w:rFonts w:ascii="Open Sans" w:hAnsi="Open Sans" w:cs="Open Sans"/>
          <w:sz w:val="20"/>
        </w:rPr>
      </w:pPr>
      <w:permStart w:id="1539128939" w:edGrp="everyone"/>
      <w:r>
        <w:t xml:space="preserve"> </w:t>
      </w:r>
      <w:r w:rsidRPr="00543FB6">
        <w:rPr>
          <w:rFonts w:ascii="Open Sans" w:hAnsi="Open Sans" w:cs="Open Sans"/>
          <w:sz w:val="20"/>
          <w:u w:val="single"/>
        </w:rPr>
        <w:t>AIMA agrees that the principles to be considered in the calculation of reasonable margin should strike a balance between the need to ensure the production and dissemination of market data remains a viable business and the need to ensure</w:t>
      </w:r>
      <w:r>
        <w:rPr>
          <w:rFonts w:ascii="Open Sans" w:hAnsi="Open Sans" w:cs="Open Sans"/>
          <w:sz w:val="20"/>
          <w:u w:val="single"/>
        </w:rPr>
        <w:t xml:space="preserve"> the widest</w:t>
      </w:r>
      <w:r w:rsidRPr="00543FB6">
        <w:rPr>
          <w:rFonts w:ascii="Open Sans" w:hAnsi="Open Sans" w:cs="Open Sans"/>
          <w:sz w:val="20"/>
          <w:u w:val="single"/>
        </w:rPr>
        <w:t xml:space="preserve"> possible access to data for market participants</w:t>
      </w:r>
      <w:r w:rsidRPr="00EB34E8">
        <w:rPr>
          <w:rFonts w:ascii="Open Sans" w:hAnsi="Open Sans" w:cs="Open Sans"/>
          <w:sz w:val="20"/>
        </w:rPr>
        <w:t xml:space="preserve">. Enabling a reasonable margin would allow trading venues to maintain a viable business and apportion profits to improving data quality and distribution. </w:t>
      </w:r>
    </w:p>
    <w:p w14:paraId="3B070AB8" w14:textId="77777777" w:rsidR="00402379" w:rsidRDefault="00402379" w:rsidP="00402379">
      <w:pPr>
        <w:pStyle w:val="ListParagraph"/>
        <w:ind w:left="360"/>
        <w:rPr>
          <w:rFonts w:ascii="Open Sans" w:hAnsi="Open Sans" w:cs="Open Sans"/>
          <w:sz w:val="20"/>
        </w:rPr>
      </w:pPr>
    </w:p>
    <w:p w14:paraId="24A07323" w14:textId="3B1812FE" w:rsidR="00FA4100" w:rsidRPr="00402379" w:rsidRDefault="00402379" w:rsidP="00402379">
      <w:pPr>
        <w:pStyle w:val="ListParagraph"/>
        <w:ind w:left="360"/>
        <w:rPr>
          <w:rFonts w:ascii="Open Sans" w:hAnsi="Open Sans" w:cs="Open Sans"/>
          <w:b/>
          <w:bCs/>
          <w:sz w:val="20"/>
        </w:rPr>
      </w:pPr>
      <w:r w:rsidRPr="00543FB6">
        <w:rPr>
          <w:rFonts w:ascii="Open Sans" w:hAnsi="Open Sans" w:cs="Open Sans"/>
          <w:sz w:val="20"/>
          <w:u w:val="single"/>
        </w:rPr>
        <w:t>AIMA particularly supports requirements on market data providers to set such margin in a way that does not disproportionately exceed the costs of data provision and in a manner which promotes fees for market data which enable data access to the maximum number of users</w:t>
      </w:r>
      <w:r w:rsidRPr="00EB34E8">
        <w:rPr>
          <w:rFonts w:ascii="Open Sans" w:hAnsi="Open Sans" w:cs="Open Sans"/>
          <w:sz w:val="20"/>
        </w:rPr>
        <w:t xml:space="preserve">. At present, fees for market data and the complexity of licenses place significant administrative burdens </w:t>
      </w:r>
      <w:r w:rsidRPr="00EB34E8">
        <w:rPr>
          <w:rFonts w:ascii="Open Sans" w:hAnsi="Open Sans" w:cs="Open Sans"/>
          <w:sz w:val="20"/>
        </w:rPr>
        <w:lastRenderedPageBreak/>
        <w:t xml:space="preserve">on firms and limit access to users. Firms note that data licensing agreements have become too complex with subscribers asked to pay for data </w:t>
      </w:r>
      <w:proofErr w:type="gramStart"/>
      <w:r w:rsidRPr="00EB34E8">
        <w:rPr>
          <w:rFonts w:ascii="Open Sans" w:hAnsi="Open Sans" w:cs="Open Sans"/>
          <w:sz w:val="20"/>
        </w:rPr>
        <w:t>on the basis of</w:t>
      </w:r>
      <w:proofErr w:type="gramEnd"/>
      <w:r w:rsidRPr="00EB34E8">
        <w:rPr>
          <w:rFonts w:ascii="Open Sans" w:hAnsi="Open Sans" w:cs="Open Sans"/>
          <w:sz w:val="20"/>
        </w:rPr>
        <w:t xml:space="preserve"> individual use</w:t>
      </w:r>
      <w:r>
        <w:rPr>
          <w:rFonts w:ascii="Open Sans" w:hAnsi="Open Sans" w:cs="Open Sans"/>
          <w:sz w:val="20"/>
        </w:rPr>
        <w:t>-</w:t>
      </w:r>
      <w:r w:rsidRPr="00EB34E8">
        <w:rPr>
          <w:rFonts w:ascii="Open Sans" w:hAnsi="Open Sans" w:cs="Open Sans"/>
          <w:sz w:val="20"/>
        </w:rPr>
        <w:t>cases as well as for each individual user. Trading venues are requiring market participants to provide information on how market data is intended to be used (for example, whether it is for P&amp;L systems, risk systems, pre-trade or post-trade analytics or financial models). This information is irrelevant to trading venues and presents an obstacle to obtaining market data. To the extent that market participants are only using the data for internal purposes, (i.e., not selling it to third parties) they should not be required to provide this information.</w:t>
      </w:r>
      <w:r>
        <w:rPr>
          <w:rFonts w:ascii="Open Sans" w:hAnsi="Open Sans" w:cs="Open Sans"/>
          <w:sz w:val="20"/>
        </w:rPr>
        <w:t xml:space="preserve"> Due to prohibitive licensing and cost models, firms are limiting the number of employees that can access data to those with </w:t>
      </w:r>
      <w:r w:rsidRPr="00EB34E8">
        <w:rPr>
          <w:rFonts w:ascii="Open Sans" w:hAnsi="Open Sans" w:cs="Open Sans"/>
          <w:sz w:val="20"/>
        </w:rPr>
        <w:t>an absolute need to see the dat</w:t>
      </w:r>
      <w:r>
        <w:rPr>
          <w:rFonts w:ascii="Open Sans" w:hAnsi="Open Sans" w:cs="Open Sans"/>
          <w:sz w:val="20"/>
        </w:rPr>
        <w:t>a</w:t>
      </w:r>
      <w:r w:rsidRPr="00EB34E8">
        <w:rPr>
          <w:rFonts w:ascii="Open Sans" w:hAnsi="Open Sans" w:cs="Open Sans"/>
          <w:sz w:val="20"/>
        </w:rPr>
        <w:t>.</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4F0E2C0E" w14:textId="77777777" w:rsidR="00F22D28" w:rsidRPr="00EB34E8" w:rsidRDefault="00F22D28" w:rsidP="00F22D28">
      <w:pPr>
        <w:ind w:left="360"/>
        <w:rPr>
          <w:rFonts w:ascii="Open Sans" w:hAnsi="Open Sans" w:cs="Open Sans"/>
          <w:sz w:val="20"/>
        </w:rPr>
      </w:pPr>
      <w:permStart w:id="307052998" w:edGrp="everyone"/>
      <w:r>
        <w:t xml:space="preserve"> </w:t>
      </w:r>
      <w:r w:rsidRPr="00B96B7E">
        <w:rPr>
          <w:rFonts w:ascii="Open Sans" w:hAnsi="Open Sans" w:cs="Open Sans"/>
          <w:sz w:val="20"/>
          <w:u w:val="single"/>
        </w:rPr>
        <w:t>AIMA agrees with the proposed template for the purpose of information reporting to NCAs on the cost of producing and disseminating data and on the margin applied to data</w:t>
      </w:r>
      <w:r w:rsidRPr="00EB34E8">
        <w:rPr>
          <w:rFonts w:ascii="Open Sans" w:hAnsi="Open Sans" w:cs="Open Sans"/>
          <w:sz w:val="20"/>
        </w:rPr>
        <w:t xml:space="preserve">. </w:t>
      </w:r>
    </w:p>
    <w:p w14:paraId="51A21E64" w14:textId="7AD1812A" w:rsidR="00FA4100" w:rsidRPr="00F22D28" w:rsidRDefault="00F22D28" w:rsidP="00F22D28">
      <w:pPr>
        <w:ind w:left="360"/>
        <w:rPr>
          <w:rFonts w:ascii="Open Sans" w:hAnsi="Open Sans" w:cs="Open Sans"/>
          <w:sz w:val="20"/>
        </w:rPr>
      </w:pPr>
      <w:r w:rsidRPr="00EB34E8">
        <w:rPr>
          <w:rFonts w:ascii="Open Sans" w:hAnsi="Open Sans" w:cs="Open Sans"/>
          <w:sz w:val="20"/>
        </w:rPr>
        <w:t>AIMA finds the requirements under section 3 of the template (costs attributable to the production and dissemination of market data) sensible, particularly the requirement on market data providers to provide additional details regarding system components which are shared with other services beyond data provision as this would help to avoid abuse of cost bases. In relation to the first requirement under section 3 of the template (description of key infrastructures), we believe that some form of standardisation of system infrastructures should be applied as this would reduce costs. AIMA also welcomes the requirements under section 6 of the template to require market data providers to provide information on the fees established by the provider and a rationale for applying different fees. We note that firms currently pay multiple times for the same data, for example in the context of display/non-display licenses</w:t>
      </w:r>
      <w:r>
        <w:rPr>
          <w:rFonts w:ascii="Open Sans" w:hAnsi="Open Sans" w:cs="Open Sans"/>
          <w:sz w:val="20"/>
        </w:rPr>
        <w:t xml:space="preserve"> and</w:t>
      </w:r>
      <w:r w:rsidRPr="00EB34E8">
        <w:rPr>
          <w:rFonts w:ascii="Open Sans" w:hAnsi="Open Sans" w:cs="Open Sans"/>
          <w:sz w:val="20"/>
        </w:rPr>
        <w:t xml:space="preserve"> multiple delivery mechanisms and for delivery to more than one physical location.</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5529EA3A" w14:textId="77777777" w:rsidR="00B41B9A" w:rsidRPr="00EB34E8" w:rsidRDefault="00B41B9A" w:rsidP="00B41B9A">
      <w:pPr>
        <w:ind w:left="360"/>
        <w:rPr>
          <w:rFonts w:ascii="Open Sans" w:hAnsi="Open Sans" w:cs="Open Sans"/>
          <w:sz w:val="20"/>
        </w:rPr>
      </w:pPr>
      <w:permStart w:id="884149456" w:edGrp="everyone"/>
      <w:r>
        <w:lastRenderedPageBreak/>
        <w:t xml:space="preserve"> </w:t>
      </w:r>
      <w:r w:rsidRPr="00B96B7E">
        <w:rPr>
          <w:rFonts w:ascii="Open Sans" w:hAnsi="Open Sans" w:cs="Open Sans"/>
          <w:sz w:val="20"/>
          <w:u w:val="single"/>
        </w:rPr>
        <w:t xml:space="preserve">AIMA supports enshrining in Article 4 </w:t>
      </w:r>
      <w:r>
        <w:rPr>
          <w:rFonts w:ascii="Open Sans" w:hAnsi="Open Sans" w:cs="Open Sans"/>
          <w:sz w:val="20"/>
          <w:u w:val="single"/>
        </w:rPr>
        <w:t xml:space="preserve">of </w:t>
      </w:r>
      <w:r w:rsidRPr="00B96B7E">
        <w:rPr>
          <w:rFonts w:ascii="Open Sans" w:hAnsi="Open Sans" w:cs="Open Sans"/>
          <w:sz w:val="20"/>
          <w:u w:val="single"/>
        </w:rPr>
        <w:t>the RTS the general principle that market data should be provided on a non-discriminatory basis and excluding the possibility to create categories based on the value represented by the data to a user</w:t>
      </w:r>
      <w:r w:rsidRPr="00EB34E8">
        <w:rPr>
          <w:rFonts w:ascii="Open Sans" w:hAnsi="Open Sans" w:cs="Open Sans"/>
          <w:sz w:val="20"/>
        </w:rPr>
        <w:t xml:space="preserve">. Charging </w:t>
      </w:r>
      <w:proofErr w:type="gramStart"/>
      <w:r w:rsidRPr="00EB34E8">
        <w:rPr>
          <w:rFonts w:ascii="Open Sans" w:hAnsi="Open Sans" w:cs="Open Sans"/>
          <w:sz w:val="20"/>
        </w:rPr>
        <w:t>on the basis of</w:t>
      </w:r>
      <w:proofErr w:type="gramEnd"/>
      <w:r w:rsidRPr="00EB34E8">
        <w:rPr>
          <w:rFonts w:ascii="Open Sans" w:hAnsi="Open Sans" w:cs="Open Sans"/>
          <w:sz w:val="20"/>
        </w:rPr>
        <w:t xml:space="preserve"> use-case is, by nature, discriminatory. Basing the price of market data on an intangible factor like the value of the data to individual market participants leads to overly generous assumptions on the part of trading venues and data providers on the value of their data and is extremely harmful to the functioning of the market.</w:t>
      </w:r>
    </w:p>
    <w:p w14:paraId="0506021E" w14:textId="37F9AC71" w:rsidR="00FA4100" w:rsidRPr="00B41B9A" w:rsidRDefault="00B41B9A" w:rsidP="00B41B9A">
      <w:pPr>
        <w:ind w:left="360"/>
        <w:rPr>
          <w:rFonts w:ascii="Open Sans" w:hAnsi="Open Sans" w:cs="Open Sans"/>
          <w:sz w:val="20"/>
        </w:rPr>
      </w:pPr>
      <w:r w:rsidRPr="00EB34E8">
        <w:rPr>
          <w:rFonts w:ascii="Open Sans" w:hAnsi="Open Sans" w:cs="Open Sans"/>
          <w:sz w:val="20"/>
        </w:rPr>
        <w:t>We believe that obstacles to non-discriminatory access to data can be removed through the provision of simple and transparent list prices that are publicly accessible, market data fees that are charged on a simple per instrument volume basis and licensing buy-side firms only once for use of the data. The removal of application licences and display/non-display fees, for example, would also allow users to use the data and not expend costs on ring-fencing data.</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582E0C88" w14:textId="77777777" w:rsidR="006511ED" w:rsidRDefault="006511ED" w:rsidP="006511ED">
      <w:pPr>
        <w:ind w:left="360"/>
        <w:rPr>
          <w:rFonts w:ascii="Open Sans" w:hAnsi="Open Sans" w:cs="Open Sans"/>
          <w:sz w:val="20"/>
        </w:rPr>
      </w:pPr>
      <w:permStart w:id="1310215157" w:edGrp="everyone"/>
      <w:r>
        <w:t xml:space="preserve"> </w:t>
      </w:r>
      <w:r w:rsidRPr="00B96B7E">
        <w:rPr>
          <w:rFonts w:ascii="Open Sans" w:hAnsi="Open Sans" w:cs="Open Sans"/>
          <w:sz w:val="20"/>
          <w:u w:val="single"/>
        </w:rPr>
        <w:t>AIMA believes that the elements which could affect prices in data provision include data volume and latency</w:t>
      </w:r>
      <w:r w:rsidRPr="00EB34E8">
        <w:rPr>
          <w:rFonts w:ascii="Open Sans" w:hAnsi="Open Sans" w:cs="Open Sans"/>
          <w:sz w:val="20"/>
        </w:rPr>
        <w:t xml:space="preserve">. A greater volume of data and delivery of data at a lower latency (such as within nanoseconds or microseconds) may cost more than a lower volume of data and delivery of data at slower real-time speeds. </w:t>
      </w:r>
    </w:p>
    <w:p w14:paraId="6FCDC957" w14:textId="7AEAE654" w:rsidR="00FA4100" w:rsidRPr="006511ED" w:rsidRDefault="006511ED" w:rsidP="006511ED">
      <w:pPr>
        <w:ind w:left="360"/>
        <w:rPr>
          <w:rFonts w:ascii="Open Sans" w:hAnsi="Open Sans" w:cs="Open Sans"/>
          <w:sz w:val="20"/>
        </w:rPr>
      </w:pPr>
      <w:r w:rsidRPr="00177C6B">
        <w:rPr>
          <w:rFonts w:ascii="Open Sans" w:hAnsi="Open Sans" w:cs="Open Sans"/>
          <w:sz w:val="20"/>
          <w:u w:val="single"/>
        </w:rPr>
        <w:t xml:space="preserve">AIMA believes that the distinction between </w:t>
      </w:r>
      <w:r>
        <w:rPr>
          <w:rFonts w:ascii="Open Sans" w:hAnsi="Open Sans" w:cs="Open Sans"/>
          <w:sz w:val="20"/>
          <w:u w:val="single"/>
        </w:rPr>
        <w:t>‘</w:t>
      </w:r>
      <w:r w:rsidRPr="00177C6B">
        <w:rPr>
          <w:rFonts w:ascii="Open Sans" w:hAnsi="Open Sans" w:cs="Open Sans"/>
          <w:sz w:val="20"/>
          <w:u w:val="single"/>
        </w:rPr>
        <w:t>display</w:t>
      </w:r>
      <w:r>
        <w:rPr>
          <w:rFonts w:ascii="Open Sans" w:hAnsi="Open Sans" w:cs="Open Sans"/>
          <w:sz w:val="20"/>
          <w:u w:val="single"/>
        </w:rPr>
        <w:t>’</w:t>
      </w:r>
      <w:r w:rsidRPr="00177C6B">
        <w:rPr>
          <w:rFonts w:ascii="Open Sans" w:hAnsi="Open Sans" w:cs="Open Sans"/>
          <w:sz w:val="20"/>
          <w:u w:val="single"/>
        </w:rPr>
        <w:t xml:space="preserve"> (human use) and </w:t>
      </w:r>
      <w:r>
        <w:rPr>
          <w:rFonts w:ascii="Open Sans" w:hAnsi="Open Sans" w:cs="Open Sans"/>
          <w:sz w:val="20"/>
          <w:u w:val="single"/>
        </w:rPr>
        <w:t>‘</w:t>
      </w:r>
      <w:r w:rsidRPr="00177C6B">
        <w:rPr>
          <w:rFonts w:ascii="Open Sans" w:hAnsi="Open Sans" w:cs="Open Sans"/>
          <w:sz w:val="20"/>
          <w:u w:val="single"/>
        </w:rPr>
        <w:t>non-</w:t>
      </w:r>
      <w:r w:rsidRPr="006C028F">
        <w:rPr>
          <w:rFonts w:ascii="Open Sans" w:hAnsi="Open Sans" w:cs="Open Sans"/>
          <w:sz w:val="20"/>
          <w:u w:val="single"/>
        </w:rPr>
        <w:t>display</w:t>
      </w:r>
      <w:r>
        <w:rPr>
          <w:rFonts w:ascii="Open Sans" w:hAnsi="Open Sans" w:cs="Open Sans"/>
          <w:sz w:val="20"/>
          <w:u w:val="single"/>
        </w:rPr>
        <w:t>’</w:t>
      </w:r>
      <w:r w:rsidRPr="006C028F">
        <w:rPr>
          <w:rFonts w:ascii="Open Sans" w:hAnsi="Open Sans" w:cs="Open Sans"/>
          <w:sz w:val="20"/>
          <w:u w:val="single"/>
        </w:rPr>
        <w:t xml:space="preserve"> (application use) is artificial and should be eliminated</w:t>
      </w:r>
      <w:r>
        <w:rPr>
          <w:rFonts w:ascii="Open Sans" w:hAnsi="Open Sans" w:cs="Open Sans"/>
          <w:sz w:val="20"/>
        </w:rPr>
        <w:t>. We believe that licensing arrangements should make data available for internal use, such that an enterprise and its affiliates are able to access, use or store data for internal business purposes including research, analysis, modelling, portfolio valuation and the creation of derived data.</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67F72CC7" w14:textId="77777777" w:rsidR="00F70079" w:rsidRPr="00EB34E8" w:rsidRDefault="00F70079" w:rsidP="00F70079">
      <w:pPr>
        <w:ind w:firstLine="360"/>
        <w:rPr>
          <w:rFonts w:ascii="Open Sans" w:hAnsi="Open Sans" w:cs="Open Sans"/>
          <w:sz w:val="20"/>
        </w:rPr>
      </w:pPr>
      <w:permStart w:id="1461735347" w:edGrp="everyone"/>
      <w:r>
        <w:t xml:space="preserve"> </w:t>
      </w:r>
      <w:r w:rsidRPr="00B96B7E">
        <w:rPr>
          <w:rFonts w:ascii="Open Sans" w:hAnsi="Open Sans" w:cs="Open Sans"/>
          <w:sz w:val="20"/>
          <w:u w:val="single"/>
        </w:rPr>
        <w:t>AIMA agrees with ESMA’s proposal on how to set up fee categories</w:t>
      </w:r>
      <w:r w:rsidRPr="00EB34E8">
        <w:rPr>
          <w:rFonts w:ascii="Open Sans" w:hAnsi="Open Sans" w:cs="Open Sans"/>
          <w:sz w:val="20"/>
        </w:rPr>
        <w:t xml:space="preserve">. </w:t>
      </w:r>
    </w:p>
    <w:p w14:paraId="107DBB18" w14:textId="77777777" w:rsidR="00F70079" w:rsidRPr="00EB34E8" w:rsidRDefault="00F70079" w:rsidP="00F70079">
      <w:pPr>
        <w:ind w:left="360"/>
        <w:rPr>
          <w:rFonts w:ascii="Open Sans" w:hAnsi="Open Sans" w:cs="Open Sans"/>
          <w:sz w:val="20"/>
        </w:rPr>
      </w:pPr>
      <w:r w:rsidRPr="00EB34E8">
        <w:rPr>
          <w:rFonts w:ascii="Open Sans" w:hAnsi="Open Sans" w:cs="Open Sans"/>
          <w:sz w:val="20"/>
        </w:rPr>
        <w:lastRenderedPageBreak/>
        <w:t>In particular, we support principle 2 (‘categories are to pertain to more than one use, to avoid the creation of ad-hoc categories for specific users’); principle 5 (‘a reasonable margin, expressed as a percentage of costs, is to be homogenous amongst users belonging to the same category’); and principle 6 (‘categorisation is not to be based on the value that the market data represents to individual users’). Firms note that exchanges have been creating new licence categories for many years. As mentioned in our response to Question 31 of the consultation</w:t>
      </w:r>
      <w:r w:rsidRPr="002228E4">
        <w:rPr>
          <w:rFonts w:ascii="Open Sans" w:hAnsi="Open Sans" w:cs="Open Sans"/>
          <w:sz w:val="20"/>
        </w:rPr>
        <w:t xml:space="preserve">, </w:t>
      </w:r>
      <w:r w:rsidRPr="00FE0684">
        <w:rPr>
          <w:rFonts w:ascii="Open Sans" w:hAnsi="Open Sans" w:cs="Open Sans"/>
          <w:sz w:val="20"/>
          <w:u w:val="single"/>
        </w:rPr>
        <w:t>we strongly believe that the costs of data should not</w:t>
      </w:r>
      <w:r>
        <w:rPr>
          <w:rFonts w:ascii="Open Sans" w:hAnsi="Open Sans" w:cs="Open Sans"/>
          <w:sz w:val="20"/>
          <w:u w:val="single"/>
        </w:rPr>
        <w:t xml:space="preserve"> be</w:t>
      </w:r>
      <w:r w:rsidRPr="00FE0684">
        <w:rPr>
          <w:rFonts w:ascii="Open Sans" w:hAnsi="Open Sans" w:cs="Open Sans"/>
          <w:sz w:val="20"/>
          <w:u w:val="single"/>
        </w:rPr>
        <w:t xml:space="preserve"> based on the value that the market data represents to individual users</w:t>
      </w:r>
      <w:r w:rsidRPr="00EB34E8">
        <w:rPr>
          <w:rFonts w:ascii="Open Sans" w:hAnsi="Open Sans" w:cs="Open Sans"/>
          <w:sz w:val="20"/>
        </w:rPr>
        <w:t>. Without this, costs are inconsistent and firms that utilise data more effectively to generate alpha are penalised for their approach.</w:t>
      </w:r>
    </w:p>
    <w:p w14:paraId="7702A3CE" w14:textId="370D8FA5" w:rsidR="00FA4100" w:rsidRPr="00F70079" w:rsidRDefault="00F70079" w:rsidP="00F70079">
      <w:pPr>
        <w:ind w:left="360"/>
        <w:rPr>
          <w:rFonts w:ascii="Open Sans" w:hAnsi="Open Sans" w:cs="Open Sans"/>
          <w:sz w:val="20"/>
        </w:rPr>
      </w:pPr>
      <w:r w:rsidRPr="00FE0684">
        <w:rPr>
          <w:rFonts w:ascii="Open Sans" w:hAnsi="Open Sans" w:cs="Open Sans"/>
          <w:sz w:val="20"/>
          <w:u w:val="single"/>
        </w:rPr>
        <w:t>We believe it would be useful to understand the nature of the ‘factual elements’ under principle 1 (‘categories are to be based on factual elements and easily verifiable’)</w:t>
      </w:r>
      <w:r w:rsidRPr="00EB34E8">
        <w:rPr>
          <w:rFonts w:ascii="Open Sans" w:hAnsi="Open Sans" w:cs="Open Sans"/>
          <w:sz w:val="20"/>
        </w:rPr>
        <w:t>.</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518F33B3" w14:textId="77777777" w:rsidR="00603F66" w:rsidRDefault="00603F66" w:rsidP="00603F66">
      <w:pPr>
        <w:ind w:left="360"/>
        <w:rPr>
          <w:rFonts w:ascii="Open Sans" w:hAnsi="Open Sans" w:cs="Open Sans"/>
          <w:sz w:val="20"/>
        </w:rPr>
      </w:pPr>
      <w:permStart w:id="526140180" w:edGrp="everyone"/>
      <w:r>
        <w:t xml:space="preserve"> </w:t>
      </w:r>
      <w:r w:rsidRPr="00EB34E8">
        <w:rPr>
          <w:rFonts w:ascii="Open Sans" w:hAnsi="Open Sans" w:cs="Open Sans"/>
          <w:sz w:val="20"/>
        </w:rPr>
        <w:t xml:space="preserve">Further to our response to Question 33 of the consultation, </w:t>
      </w:r>
      <w:r w:rsidRPr="00FE0684">
        <w:rPr>
          <w:rFonts w:ascii="Open Sans" w:hAnsi="Open Sans" w:cs="Open Sans"/>
          <w:sz w:val="20"/>
          <w:u w:val="single"/>
        </w:rPr>
        <w:t>AIMA particularly supports ESMA’s proposal to specify under Article 5 of the draft RTS, that only one category shall be applicable per user (</w:t>
      </w:r>
      <w:proofErr w:type="gramStart"/>
      <w:r w:rsidRPr="00FE0684">
        <w:rPr>
          <w:rFonts w:ascii="Open Sans" w:hAnsi="Open Sans" w:cs="Open Sans"/>
          <w:sz w:val="20"/>
          <w:u w:val="single"/>
        </w:rPr>
        <w:t>similar to</w:t>
      </w:r>
      <w:proofErr w:type="gramEnd"/>
      <w:r w:rsidRPr="00FE0684">
        <w:rPr>
          <w:rFonts w:ascii="Open Sans" w:hAnsi="Open Sans" w:cs="Open Sans"/>
          <w:sz w:val="20"/>
          <w:u w:val="single"/>
        </w:rPr>
        <w:t xml:space="preserve"> what was previously indicated by Guideline 5) to avoid duplication of fees for the same data provided</w:t>
      </w:r>
      <w:r w:rsidRPr="00EB34E8">
        <w:rPr>
          <w:rFonts w:ascii="Open Sans" w:hAnsi="Open Sans" w:cs="Open Sans"/>
          <w:sz w:val="20"/>
        </w:rPr>
        <w:t xml:space="preserve">. </w:t>
      </w:r>
    </w:p>
    <w:p w14:paraId="6185C990" w14:textId="4544555A" w:rsidR="00FA4100" w:rsidRPr="00603F66" w:rsidRDefault="00603F66" w:rsidP="00603F66">
      <w:pPr>
        <w:ind w:left="360"/>
        <w:rPr>
          <w:rFonts w:ascii="Open Sans" w:hAnsi="Open Sans" w:cs="Open Sans"/>
          <w:sz w:val="20"/>
        </w:rPr>
      </w:pPr>
      <w:r w:rsidRPr="00EB34E8">
        <w:rPr>
          <w:rFonts w:ascii="Open Sans" w:hAnsi="Open Sans" w:cs="Open Sans"/>
          <w:sz w:val="20"/>
        </w:rPr>
        <w:t xml:space="preserve">In relation to ESMA’s proposal to allow in line with the principle of cost-based pricing for an increment of fees where there are significant different uses made by the customers which requires the market data provider to incur extra costs to cover the users’ different needs, </w:t>
      </w:r>
      <w:r w:rsidRPr="006C4A52">
        <w:rPr>
          <w:rFonts w:ascii="Open Sans" w:hAnsi="Open Sans" w:cs="Open Sans"/>
          <w:sz w:val="20"/>
          <w:u w:val="single"/>
        </w:rPr>
        <w:t>we disagree that the provision of display or non-display data should warrant extra costs</w:t>
      </w:r>
      <w:r w:rsidRPr="00EB34E8">
        <w:rPr>
          <w:rFonts w:ascii="Open Sans" w:hAnsi="Open Sans" w:cs="Open Sans"/>
          <w:sz w:val="20"/>
        </w:rPr>
        <w:t xml:space="preserve">. </w:t>
      </w:r>
      <w:r>
        <w:rPr>
          <w:rFonts w:ascii="Open Sans" w:hAnsi="Open Sans" w:cs="Open Sans"/>
          <w:sz w:val="20"/>
        </w:rPr>
        <w:t>Further to our response to Question 32 of the consultation, w</w:t>
      </w:r>
      <w:r w:rsidRPr="00EB34E8">
        <w:rPr>
          <w:rFonts w:ascii="Open Sans" w:hAnsi="Open Sans" w:cs="Open Sans"/>
          <w:sz w:val="20"/>
        </w:rPr>
        <w:t xml:space="preserve">e believe that volume and speed should be the only elements the allow for an increment of fees and that, ultimately, display and non-display data are a function of volume and speed. We believe that the increased focus by venues on non-display applications of data is an unfair and conceptually flawed approach that stifles innovation and overlooks the fact that market data is ultimately a by-product of participants’ trading activities. </w:t>
      </w:r>
      <w:r>
        <w:rPr>
          <w:rFonts w:ascii="Open Sans" w:hAnsi="Open Sans" w:cs="Open Sans"/>
          <w:sz w:val="20"/>
        </w:rPr>
        <w:t>A</w:t>
      </w:r>
      <w:r w:rsidRPr="00EB34E8">
        <w:rPr>
          <w:rFonts w:ascii="Open Sans" w:hAnsi="Open Sans" w:cs="Open Sans"/>
          <w:sz w:val="20"/>
        </w:rPr>
        <w:t>lmost any central application consuming real-time market data such as profit and loss calculation, risk management and portfolio valuation is likely to be captured as a non-display application and therefore attract higher fee levels.</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lastRenderedPageBreak/>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47126086" w14:textId="77777777" w:rsidR="00DB5840" w:rsidRPr="00EB34E8" w:rsidRDefault="00DB5840" w:rsidP="00DB5840">
      <w:pPr>
        <w:ind w:left="360"/>
        <w:rPr>
          <w:rFonts w:ascii="Open Sans" w:hAnsi="Open Sans" w:cs="Open Sans"/>
          <w:sz w:val="20"/>
        </w:rPr>
      </w:pPr>
      <w:permStart w:id="657797640" w:edGrp="everyone"/>
      <w:r>
        <w:t xml:space="preserve"> </w:t>
      </w:r>
      <w:r w:rsidRPr="006C4A52">
        <w:rPr>
          <w:rFonts w:ascii="Open Sans" w:hAnsi="Open Sans" w:cs="Open Sans"/>
          <w:sz w:val="20"/>
          <w:u w:val="single"/>
        </w:rPr>
        <w:t xml:space="preserve">AIMA agrees that key issues in relation to market data agreements which result in unfair terms and conditions to the disadvantage of users </w:t>
      </w:r>
      <w:proofErr w:type="gramStart"/>
      <w:r w:rsidRPr="006C4A52">
        <w:rPr>
          <w:rFonts w:ascii="Open Sans" w:hAnsi="Open Sans" w:cs="Open Sans"/>
          <w:sz w:val="20"/>
          <w:u w:val="single"/>
        </w:rPr>
        <w:t>include:</w:t>
      </w:r>
      <w:proofErr w:type="gramEnd"/>
      <w:r w:rsidRPr="006C4A52">
        <w:rPr>
          <w:rFonts w:ascii="Open Sans" w:hAnsi="Open Sans" w:cs="Open Sans"/>
          <w:sz w:val="20"/>
          <w:u w:val="single"/>
        </w:rPr>
        <w:t xml:space="preserve"> onerous administrative obligations on data users; ambiguous language in the agreement; frequent unilateral amendments to the agreement; general lack of transparency on terms and conditions; excessive fees; increase of fees through penalties; and overly burdensome audits</w:t>
      </w:r>
      <w:r w:rsidRPr="00EB34E8">
        <w:rPr>
          <w:rFonts w:ascii="Open Sans" w:hAnsi="Open Sans" w:cs="Open Sans"/>
          <w:sz w:val="20"/>
        </w:rPr>
        <w:t xml:space="preserve">. </w:t>
      </w:r>
    </w:p>
    <w:p w14:paraId="270DBF3C" w14:textId="77777777" w:rsidR="00DB5840" w:rsidRPr="00EB34E8" w:rsidRDefault="00DB5840" w:rsidP="00DB5840">
      <w:pPr>
        <w:ind w:left="360"/>
        <w:rPr>
          <w:rFonts w:ascii="Open Sans" w:hAnsi="Open Sans" w:cs="Open Sans"/>
          <w:sz w:val="20"/>
        </w:rPr>
      </w:pPr>
      <w:r w:rsidRPr="00EB34E8">
        <w:rPr>
          <w:rFonts w:ascii="Open Sans" w:hAnsi="Open Sans" w:cs="Open Sans"/>
          <w:sz w:val="20"/>
        </w:rPr>
        <w:t xml:space="preserve">It is not uncommon for licensees to have incorrect understandings of market data licence agreements due to divergence in licensing practices and vagueness in terms. Individual venues and data providers also often have their own interpretation of common terms in data usage agreements, drastically increasing the difficulty </w:t>
      </w:r>
      <w:r>
        <w:rPr>
          <w:rFonts w:ascii="Open Sans" w:hAnsi="Open Sans" w:cs="Open Sans"/>
          <w:sz w:val="20"/>
        </w:rPr>
        <w:t>for</w:t>
      </w:r>
      <w:r w:rsidRPr="00EB34E8">
        <w:rPr>
          <w:rFonts w:ascii="Open Sans" w:hAnsi="Open Sans" w:cs="Open Sans"/>
          <w:sz w:val="20"/>
        </w:rPr>
        <w:t xml:space="preserve"> firms </w:t>
      </w:r>
      <w:r>
        <w:rPr>
          <w:rFonts w:ascii="Open Sans" w:hAnsi="Open Sans" w:cs="Open Sans"/>
          <w:sz w:val="20"/>
        </w:rPr>
        <w:t xml:space="preserve">to </w:t>
      </w:r>
      <w:r w:rsidRPr="00EB34E8">
        <w:rPr>
          <w:rFonts w:ascii="Open Sans" w:hAnsi="Open Sans" w:cs="Open Sans"/>
          <w:sz w:val="20"/>
        </w:rPr>
        <w:t xml:space="preserve">comply with those agreements. Such differences in the interpretation of market data licensing contracts allow auditors to cite unauthorised data usage easily and charge fees retroactively along with monthly interest fees (at sometimes non-market rates) on retroactive payments. </w:t>
      </w:r>
      <w:r>
        <w:rPr>
          <w:rFonts w:ascii="Open Sans" w:hAnsi="Open Sans" w:cs="Open Sans"/>
          <w:sz w:val="20"/>
        </w:rPr>
        <w:t>O</w:t>
      </w:r>
      <w:r w:rsidRPr="00EB34E8">
        <w:rPr>
          <w:rFonts w:ascii="Open Sans" w:hAnsi="Open Sans" w:cs="Open Sans"/>
          <w:sz w:val="20"/>
        </w:rPr>
        <w:t xml:space="preserve">ur members spend an increasing amount of money not just on acquiring market data but on abiding by the strictures that come with it. Firms are forced to dedicate an increasing number of resources to parsing fee schedules, ensuring that access to data is strictly controlled and responding to invasive data usage audits. Many firms are forced to hire full-time staff or consultants to manage the intricacies of their data usage agreements: the agreements are often so complex that they require specialised and rare - therefore expensive - knowledge to interpret them. Firms are also often compelled to purchase expensive software specifically to deal with their market data and abide by their data usage agreements. </w:t>
      </w:r>
    </w:p>
    <w:p w14:paraId="556E305F" w14:textId="77777777" w:rsidR="00DB5840" w:rsidRPr="00EB34E8" w:rsidRDefault="00DB5840" w:rsidP="00DB5840">
      <w:pPr>
        <w:ind w:left="360"/>
        <w:rPr>
          <w:rFonts w:ascii="Open Sans" w:hAnsi="Open Sans" w:cs="Open Sans"/>
          <w:sz w:val="20"/>
        </w:rPr>
      </w:pPr>
      <w:r w:rsidRPr="00EB34E8">
        <w:rPr>
          <w:rFonts w:ascii="Open Sans" w:hAnsi="Open Sans" w:cs="Open Sans"/>
          <w:sz w:val="20"/>
        </w:rPr>
        <w:t xml:space="preserve">Furthermore, as ESMA identifies, market data providers are increasingly conducting ‘data usage’ audits to ensure that firms strictly adhere to the complex terms attached to the market data that they purchase. These audits are often aggressive and burdensome, with the intent of trying to ‘catch’ firms straying from the exact letter of their usage agreements and extract greater market data revenue from market participants. The audit process is seen as poor with unreasonable access terms, heavy documentation and little to no feedback. Access is requested at any time without customer approval, notice and any limits on the data that can be accessed. Meanwhile, the data that is sought for audits is mostly that which auditors already hold or have access to through their own systems. </w:t>
      </w:r>
    </w:p>
    <w:p w14:paraId="64989935" w14:textId="7962D9F1" w:rsidR="00FA4100" w:rsidRPr="00DB5840" w:rsidRDefault="00DB5840" w:rsidP="00DB5840">
      <w:pPr>
        <w:ind w:left="360"/>
        <w:rPr>
          <w:rFonts w:ascii="Open Sans" w:hAnsi="Open Sans" w:cs="Open Sans"/>
          <w:sz w:val="20"/>
        </w:rPr>
      </w:pPr>
      <w:r w:rsidRPr="00EB34E8">
        <w:rPr>
          <w:rFonts w:ascii="Open Sans" w:hAnsi="Open Sans" w:cs="Open Sans"/>
          <w:sz w:val="20"/>
        </w:rPr>
        <w:t xml:space="preserve">In addition to the above biased and unfair terms and conditions, </w:t>
      </w:r>
      <w:r w:rsidRPr="006C4A52">
        <w:rPr>
          <w:rFonts w:ascii="Open Sans" w:hAnsi="Open Sans" w:cs="Open Sans"/>
          <w:sz w:val="20"/>
          <w:u w:val="single"/>
        </w:rPr>
        <w:t>firms find that the requirement in market data agreements to delete data at contract end creates a fiction that such an action is possible to execute when it is functionally almost impossible to do</w:t>
      </w:r>
      <w:r w:rsidRPr="00EB34E8">
        <w:rPr>
          <w:rFonts w:ascii="Open Sans" w:hAnsi="Open Sans" w:cs="Open Sans"/>
          <w:sz w:val="20"/>
        </w:rPr>
        <w:t xml:space="preserve">. </w:t>
      </w:r>
      <w:r w:rsidRPr="006C4A52">
        <w:rPr>
          <w:rFonts w:ascii="Open Sans" w:hAnsi="Open Sans" w:cs="Open Sans"/>
          <w:sz w:val="20"/>
          <w:u w:val="single"/>
        </w:rPr>
        <w:t>Firms also note that per loca</w:t>
      </w:r>
      <w:r w:rsidRPr="006C4A52">
        <w:rPr>
          <w:rFonts w:ascii="Open Sans" w:hAnsi="Open Sans" w:cs="Open Sans"/>
          <w:sz w:val="20"/>
          <w:u w:val="single"/>
        </w:rPr>
        <w:lastRenderedPageBreak/>
        <w:t>tion charges and charges for affiliates is unfair</w:t>
      </w:r>
      <w:r w:rsidRPr="00EB34E8">
        <w:rPr>
          <w:rFonts w:ascii="Open Sans" w:hAnsi="Open Sans" w:cs="Open Sans"/>
          <w:sz w:val="20"/>
        </w:rPr>
        <w:t>. Firms share that data vendors are taking an aggressive approach to multi-entity licences and insisting on individual licences for different geographical locations. As a result, where users are in different locations, firms are forced to pay multiple site-wide licences which further increases costs.</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4DD4FEF8" w14:textId="77777777" w:rsidR="00976BC7" w:rsidRPr="00EB34E8" w:rsidRDefault="00976BC7" w:rsidP="00976BC7">
      <w:pPr>
        <w:ind w:left="360"/>
        <w:rPr>
          <w:rFonts w:ascii="Open Sans" w:hAnsi="Open Sans" w:cs="Open Sans"/>
          <w:sz w:val="20"/>
          <w:u w:val="single"/>
        </w:rPr>
      </w:pPr>
      <w:permStart w:id="1477078338" w:edGrp="everyone"/>
      <w:r>
        <w:t xml:space="preserve"> </w:t>
      </w:r>
      <w:r w:rsidRPr="00EB34E8">
        <w:rPr>
          <w:rFonts w:ascii="Open Sans" w:hAnsi="Open Sans" w:cs="Open Sans"/>
          <w:sz w:val="20"/>
          <w:u w:val="single"/>
        </w:rPr>
        <w:t xml:space="preserve">AIMA generally agrees with ESMA’s proposal in respect </w:t>
      </w:r>
      <w:r>
        <w:rPr>
          <w:rFonts w:ascii="Open Sans" w:hAnsi="Open Sans" w:cs="Open Sans"/>
          <w:sz w:val="20"/>
          <w:u w:val="single"/>
        </w:rPr>
        <w:t>of</w:t>
      </w:r>
      <w:r w:rsidRPr="00EB34E8">
        <w:rPr>
          <w:rFonts w:ascii="Open Sans" w:hAnsi="Open Sans" w:cs="Open Sans"/>
          <w:sz w:val="20"/>
          <w:u w:val="single"/>
        </w:rPr>
        <w:t xml:space="preserve"> (</w:t>
      </w:r>
      <w:proofErr w:type="spellStart"/>
      <w:r w:rsidRPr="00EB34E8">
        <w:rPr>
          <w:rFonts w:ascii="Open Sans" w:hAnsi="Open Sans" w:cs="Open Sans"/>
          <w:sz w:val="20"/>
          <w:u w:val="single"/>
        </w:rPr>
        <w:t>i</w:t>
      </w:r>
      <w:proofErr w:type="spellEnd"/>
      <w:r w:rsidRPr="00EB34E8">
        <w:rPr>
          <w:rFonts w:ascii="Open Sans" w:hAnsi="Open Sans" w:cs="Open Sans"/>
          <w:sz w:val="20"/>
          <w:u w:val="single"/>
        </w:rPr>
        <w:t>) the obligation to provide pre-contractual information, (ii) general principle on fair terms, (iii) the language of the market data agreement, (iv) the market data agreement conformity with published policies and (v) the provision on fees and additional costs.</w:t>
      </w:r>
    </w:p>
    <w:p w14:paraId="7F465252" w14:textId="77777777" w:rsidR="00976BC7" w:rsidRPr="00EB34E8" w:rsidRDefault="00976BC7" w:rsidP="00976BC7">
      <w:pPr>
        <w:ind w:left="360"/>
        <w:rPr>
          <w:rFonts w:ascii="Open Sans" w:hAnsi="Open Sans" w:cs="Open Sans"/>
          <w:sz w:val="20"/>
        </w:rPr>
      </w:pPr>
      <w:r w:rsidRPr="00EB34E8">
        <w:rPr>
          <w:rFonts w:ascii="Open Sans" w:hAnsi="Open Sans" w:cs="Open Sans"/>
          <w:sz w:val="20"/>
        </w:rPr>
        <w:t xml:space="preserve">AIMA supports ESMA’s proposal to introduce an obligation for market data providers to provide to users upon request and before the conclusion of the agreement appropriate information on the provision of data, including a quote on applicable fees and charges, in line with what is displayed in the market data policy. </w:t>
      </w:r>
      <w:r w:rsidRPr="00495A1F">
        <w:rPr>
          <w:rFonts w:ascii="Open Sans" w:hAnsi="Open Sans" w:cs="Open Sans"/>
          <w:sz w:val="20"/>
        </w:rPr>
        <w:t xml:space="preserve">While firms would find this useful, firms note that standards would need to be introduced to ensure uniformity across market data providers and aid comparability. </w:t>
      </w:r>
    </w:p>
    <w:p w14:paraId="47D11903" w14:textId="77777777" w:rsidR="00976BC7" w:rsidRPr="00EB34E8" w:rsidRDefault="00976BC7" w:rsidP="00976BC7">
      <w:pPr>
        <w:ind w:left="360"/>
        <w:rPr>
          <w:rFonts w:ascii="Open Sans" w:hAnsi="Open Sans" w:cs="Open Sans"/>
          <w:sz w:val="20"/>
        </w:rPr>
      </w:pPr>
      <w:r w:rsidRPr="00EB34E8">
        <w:rPr>
          <w:rFonts w:ascii="Open Sans" w:hAnsi="Open Sans" w:cs="Open Sans"/>
          <w:sz w:val="20"/>
        </w:rPr>
        <w:t xml:space="preserve">AIMA welcomes ESMA’s general prohibition of unfair terms and conditions in the market data agreement, to address the imbalance identified in market data agreements to the disadvantage of data users. </w:t>
      </w:r>
      <w:r w:rsidRPr="00495A1F">
        <w:rPr>
          <w:rFonts w:ascii="Open Sans" w:hAnsi="Open Sans" w:cs="Open Sans"/>
          <w:sz w:val="20"/>
        </w:rPr>
        <w:t>However, we believe that the definition of fair and unfair terms will be key to addressing the imbalance.</w:t>
      </w:r>
    </w:p>
    <w:p w14:paraId="3BB9606E" w14:textId="77777777" w:rsidR="00976BC7" w:rsidRPr="00EB34E8" w:rsidRDefault="00976BC7" w:rsidP="00976BC7">
      <w:pPr>
        <w:ind w:left="360"/>
        <w:rPr>
          <w:rFonts w:ascii="Open Sans" w:hAnsi="Open Sans" w:cs="Open Sans"/>
          <w:sz w:val="20"/>
        </w:rPr>
      </w:pPr>
      <w:r w:rsidRPr="00EB34E8">
        <w:rPr>
          <w:rFonts w:ascii="Open Sans" w:hAnsi="Open Sans" w:cs="Open Sans"/>
          <w:sz w:val="20"/>
        </w:rPr>
        <w:t>AIMA supports ESMA’s proposal to require market data providers to ensure that terms and conditions for the provision of data are specified in a clear and concise manner in market data agreements. We would note that the need for clear and concise language is distinct from the need for clear and concise licensing models.</w:t>
      </w:r>
    </w:p>
    <w:p w14:paraId="51B53BB8" w14:textId="77777777" w:rsidR="00976BC7" w:rsidRPr="00EB34E8" w:rsidRDefault="00976BC7" w:rsidP="00976BC7">
      <w:pPr>
        <w:ind w:left="360"/>
        <w:rPr>
          <w:rFonts w:ascii="Open Sans" w:hAnsi="Open Sans" w:cs="Open Sans"/>
          <w:sz w:val="20"/>
        </w:rPr>
      </w:pPr>
      <w:r>
        <w:rPr>
          <w:rFonts w:ascii="Open Sans" w:hAnsi="Open Sans" w:cs="Open Sans"/>
          <w:sz w:val="20"/>
          <w:u w:val="single"/>
        </w:rPr>
        <w:t>Regarding</w:t>
      </w:r>
      <w:r w:rsidRPr="00495A1F">
        <w:rPr>
          <w:rFonts w:ascii="Open Sans" w:hAnsi="Open Sans" w:cs="Open Sans"/>
          <w:sz w:val="20"/>
          <w:u w:val="single"/>
        </w:rPr>
        <w:t xml:space="preserve"> ESMA’s proposal to require market data providers to notify to the user </w:t>
      </w:r>
      <w:r>
        <w:rPr>
          <w:rFonts w:ascii="Open Sans" w:hAnsi="Open Sans" w:cs="Open Sans"/>
          <w:sz w:val="20"/>
          <w:u w:val="single"/>
        </w:rPr>
        <w:t xml:space="preserve">of </w:t>
      </w:r>
      <w:r w:rsidRPr="00495A1F">
        <w:rPr>
          <w:rFonts w:ascii="Open Sans" w:hAnsi="Open Sans" w:cs="Open Sans"/>
          <w:sz w:val="20"/>
          <w:u w:val="single"/>
        </w:rPr>
        <w:t>unilateral amendments to a market data agreement two months in advance of entry into force</w:t>
      </w:r>
      <w:r>
        <w:rPr>
          <w:rFonts w:ascii="Open Sans" w:hAnsi="Open Sans" w:cs="Open Sans"/>
          <w:sz w:val="20"/>
        </w:rPr>
        <w:t>,</w:t>
      </w:r>
      <w:r w:rsidRPr="00EB34E8">
        <w:rPr>
          <w:rFonts w:ascii="Open Sans" w:hAnsi="Open Sans" w:cs="Open Sans"/>
          <w:sz w:val="20"/>
        </w:rPr>
        <w:t xml:space="preserve"> </w:t>
      </w:r>
      <w:r>
        <w:rPr>
          <w:rFonts w:ascii="Open Sans" w:hAnsi="Open Sans" w:cs="Open Sans"/>
          <w:sz w:val="20"/>
        </w:rPr>
        <w:t>f</w:t>
      </w:r>
      <w:r w:rsidRPr="00EB34E8">
        <w:rPr>
          <w:rFonts w:ascii="Open Sans" w:hAnsi="Open Sans" w:cs="Open Sans"/>
          <w:sz w:val="20"/>
        </w:rPr>
        <w:t xml:space="preserve">irms note that most contracts provide for such a requirement and often with </w:t>
      </w:r>
      <w:r>
        <w:rPr>
          <w:rFonts w:ascii="Open Sans" w:hAnsi="Open Sans" w:cs="Open Sans"/>
          <w:sz w:val="20"/>
        </w:rPr>
        <w:t xml:space="preserve">notice periods of two months or </w:t>
      </w:r>
      <w:r w:rsidRPr="00EB34E8">
        <w:rPr>
          <w:rFonts w:ascii="Open Sans" w:hAnsi="Open Sans" w:cs="Open Sans"/>
          <w:sz w:val="20"/>
        </w:rPr>
        <w:t>longer</w:t>
      </w:r>
      <w:r>
        <w:rPr>
          <w:rFonts w:ascii="Open Sans" w:hAnsi="Open Sans" w:cs="Open Sans"/>
          <w:sz w:val="20"/>
        </w:rPr>
        <w:t xml:space="preserve">. Firms share that a notice period of </w:t>
      </w:r>
      <w:r w:rsidRPr="00EB34E8">
        <w:rPr>
          <w:rFonts w:ascii="Open Sans" w:hAnsi="Open Sans" w:cs="Open Sans"/>
          <w:sz w:val="20"/>
        </w:rPr>
        <w:t>two months is too short, particularly when consider</w:t>
      </w:r>
      <w:r w:rsidRPr="00EB34E8">
        <w:rPr>
          <w:rFonts w:ascii="Open Sans" w:hAnsi="Open Sans" w:cs="Open Sans"/>
          <w:sz w:val="20"/>
        </w:rPr>
        <w:lastRenderedPageBreak/>
        <w:t>ing replacement of critical data source.</w:t>
      </w:r>
      <w:r>
        <w:rPr>
          <w:rFonts w:ascii="Open Sans" w:hAnsi="Open Sans" w:cs="Open Sans"/>
          <w:sz w:val="20"/>
        </w:rPr>
        <w:t xml:space="preserve"> For material changes, such as those that relate to the reduction or cessation of services or materially increased costs, firms would suggest a notice period of six months.</w:t>
      </w:r>
    </w:p>
    <w:p w14:paraId="456672CC" w14:textId="25F08FCE" w:rsidR="00FA4100" w:rsidRPr="00976BC7" w:rsidRDefault="00976BC7" w:rsidP="00976BC7">
      <w:pPr>
        <w:ind w:left="360"/>
        <w:rPr>
          <w:rFonts w:ascii="Open Sans" w:hAnsi="Open Sans" w:cs="Open Sans"/>
          <w:sz w:val="20"/>
        </w:rPr>
      </w:pPr>
      <w:r w:rsidRPr="00EB34E8">
        <w:rPr>
          <w:rFonts w:ascii="Open Sans" w:hAnsi="Open Sans" w:cs="Open Sans"/>
          <w:sz w:val="20"/>
        </w:rPr>
        <w:t>AIMA supports ESMA’s proposal to prohibit clauses whose application result</w:t>
      </w:r>
      <w:r>
        <w:rPr>
          <w:rFonts w:ascii="Open Sans" w:hAnsi="Open Sans" w:cs="Open Sans"/>
          <w:sz w:val="20"/>
        </w:rPr>
        <w:t>s</w:t>
      </w:r>
      <w:r w:rsidRPr="00EB34E8">
        <w:rPr>
          <w:rFonts w:ascii="Open Sans" w:hAnsi="Open Sans" w:cs="Open Sans"/>
          <w:sz w:val="20"/>
        </w:rPr>
        <w:t xml:space="preserve"> in a direct, or indirect increase of fees, as well as double application of fees for the same data, though is unclear how this would work in practice and how such application would need to be demonstrate</w:t>
      </w:r>
      <w:r>
        <w:rPr>
          <w:rFonts w:ascii="Open Sans" w:hAnsi="Open Sans" w:cs="Open Sans"/>
          <w:sz w:val="20"/>
        </w:rPr>
        <w:t>d</w:t>
      </w:r>
      <w:r w:rsidRPr="00EB34E8">
        <w:rPr>
          <w:rFonts w:ascii="Open Sans" w:hAnsi="Open Sans" w:cs="Open Sans"/>
          <w:sz w:val="20"/>
        </w:rPr>
        <w:t>. We would note that a lack of transparency for customers to determine correct netting mechanisms has resulted in duplicated licensing and, therefore, duplicate payments.</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179E543D" w14:textId="1FBDB4B7" w:rsidR="00FA4100" w:rsidRPr="00155331" w:rsidRDefault="00155331" w:rsidP="00155331">
      <w:pPr>
        <w:ind w:left="360"/>
        <w:rPr>
          <w:rFonts w:ascii="Open Sans" w:hAnsi="Open Sans" w:cs="Open Sans"/>
          <w:sz w:val="20"/>
        </w:rPr>
      </w:pPr>
      <w:permStart w:id="1201633413" w:edGrp="everyone"/>
      <w:r>
        <w:t xml:space="preserve"> </w:t>
      </w:r>
      <w:r w:rsidRPr="00495A1F">
        <w:rPr>
          <w:rFonts w:ascii="Open Sans" w:hAnsi="Open Sans" w:cs="Open Sans"/>
          <w:sz w:val="20"/>
          <w:u w:val="single"/>
        </w:rPr>
        <w:t>Firms note that market data from exchanges has almost always been user billed but that the large cost for access to real-time data at feed level is exchange wide and billed per-user</w:t>
      </w:r>
      <w:r w:rsidRPr="00EB34E8">
        <w:rPr>
          <w:rFonts w:ascii="Open Sans" w:hAnsi="Open Sans" w:cs="Open Sans"/>
          <w:sz w:val="20"/>
        </w:rPr>
        <w:t>.</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4D2B87CA" w14:textId="77777777" w:rsidR="001F7E35" w:rsidRPr="00EB34E8" w:rsidRDefault="001F7E35" w:rsidP="001F7E35">
      <w:pPr>
        <w:ind w:left="360"/>
        <w:rPr>
          <w:rFonts w:ascii="Open Sans" w:hAnsi="Open Sans" w:cs="Open Sans"/>
          <w:sz w:val="20"/>
        </w:rPr>
      </w:pPr>
      <w:permStart w:id="1252924652" w:edGrp="everyone"/>
      <w:r>
        <w:t xml:space="preserve"> </w:t>
      </w:r>
      <w:r w:rsidRPr="00495A1F">
        <w:rPr>
          <w:rFonts w:ascii="Open Sans" w:hAnsi="Open Sans" w:cs="Open Sans"/>
          <w:sz w:val="20"/>
          <w:u w:val="single"/>
        </w:rPr>
        <w:t>AIMA agrees with ESMA's proposals on penalties</w:t>
      </w:r>
      <w:r w:rsidRPr="00495A1F">
        <w:rPr>
          <w:rFonts w:ascii="Open Sans" w:hAnsi="Open Sans" w:cs="Open Sans"/>
          <w:sz w:val="20"/>
        </w:rPr>
        <w:t xml:space="preserve"> - requiring market data providers to circumstantiate which obligations breaches and penalties could be applied; basing the size of a penalty on the revenues that would have been generated if the client had complied with the applicable agreement, to limit the magnitude of the applicable penalties; and setting a three-year time limit in the application of penalties with respect to the moment where the breach occurred, to ensure market data providers have an incentive to alert users with respect to breaches of contract and allow parties to retrieve evidence of the infringement and prompt arrangements to rectify any wrongdoing</w:t>
      </w:r>
      <w:r w:rsidRPr="00EB34E8">
        <w:rPr>
          <w:rFonts w:ascii="Open Sans" w:hAnsi="Open Sans" w:cs="Open Sans"/>
          <w:sz w:val="20"/>
        </w:rPr>
        <w:t xml:space="preserve">. </w:t>
      </w:r>
    </w:p>
    <w:p w14:paraId="6337EF83" w14:textId="4B593E3D" w:rsidR="00FA4100" w:rsidRPr="001F7E35" w:rsidRDefault="001F7E35" w:rsidP="001F7E35">
      <w:pPr>
        <w:ind w:left="360"/>
        <w:rPr>
          <w:rFonts w:ascii="Open Sans" w:hAnsi="Open Sans" w:cs="Open Sans"/>
          <w:sz w:val="20"/>
        </w:rPr>
      </w:pPr>
      <w:r w:rsidRPr="00495A1F">
        <w:rPr>
          <w:rFonts w:ascii="Open Sans" w:hAnsi="Open Sans" w:cs="Open Sans"/>
          <w:sz w:val="20"/>
          <w:u w:val="single"/>
        </w:rPr>
        <w:t>However, a key issue that must be considered is the overly onerous licensing terms of market data providers which make it very challenging for firms to comply with contracts</w:t>
      </w:r>
      <w:r w:rsidRPr="00EB34E8">
        <w:rPr>
          <w:rFonts w:ascii="Open Sans" w:hAnsi="Open Sans" w:cs="Open Sans"/>
          <w:sz w:val="20"/>
        </w:rPr>
        <w:t xml:space="preserve">. The burden of proof is placed on firms to prove that they have acted in accordance with their usage agreements and our members can find themselves paying steep fines for unintentional technical violations, with penalties exceeding any revenue lost on the part of the market data provider. Firms can be left </w:t>
      </w:r>
      <w:r w:rsidRPr="00EB34E8">
        <w:rPr>
          <w:rFonts w:ascii="Open Sans" w:hAnsi="Open Sans" w:cs="Open Sans"/>
          <w:sz w:val="20"/>
        </w:rPr>
        <w:lastRenderedPageBreak/>
        <w:t>with no recourse for unfair findings and punitive fees as they risk exchanges disconnecting market data feeds and jeopardising their business.</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283F02A2" w14:textId="77777777" w:rsidR="00AB5DE0" w:rsidRDefault="00AB5DE0" w:rsidP="00AB5DE0">
      <w:pPr>
        <w:ind w:left="360"/>
        <w:rPr>
          <w:rFonts w:ascii="Open Sans" w:hAnsi="Open Sans" w:cs="Open Sans"/>
          <w:sz w:val="20"/>
        </w:rPr>
      </w:pPr>
      <w:permStart w:id="2034649205" w:edGrp="everyone"/>
      <w:r>
        <w:t xml:space="preserve"> </w:t>
      </w:r>
      <w:r w:rsidRPr="00495A1F">
        <w:rPr>
          <w:rFonts w:ascii="Open Sans" w:hAnsi="Open Sans" w:cs="Open Sans"/>
          <w:sz w:val="20"/>
          <w:u w:val="single"/>
        </w:rPr>
        <w:t>AIMA agrees with ESMA’s proposal on audits</w:t>
      </w:r>
      <w:r w:rsidRPr="00EB34E8">
        <w:rPr>
          <w:rFonts w:ascii="Open Sans" w:hAnsi="Open Sans" w:cs="Open Sans"/>
          <w:sz w:val="20"/>
        </w:rPr>
        <w:t xml:space="preserve"> – prohibiting the reverse burden of proof and clarify</w:t>
      </w:r>
      <w:r>
        <w:rPr>
          <w:rFonts w:ascii="Open Sans" w:hAnsi="Open Sans" w:cs="Open Sans"/>
          <w:sz w:val="20"/>
        </w:rPr>
        <w:t>ing</w:t>
      </w:r>
      <w:r w:rsidRPr="00EB34E8">
        <w:rPr>
          <w:rFonts w:ascii="Open Sans" w:hAnsi="Open Sans" w:cs="Open Sans"/>
          <w:sz w:val="20"/>
        </w:rPr>
        <w:t xml:space="preserve"> that information requests are to be limited to what is strictly necessary to collect evidence in respect of the alleged infringement; </w:t>
      </w:r>
      <w:r>
        <w:rPr>
          <w:rFonts w:ascii="Open Sans" w:hAnsi="Open Sans" w:cs="Open Sans"/>
          <w:sz w:val="20"/>
        </w:rPr>
        <w:t xml:space="preserve">that an audit can be started only upon notification indicating the alleged infringement and the grounds for suspecting its occurrence; </w:t>
      </w:r>
      <w:r w:rsidRPr="00EB34E8">
        <w:rPr>
          <w:rFonts w:ascii="Open Sans" w:hAnsi="Open Sans" w:cs="Open Sans"/>
          <w:sz w:val="20"/>
        </w:rPr>
        <w:t>that the party audited is to always have the right to comment on the facts audited and the right to challenge the audit outcome; requir</w:t>
      </w:r>
      <w:r>
        <w:rPr>
          <w:rFonts w:ascii="Open Sans" w:hAnsi="Open Sans" w:cs="Open Sans"/>
          <w:sz w:val="20"/>
        </w:rPr>
        <w:t>ing</w:t>
      </w:r>
      <w:r w:rsidRPr="00EB34E8">
        <w:rPr>
          <w:rFonts w:ascii="Open Sans" w:hAnsi="Open Sans" w:cs="Open Sans"/>
          <w:sz w:val="20"/>
        </w:rPr>
        <w:t xml:space="preserve"> market data providers to specify the details regarding audit practices in the data agreement, to avoid overly onerous audit practices; and requiring that an audit process should not exceed three years, to limit excessive burdens.</w:t>
      </w:r>
    </w:p>
    <w:p w14:paraId="7B68B33D" w14:textId="5FB7779E" w:rsidR="00FA4100" w:rsidRPr="00AB5DE0" w:rsidRDefault="00AB5DE0" w:rsidP="00AB5DE0">
      <w:pPr>
        <w:ind w:left="360"/>
        <w:rPr>
          <w:rFonts w:ascii="Open Sans" w:hAnsi="Open Sans" w:cs="Open Sans"/>
          <w:sz w:val="20"/>
        </w:rPr>
      </w:pPr>
      <w:r>
        <w:rPr>
          <w:rFonts w:ascii="Open Sans" w:hAnsi="Open Sans" w:cs="Open Sans"/>
          <w:sz w:val="20"/>
        </w:rPr>
        <w:t>However, AIMA would note some concern around the implementation of the proposal. It is unclear how the requirement on data providers to collect evidence in respect of an alleged infringement can be substantiated without imposing additional reporting requirements on clients, which would be costly and operationally burdensome. A more efficient method of information sharing could include firms sharing data usage reports for a specific period (up to a maximum of one calendar quarter) with data providers, to validate their compliance.</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18BB7F98" w14:textId="77777777" w:rsidR="00FA4100" w:rsidRDefault="00FA4100" w:rsidP="00FA4100">
      <w:pPr>
        <w:spacing w:after="0"/>
      </w:pPr>
      <w:permStart w:id="1583374814" w:edGrp="everyone"/>
      <w:r>
        <w:t>TYPE YOUR TEXT HERE</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lastRenderedPageBreak/>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3598FC26" w14:textId="77777777" w:rsidR="008D253F" w:rsidRDefault="008D253F" w:rsidP="008D253F">
      <w:pPr>
        <w:ind w:left="360"/>
        <w:rPr>
          <w:rFonts w:ascii="Open Sans" w:hAnsi="Open Sans" w:cs="Open Sans"/>
          <w:sz w:val="20"/>
        </w:rPr>
      </w:pPr>
      <w:permStart w:id="658192178" w:edGrp="everyone"/>
      <w:r>
        <w:t xml:space="preserve"> </w:t>
      </w:r>
      <w:r>
        <w:rPr>
          <w:rFonts w:ascii="Open Sans" w:hAnsi="Open Sans" w:cs="Open Sans"/>
          <w:sz w:val="20"/>
          <w:u w:val="single"/>
        </w:rPr>
        <w:t xml:space="preserve">AIMA believes that the meaning of contractual terms should be standardised – differences in the meaning of provisions make it difficult for users to comply with the terms of licences. </w:t>
      </w:r>
      <w:r w:rsidRPr="00F167D6">
        <w:rPr>
          <w:rFonts w:ascii="Open Sans" w:hAnsi="Open Sans" w:cs="Open Sans"/>
          <w:sz w:val="20"/>
          <w:u w:val="single"/>
        </w:rPr>
        <w:t>AIMA agrees with including in the RTS standardised terms of ‘professional client’ and non-professional client’ to be used by market data providers in their market data policies</w:t>
      </w:r>
      <w:r w:rsidRPr="00EB34E8">
        <w:rPr>
          <w:rFonts w:ascii="Open Sans" w:hAnsi="Open Sans" w:cs="Open Sans"/>
          <w:sz w:val="20"/>
        </w:rPr>
        <w:t xml:space="preserve">. We believe that ‘researchers’ would need to be defined in the context of non-professional clients, which is proposed to include ‘retail investors and </w:t>
      </w:r>
      <w:proofErr w:type="gramStart"/>
      <w:r w:rsidRPr="00EB34E8">
        <w:rPr>
          <w:rFonts w:ascii="Open Sans" w:hAnsi="Open Sans" w:cs="Open Sans"/>
          <w:sz w:val="20"/>
        </w:rPr>
        <w:t>researchers’</w:t>
      </w:r>
      <w:proofErr w:type="gramEnd"/>
      <w:r w:rsidRPr="00EB34E8">
        <w:rPr>
          <w:rFonts w:ascii="Open Sans" w:hAnsi="Open Sans" w:cs="Open Sans"/>
          <w:sz w:val="20"/>
        </w:rPr>
        <w:t>.</w:t>
      </w:r>
      <w:r>
        <w:rPr>
          <w:rFonts w:ascii="Open Sans" w:hAnsi="Open Sans" w:cs="Open Sans"/>
          <w:sz w:val="20"/>
        </w:rPr>
        <w:t xml:space="preserve"> Terms such as ‘display usage’ and ‘non-display usage’ are also defined differently. </w:t>
      </w:r>
    </w:p>
    <w:p w14:paraId="490E0822" w14:textId="77777777" w:rsidR="008D253F" w:rsidRDefault="008D253F" w:rsidP="008D253F">
      <w:pPr>
        <w:ind w:left="360"/>
        <w:rPr>
          <w:rFonts w:ascii="Open Sans" w:hAnsi="Open Sans" w:cs="Open Sans"/>
          <w:sz w:val="20"/>
        </w:rPr>
      </w:pPr>
      <w:r w:rsidRPr="006C028F">
        <w:rPr>
          <w:rFonts w:ascii="Open Sans" w:hAnsi="Open Sans" w:cs="Open Sans"/>
          <w:sz w:val="20"/>
        </w:rPr>
        <w:t>Further to our response to Questions 32 and 24 of the consultation</w:t>
      </w:r>
      <w:r w:rsidRPr="007818B1">
        <w:rPr>
          <w:rFonts w:ascii="Open Sans" w:hAnsi="Open Sans" w:cs="Open Sans"/>
          <w:sz w:val="20"/>
        </w:rPr>
        <w:t>,</w:t>
      </w:r>
      <w:r>
        <w:rPr>
          <w:rFonts w:ascii="Open Sans" w:hAnsi="Open Sans" w:cs="Open Sans"/>
          <w:sz w:val="20"/>
        </w:rPr>
        <w:t xml:space="preserve"> </w:t>
      </w:r>
      <w:r w:rsidRPr="00F167D6">
        <w:rPr>
          <w:rFonts w:ascii="Open Sans" w:hAnsi="Open Sans" w:cs="Open Sans"/>
          <w:sz w:val="20"/>
          <w:u w:val="single"/>
        </w:rPr>
        <w:t xml:space="preserve">AIMA </w:t>
      </w:r>
      <w:r>
        <w:rPr>
          <w:rFonts w:ascii="Open Sans" w:hAnsi="Open Sans" w:cs="Open Sans"/>
          <w:sz w:val="20"/>
          <w:u w:val="single"/>
        </w:rPr>
        <w:t xml:space="preserve">does not believe that </w:t>
      </w:r>
      <w:r w:rsidRPr="00F167D6">
        <w:rPr>
          <w:rFonts w:ascii="Open Sans" w:hAnsi="Open Sans" w:cs="Open Sans"/>
          <w:sz w:val="20"/>
          <w:u w:val="single"/>
        </w:rPr>
        <w:t>reference</w:t>
      </w:r>
      <w:r>
        <w:rPr>
          <w:rFonts w:ascii="Open Sans" w:hAnsi="Open Sans" w:cs="Open Sans"/>
          <w:sz w:val="20"/>
          <w:u w:val="single"/>
        </w:rPr>
        <w:t>s</w:t>
      </w:r>
      <w:r w:rsidRPr="00F167D6">
        <w:rPr>
          <w:rFonts w:ascii="Open Sans" w:hAnsi="Open Sans" w:cs="Open Sans"/>
          <w:sz w:val="20"/>
          <w:u w:val="single"/>
        </w:rPr>
        <w:t xml:space="preserve"> to ‘display data’ and ‘non-display data’ </w:t>
      </w:r>
      <w:r>
        <w:rPr>
          <w:rFonts w:ascii="Open Sans" w:hAnsi="Open Sans" w:cs="Open Sans"/>
          <w:sz w:val="20"/>
          <w:u w:val="single"/>
        </w:rPr>
        <w:t>should be included</w:t>
      </w:r>
      <w:r w:rsidRPr="00F167D6">
        <w:rPr>
          <w:rFonts w:ascii="Open Sans" w:hAnsi="Open Sans" w:cs="Open Sans"/>
          <w:sz w:val="20"/>
          <w:u w:val="single"/>
        </w:rPr>
        <w:t xml:space="preserve"> in market data policies</w:t>
      </w:r>
      <w:r w:rsidRPr="00EB34E8">
        <w:rPr>
          <w:rFonts w:ascii="Open Sans" w:hAnsi="Open Sans" w:cs="Open Sans"/>
          <w:sz w:val="20"/>
        </w:rPr>
        <w:t>. Display and non-display data is often provided to the same human consumer, unless a fund is running computer-driven non-human intervention strategies. Distinguishing between display and non-display data results in the same data being paid for twice. Firms also note that vendors and exchanges continually broaden the definition of non-display data to the extent that display data only means ‘on BBG Terminal’. We believe that the physical connection should not be relevant – fees for market data should be for the content of the data not the data delivery mechanism.</w:t>
      </w:r>
    </w:p>
    <w:p w14:paraId="0C4E6849" w14:textId="3BA365D0" w:rsidR="00FA4100" w:rsidRPr="008D253F" w:rsidRDefault="008D253F" w:rsidP="008D253F">
      <w:pPr>
        <w:ind w:left="360"/>
        <w:rPr>
          <w:rFonts w:ascii="Open Sans" w:hAnsi="Open Sans" w:cs="Open Sans"/>
          <w:sz w:val="20"/>
        </w:rPr>
      </w:pPr>
      <w:r w:rsidRPr="006C028F">
        <w:rPr>
          <w:rFonts w:ascii="Open Sans" w:hAnsi="Open Sans" w:cs="Open Sans"/>
          <w:sz w:val="20"/>
          <w:u w:val="single"/>
        </w:rPr>
        <w:t>AIMA believes that ‘core’ market data should include any data that impacts price formation and is relied upon for order routing and best execution purposes</w:t>
      </w:r>
      <w:r>
        <w:rPr>
          <w:rFonts w:ascii="Open Sans" w:hAnsi="Open Sans" w:cs="Open Sans"/>
          <w:sz w:val="20"/>
        </w:rPr>
        <w:t>. We believe this should include,</w:t>
      </w:r>
      <w:r w:rsidRPr="00EE76C2">
        <w:rPr>
          <w:rFonts w:ascii="Open Sans" w:hAnsi="Open Sans" w:cs="Open Sans"/>
          <w:sz w:val="20"/>
        </w:rPr>
        <w:t xml:space="preserve"> a</w:t>
      </w:r>
      <w:r>
        <w:rPr>
          <w:rFonts w:ascii="Open Sans" w:hAnsi="Open Sans" w:cs="Open Sans"/>
          <w:sz w:val="20"/>
        </w:rPr>
        <w:t>s</w:t>
      </w:r>
      <w:r w:rsidRPr="00EE76C2">
        <w:rPr>
          <w:rFonts w:ascii="Open Sans" w:hAnsi="Open Sans" w:cs="Open Sans"/>
          <w:sz w:val="20"/>
        </w:rPr>
        <w:t xml:space="preserve"> a minimum,</w:t>
      </w:r>
      <w:r>
        <w:rPr>
          <w:rFonts w:ascii="Open Sans" w:hAnsi="Open Sans" w:cs="Open Sans"/>
          <w:sz w:val="20"/>
        </w:rPr>
        <w:t xml:space="preserve"> </w:t>
      </w:r>
      <w:r w:rsidRPr="00EE76C2">
        <w:rPr>
          <w:rFonts w:ascii="Open Sans" w:hAnsi="Open Sans" w:cs="Open Sans"/>
          <w:sz w:val="20"/>
        </w:rPr>
        <w:t>real-time and delayed pre- and post-trade data such as top of book, depth of book</w:t>
      </w:r>
      <w:r>
        <w:rPr>
          <w:rFonts w:ascii="Open Sans" w:hAnsi="Open Sans" w:cs="Open Sans"/>
          <w:sz w:val="20"/>
        </w:rPr>
        <w:t xml:space="preserve"> </w:t>
      </w:r>
      <w:r w:rsidRPr="00EE76C2">
        <w:rPr>
          <w:rFonts w:ascii="Open Sans" w:hAnsi="Open Sans" w:cs="Open Sans"/>
          <w:sz w:val="20"/>
        </w:rPr>
        <w:t>and auction information.</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72F5B335" w:rsidR="00FA4100" w:rsidRPr="00F05DE8" w:rsidRDefault="00F05DE8" w:rsidP="00F05DE8">
      <w:pPr>
        <w:ind w:left="360"/>
        <w:rPr>
          <w:rFonts w:ascii="Open Sans" w:hAnsi="Open Sans" w:cs="Open Sans"/>
          <w:sz w:val="20"/>
        </w:rPr>
      </w:pPr>
      <w:permStart w:id="1196837781" w:edGrp="everyone"/>
      <w:r>
        <w:t xml:space="preserve"> </w:t>
      </w:r>
      <w:r w:rsidRPr="00F167D6">
        <w:rPr>
          <w:rFonts w:ascii="Open Sans" w:hAnsi="Open Sans" w:cs="Open Sans"/>
          <w:sz w:val="20"/>
          <w:u w:val="single"/>
        </w:rPr>
        <w:t>AIMA does not consider that the “user-id” and the “device” should still be considered as “unit of count” for the display and non-display data respectively</w:t>
      </w:r>
      <w:r w:rsidRPr="00EB34E8">
        <w:rPr>
          <w:rFonts w:ascii="Open Sans" w:hAnsi="Open Sans" w:cs="Open Sans"/>
          <w:sz w:val="20"/>
        </w:rPr>
        <w:t xml:space="preserve">. We believe that user-id and device are </w:t>
      </w:r>
      <w:r w:rsidRPr="00EB34E8">
        <w:rPr>
          <w:rFonts w:ascii="Open Sans" w:hAnsi="Open Sans" w:cs="Open Sans"/>
          <w:sz w:val="20"/>
        </w:rPr>
        <w:lastRenderedPageBreak/>
        <w:t>irrelevant as a unit to measure the level of consumption of market data to be invoiced to the customer, for fee purposes. We believe that firms should confirm users – fees should not be per distribution area or device.</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67AE010F" w:rsidR="00FA4100" w:rsidRPr="009F07CB" w:rsidRDefault="009F07CB" w:rsidP="009F07CB">
      <w:pPr>
        <w:ind w:left="360"/>
        <w:rPr>
          <w:rFonts w:ascii="Open Sans" w:hAnsi="Open Sans" w:cs="Open Sans"/>
          <w:sz w:val="20"/>
        </w:rPr>
      </w:pPr>
      <w:permStart w:id="1482058120" w:edGrp="everyone"/>
      <w:r>
        <w:t xml:space="preserve"> </w:t>
      </w:r>
      <w:r w:rsidRPr="00F167D6">
        <w:rPr>
          <w:rFonts w:ascii="Open Sans" w:hAnsi="Open Sans" w:cs="Open Sans"/>
          <w:sz w:val="20"/>
          <w:u w:val="single"/>
        </w:rPr>
        <w:t>AIMA does not foresee other types of connectivity that should be defined beside “physical connection” to quantify the level of data consumption</w:t>
      </w:r>
      <w:r w:rsidRPr="00EB34E8">
        <w:rPr>
          <w:rFonts w:ascii="Open Sans" w:hAnsi="Open Sans" w:cs="Open Sans"/>
          <w:sz w:val="20"/>
        </w:rPr>
        <w:t>.</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5801140C" w14:textId="77777777" w:rsidR="00A81144" w:rsidRPr="00EB34E8" w:rsidRDefault="00A81144" w:rsidP="00A81144">
      <w:pPr>
        <w:ind w:left="360"/>
        <w:rPr>
          <w:rFonts w:ascii="Open Sans" w:hAnsi="Open Sans" w:cs="Open Sans"/>
          <w:sz w:val="20"/>
        </w:rPr>
      </w:pPr>
      <w:permStart w:id="1375092011" w:edGrp="everyone"/>
      <w:r>
        <w:t xml:space="preserve"> </w:t>
      </w:r>
      <w:r w:rsidRPr="00F167D6">
        <w:rPr>
          <w:rFonts w:ascii="Open Sans" w:hAnsi="Open Sans" w:cs="Open Sans"/>
          <w:sz w:val="20"/>
          <w:u w:val="single"/>
        </w:rPr>
        <w:t>AIMA particularly supports ESMA’s proposals to require market data providers to provide explanatory information that would be beneficial to users to compare pricing methodologies across different providers</w:t>
      </w:r>
      <w:r w:rsidRPr="00EB34E8">
        <w:rPr>
          <w:rFonts w:ascii="Open Sans" w:hAnsi="Open Sans" w:cs="Open Sans"/>
          <w:sz w:val="20"/>
        </w:rPr>
        <w:t xml:space="preserve">. This would empower users to make informed decisions based on their understanding of pricing structures and help foster competition in the market data industry. However, we believe that this would be difficult to put into practice without a standardised rate card model – the commercial policies and charging bases of market data providers vary significantly. </w:t>
      </w:r>
      <w:r w:rsidRPr="00F167D6">
        <w:rPr>
          <w:rFonts w:ascii="Open Sans" w:hAnsi="Open Sans" w:cs="Open Sans"/>
          <w:sz w:val="20"/>
          <w:u w:val="single"/>
        </w:rPr>
        <w:t>AIMA believes that data models should be standardised across market data providers to help firms seeking to switch to other providers</w:t>
      </w:r>
      <w:r w:rsidRPr="00EB34E8">
        <w:rPr>
          <w:rFonts w:ascii="Open Sans" w:hAnsi="Open Sans" w:cs="Open Sans"/>
          <w:sz w:val="20"/>
        </w:rPr>
        <w:t>. Firms note that a move from one vendor to another is difficult and can take months or years to effect.</w:t>
      </w:r>
    </w:p>
    <w:p w14:paraId="4E3CB65A" w14:textId="6B885F6F" w:rsidR="00FA4100" w:rsidRPr="00A81144" w:rsidRDefault="00A81144" w:rsidP="00A81144">
      <w:pPr>
        <w:ind w:left="360"/>
        <w:rPr>
          <w:rFonts w:ascii="Open Sans" w:hAnsi="Open Sans" w:cs="Open Sans"/>
          <w:sz w:val="20"/>
        </w:rPr>
      </w:pPr>
      <w:r w:rsidRPr="00F167D6">
        <w:rPr>
          <w:rFonts w:ascii="Open Sans" w:hAnsi="Open Sans" w:cs="Open Sans"/>
          <w:sz w:val="20"/>
          <w:u w:val="single"/>
        </w:rPr>
        <w:t>AIMA</w:t>
      </w:r>
      <w:r>
        <w:rPr>
          <w:rFonts w:ascii="Open Sans" w:hAnsi="Open Sans" w:cs="Open Sans"/>
          <w:sz w:val="20"/>
          <w:u w:val="single"/>
        </w:rPr>
        <w:t xml:space="preserve"> also</w:t>
      </w:r>
      <w:r w:rsidRPr="00F167D6">
        <w:rPr>
          <w:rFonts w:ascii="Open Sans" w:hAnsi="Open Sans" w:cs="Open Sans"/>
          <w:sz w:val="20"/>
          <w:u w:val="single"/>
        </w:rPr>
        <w:t xml:space="preserve"> supports ESMA’s proposals to require market data providers to include a list of all cost types included in the fees, along with examples</w:t>
      </w:r>
      <w:r w:rsidRPr="00F167D6">
        <w:rPr>
          <w:rFonts w:ascii="Open Sans" w:hAnsi="Open Sans" w:cs="Open Sans"/>
          <w:sz w:val="20"/>
        </w:rPr>
        <w:t>,</w:t>
      </w:r>
      <w:r w:rsidRPr="00EB34E8">
        <w:rPr>
          <w:rFonts w:ascii="Open Sans" w:hAnsi="Open Sans" w:cs="Open Sans"/>
          <w:sz w:val="20"/>
        </w:rPr>
        <w:t xml:space="preserve"> to allow users to understand the breakdown of costs, including any joint costs or shared costs with other services, providing clarity on what they are paying for; require market data providers to disclose whether margins are included in market data fees and an explanation of how the reasonableness of these margins is ensured, to allow users to assess whether the prices are fair and understand how much of the fee is attributed to profit margins; and require market data policies to be made available, in a single location of the </w:t>
      </w:r>
      <w:r w:rsidRPr="00EB34E8">
        <w:rPr>
          <w:rFonts w:ascii="Open Sans" w:hAnsi="Open Sans" w:cs="Open Sans"/>
          <w:sz w:val="20"/>
        </w:rPr>
        <w:lastRenderedPageBreak/>
        <w:t>market data providers’ websites on a free and non-discriminatory basis, to streamline the process of accessing and understanding the complete set of policies governing market data provision.</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4CB4BC74" w14:textId="77777777" w:rsidR="00026A9A" w:rsidRDefault="00026A9A" w:rsidP="00026A9A">
      <w:pPr>
        <w:ind w:left="360"/>
        <w:rPr>
          <w:rFonts w:ascii="Open Sans" w:hAnsi="Open Sans" w:cs="Open Sans"/>
          <w:sz w:val="20"/>
        </w:rPr>
      </w:pPr>
      <w:permStart w:id="1647450555" w:edGrp="everyone"/>
      <w:r>
        <w:t xml:space="preserve"> </w:t>
      </w:r>
      <w:r w:rsidRPr="00F167D6">
        <w:rPr>
          <w:rFonts w:ascii="Open Sans" w:hAnsi="Open Sans" w:cs="Open Sans"/>
          <w:sz w:val="20"/>
          <w:u w:val="single"/>
        </w:rPr>
        <w:t xml:space="preserve">AIMA agrees with </w:t>
      </w:r>
      <w:r>
        <w:rPr>
          <w:rFonts w:ascii="Open Sans" w:hAnsi="Open Sans" w:cs="Open Sans"/>
          <w:sz w:val="20"/>
          <w:u w:val="single"/>
        </w:rPr>
        <w:t>ESMA’s proposal to require market data providers to remove registration processes to access delayed data</w:t>
      </w:r>
      <w:r w:rsidRPr="00EB34E8">
        <w:rPr>
          <w:rFonts w:ascii="Open Sans" w:hAnsi="Open Sans" w:cs="Open Sans"/>
          <w:sz w:val="20"/>
        </w:rPr>
        <w:t>. This would standardise the embargo period for dela</w:t>
      </w:r>
      <w:r>
        <w:rPr>
          <w:rFonts w:ascii="Open Sans" w:hAnsi="Open Sans" w:cs="Open Sans"/>
          <w:sz w:val="20"/>
        </w:rPr>
        <w:t>y</w:t>
      </w:r>
      <w:r w:rsidRPr="00EB34E8">
        <w:rPr>
          <w:rFonts w:ascii="Open Sans" w:hAnsi="Open Sans" w:cs="Open Sans"/>
          <w:sz w:val="20"/>
        </w:rPr>
        <w:t xml:space="preserve">ed data. </w:t>
      </w:r>
    </w:p>
    <w:p w14:paraId="348660AD" w14:textId="2A3632BC" w:rsidR="00FA4100" w:rsidRPr="00026A9A" w:rsidRDefault="00026A9A" w:rsidP="00026A9A">
      <w:pPr>
        <w:ind w:left="360"/>
        <w:rPr>
          <w:rFonts w:ascii="Open Sans" w:hAnsi="Open Sans" w:cs="Open Sans"/>
          <w:sz w:val="20"/>
        </w:rPr>
      </w:pPr>
      <w:r w:rsidRPr="004A1104">
        <w:rPr>
          <w:rFonts w:ascii="Open Sans" w:hAnsi="Open Sans" w:cs="Open Sans"/>
          <w:sz w:val="20"/>
        </w:rPr>
        <w:t xml:space="preserve">Delayed data is used extensively by </w:t>
      </w:r>
      <w:r>
        <w:rPr>
          <w:rFonts w:ascii="Open Sans" w:hAnsi="Open Sans" w:cs="Open Sans"/>
          <w:sz w:val="20"/>
        </w:rPr>
        <w:t xml:space="preserve">firms </w:t>
      </w:r>
      <w:r w:rsidRPr="004A1104">
        <w:rPr>
          <w:rFonts w:ascii="Open Sans" w:hAnsi="Open Sans" w:cs="Open Sans"/>
          <w:sz w:val="20"/>
        </w:rPr>
        <w:t xml:space="preserve">to perform essential tasks </w:t>
      </w:r>
      <w:r>
        <w:rPr>
          <w:rFonts w:ascii="Open Sans" w:hAnsi="Open Sans" w:cs="Open Sans"/>
          <w:sz w:val="20"/>
        </w:rPr>
        <w:t xml:space="preserve">such as </w:t>
      </w:r>
      <w:r w:rsidRPr="004A1104">
        <w:rPr>
          <w:rFonts w:ascii="Open Sans" w:hAnsi="Open Sans" w:cs="Open Sans"/>
          <w:sz w:val="20"/>
        </w:rPr>
        <w:t>fund administration and NAV calculation.</w:t>
      </w:r>
      <w:r>
        <w:rPr>
          <w:rFonts w:ascii="Open Sans" w:hAnsi="Open Sans" w:cs="Open Sans"/>
          <w:sz w:val="20"/>
        </w:rPr>
        <w:t xml:space="preserve"> However, </w:t>
      </w:r>
      <w:r w:rsidRPr="006C028F">
        <w:rPr>
          <w:rFonts w:ascii="Open Sans" w:hAnsi="Open Sans" w:cs="Open Sans"/>
          <w:sz w:val="20"/>
          <w:u w:val="single"/>
        </w:rPr>
        <w:t>firms note that this data is subject to restrictive licensing terms</w:t>
      </w:r>
      <w:r w:rsidRPr="004A1104">
        <w:rPr>
          <w:rFonts w:ascii="Open Sans" w:hAnsi="Open Sans" w:cs="Open Sans"/>
          <w:sz w:val="20"/>
        </w:rPr>
        <w:t xml:space="preserve"> </w:t>
      </w:r>
      <w:r>
        <w:rPr>
          <w:rFonts w:ascii="Open Sans" w:hAnsi="Open Sans" w:cs="Open Sans"/>
          <w:sz w:val="20"/>
        </w:rPr>
        <w:t xml:space="preserve">which </w:t>
      </w:r>
      <w:r w:rsidRPr="004A1104">
        <w:rPr>
          <w:rFonts w:ascii="Open Sans" w:hAnsi="Open Sans" w:cs="Open Sans"/>
          <w:sz w:val="20"/>
        </w:rPr>
        <w:t>create</w:t>
      </w:r>
      <w:r>
        <w:rPr>
          <w:rFonts w:ascii="Open Sans" w:hAnsi="Open Sans" w:cs="Open Sans"/>
          <w:sz w:val="20"/>
        </w:rPr>
        <w:t xml:space="preserve">s costs beyond </w:t>
      </w:r>
      <w:r w:rsidRPr="004A1104">
        <w:rPr>
          <w:rFonts w:ascii="Open Sans" w:hAnsi="Open Sans" w:cs="Open Sans"/>
          <w:sz w:val="20"/>
        </w:rPr>
        <w:t xml:space="preserve">nominal fees </w:t>
      </w:r>
      <w:r>
        <w:rPr>
          <w:rFonts w:ascii="Open Sans" w:hAnsi="Open Sans" w:cs="Open Sans"/>
          <w:sz w:val="20"/>
        </w:rPr>
        <w:t>through either</w:t>
      </w:r>
      <w:r w:rsidRPr="004A1104">
        <w:rPr>
          <w:rFonts w:ascii="Open Sans" w:hAnsi="Open Sans" w:cs="Open Sans"/>
          <w:sz w:val="20"/>
        </w:rPr>
        <w:t xml:space="preserve"> administrative overheads or requirements to pay for additional use cases, such as derived data and non-display usage.</w:t>
      </w:r>
      <w:r>
        <w:rPr>
          <w:rFonts w:ascii="Open Sans" w:hAnsi="Open Sans" w:cs="Open Sans"/>
          <w:sz w:val="20"/>
        </w:rPr>
        <w:t xml:space="preserve"> For example, firms note </w:t>
      </w:r>
      <w:r w:rsidRPr="004A1104">
        <w:rPr>
          <w:rFonts w:ascii="Open Sans" w:hAnsi="Open Sans" w:cs="Open Sans"/>
          <w:sz w:val="20"/>
        </w:rPr>
        <w:t xml:space="preserve">restrictions </w:t>
      </w:r>
      <w:r>
        <w:rPr>
          <w:rFonts w:ascii="Open Sans" w:hAnsi="Open Sans" w:cs="Open Sans"/>
          <w:sz w:val="20"/>
        </w:rPr>
        <w:t xml:space="preserve">in their </w:t>
      </w:r>
      <w:r w:rsidRPr="004A1104">
        <w:rPr>
          <w:rFonts w:ascii="Open Sans" w:hAnsi="Open Sans" w:cs="Open Sans"/>
          <w:sz w:val="20"/>
        </w:rPr>
        <w:t>ability to provide ad hoc or limited data extracts to clients</w:t>
      </w:r>
      <w:r>
        <w:rPr>
          <w:rFonts w:ascii="Open Sans" w:hAnsi="Open Sans" w:cs="Open Sans"/>
          <w:sz w:val="20"/>
        </w:rPr>
        <w:t xml:space="preserve"> despite their </w:t>
      </w:r>
      <w:r w:rsidRPr="00014467">
        <w:rPr>
          <w:rFonts w:ascii="Open Sans" w:hAnsi="Open Sans" w:cs="Open Sans"/>
          <w:sz w:val="20"/>
        </w:rPr>
        <w:t>fiduciary dut</w:t>
      </w:r>
      <w:r>
        <w:rPr>
          <w:rFonts w:ascii="Open Sans" w:hAnsi="Open Sans" w:cs="Open Sans"/>
          <w:sz w:val="20"/>
        </w:rPr>
        <w:t>y</w:t>
      </w:r>
      <w:r w:rsidRPr="00014467">
        <w:rPr>
          <w:rFonts w:ascii="Open Sans" w:hAnsi="Open Sans" w:cs="Open Sans"/>
          <w:sz w:val="20"/>
        </w:rPr>
        <w:t xml:space="preserve"> to explain investment decisions, which sometimes requires</w:t>
      </w:r>
      <w:r>
        <w:rPr>
          <w:rFonts w:ascii="Open Sans" w:hAnsi="Open Sans" w:cs="Open Sans"/>
          <w:sz w:val="20"/>
        </w:rPr>
        <w:t xml:space="preserve"> the</w:t>
      </w:r>
      <w:r w:rsidRPr="00014467">
        <w:rPr>
          <w:rFonts w:ascii="Open Sans" w:hAnsi="Open Sans" w:cs="Open Sans"/>
          <w:sz w:val="20"/>
        </w:rPr>
        <w:t xml:space="preserve"> inclusion of de minimis raw data points.</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B42158E" w14:textId="727A42CD" w:rsidR="00FA4100" w:rsidRPr="00AD6098" w:rsidRDefault="00AD6098" w:rsidP="00AD6098">
      <w:pPr>
        <w:pStyle w:val="ListParagraph"/>
        <w:ind w:left="360"/>
        <w:rPr>
          <w:rFonts w:ascii="Open Sans" w:hAnsi="Open Sans" w:cs="Open Sans"/>
          <w:sz w:val="20"/>
        </w:rPr>
      </w:pPr>
      <w:permStart w:id="738273573" w:edGrp="everyone"/>
      <w:r>
        <w:t xml:space="preserve"> </w:t>
      </w:r>
      <w:r w:rsidRPr="00F167D6">
        <w:rPr>
          <w:rFonts w:ascii="Open Sans" w:hAnsi="Open Sans" w:cs="Open Sans"/>
          <w:sz w:val="20"/>
          <w:u w:val="single"/>
        </w:rPr>
        <w:t>AIMA agrees with ESMA’s proposal to require market data providers to remove registration processes to access delayed data</w:t>
      </w:r>
      <w:r w:rsidRPr="008D06FC">
        <w:rPr>
          <w:rFonts w:ascii="Open Sans" w:hAnsi="Open Sans" w:cs="Open Sans"/>
          <w:sz w:val="20"/>
        </w:rPr>
        <w:t>. This would support the accessibility of and use of delayed data by market data users.</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481C966" w14:textId="7705B339" w:rsidR="00B41681" w:rsidRDefault="00B41681" w:rsidP="00A27826">
      <w:pPr>
        <w:pBdr>
          <w:bottom w:val="dotted" w:sz="24" w:space="1" w:color="auto"/>
        </w:pBdr>
        <w:ind w:left="360"/>
        <w:rPr>
          <w:rFonts w:ascii="Open Sans" w:hAnsi="Open Sans" w:cs="Open Sans"/>
          <w:sz w:val="20"/>
        </w:rPr>
      </w:pPr>
      <w:permStart w:id="1472730622" w:edGrp="everyone"/>
      <w:r>
        <w:t xml:space="preserve"> </w:t>
      </w:r>
      <w:r w:rsidRPr="006C028F">
        <w:rPr>
          <w:rFonts w:ascii="Open Sans" w:hAnsi="Open Sans" w:cs="Open Sans"/>
          <w:sz w:val="20"/>
          <w:u w:val="single"/>
        </w:rPr>
        <w:t>AIMA</w:t>
      </w:r>
      <w:r>
        <w:rPr>
          <w:rFonts w:ascii="Open Sans" w:hAnsi="Open Sans" w:cs="Open Sans"/>
          <w:sz w:val="20"/>
          <w:u w:val="single"/>
        </w:rPr>
        <w:t xml:space="preserve"> believes that market data providers should be required to publish list prices and allow users to use consultants to undertake price benchmarking</w:t>
      </w:r>
      <w:r w:rsidRPr="006C028F">
        <w:rPr>
          <w:rFonts w:ascii="Open Sans" w:hAnsi="Open Sans" w:cs="Open Sans"/>
          <w:sz w:val="20"/>
        </w:rPr>
        <w:t xml:space="preserve">. Given the opacity of </w:t>
      </w:r>
      <w:r>
        <w:rPr>
          <w:rFonts w:ascii="Open Sans" w:hAnsi="Open Sans" w:cs="Open Sans"/>
          <w:sz w:val="20"/>
        </w:rPr>
        <w:t xml:space="preserve">market </w:t>
      </w:r>
      <w:r w:rsidRPr="006C028F">
        <w:rPr>
          <w:rFonts w:ascii="Open Sans" w:hAnsi="Open Sans" w:cs="Open Sans"/>
          <w:sz w:val="20"/>
        </w:rPr>
        <w:t xml:space="preserve">data providers’ pricing, </w:t>
      </w:r>
      <w:r>
        <w:rPr>
          <w:rFonts w:ascii="Open Sans" w:hAnsi="Open Sans" w:cs="Open Sans"/>
          <w:sz w:val="20"/>
        </w:rPr>
        <w:t xml:space="preserve">firms share that </w:t>
      </w:r>
      <w:r w:rsidRPr="006C028F">
        <w:rPr>
          <w:rFonts w:ascii="Open Sans" w:hAnsi="Open Sans" w:cs="Open Sans"/>
          <w:sz w:val="20"/>
        </w:rPr>
        <w:t xml:space="preserve">benchmarking would be useful. However, our members note that </w:t>
      </w:r>
      <w:r>
        <w:rPr>
          <w:rFonts w:ascii="Open Sans" w:hAnsi="Open Sans" w:cs="Open Sans"/>
          <w:sz w:val="20"/>
        </w:rPr>
        <w:t xml:space="preserve">market </w:t>
      </w:r>
      <w:r w:rsidRPr="006C028F">
        <w:rPr>
          <w:rFonts w:ascii="Open Sans" w:hAnsi="Open Sans" w:cs="Open Sans"/>
          <w:sz w:val="20"/>
        </w:rPr>
        <w:t>data providers often seek to prohibit</w:t>
      </w:r>
      <w:r>
        <w:rPr>
          <w:rFonts w:ascii="Open Sans" w:hAnsi="Open Sans" w:cs="Open Sans"/>
          <w:sz w:val="20"/>
        </w:rPr>
        <w:t xml:space="preserve"> </w:t>
      </w:r>
      <w:r w:rsidRPr="006C028F">
        <w:rPr>
          <w:rFonts w:ascii="Open Sans" w:hAnsi="Open Sans" w:cs="Open Sans"/>
          <w:sz w:val="20"/>
        </w:rPr>
        <w:t>the use of such consultants and price benchmarking.</w:t>
      </w:r>
    </w:p>
    <w:p w14:paraId="355E892A" w14:textId="77777777" w:rsidR="007A6E17" w:rsidRDefault="007A6E17" w:rsidP="00A27826">
      <w:pPr>
        <w:pBdr>
          <w:bottom w:val="dotted" w:sz="24" w:space="1" w:color="auto"/>
        </w:pBdr>
        <w:ind w:left="360"/>
        <w:rPr>
          <w:rFonts w:ascii="Open Sans" w:hAnsi="Open Sans" w:cs="Open Sans"/>
          <w:b/>
          <w:bCs/>
          <w:sz w:val="20"/>
        </w:rPr>
      </w:pPr>
    </w:p>
    <w:p w14:paraId="1C269C3D" w14:textId="77777777" w:rsidR="007A6E17" w:rsidRDefault="007A6E17" w:rsidP="00A27826">
      <w:pPr>
        <w:ind w:left="360"/>
        <w:rPr>
          <w:rFonts w:ascii="Open Sans" w:hAnsi="Open Sans" w:cs="Open Sans"/>
          <w:sz w:val="20"/>
        </w:rPr>
      </w:pPr>
    </w:p>
    <w:p w14:paraId="2ADFCE3D" w14:textId="77777777" w:rsidR="00A117AB" w:rsidRPr="00264B35" w:rsidRDefault="00A117AB" w:rsidP="00A117AB">
      <w:pPr>
        <w:spacing w:line="240" w:lineRule="auto"/>
        <w:rPr>
          <w:rFonts w:ascii="Open Sans" w:hAnsi="Open Sans" w:cs="Open Sans"/>
          <w:sz w:val="20"/>
          <w:shd w:val="clear" w:color="auto" w:fill="FFFFFF"/>
        </w:rPr>
      </w:pPr>
      <w:r w:rsidRPr="00264B35">
        <w:rPr>
          <w:rFonts w:ascii="Open Sans" w:hAnsi="Open Sans" w:cs="Open Sans"/>
          <w:sz w:val="20"/>
        </w:rPr>
        <w:t>The Alternative Investment Management Association</w:t>
      </w:r>
      <w:r w:rsidRPr="00264B35">
        <w:rPr>
          <w:rStyle w:val="FootnoteReference"/>
          <w:rFonts w:ascii="Open Sans" w:hAnsi="Open Sans" w:cs="Open Sans"/>
          <w:sz w:val="20"/>
        </w:rPr>
        <w:footnoteReference w:id="6"/>
      </w:r>
      <w:r w:rsidRPr="00264B35">
        <w:rPr>
          <w:rFonts w:ascii="Open Sans" w:hAnsi="Open Sans" w:cs="Open Sans"/>
          <w:sz w:val="20"/>
        </w:rPr>
        <w:t xml:space="preserve"> (AIMA) welcomes the opportunity to submit comments to the European Securities and Markets Authority (ESMA) in response to its consultation paper on the Regulatory Technical Standard (RTS) on reasonable commercial basis (the “consultation”)</w:t>
      </w:r>
      <w:r w:rsidRPr="00264B35">
        <w:rPr>
          <w:rStyle w:val="FootnoteReference"/>
          <w:rFonts w:ascii="Open Sans" w:hAnsi="Open Sans" w:cs="Open Sans"/>
          <w:sz w:val="20"/>
        </w:rPr>
        <w:footnoteReference w:id="7"/>
      </w:r>
      <w:r w:rsidRPr="00264B35">
        <w:rPr>
          <w:rFonts w:ascii="Open Sans" w:hAnsi="Open Sans" w:cs="Open Sans"/>
          <w:sz w:val="20"/>
        </w:rPr>
        <w:t xml:space="preserve">. </w:t>
      </w:r>
    </w:p>
    <w:p w14:paraId="66F7CC5B" w14:textId="77777777" w:rsidR="00A117AB" w:rsidRPr="00264B35" w:rsidRDefault="00A117AB" w:rsidP="00A117AB">
      <w:pPr>
        <w:spacing w:after="0"/>
        <w:rPr>
          <w:rFonts w:ascii="Open Sans" w:hAnsi="Open Sans" w:cs="Open Sans"/>
          <w:sz w:val="20"/>
        </w:rPr>
      </w:pPr>
      <w:r w:rsidRPr="00264B35">
        <w:rPr>
          <w:rFonts w:ascii="Open Sans" w:hAnsi="Open Sans" w:cs="Open Sans"/>
          <w:sz w:val="20"/>
        </w:rPr>
        <w:t>AIMA supports the objectives of the Markets in Financial Instruments Regulation (</w:t>
      </w:r>
      <w:proofErr w:type="spellStart"/>
      <w:r w:rsidRPr="00264B35">
        <w:rPr>
          <w:rFonts w:ascii="Open Sans" w:hAnsi="Open Sans" w:cs="Open Sans"/>
          <w:sz w:val="20"/>
        </w:rPr>
        <w:t>MiFIR</w:t>
      </w:r>
      <w:proofErr w:type="spellEnd"/>
      <w:r w:rsidRPr="00264B35">
        <w:rPr>
          <w:rFonts w:ascii="Open Sans" w:hAnsi="Open Sans" w:cs="Open Sans"/>
          <w:sz w:val="20"/>
        </w:rPr>
        <w:t>) Review</w:t>
      </w:r>
      <w:r w:rsidRPr="00264B35">
        <w:rPr>
          <w:rStyle w:val="FootnoteReference"/>
          <w:rFonts w:ascii="Open Sans" w:hAnsi="Open Sans" w:cs="Open Sans"/>
          <w:sz w:val="20"/>
        </w:rPr>
        <w:footnoteReference w:id="8"/>
      </w:r>
      <w:r w:rsidRPr="00264B35">
        <w:rPr>
          <w:rFonts w:ascii="Open Sans" w:hAnsi="Open Sans" w:cs="Open Sans"/>
          <w:sz w:val="20"/>
        </w:rPr>
        <w:t xml:space="preserve"> to improve transparency on markets in financial instruments, enhance the level playing field between regulated markets and systematic </w:t>
      </w:r>
      <w:proofErr w:type="spellStart"/>
      <w:r w:rsidRPr="00264B35">
        <w:rPr>
          <w:rFonts w:ascii="Open Sans" w:hAnsi="Open Sans" w:cs="Open Sans"/>
          <w:sz w:val="20"/>
        </w:rPr>
        <w:t>internalisers</w:t>
      </w:r>
      <w:proofErr w:type="spellEnd"/>
      <w:r w:rsidRPr="00264B35">
        <w:rPr>
          <w:rFonts w:ascii="Open Sans" w:hAnsi="Open Sans" w:cs="Open Sans"/>
          <w:sz w:val="20"/>
        </w:rPr>
        <w:t xml:space="preserve"> and increase the international competitiveness of the EU’s capital markets. In particular, we welcome ESMA’s mandate under the </w:t>
      </w:r>
      <w:proofErr w:type="spellStart"/>
      <w:r w:rsidRPr="00264B35">
        <w:rPr>
          <w:rFonts w:ascii="Open Sans" w:hAnsi="Open Sans" w:cs="Open Sans"/>
          <w:sz w:val="20"/>
        </w:rPr>
        <w:t>MiFIR</w:t>
      </w:r>
      <w:proofErr w:type="spellEnd"/>
      <w:r w:rsidRPr="00264B35">
        <w:rPr>
          <w:rFonts w:ascii="Open Sans" w:hAnsi="Open Sans" w:cs="Open Sans"/>
          <w:sz w:val="20"/>
        </w:rPr>
        <w:t xml:space="preserve"> Review to draft new </w:t>
      </w:r>
      <w:r w:rsidRPr="00264B35">
        <w:rPr>
          <w:rFonts w:ascii="Open Sans" w:hAnsi="Open Sans" w:cs="Open Sans"/>
          <w:sz w:val="20"/>
        </w:rPr>
        <w:lastRenderedPageBreak/>
        <w:t>RTS specifying the content of trading venues</w:t>
      </w:r>
      <w:r>
        <w:rPr>
          <w:rFonts w:ascii="Open Sans" w:hAnsi="Open Sans" w:cs="Open Sans"/>
          <w:sz w:val="20"/>
        </w:rPr>
        <w:t>’</w:t>
      </w:r>
      <w:r w:rsidRPr="00264B35">
        <w:rPr>
          <w:rFonts w:ascii="Open Sans" w:hAnsi="Open Sans" w:cs="Open Sans"/>
          <w:sz w:val="20"/>
        </w:rPr>
        <w:t>, Approved Publication Arrangements</w:t>
      </w:r>
      <w:r>
        <w:rPr>
          <w:rFonts w:ascii="Open Sans" w:hAnsi="Open Sans" w:cs="Open Sans"/>
          <w:sz w:val="20"/>
        </w:rPr>
        <w:t>’</w:t>
      </w:r>
      <w:r w:rsidRPr="00264B35">
        <w:rPr>
          <w:rFonts w:ascii="Open Sans" w:hAnsi="Open Sans" w:cs="Open Sans"/>
          <w:sz w:val="20"/>
        </w:rPr>
        <w:t xml:space="preserve"> (APAs), consolidated tape providers</w:t>
      </w:r>
      <w:r>
        <w:rPr>
          <w:rFonts w:ascii="Open Sans" w:hAnsi="Open Sans" w:cs="Open Sans"/>
          <w:sz w:val="20"/>
        </w:rPr>
        <w:t>’</w:t>
      </w:r>
      <w:r w:rsidRPr="00264B35">
        <w:rPr>
          <w:rFonts w:ascii="Open Sans" w:hAnsi="Open Sans" w:cs="Open Sans"/>
          <w:sz w:val="20"/>
        </w:rPr>
        <w:t xml:space="preserve"> (CTPs) and systematic </w:t>
      </w:r>
      <w:proofErr w:type="spellStart"/>
      <w:r w:rsidRPr="00264B35">
        <w:rPr>
          <w:rFonts w:ascii="Open Sans" w:hAnsi="Open Sans" w:cs="Open Sans"/>
          <w:sz w:val="20"/>
        </w:rPr>
        <w:t>internalisers</w:t>
      </w:r>
      <w:proofErr w:type="spellEnd"/>
      <w:r w:rsidRPr="00264B35">
        <w:rPr>
          <w:rFonts w:ascii="Open Sans" w:hAnsi="Open Sans" w:cs="Open Sans"/>
          <w:sz w:val="20"/>
        </w:rPr>
        <w:t>’ (S</w:t>
      </w:r>
      <w:r>
        <w:rPr>
          <w:rFonts w:ascii="Open Sans" w:hAnsi="Open Sans" w:cs="Open Sans"/>
          <w:sz w:val="20"/>
        </w:rPr>
        <w:t>I</w:t>
      </w:r>
      <w:r w:rsidRPr="00264B35">
        <w:rPr>
          <w:rFonts w:ascii="Open Sans" w:hAnsi="Open Sans" w:cs="Open Sans"/>
          <w:sz w:val="20"/>
        </w:rPr>
        <w:t xml:space="preserve">s) obligation to provide market data on a 'reasonable commercial </w:t>
      </w:r>
      <w:proofErr w:type="spellStart"/>
      <w:r w:rsidRPr="00264B35">
        <w:rPr>
          <w:rFonts w:ascii="Open Sans" w:hAnsi="Open Sans" w:cs="Open Sans"/>
          <w:sz w:val="20"/>
        </w:rPr>
        <w:t>basis'</w:t>
      </w:r>
      <w:proofErr w:type="spellEnd"/>
      <w:r w:rsidRPr="00264B35">
        <w:rPr>
          <w:rFonts w:ascii="Open Sans" w:hAnsi="Open Sans" w:cs="Open Sans"/>
          <w:sz w:val="20"/>
        </w:rPr>
        <w:t xml:space="preserve"> and provisions requiring market data providers to (</w:t>
      </w:r>
      <w:proofErr w:type="spellStart"/>
      <w:r w:rsidRPr="00264B35">
        <w:rPr>
          <w:rFonts w:ascii="Open Sans" w:hAnsi="Open Sans" w:cs="Open Sans"/>
          <w:sz w:val="20"/>
        </w:rPr>
        <w:t>i</w:t>
      </w:r>
      <w:proofErr w:type="spellEnd"/>
      <w:r w:rsidRPr="00264B35">
        <w:rPr>
          <w:rFonts w:ascii="Open Sans" w:hAnsi="Open Sans" w:cs="Open Sans"/>
          <w:sz w:val="20"/>
        </w:rPr>
        <w:t xml:space="preserve">) include ‘unbiased and fair contractual terms’ within the concept of making market data available to the public on a reasonable commercial basis; (ii) ensure non-discriminatory access to the relevant information; (iii) make relevant market data policies available to the public free of charge and in a manner which is easy to access and to understand; (iv) make data available free of charge 15 minutes after publication in a format that is machine-readable and usable for all users, including retail investors; and (v) follow a set of transparency requirements towards National Competent Authorities (NCAs) related to the cost of producing and disseminating data and the margin applied to data provision. </w:t>
      </w:r>
    </w:p>
    <w:p w14:paraId="4B67A2DD" w14:textId="77777777" w:rsidR="00A117AB" w:rsidRPr="00264B35" w:rsidRDefault="00A117AB" w:rsidP="00A117AB">
      <w:pPr>
        <w:spacing w:after="0" w:line="240" w:lineRule="auto"/>
        <w:rPr>
          <w:rFonts w:ascii="Open Sans" w:hAnsi="Open Sans" w:cs="Open Sans"/>
          <w:sz w:val="20"/>
        </w:rPr>
      </w:pPr>
    </w:p>
    <w:p w14:paraId="61DFD006" w14:textId="77777777" w:rsidR="00A117AB" w:rsidRPr="00264B35" w:rsidRDefault="00A117AB" w:rsidP="00A117AB">
      <w:pPr>
        <w:spacing w:line="259" w:lineRule="auto"/>
        <w:rPr>
          <w:rFonts w:ascii="Open Sans" w:hAnsi="Open Sans" w:cs="Open Sans"/>
          <w:sz w:val="20"/>
        </w:rPr>
      </w:pPr>
      <w:r w:rsidRPr="00264B35">
        <w:rPr>
          <w:rFonts w:ascii="Open Sans" w:hAnsi="Open Sans" w:cs="Open Sans"/>
          <w:sz w:val="20"/>
        </w:rPr>
        <w:t xml:space="preserve">Market data provided by trading venues and data providers plays a central role in the functioning of the financial system and the move to a more digital economy. It supports healthy markets by allowing better price formation, advances the interests of end-investors by allowing their agents to make better informed trading decisions and underpins effective regulatory oversight by enabling market participants to discharge regulatory reporting obligations. However, the current regulatory framework has led to a situation in which market data vendors and trading venues are charging unreasonable prices for market data. The costs of obtaining data for both equities and non-equities markets have increased significantly since the implementation of the Markets in Financial Instruments Directive (MiFID) II, far outstripping both inflation and the input costs attached to creating the data. This impacts smaller alternative investment managers </w:t>
      </w:r>
      <w:proofErr w:type="gramStart"/>
      <w:r>
        <w:rPr>
          <w:rFonts w:ascii="Open Sans" w:hAnsi="Open Sans" w:cs="Open Sans"/>
          <w:sz w:val="20"/>
        </w:rPr>
        <w:t xml:space="preserve">in particular </w:t>
      </w:r>
      <w:r w:rsidRPr="00264B35">
        <w:rPr>
          <w:rFonts w:ascii="Open Sans" w:hAnsi="Open Sans" w:cs="Open Sans"/>
          <w:sz w:val="20"/>
        </w:rPr>
        <w:t>and</w:t>
      </w:r>
      <w:proofErr w:type="gramEnd"/>
      <w:r w:rsidRPr="00264B35">
        <w:rPr>
          <w:rFonts w:ascii="Open Sans" w:hAnsi="Open Sans" w:cs="Open Sans"/>
          <w:sz w:val="20"/>
        </w:rPr>
        <w:t xml:space="preserve"> acts as a barrier to competition in the wider investment management industry. </w:t>
      </w:r>
    </w:p>
    <w:p w14:paraId="623C6AEB" w14:textId="77777777" w:rsidR="00A117AB" w:rsidRPr="00264B35" w:rsidRDefault="00A117AB" w:rsidP="00A117AB">
      <w:pPr>
        <w:rPr>
          <w:rFonts w:ascii="Open Sans" w:hAnsi="Open Sans" w:cs="Open Sans"/>
          <w:sz w:val="20"/>
        </w:rPr>
      </w:pPr>
      <w:r w:rsidRPr="00264B35">
        <w:rPr>
          <w:rFonts w:ascii="Open Sans" w:hAnsi="Open Sans" w:cs="Open Sans"/>
          <w:sz w:val="20"/>
        </w:rPr>
        <w:t xml:space="preserve">AIMA welcomes changes to the regulatory framework for market data. Our members invest on behalf of pension plans, university endowments, charitable organisations, family offices and qualified individuals, among other entities, and engage in a range of investment strategies for which access to market data is essential. Without it, firms would be unable to satisfy client investment needs or fulfil their regulatory obligations. Addressing issues related to market data costs, including the establishment of real-time consolidated tapes for all asset classes, is a vital step in creating a more transparent and accessible trading environment for institutional and retail investors. </w:t>
      </w:r>
    </w:p>
    <w:p w14:paraId="42DE930F" w14:textId="77777777" w:rsidR="00A117AB" w:rsidRDefault="00A117AB" w:rsidP="00A117AB">
      <w:pPr>
        <w:spacing w:after="0"/>
        <w:rPr>
          <w:rFonts w:ascii="Open Sans" w:hAnsi="Open Sans" w:cs="Open Sans"/>
          <w:sz w:val="20"/>
        </w:rPr>
      </w:pPr>
      <w:r w:rsidRPr="00264B35">
        <w:rPr>
          <w:rFonts w:ascii="Open Sans" w:hAnsi="Open Sans" w:cs="Open Sans"/>
          <w:sz w:val="20"/>
        </w:rPr>
        <w:t>AIMA would like to highlight several principles for ESMA to consider when finalising the RTS on reasonable commercial basis.</w:t>
      </w:r>
    </w:p>
    <w:p w14:paraId="6FBC908C" w14:textId="77777777" w:rsidR="00A117AB" w:rsidRDefault="00A117AB" w:rsidP="00A117AB">
      <w:pPr>
        <w:spacing w:after="0"/>
        <w:rPr>
          <w:rFonts w:ascii="Open Sans" w:hAnsi="Open Sans" w:cs="Open Sans"/>
          <w:sz w:val="20"/>
        </w:rPr>
      </w:pPr>
    </w:p>
    <w:p w14:paraId="30022C7E" w14:textId="77777777" w:rsidR="00A117AB"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t xml:space="preserve">Ensure </w:t>
      </w:r>
      <w:r w:rsidRPr="009A08D7">
        <w:rPr>
          <w:rFonts w:ascii="Open Sans" w:hAnsi="Open Sans" w:cs="Open Sans"/>
          <w:sz w:val="20"/>
          <w:u w:val="single"/>
        </w:rPr>
        <w:t>robust supervisory oversight</w:t>
      </w:r>
      <w:r w:rsidRPr="009A08D7">
        <w:rPr>
          <w:rFonts w:ascii="Open Sans" w:hAnsi="Open Sans" w:cs="Open Sans"/>
          <w:sz w:val="20"/>
        </w:rPr>
        <w:t xml:space="preserve"> of market data </w:t>
      </w:r>
      <w:proofErr w:type="gramStart"/>
      <w:r w:rsidRPr="009A08D7">
        <w:rPr>
          <w:rFonts w:ascii="Open Sans" w:hAnsi="Open Sans" w:cs="Open Sans"/>
          <w:sz w:val="20"/>
        </w:rPr>
        <w:t>fees</w:t>
      </w:r>
      <w:r>
        <w:rPr>
          <w:rFonts w:ascii="Open Sans" w:hAnsi="Open Sans" w:cs="Open Sans"/>
          <w:sz w:val="20"/>
        </w:rPr>
        <w:t>;</w:t>
      </w:r>
      <w:proofErr w:type="gramEnd"/>
    </w:p>
    <w:p w14:paraId="5E71AB53" w14:textId="77777777" w:rsidR="00A117AB"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t xml:space="preserve">Ensure that </w:t>
      </w:r>
      <w:r w:rsidRPr="009A08D7">
        <w:rPr>
          <w:rFonts w:ascii="Open Sans" w:hAnsi="Open Sans" w:cs="Open Sans"/>
          <w:sz w:val="20"/>
          <w:u w:val="single"/>
        </w:rPr>
        <w:t>market data fees</w:t>
      </w:r>
      <w:r w:rsidRPr="009A08D7">
        <w:rPr>
          <w:rFonts w:ascii="Open Sans" w:hAnsi="Open Sans" w:cs="Open Sans"/>
          <w:sz w:val="20"/>
        </w:rPr>
        <w:t xml:space="preserve"> are not based on the value that the market data represents to individual </w:t>
      </w:r>
      <w:proofErr w:type="gramStart"/>
      <w:r w:rsidRPr="009A08D7">
        <w:rPr>
          <w:rFonts w:ascii="Open Sans" w:hAnsi="Open Sans" w:cs="Open Sans"/>
          <w:sz w:val="20"/>
        </w:rPr>
        <w:t>users</w:t>
      </w:r>
      <w:r>
        <w:rPr>
          <w:rFonts w:ascii="Open Sans" w:hAnsi="Open Sans" w:cs="Open Sans"/>
          <w:sz w:val="20"/>
        </w:rPr>
        <w:t>;</w:t>
      </w:r>
      <w:proofErr w:type="gramEnd"/>
    </w:p>
    <w:p w14:paraId="49C668EB" w14:textId="77777777" w:rsidR="00A117AB"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t xml:space="preserve">Ensure that investment managers are </w:t>
      </w:r>
      <w:r w:rsidRPr="009A08D7">
        <w:rPr>
          <w:rFonts w:ascii="Open Sans" w:hAnsi="Open Sans" w:cs="Open Sans"/>
          <w:sz w:val="20"/>
          <w:u w:val="single"/>
        </w:rPr>
        <w:t>not limited in their choice</w:t>
      </w:r>
      <w:r w:rsidRPr="009A08D7">
        <w:rPr>
          <w:rFonts w:ascii="Open Sans" w:hAnsi="Open Sans" w:cs="Open Sans"/>
          <w:sz w:val="20"/>
        </w:rPr>
        <w:t xml:space="preserve"> to purchase market data, particularly real-time data, and ability to switch to different market data </w:t>
      </w:r>
      <w:proofErr w:type="gramStart"/>
      <w:r w:rsidRPr="009A08D7">
        <w:rPr>
          <w:rFonts w:ascii="Open Sans" w:hAnsi="Open Sans" w:cs="Open Sans"/>
          <w:sz w:val="20"/>
        </w:rPr>
        <w:t>providers</w:t>
      </w:r>
      <w:r>
        <w:rPr>
          <w:rFonts w:ascii="Open Sans" w:hAnsi="Open Sans" w:cs="Open Sans"/>
          <w:sz w:val="20"/>
        </w:rPr>
        <w:t>;</w:t>
      </w:r>
      <w:proofErr w:type="gramEnd"/>
    </w:p>
    <w:p w14:paraId="5BB3CA13" w14:textId="77777777" w:rsidR="00A117AB"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lastRenderedPageBreak/>
        <w:t xml:space="preserve">Maximise the comprehensiveness and comprehensibility of market data providers’ </w:t>
      </w:r>
      <w:proofErr w:type="gramStart"/>
      <w:r w:rsidRPr="009A08D7">
        <w:rPr>
          <w:rFonts w:ascii="Open Sans" w:hAnsi="Open Sans" w:cs="Open Sans"/>
          <w:sz w:val="20"/>
          <w:u w:val="single"/>
        </w:rPr>
        <w:t>disclosures</w:t>
      </w:r>
      <w:r>
        <w:rPr>
          <w:rFonts w:ascii="Open Sans" w:hAnsi="Open Sans" w:cs="Open Sans"/>
          <w:sz w:val="20"/>
        </w:rPr>
        <w:t>;</w:t>
      </w:r>
      <w:proofErr w:type="gramEnd"/>
    </w:p>
    <w:p w14:paraId="1B5C186A" w14:textId="77777777" w:rsidR="00A117AB"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t xml:space="preserve">Ensure data users are not subject to complex and onerous </w:t>
      </w:r>
      <w:r w:rsidRPr="009A08D7">
        <w:rPr>
          <w:rFonts w:ascii="Open Sans" w:hAnsi="Open Sans" w:cs="Open Sans"/>
          <w:sz w:val="20"/>
          <w:u w:val="single"/>
        </w:rPr>
        <w:t xml:space="preserve">licensing </w:t>
      </w:r>
      <w:proofErr w:type="gramStart"/>
      <w:r w:rsidRPr="009A08D7">
        <w:rPr>
          <w:rFonts w:ascii="Open Sans" w:hAnsi="Open Sans" w:cs="Open Sans"/>
          <w:sz w:val="20"/>
          <w:u w:val="single"/>
        </w:rPr>
        <w:t>terms</w:t>
      </w:r>
      <w:r>
        <w:rPr>
          <w:rFonts w:ascii="Open Sans" w:hAnsi="Open Sans" w:cs="Open Sans"/>
          <w:sz w:val="20"/>
        </w:rPr>
        <w:t>;</w:t>
      </w:r>
      <w:proofErr w:type="gramEnd"/>
    </w:p>
    <w:p w14:paraId="3721685C" w14:textId="77777777" w:rsidR="00A117AB"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t xml:space="preserve">Ensure that the </w:t>
      </w:r>
      <w:r w:rsidRPr="009A08D7">
        <w:rPr>
          <w:rFonts w:ascii="Open Sans" w:hAnsi="Open Sans" w:cs="Open Sans"/>
          <w:sz w:val="20"/>
          <w:u w:val="single"/>
        </w:rPr>
        <w:t>audit practices</w:t>
      </w:r>
      <w:r w:rsidRPr="009A08D7">
        <w:rPr>
          <w:rFonts w:ascii="Open Sans" w:hAnsi="Open Sans" w:cs="Open Sans"/>
          <w:sz w:val="20"/>
        </w:rPr>
        <w:t xml:space="preserve"> of market data providers are fair and </w:t>
      </w:r>
      <w:proofErr w:type="gramStart"/>
      <w:r w:rsidRPr="009A08D7">
        <w:rPr>
          <w:rFonts w:ascii="Open Sans" w:hAnsi="Open Sans" w:cs="Open Sans"/>
          <w:sz w:val="20"/>
        </w:rPr>
        <w:t>reasonable</w:t>
      </w:r>
      <w:r>
        <w:rPr>
          <w:rFonts w:ascii="Open Sans" w:hAnsi="Open Sans" w:cs="Open Sans"/>
          <w:sz w:val="20"/>
        </w:rPr>
        <w:t>;</w:t>
      </w:r>
      <w:proofErr w:type="gramEnd"/>
    </w:p>
    <w:p w14:paraId="17AD60B3" w14:textId="77777777" w:rsidR="00A117AB"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t xml:space="preserve">Ensure that the </w:t>
      </w:r>
      <w:r w:rsidRPr="009A08D7">
        <w:rPr>
          <w:rFonts w:ascii="Open Sans" w:hAnsi="Open Sans" w:cs="Open Sans"/>
          <w:sz w:val="20"/>
          <w:u w:val="single"/>
        </w:rPr>
        <w:t>broader policy objectives</w:t>
      </w:r>
      <w:r w:rsidRPr="009A08D7">
        <w:rPr>
          <w:rFonts w:ascii="Open Sans" w:hAnsi="Open Sans" w:cs="Open Sans"/>
          <w:sz w:val="20"/>
        </w:rPr>
        <w:t xml:space="preserve"> of reducing the average cost of market data and making data available to a wider range of market participants are considered</w:t>
      </w:r>
      <w:r>
        <w:rPr>
          <w:rFonts w:ascii="Open Sans" w:hAnsi="Open Sans" w:cs="Open Sans"/>
          <w:sz w:val="20"/>
        </w:rPr>
        <w:t>; and</w:t>
      </w:r>
    </w:p>
    <w:p w14:paraId="71636D3E" w14:textId="77777777" w:rsidR="00A117AB" w:rsidRPr="009A08D7" w:rsidRDefault="00A117AB" w:rsidP="00A117AB">
      <w:pPr>
        <w:pStyle w:val="ListParagraph"/>
        <w:numPr>
          <w:ilvl w:val="0"/>
          <w:numId w:val="39"/>
        </w:numPr>
        <w:spacing w:after="0" w:line="256" w:lineRule="auto"/>
        <w:rPr>
          <w:rFonts w:ascii="Open Sans" w:hAnsi="Open Sans" w:cs="Open Sans"/>
          <w:sz w:val="20"/>
        </w:rPr>
      </w:pPr>
      <w:r w:rsidRPr="009A08D7">
        <w:rPr>
          <w:rFonts w:ascii="Open Sans" w:hAnsi="Open Sans" w:cs="Open Sans"/>
          <w:sz w:val="20"/>
        </w:rPr>
        <w:t xml:space="preserve">Ensure an openness to conduct </w:t>
      </w:r>
      <w:r w:rsidRPr="009A08D7">
        <w:rPr>
          <w:rFonts w:ascii="Open Sans" w:hAnsi="Open Sans" w:cs="Open Sans"/>
          <w:sz w:val="20"/>
          <w:u w:val="single"/>
        </w:rPr>
        <w:t>future regulatory change</w:t>
      </w:r>
      <w:r w:rsidRPr="009A08D7">
        <w:rPr>
          <w:rFonts w:ascii="Open Sans" w:hAnsi="Open Sans" w:cs="Open Sans"/>
          <w:sz w:val="20"/>
        </w:rPr>
        <w:t xml:space="preserve"> if the RTS does not deliver on its objectives</w:t>
      </w:r>
      <w:r>
        <w:rPr>
          <w:rFonts w:ascii="Open Sans" w:hAnsi="Open Sans" w:cs="Open Sans"/>
          <w:sz w:val="20"/>
        </w:rPr>
        <w:t>.</w:t>
      </w:r>
    </w:p>
    <w:p w14:paraId="0E62E8E6" w14:textId="77777777" w:rsidR="00A117AB" w:rsidRPr="002228E4" w:rsidRDefault="00A117AB" w:rsidP="00A117AB">
      <w:pPr>
        <w:spacing w:after="0" w:line="259" w:lineRule="auto"/>
        <w:ind w:left="425"/>
        <w:rPr>
          <w:rFonts w:ascii="Open Sans" w:hAnsi="Open Sans" w:cs="Open Sans"/>
          <w:sz w:val="20"/>
        </w:rPr>
      </w:pPr>
    </w:p>
    <w:p w14:paraId="665A365E" w14:textId="77777777" w:rsidR="00A117AB" w:rsidRPr="00264B35" w:rsidRDefault="00A117AB" w:rsidP="00A117AB">
      <w:pPr>
        <w:spacing w:after="0"/>
        <w:rPr>
          <w:rFonts w:ascii="Open Sans" w:hAnsi="Open Sans" w:cs="Open Sans"/>
          <w:sz w:val="20"/>
        </w:rPr>
      </w:pPr>
    </w:p>
    <w:p w14:paraId="7FCC30F8" w14:textId="38BCFD4F" w:rsidR="007A6E17" w:rsidRPr="00A27826" w:rsidRDefault="00A117AB" w:rsidP="00A117AB">
      <w:pPr>
        <w:rPr>
          <w:rFonts w:ascii="Open Sans" w:hAnsi="Open Sans" w:cs="Open Sans"/>
          <w:sz w:val="20"/>
        </w:rPr>
      </w:pPr>
      <w:r w:rsidRPr="00264B35">
        <w:rPr>
          <w:rFonts w:ascii="Open Sans" w:hAnsi="Open Sans" w:cs="Open Sans"/>
          <w:sz w:val="20"/>
        </w:rPr>
        <w:t>We would be happy to discuss our position further.</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lastRenderedPageBreak/>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lastRenderedPageBreak/>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lastRenderedPageBreak/>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AC929" w14:textId="77777777" w:rsidR="005759A8" w:rsidRDefault="005759A8" w:rsidP="00F716D4">
      <w:r>
        <w:separator/>
      </w:r>
    </w:p>
    <w:p w14:paraId="5CE3FCB0" w14:textId="77777777" w:rsidR="005759A8" w:rsidRDefault="005759A8" w:rsidP="00F716D4"/>
  </w:endnote>
  <w:endnote w:type="continuationSeparator" w:id="0">
    <w:p w14:paraId="130665C4" w14:textId="77777777" w:rsidR="005759A8" w:rsidRDefault="005759A8" w:rsidP="00F716D4">
      <w:r>
        <w:continuationSeparator/>
      </w:r>
    </w:p>
    <w:p w14:paraId="777ABB35" w14:textId="77777777" w:rsidR="005759A8" w:rsidRDefault="005759A8" w:rsidP="00F716D4"/>
  </w:endnote>
  <w:endnote w:type="continuationNotice" w:id="1">
    <w:p w14:paraId="7F6CE8EB" w14:textId="77777777" w:rsidR="005759A8" w:rsidRDefault="005759A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500000000000000"/>
    <w:charset w:val="00"/>
    <w:family w:val="auto"/>
    <w:pitch w:val="variable"/>
    <w:sig w:usb0="20000A87" w:usb1="40000000"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636B3" w14:textId="77777777" w:rsidR="005759A8" w:rsidRDefault="005759A8" w:rsidP="00F716D4">
      <w:r>
        <w:separator/>
      </w:r>
    </w:p>
    <w:p w14:paraId="486D5030" w14:textId="77777777" w:rsidR="005759A8" w:rsidRDefault="005759A8" w:rsidP="00F716D4"/>
  </w:footnote>
  <w:footnote w:type="continuationSeparator" w:id="0">
    <w:p w14:paraId="2B13996B" w14:textId="77777777" w:rsidR="005759A8" w:rsidRDefault="005759A8" w:rsidP="00F716D4">
      <w:r>
        <w:continuationSeparator/>
      </w:r>
    </w:p>
    <w:p w14:paraId="29F16056" w14:textId="77777777" w:rsidR="005759A8" w:rsidRDefault="005759A8" w:rsidP="00F716D4"/>
  </w:footnote>
  <w:footnote w:type="continuationNotice" w:id="1">
    <w:p w14:paraId="02C5DAE4" w14:textId="77777777" w:rsidR="005759A8" w:rsidRDefault="005759A8" w:rsidP="00F716D4"/>
  </w:footnote>
  <w:footnote w:id="2">
    <w:p w14:paraId="1A1DF612" w14:textId="77777777" w:rsidR="00F4219D" w:rsidRPr="005039EB" w:rsidRDefault="00F4219D" w:rsidP="00F4219D">
      <w:pPr>
        <w:pStyle w:val="AIMAfootnote"/>
      </w:pPr>
    </w:p>
    <w:p w14:paraId="0A75C49E" w14:textId="77777777" w:rsidR="00F4219D" w:rsidRPr="00960B70" w:rsidRDefault="00F4219D" w:rsidP="00F4219D">
      <w:pPr>
        <w:spacing w:after="0"/>
        <w:rPr>
          <w:rFonts w:ascii="Open Sans" w:hAnsi="Open Sans" w:cs="Open Sans"/>
          <w:sz w:val="16"/>
          <w:szCs w:val="16"/>
        </w:rPr>
      </w:pPr>
      <w:r w:rsidRPr="005039EB">
        <w:rPr>
          <w:rStyle w:val="FootnoteReference"/>
          <w:rFonts w:ascii="Open Sans" w:hAnsi="Open Sans" w:cs="Open Sans"/>
          <w:sz w:val="16"/>
          <w:szCs w:val="16"/>
        </w:rPr>
        <w:footnoteRef/>
      </w:r>
      <w:r w:rsidRPr="005039EB">
        <w:rPr>
          <w:rFonts w:ascii="Open Sans" w:hAnsi="Open Sans" w:cs="Open Sans"/>
          <w:sz w:val="16"/>
          <w:szCs w:val="16"/>
        </w:rPr>
        <w:t xml:space="preserve"> AIMA, the Alternative Investment Management Association, is the global representative of the alternative investment industry, with more than 2,100 corporate members in over 60 countries. AIMA’s fund manager members collectively manage more than US$3 trillion in hedge fund and private credit assets. AIMA draws upon the expertise and diversity of its membership to provide leadership in industry initiatives such as advocacy, policy and regulatory engagement, educational programmes and sound practice guides. AIMA works to raise media and public awareness of the value of the industry. AIMA set up the Alternative Credit Council (ACC) to help firms focused</w:t>
      </w:r>
      <w:r>
        <w:rPr>
          <w:rFonts w:ascii="Open Sans" w:hAnsi="Open Sans" w:cs="Open Sans"/>
          <w:sz w:val="16"/>
          <w:szCs w:val="16"/>
        </w:rPr>
        <w:t xml:space="preserve"> </w:t>
      </w:r>
      <w:proofErr w:type="gramStart"/>
      <w:r>
        <w:rPr>
          <w:rFonts w:ascii="Open Sans" w:hAnsi="Open Sans" w:cs="Open Sans"/>
          <w:sz w:val="16"/>
          <w:szCs w:val="16"/>
        </w:rPr>
        <w:t>i</w:t>
      </w:r>
      <w:r w:rsidRPr="005039EB">
        <w:rPr>
          <w:rFonts w:ascii="Open Sans" w:hAnsi="Open Sans" w:cs="Open Sans"/>
          <w:sz w:val="16"/>
          <w:szCs w:val="16"/>
        </w:rPr>
        <w:t>n</w:t>
      </w:r>
      <w:proofErr w:type="gramEnd"/>
      <w:r w:rsidRPr="005039EB">
        <w:rPr>
          <w:rFonts w:ascii="Open Sans" w:hAnsi="Open Sans" w:cs="Open Sans"/>
          <w:sz w:val="16"/>
          <w:szCs w:val="16"/>
        </w:rPr>
        <w:t xml:space="preserve"> the private credit and direct lending space. </w:t>
      </w:r>
      <w:r w:rsidRPr="005039EB">
        <w:rPr>
          <w:rFonts w:ascii="Open Sans" w:eastAsia="Lucida Sans Unicode" w:hAnsi="Open Sans" w:cs="Open Sans"/>
          <w:sz w:val="16"/>
          <w:szCs w:val="16"/>
        </w:rPr>
        <w:t xml:space="preserve">The ACC currently represents over 250 members that manage over US$1 trillion of private credit assets globally. </w:t>
      </w:r>
      <w:r w:rsidRPr="005039EB">
        <w:rPr>
          <w:rFonts w:ascii="Open Sans" w:hAnsi="Open Sans" w:cs="Open Sans"/>
          <w:sz w:val="16"/>
          <w:szCs w:val="16"/>
        </w:rPr>
        <w:t xml:space="preserve"> AIMA is committed to developing skills and education standards and is a co-founder of the Chartered Alternative Investment Analyst designation (CAIA) – the first and only specialised educational standard for alternative investment specialists</w:t>
      </w:r>
      <w:r w:rsidRPr="001865C1">
        <w:rPr>
          <w:rFonts w:ascii="Open Sans" w:hAnsi="Open Sans" w:cs="Open Sans"/>
          <w:sz w:val="16"/>
          <w:szCs w:val="16"/>
        </w:rPr>
        <w:t xml:space="preserve">. AIMA is governed by its Council (Board of Directors). For further information, please visit AIMA’s website, </w:t>
      </w:r>
      <w:hyperlink r:id="rId1" w:history="1">
        <w:r w:rsidRPr="001865C1">
          <w:rPr>
            <w:rStyle w:val="Hyperlink"/>
            <w:rFonts w:ascii="Open Sans" w:hAnsi="Open Sans" w:cs="Open Sans"/>
            <w:sz w:val="16"/>
            <w:szCs w:val="16"/>
          </w:rPr>
          <w:t>www.aima.org</w:t>
        </w:r>
      </w:hyperlink>
      <w:r w:rsidRPr="001865C1">
        <w:rPr>
          <w:rFonts w:ascii="Open Sans" w:hAnsi="Open Sans" w:cs="Open Sans"/>
          <w:sz w:val="16"/>
          <w:szCs w:val="16"/>
        </w:rPr>
        <w:t>.</w:t>
      </w:r>
    </w:p>
  </w:footnote>
  <w:footnote w:id="3">
    <w:p w14:paraId="63049E17" w14:textId="77777777" w:rsidR="00F4219D" w:rsidRPr="001865C1" w:rsidRDefault="00F4219D" w:rsidP="00F4219D">
      <w:pPr>
        <w:pStyle w:val="FootnoteText"/>
        <w:rPr>
          <w:rFonts w:ascii="Open Sans" w:hAnsi="Open Sans" w:cs="Open Sans"/>
          <w:szCs w:val="16"/>
        </w:rPr>
      </w:pPr>
      <w:r w:rsidRPr="001865C1">
        <w:rPr>
          <w:rStyle w:val="FootnoteReference"/>
          <w:rFonts w:ascii="Open Sans" w:hAnsi="Open Sans" w:cs="Open Sans"/>
          <w:szCs w:val="16"/>
        </w:rPr>
        <w:footnoteRef/>
      </w:r>
      <w:r w:rsidRPr="001865C1">
        <w:rPr>
          <w:rFonts w:ascii="Open Sans" w:hAnsi="Open Sans" w:cs="Open Sans"/>
          <w:szCs w:val="16"/>
        </w:rPr>
        <w:t xml:space="preserve"> Available at: </w:t>
      </w:r>
      <w:hyperlink r:id="rId2" w:history="1">
        <w:r w:rsidRPr="001865C1">
          <w:rPr>
            <w:rStyle w:val="Hyperlink"/>
            <w:rFonts w:ascii="Open Sans" w:hAnsi="Open Sans" w:cs="Open Sans"/>
            <w:szCs w:val="16"/>
          </w:rPr>
          <w:t>https://www.esma.europa.eu/document/mifir-review-consultation-package-non-equity-trade-transparency-reasonable-commercial</w:t>
        </w:r>
      </w:hyperlink>
      <w:r w:rsidRPr="001865C1">
        <w:rPr>
          <w:rFonts w:ascii="Open Sans" w:hAnsi="Open Sans" w:cs="Open Sans"/>
          <w:szCs w:val="16"/>
        </w:rPr>
        <w:t xml:space="preserve">. </w:t>
      </w:r>
    </w:p>
  </w:footnote>
  <w:footnote w:id="4">
    <w:p w14:paraId="4331B724" w14:textId="77777777" w:rsidR="00F4219D" w:rsidRPr="001865C1" w:rsidRDefault="00F4219D" w:rsidP="00F4219D">
      <w:pPr>
        <w:pStyle w:val="FootnoteText"/>
      </w:pPr>
      <w:r w:rsidRPr="001865C1">
        <w:rPr>
          <w:rStyle w:val="FootnoteReference"/>
          <w:rFonts w:ascii="Open Sans" w:hAnsi="Open Sans" w:cs="Open Sans"/>
          <w:szCs w:val="16"/>
        </w:rPr>
        <w:footnoteRef/>
      </w:r>
      <w:r w:rsidRPr="001865C1">
        <w:rPr>
          <w:rFonts w:ascii="Open Sans" w:hAnsi="Open Sans" w:cs="Open Sans"/>
          <w:szCs w:val="16"/>
        </w:rPr>
        <w:t xml:space="preserve"> Available at: </w:t>
      </w:r>
      <w:hyperlink r:id="rId3" w:history="1">
        <w:r w:rsidRPr="001865C1">
          <w:rPr>
            <w:rStyle w:val="Hyperlink"/>
            <w:rFonts w:ascii="Open Sans" w:hAnsi="Open Sans" w:cs="Open Sans"/>
            <w:szCs w:val="16"/>
          </w:rPr>
          <w:t>https://eur-lex.europa.eu/legal-content/EN/TXT/?uri=OJ:L_202400791</w:t>
        </w:r>
      </w:hyperlink>
      <w:r w:rsidRPr="001865C1">
        <w:rPr>
          <w:rFonts w:ascii="Open Sans" w:hAnsi="Open Sans" w:cs="Open Sans"/>
          <w:szCs w:val="16"/>
        </w:rPr>
        <w:t>.</w:t>
      </w:r>
      <w:r>
        <w:t xml:space="preserve"> </w:t>
      </w:r>
    </w:p>
  </w:footnote>
  <w:footnote w:id="5">
    <w:p w14:paraId="654BB14C" w14:textId="77777777" w:rsidR="00F4219D" w:rsidRDefault="00F4219D" w:rsidP="00F4219D">
      <w:pPr>
        <w:pStyle w:val="FootnoteText"/>
        <w:rPr>
          <w:rFonts w:ascii="Open Sans" w:hAnsi="Open Sans" w:cs="Open Sans"/>
          <w:szCs w:val="16"/>
        </w:rPr>
      </w:pPr>
    </w:p>
    <w:p w14:paraId="23DDACEB" w14:textId="77777777" w:rsidR="00F4219D" w:rsidRPr="000702AC" w:rsidRDefault="00F4219D" w:rsidP="00F4219D">
      <w:pPr>
        <w:pStyle w:val="FootnoteText"/>
        <w:rPr>
          <w:rFonts w:ascii="Open Sans" w:hAnsi="Open Sans" w:cs="Open Sans"/>
          <w:szCs w:val="16"/>
        </w:rPr>
      </w:pPr>
      <w:r w:rsidRPr="000702AC">
        <w:rPr>
          <w:rStyle w:val="FootnoteReference"/>
          <w:rFonts w:ascii="Open Sans" w:hAnsi="Open Sans" w:cs="Open Sans"/>
          <w:szCs w:val="16"/>
        </w:rPr>
        <w:footnoteRef/>
      </w:r>
      <w:r w:rsidRPr="000702AC">
        <w:rPr>
          <w:rFonts w:ascii="Open Sans" w:hAnsi="Open Sans" w:cs="Open Sans"/>
          <w:szCs w:val="16"/>
        </w:rPr>
        <w:t xml:space="preserve"> See </w:t>
      </w:r>
      <w:hyperlink r:id="rId4" w:history="1">
        <w:r w:rsidRPr="000702AC">
          <w:rPr>
            <w:rStyle w:val="Hyperlink"/>
            <w:rFonts w:ascii="Open Sans" w:hAnsi="Open Sans" w:cs="Open Sans"/>
            <w:szCs w:val="16"/>
          </w:rPr>
          <w:t>www.fca.org.uk/publication/consultation/cp23-32.pdf</w:t>
        </w:r>
      </w:hyperlink>
      <w:r w:rsidRPr="000702AC">
        <w:rPr>
          <w:rFonts w:ascii="Open Sans" w:hAnsi="Open Sans" w:cs="Open Sans"/>
          <w:szCs w:val="16"/>
        </w:rPr>
        <w:t xml:space="preserve">. </w:t>
      </w:r>
    </w:p>
  </w:footnote>
  <w:footnote w:id="6">
    <w:p w14:paraId="364A1C03" w14:textId="77777777" w:rsidR="00A117AB" w:rsidRPr="005039EB" w:rsidRDefault="00A117AB" w:rsidP="00A117AB">
      <w:pPr>
        <w:pStyle w:val="AIMAfootnote"/>
      </w:pPr>
    </w:p>
    <w:p w14:paraId="542168BE" w14:textId="77777777" w:rsidR="00A117AB" w:rsidRDefault="00A117AB" w:rsidP="00A117AB">
      <w:pPr>
        <w:spacing w:after="0"/>
        <w:rPr>
          <w:rFonts w:ascii="Open Sans" w:hAnsi="Open Sans" w:cs="Open Sans"/>
          <w:sz w:val="16"/>
          <w:szCs w:val="16"/>
        </w:rPr>
      </w:pPr>
      <w:r w:rsidRPr="005039EB">
        <w:rPr>
          <w:rStyle w:val="FootnoteReference"/>
          <w:rFonts w:ascii="Open Sans" w:hAnsi="Open Sans" w:cs="Open Sans"/>
          <w:sz w:val="16"/>
          <w:szCs w:val="16"/>
        </w:rPr>
        <w:footnoteRef/>
      </w:r>
      <w:r w:rsidRPr="005039EB">
        <w:rPr>
          <w:rFonts w:ascii="Open Sans" w:hAnsi="Open Sans" w:cs="Open Sans"/>
          <w:sz w:val="16"/>
          <w:szCs w:val="16"/>
        </w:rPr>
        <w:t xml:space="preserve"> AIMA, the Alternative Investment Management Association, is the global representative of the alternative investment industry, with more than 2,100 corporate members in over 60 countries. AIMA’s fund manager members collectively manage more than US$3 trillion in hedge fund and private credit assets. AIMA draws upon the expertise and diversity of its membership to provide leadership in industry initiatives such as advocacy, policy and regulatory engagement, educational programmes and sound practice guides. AIMA works to raise media and public awareness of the value of the industry. AIMA set up the Alternative Credit Council (ACC) to help firms focused</w:t>
      </w:r>
      <w:r>
        <w:rPr>
          <w:rFonts w:ascii="Open Sans" w:hAnsi="Open Sans" w:cs="Open Sans"/>
          <w:sz w:val="16"/>
          <w:szCs w:val="16"/>
        </w:rPr>
        <w:t xml:space="preserve"> </w:t>
      </w:r>
      <w:proofErr w:type="gramStart"/>
      <w:r>
        <w:rPr>
          <w:rFonts w:ascii="Open Sans" w:hAnsi="Open Sans" w:cs="Open Sans"/>
          <w:sz w:val="16"/>
          <w:szCs w:val="16"/>
        </w:rPr>
        <w:t>i</w:t>
      </w:r>
      <w:r w:rsidRPr="005039EB">
        <w:rPr>
          <w:rFonts w:ascii="Open Sans" w:hAnsi="Open Sans" w:cs="Open Sans"/>
          <w:sz w:val="16"/>
          <w:szCs w:val="16"/>
        </w:rPr>
        <w:t>n</w:t>
      </w:r>
      <w:proofErr w:type="gramEnd"/>
      <w:r w:rsidRPr="005039EB">
        <w:rPr>
          <w:rFonts w:ascii="Open Sans" w:hAnsi="Open Sans" w:cs="Open Sans"/>
          <w:sz w:val="16"/>
          <w:szCs w:val="16"/>
        </w:rPr>
        <w:t xml:space="preserve"> the private credit and direct lending space. </w:t>
      </w:r>
      <w:r w:rsidRPr="005039EB">
        <w:rPr>
          <w:rFonts w:ascii="Open Sans" w:eastAsia="Lucida Sans Unicode" w:hAnsi="Open Sans" w:cs="Open Sans"/>
          <w:sz w:val="16"/>
          <w:szCs w:val="16"/>
        </w:rPr>
        <w:t xml:space="preserve">The ACC currently represents over 250 members that manage over US$1 trillion of private credit assets globally. </w:t>
      </w:r>
      <w:r w:rsidRPr="005039EB">
        <w:rPr>
          <w:rFonts w:ascii="Open Sans" w:hAnsi="Open Sans" w:cs="Open Sans"/>
          <w:sz w:val="16"/>
          <w:szCs w:val="16"/>
        </w:rPr>
        <w:t xml:space="preserve"> AIMA is committed to developing skills and education standards and is a co-founder of the Chartered Alternative Investment Analyst designation (CAIA) – the first and only specialised educational stan</w:t>
      </w:r>
    </w:p>
    <w:p w14:paraId="20BC3012" w14:textId="77777777" w:rsidR="00A117AB" w:rsidRPr="001865C1" w:rsidRDefault="00A117AB" w:rsidP="00A117AB">
      <w:pPr>
        <w:spacing w:after="0"/>
        <w:rPr>
          <w:rFonts w:ascii="Open Sans" w:eastAsia="Lucida Sans Unicode" w:hAnsi="Open Sans" w:cs="Open Sans"/>
          <w:sz w:val="16"/>
          <w:szCs w:val="16"/>
        </w:rPr>
      </w:pPr>
      <w:proofErr w:type="spellStart"/>
      <w:r w:rsidRPr="005039EB">
        <w:rPr>
          <w:rFonts w:ascii="Open Sans" w:hAnsi="Open Sans" w:cs="Open Sans"/>
          <w:sz w:val="16"/>
          <w:szCs w:val="16"/>
        </w:rPr>
        <w:t>dard</w:t>
      </w:r>
      <w:proofErr w:type="spellEnd"/>
      <w:r w:rsidRPr="005039EB">
        <w:rPr>
          <w:rFonts w:ascii="Open Sans" w:hAnsi="Open Sans" w:cs="Open Sans"/>
          <w:sz w:val="16"/>
          <w:szCs w:val="16"/>
        </w:rPr>
        <w:t xml:space="preserve"> for alternative investment specialists</w:t>
      </w:r>
      <w:r w:rsidRPr="001865C1">
        <w:rPr>
          <w:rFonts w:ascii="Open Sans" w:hAnsi="Open Sans" w:cs="Open Sans"/>
          <w:sz w:val="16"/>
          <w:szCs w:val="16"/>
        </w:rPr>
        <w:t xml:space="preserve">. AIMA is governed by its Council (Board of Directors). For further information, please visit AIMA’s website, </w:t>
      </w:r>
      <w:hyperlink r:id="rId5" w:history="1">
        <w:r w:rsidRPr="001865C1">
          <w:rPr>
            <w:rStyle w:val="Hyperlink"/>
            <w:rFonts w:ascii="Open Sans" w:hAnsi="Open Sans" w:cs="Open Sans"/>
            <w:sz w:val="16"/>
            <w:szCs w:val="16"/>
          </w:rPr>
          <w:t>www.aima.org</w:t>
        </w:r>
      </w:hyperlink>
      <w:r w:rsidRPr="001865C1">
        <w:rPr>
          <w:rFonts w:ascii="Open Sans" w:hAnsi="Open Sans" w:cs="Open Sans"/>
          <w:sz w:val="16"/>
          <w:szCs w:val="16"/>
        </w:rPr>
        <w:t>.</w:t>
      </w:r>
    </w:p>
  </w:footnote>
  <w:footnote w:id="7">
    <w:p w14:paraId="6E8CDD5B" w14:textId="77777777" w:rsidR="00A117AB" w:rsidRPr="001865C1" w:rsidRDefault="00A117AB" w:rsidP="00A117AB">
      <w:pPr>
        <w:pStyle w:val="FootnoteText"/>
        <w:rPr>
          <w:rFonts w:ascii="Open Sans" w:hAnsi="Open Sans" w:cs="Open Sans"/>
          <w:szCs w:val="16"/>
        </w:rPr>
      </w:pPr>
      <w:r w:rsidRPr="001865C1">
        <w:rPr>
          <w:rStyle w:val="FootnoteReference"/>
          <w:rFonts w:ascii="Open Sans" w:hAnsi="Open Sans" w:cs="Open Sans"/>
          <w:szCs w:val="16"/>
        </w:rPr>
        <w:footnoteRef/>
      </w:r>
      <w:r w:rsidRPr="001865C1">
        <w:rPr>
          <w:rFonts w:ascii="Open Sans" w:hAnsi="Open Sans" w:cs="Open Sans"/>
          <w:szCs w:val="16"/>
        </w:rPr>
        <w:t xml:space="preserve"> Available at: </w:t>
      </w:r>
      <w:hyperlink r:id="rId6" w:history="1">
        <w:r w:rsidRPr="001865C1">
          <w:rPr>
            <w:rStyle w:val="Hyperlink"/>
            <w:rFonts w:ascii="Open Sans" w:hAnsi="Open Sans" w:cs="Open Sans"/>
            <w:szCs w:val="16"/>
          </w:rPr>
          <w:t>https://www.esma.europa.eu/document/mifir-review-consultation-package-non-equity-trade-transparency-reasonable-commercial</w:t>
        </w:r>
      </w:hyperlink>
      <w:r w:rsidRPr="001865C1">
        <w:rPr>
          <w:rFonts w:ascii="Open Sans" w:hAnsi="Open Sans" w:cs="Open Sans"/>
          <w:szCs w:val="16"/>
        </w:rPr>
        <w:t xml:space="preserve">. </w:t>
      </w:r>
    </w:p>
  </w:footnote>
  <w:footnote w:id="8">
    <w:p w14:paraId="2D14DC74" w14:textId="77777777" w:rsidR="00A117AB" w:rsidRPr="001865C1" w:rsidRDefault="00A117AB" w:rsidP="00A117AB">
      <w:pPr>
        <w:pStyle w:val="FootnoteText"/>
      </w:pPr>
      <w:r w:rsidRPr="001865C1">
        <w:rPr>
          <w:rStyle w:val="FootnoteReference"/>
          <w:rFonts w:ascii="Open Sans" w:hAnsi="Open Sans" w:cs="Open Sans"/>
          <w:szCs w:val="16"/>
        </w:rPr>
        <w:footnoteRef/>
      </w:r>
      <w:r w:rsidRPr="001865C1">
        <w:rPr>
          <w:rFonts w:ascii="Open Sans" w:hAnsi="Open Sans" w:cs="Open Sans"/>
          <w:szCs w:val="16"/>
        </w:rPr>
        <w:t xml:space="preserve"> Available at: </w:t>
      </w:r>
      <w:hyperlink r:id="rId7" w:history="1">
        <w:r w:rsidRPr="001865C1">
          <w:rPr>
            <w:rStyle w:val="Hyperlink"/>
            <w:rFonts w:ascii="Open Sans" w:hAnsi="Open Sans" w:cs="Open Sans"/>
            <w:szCs w:val="16"/>
          </w:rPr>
          <w:t>https://eur-lex.europa.eu/legal-content/EN/TXT/?uri=OJ:L_202400791</w:t>
        </w:r>
      </w:hyperlink>
      <w:r w:rsidRPr="001865C1">
        <w:rPr>
          <w:rFonts w:ascii="Open Sans" w:hAnsi="Open Sans" w:cs="Open Sans"/>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EE2A9B"/>
    <w:multiLevelType w:val="hybridMultilevel"/>
    <w:tmpl w:val="09AC5CE6"/>
    <w:lvl w:ilvl="0" w:tplc="3FAE89A6">
      <w:start w:val="201"/>
      <w:numFmt w:val="bullet"/>
      <w:lvlText w:val=""/>
      <w:lvlJc w:val="left"/>
      <w:pPr>
        <w:ind w:left="502" w:hanging="360"/>
      </w:pPr>
      <w:rPr>
        <w:rFonts w:ascii="Symbol" w:eastAsiaTheme="minorHAnsi" w:hAnsi="Symbol" w:cs="Open San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7C064D"/>
    <w:multiLevelType w:val="hybridMultilevel"/>
    <w:tmpl w:val="CC44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A3B179C"/>
    <w:multiLevelType w:val="hybridMultilevel"/>
    <w:tmpl w:val="A45ABD58"/>
    <w:lvl w:ilvl="0" w:tplc="9B3E42C4">
      <w:start w:val="10"/>
      <w:numFmt w:val="bullet"/>
      <w:lvlText w:val=""/>
      <w:lvlJc w:val="left"/>
      <w:pPr>
        <w:ind w:left="720" w:hanging="360"/>
      </w:pPr>
      <w:rPr>
        <w:rFonts w:ascii="Symbol" w:eastAsiaTheme="minorHAnsi"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9"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4"/>
  </w:num>
  <w:num w:numId="7" w16cid:durableId="1846357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30"/>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6"/>
  </w:num>
  <w:num w:numId="21" w16cid:durableId="538709007">
    <w:abstractNumId w:val="24"/>
  </w:num>
  <w:num w:numId="22" w16cid:durableId="104540172">
    <w:abstractNumId w:val="8"/>
  </w:num>
  <w:num w:numId="23" w16cid:durableId="1824349076">
    <w:abstractNumId w:val="29"/>
  </w:num>
  <w:num w:numId="24" w16cid:durableId="672032853">
    <w:abstractNumId w:val="28"/>
  </w:num>
  <w:num w:numId="25" w16cid:durableId="48917541">
    <w:abstractNumId w:val="19"/>
  </w:num>
  <w:num w:numId="26" w16cid:durableId="978925443">
    <w:abstractNumId w:val="32"/>
  </w:num>
  <w:num w:numId="27" w16cid:durableId="1036613928">
    <w:abstractNumId w:val="38"/>
  </w:num>
  <w:num w:numId="28" w16cid:durableId="872039349">
    <w:abstractNumId w:val="6"/>
  </w:num>
  <w:num w:numId="29" w16cid:durableId="924530660">
    <w:abstractNumId w:val="3"/>
  </w:num>
  <w:num w:numId="30" w16cid:durableId="419180233">
    <w:abstractNumId w:val="21"/>
  </w:num>
  <w:num w:numId="31" w16cid:durableId="276761337">
    <w:abstractNumId w:val="20"/>
  </w:num>
  <w:num w:numId="32" w16cid:durableId="1166238383">
    <w:abstractNumId w:val="35"/>
  </w:num>
  <w:num w:numId="33" w16cid:durableId="2076850202">
    <w:abstractNumId w:val="34"/>
  </w:num>
  <w:num w:numId="34" w16cid:durableId="469176496">
    <w:abstractNumId w:val="11"/>
  </w:num>
  <w:num w:numId="35" w16cid:durableId="674843309">
    <w:abstractNumId w:val="17"/>
  </w:num>
  <w:num w:numId="36" w16cid:durableId="1954971501">
    <w:abstractNumId w:val="39"/>
  </w:num>
  <w:num w:numId="37" w16cid:durableId="1669937376">
    <w:abstractNumId w:val="2"/>
  </w:num>
  <w:num w:numId="38" w16cid:durableId="187452186">
    <w:abstractNumId w:val="27"/>
  </w:num>
  <w:num w:numId="39" w16cid:durableId="1825006617">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6A9A"/>
    <w:rsid w:val="00027154"/>
    <w:rsid w:val="00027ECF"/>
    <w:rsid w:val="000303BE"/>
    <w:rsid w:val="00030C62"/>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44C8"/>
    <w:rsid w:val="00155331"/>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7A5"/>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1F7E35"/>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19E"/>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379"/>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559"/>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59A8"/>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3F66"/>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11ED"/>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6E17"/>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53F"/>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6BC7"/>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07CB"/>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7AB"/>
    <w:rsid w:val="00A11DDE"/>
    <w:rsid w:val="00A127A7"/>
    <w:rsid w:val="00A129F4"/>
    <w:rsid w:val="00A136F4"/>
    <w:rsid w:val="00A160D3"/>
    <w:rsid w:val="00A16DC9"/>
    <w:rsid w:val="00A20225"/>
    <w:rsid w:val="00A24269"/>
    <w:rsid w:val="00A243E4"/>
    <w:rsid w:val="00A25392"/>
    <w:rsid w:val="00A25ED4"/>
    <w:rsid w:val="00A263DF"/>
    <w:rsid w:val="00A26C5C"/>
    <w:rsid w:val="00A27826"/>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623D"/>
    <w:rsid w:val="00A81144"/>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5DE0"/>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098"/>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1681"/>
    <w:rsid w:val="00B41B9A"/>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840"/>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686A"/>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5DE8"/>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28"/>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19D"/>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079"/>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0268"/>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Dot pt,Bullet Points,List Paragraph Char Char Char,Indicator Text,Numbered Para 1,L"/>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Dot pt Char,Bullet Points Char,No Spacing1 Char,L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paragraph" w:customStyle="1" w:styleId="AIMAfootnote">
    <w:name w:val="AIMA footnote"/>
    <w:basedOn w:val="FootnoteText"/>
    <w:uiPriority w:val="1"/>
    <w:qFormat/>
    <w:rsid w:val="00F4219D"/>
    <w:pPr>
      <w:widowControl w:val="0"/>
      <w:spacing w:after="0" w:line="240" w:lineRule="auto"/>
      <w:ind w:left="142" w:hanging="142"/>
    </w:pPr>
    <w:rPr>
      <w:rFonts w:ascii="Open Sans" w:eastAsia="Lucida Sans Unicode" w:hAnsi="Open Sans" w:cs="Open Sans"/>
      <w:color w:val="auto"/>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OJ:L_202400791" TargetMode="External"/><Relationship Id="rId7" Type="http://schemas.openxmlformats.org/officeDocument/2006/relationships/hyperlink" Target="https://eur-lex.europa.eu/legal-content/EN/TXT/?uri=OJ:L_202400791" TargetMode="External"/><Relationship Id="rId2" Type="http://schemas.openxmlformats.org/officeDocument/2006/relationships/hyperlink" Target="https://www.esma.europa.eu/document/mifir-review-consultation-package-non-equity-trade-transparency-reasonable-commercial" TargetMode="External"/><Relationship Id="rId1" Type="http://schemas.openxmlformats.org/officeDocument/2006/relationships/hyperlink" Target="http://www.aima.org" TargetMode="External"/><Relationship Id="rId6" Type="http://schemas.openxmlformats.org/officeDocument/2006/relationships/hyperlink" Target="https://www.esma.europa.eu/document/mifir-review-consultation-package-non-equity-trade-transparency-reasonable-commercial" TargetMode="External"/><Relationship Id="rId5" Type="http://schemas.openxmlformats.org/officeDocument/2006/relationships/hyperlink" Target="http://www.aima.org" TargetMode="External"/><Relationship Id="rId4" Type="http://schemas.openxmlformats.org/officeDocument/2006/relationships/hyperlink" Target="http://www.fca.org.uk/publication/consultation/cp23-3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7763</Words>
  <Characters>44255</Characters>
  <Application>Microsoft Office Word</Application>
  <DocSecurity>8</DocSecurity>
  <Lines>368</Lines>
  <Paragraphs>103</Paragraphs>
  <ScaleCrop>false</ScaleCrop>
  <Company>ESMA</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Aniqah Rao</cp:lastModifiedBy>
  <cp:revision>26</cp:revision>
  <cp:lastPrinted>2015-02-18T11:01:00Z</cp:lastPrinted>
  <dcterms:created xsi:type="dcterms:W3CDTF">2024-08-28T14:41:00Z</dcterms:created>
  <dcterms:modified xsi:type="dcterms:W3CDTF">2024-08-28T14:49:00Z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