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ubtitle"/>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Paragraph"/>
        <w:numPr>
          <w:ilvl w:val="0"/>
          <w:numId w:val="35"/>
        </w:numPr>
        <w:contextualSpacing w:val="0"/>
      </w:pPr>
      <w:r w:rsidRPr="005B6B12">
        <w:t>respond to the question stated;</w:t>
      </w:r>
    </w:p>
    <w:p w14:paraId="73161343" w14:textId="77777777" w:rsidR="00E70E2E" w:rsidRPr="005B6B12" w:rsidRDefault="00E70E2E" w:rsidP="008F14FF">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Paragraph"/>
        <w:numPr>
          <w:ilvl w:val="0"/>
          <w:numId w:val="35"/>
        </w:numPr>
        <w:contextualSpacing w:val="0"/>
      </w:pPr>
      <w:r w:rsidRPr="005B6B12">
        <w:t>contain a clear rationale; and</w:t>
      </w:r>
    </w:p>
    <w:p w14:paraId="30D73002" w14:textId="77777777" w:rsidR="00E70E2E" w:rsidRPr="005B6B12" w:rsidRDefault="00E70E2E" w:rsidP="008F14FF">
      <w:pPr>
        <w:pStyle w:val="ListParagraph"/>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Paragraph"/>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1B40102C" w:rsidR="00C2682A" w:rsidRPr="00104E00" w:rsidRDefault="001848C6" w:rsidP="00104E00">
                <w:pPr>
                  <w:jc w:val="left"/>
                  <w:rPr>
                    <w:rStyle w:val="PlaceholderText"/>
                  </w:rPr>
                </w:pPr>
                <w:r>
                  <w:rPr>
                    <w:rStyle w:val="PlaceholderText"/>
                  </w:rPr>
                  <w:t>International Capital Market Association</w:t>
                </w:r>
                <w:r w:rsidR="00E513CD">
                  <w:rPr>
                    <w:rStyle w:val="PlaceholderText"/>
                  </w:rPr>
                  <w:t xml:space="preserve"> (ICMA)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351D062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6D33FC">
                  <w:t>Other Financial service providers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26DEB41C" w:rsidR="00C2682A" w:rsidRPr="00104E00" w:rsidRDefault="001848C6"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93C19D4" w:rsidR="00C2682A" w:rsidRPr="00104E00" w:rsidRDefault="006D33FC" w:rsidP="00104E00">
                <w:pPr>
                  <w:jc w:val="left"/>
                </w:pPr>
                <w:r>
                  <w:t>International</w:t>
                </w:r>
              </w:p>
            </w:tc>
          </w:sdtContent>
        </w:sdt>
      </w:tr>
      <w:permEnd w:id="1727412903"/>
    </w:tbl>
    <w:p w14:paraId="398E9C9E" w14:textId="10C9CC3D" w:rsidR="00C2682A" w:rsidRDefault="00C2682A" w:rsidP="00F716D4"/>
    <w:p w14:paraId="7F986E69" w14:textId="77777777" w:rsidR="00FA4100" w:rsidRDefault="00BB1973" w:rsidP="00054B2B">
      <w:pPr>
        <w:pStyle w:val="Heading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4AF39C4F" w14:textId="77777777" w:rsidR="00D475BA" w:rsidRDefault="00D475BA" w:rsidP="00C54034">
      <w:pPr>
        <w:spacing w:after="0"/>
        <w:rPr>
          <w:rFonts w:ascii="Aptos" w:hAnsi="Aptos"/>
        </w:rPr>
      </w:pPr>
      <w:permStart w:id="124340805" w:edGrp="everyone"/>
      <w:r w:rsidRPr="00A31984">
        <w:rPr>
          <w:rFonts w:ascii="Aptos" w:hAnsi="Aptos"/>
        </w:rPr>
        <w:t>ICMA agrees with the definition set out in the ESMA proposal.</w:t>
      </w:r>
    </w:p>
    <w:permEnd w:id="124340805"/>
    <w:p w14:paraId="059016CF" w14:textId="4EEF3C92"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47FBD191" w14:textId="77777777" w:rsidR="00D475BA" w:rsidRPr="00A31984" w:rsidRDefault="00D475BA" w:rsidP="00D475BA">
      <w:pPr>
        <w:rPr>
          <w:rFonts w:ascii="Aptos" w:hAnsi="Aptos"/>
          <w:b/>
        </w:rPr>
      </w:pPr>
      <w:permStart w:id="1947404220" w:edGrp="everyone"/>
      <w:r w:rsidRPr="00A31984">
        <w:rPr>
          <w:rFonts w:ascii="Aptos" w:hAnsi="Aptos"/>
        </w:rPr>
        <w:t>ICMA does not believe that other trading systems should be included in the definition.</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858FFAF" w14:textId="77777777" w:rsidR="00D475BA" w:rsidRPr="00A31984" w:rsidRDefault="00D475BA" w:rsidP="00D475BA">
      <w:pPr>
        <w:rPr>
          <w:rFonts w:ascii="Aptos" w:hAnsi="Aptos"/>
          <w:b/>
        </w:rPr>
      </w:pPr>
      <w:permStart w:id="2005885194" w:edGrp="everyone"/>
      <w:r w:rsidRPr="00A31984">
        <w:rPr>
          <w:rFonts w:ascii="Aptos" w:hAnsi="Aptos"/>
        </w:rPr>
        <w:t>ICMA agrees with the definition set out in the ESMA proposal is relevant for specifying the characteristics of these trading systems.</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lastRenderedPageBreak/>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t>&lt;ESMA_QUESTION</w:t>
      </w:r>
      <w:r w:rsidR="00F93646">
        <w:t>_</w:t>
      </w:r>
      <w:r w:rsidR="00DD54B5">
        <w:t>CP1</w:t>
      </w:r>
      <w:r w:rsidR="00F93646">
        <w:t>_</w:t>
      </w:r>
      <w:r>
        <w:t>4&gt;</w:t>
      </w:r>
    </w:p>
    <w:p w14:paraId="79EB5FEC" w14:textId="77777777" w:rsidR="00D475BA" w:rsidRPr="00A31984" w:rsidRDefault="00D475BA" w:rsidP="00D475BA">
      <w:pPr>
        <w:rPr>
          <w:rFonts w:ascii="Aptos" w:hAnsi="Aptos"/>
        </w:rPr>
      </w:pPr>
      <w:permStart w:id="1235513680" w:edGrp="everyone"/>
      <w:r w:rsidRPr="00A31984">
        <w:rPr>
          <w:rFonts w:ascii="Aptos" w:hAnsi="Aptos"/>
        </w:rPr>
        <w:t>ICMA would note that any system that is open to interpretation by multiple users is always likely to result in inconsistent or erroneous classifications, particularly where the classification is not necessarily obvious. Trading Venues are reliant on different reference data providers to provide the relevant CFI code. In certain cases, these will be different with respect to the same security. Furthermore, the current process for correcting incorrectly classified securities is onerous and lengthy, usually involving two NCAs in the case where the initial transaction is between two jurisdictions.   Accordingly, the only way to ensure consistency in bond classification, as well as to facilitate swift corrections of misclassified securities, is to have a central golden source. Ideally this would be ESMA.</w:t>
      </w:r>
    </w:p>
    <w:p w14:paraId="55CBE07C" w14:textId="31F14B07" w:rsidR="00D475BA" w:rsidRDefault="00D475BA" w:rsidP="00D475BA">
      <w:pPr>
        <w:rPr>
          <w:rFonts w:ascii="Aptos" w:hAnsi="Aptos"/>
        </w:rPr>
      </w:pPr>
      <w:r w:rsidRPr="00A31984">
        <w:rPr>
          <w:rFonts w:ascii="Aptos" w:hAnsi="Aptos"/>
        </w:rPr>
        <w:t>ICMA notes that there is precedence of ESMA providing Q&amp;A guidance on the correct classification of a list of public bond issuers.</w:t>
      </w:r>
    </w:p>
    <w:p w14:paraId="6240020A" w14:textId="48306F9B" w:rsidR="00D475BA" w:rsidRPr="00A31984" w:rsidRDefault="00D475BA" w:rsidP="00D475BA">
      <w:pPr>
        <w:rPr>
          <w:rFonts w:ascii="Aptos" w:hAnsi="Aptos"/>
        </w:rPr>
      </w:pPr>
      <w:r w:rsidRPr="00A31984">
        <w:rPr>
          <w:rFonts w:ascii="Aptos" w:hAnsi="Aptos"/>
        </w:rPr>
        <w:t>It should also be recognized that outside of the EU reporting framework, most market participants will not use the FIRDS/FITRS classifications and will instead rely on their own sources of reference data.</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1A1B482F" w14:textId="77777777" w:rsidR="003D721F" w:rsidRPr="00A31984" w:rsidRDefault="003D721F" w:rsidP="003D721F">
      <w:pPr>
        <w:rPr>
          <w:rFonts w:ascii="Aptos" w:hAnsi="Aptos"/>
        </w:rPr>
      </w:pPr>
      <w:permStart w:id="864513806" w:edGrp="everyone"/>
      <w:r w:rsidRPr="00A31984">
        <w:rPr>
          <w:rFonts w:ascii="Aptos" w:hAnsi="Aptos"/>
        </w:rPr>
        <w:t>ICMA believes that the pre-trade LIS thresholds for bonds should align with the real-time thresholds for post-trade transparency, which ICMA addresses in its answer to Q.12. Furthermore, ICMA proposes more granular groupings of bonds than those proposed here, with the rationale explained in its answer to Q.11. An additional consideration, also explained in the answers to Q.11 and Q.12 is that there is no single methodology for determining the appropriate size threshold.</w:t>
      </w:r>
    </w:p>
    <w:p w14:paraId="23ACEFC5" w14:textId="77777777" w:rsidR="003D721F" w:rsidRPr="00A31984" w:rsidRDefault="003D721F" w:rsidP="003D721F">
      <w:pPr>
        <w:rPr>
          <w:rFonts w:ascii="Aptos" w:hAnsi="Aptos"/>
        </w:rPr>
      </w:pPr>
      <w:r w:rsidRPr="00A31984">
        <w:rPr>
          <w:rFonts w:ascii="Aptos" w:hAnsi="Aptos"/>
        </w:rPr>
        <w:t>Accordingly, the suggested thresholds provided here should be viewed in parallel with those suggested for the post-trade calibration in the answer to Q.12, but also noting the recommendation that ESMA undertake its own analysis based on the outlined methodologies.</w:t>
      </w:r>
    </w:p>
    <w:p w14:paraId="3C7710FD" w14:textId="77777777" w:rsidR="003D721F" w:rsidRPr="00A31984" w:rsidRDefault="003D721F" w:rsidP="003D721F">
      <w:pPr>
        <w:rPr>
          <w:rFonts w:ascii="Aptos" w:hAnsi="Aptos"/>
        </w:rPr>
      </w:pPr>
    </w:p>
    <w:tbl>
      <w:tblPr>
        <w:tblStyle w:val="TableGrid"/>
        <w:tblW w:w="0" w:type="auto"/>
        <w:tblLook w:val="04A0" w:firstRow="1" w:lastRow="0" w:firstColumn="1" w:lastColumn="0" w:noHBand="0" w:noVBand="1"/>
      </w:tblPr>
      <w:tblGrid>
        <w:gridCol w:w="1063"/>
        <w:gridCol w:w="6042"/>
        <w:gridCol w:w="2245"/>
      </w:tblGrid>
      <w:tr w:rsidR="003D721F" w:rsidRPr="00F149A5" w14:paraId="27B51709" w14:textId="77777777" w:rsidTr="00B24BC8">
        <w:tc>
          <w:tcPr>
            <w:tcW w:w="1063" w:type="dxa"/>
            <w:shd w:val="clear" w:color="auto" w:fill="D9D9D9" w:themeFill="background1" w:themeFillShade="D9"/>
          </w:tcPr>
          <w:p w14:paraId="3ED38B22" w14:textId="77777777" w:rsidR="003D721F" w:rsidRPr="00A31984" w:rsidRDefault="003D721F" w:rsidP="00B24BC8">
            <w:pPr>
              <w:rPr>
                <w:rFonts w:ascii="Aptos" w:hAnsi="Aptos"/>
                <w:b/>
              </w:rPr>
            </w:pPr>
            <w:r w:rsidRPr="00A31984">
              <w:rPr>
                <w:rFonts w:ascii="Aptos" w:hAnsi="Aptos"/>
                <w:b/>
              </w:rPr>
              <w:lastRenderedPageBreak/>
              <w:t>Grouping</w:t>
            </w:r>
          </w:p>
        </w:tc>
        <w:tc>
          <w:tcPr>
            <w:tcW w:w="6042" w:type="dxa"/>
            <w:shd w:val="clear" w:color="auto" w:fill="D9D9D9" w:themeFill="background1" w:themeFillShade="D9"/>
          </w:tcPr>
          <w:p w14:paraId="548D6D4B" w14:textId="77777777" w:rsidR="003D721F" w:rsidRPr="00A31984" w:rsidRDefault="003D721F" w:rsidP="00B24BC8">
            <w:pPr>
              <w:rPr>
                <w:rFonts w:ascii="Aptos" w:hAnsi="Aptos"/>
                <w:b/>
              </w:rPr>
            </w:pPr>
            <w:r w:rsidRPr="00A31984">
              <w:rPr>
                <w:rFonts w:ascii="Aptos" w:hAnsi="Aptos"/>
                <w:b/>
              </w:rPr>
              <w:t>Bond type</w:t>
            </w:r>
          </w:p>
        </w:tc>
        <w:tc>
          <w:tcPr>
            <w:tcW w:w="2245" w:type="dxa"/>
            <w:shd w:val="clear" w:color="auto" w:fill="D9D9D9" w:themeFill="background1" w:themeFillShade="D9"/>
          </w:tcPr>
          <w:p w14:paraId="50A6BD32" w14:textId="77777777" w:rsidR="003D721F" w:rsidRPr="00A31984" w:rsidRDefault="003D721F" w:rsidP="00B24BC8">
            <w:pPr>
              <w:jc w:val="center"/>
              <w:rPr>
                <w:rFonts w:ascii="Aptos" w:hAnsi="Aptos"/>
                <w:b/>
              </w:rPr>
            </w:pPr>
            <w:r w:rsidRPr="00A31984">
              <w:rPr>
                <w:rFonts w:ascii="Aptos" w:hAnsi="Aptos"/>
                <w:b/>
              </w:rPr>
              <w:t>LIS</w:t>
            </w:r>
          </w:p>
        </w:tc>
      </w:tr>
      <w:tr w:rsidR="003D721F" w:rsidRPr="00F149A5" w14:paraId="33D8DE00" w14:textId="77777777" w:rsidTr="00B24BC8">
        <w:tc>
          <w:tcPr>
            <w:tcW w:w="1063" w:type="dxa"/>
          </w:tcPr>
          <w:p w14:paraId="69416F03" w14:textId="77777777" w:rsidR="003D721F" w:rsidRPr="00A31984" w:rsidRDefault="003D721F" w:rsidP="00B24BC8">
            <w:pPr>
              <w:rPr>
                <w:rFonts w:ascii="Aptos" w:hAnsi="Aptos"/>
              </w:rPr>
            </w:pPr>
            <w:r w:rsidRPr="00A31984">
              <w:rPr>
                <w:rFonts w:ascii="Aptos" w:hAnsi="Aptos"/>
              </w:rPr>
              <w:t>1 &amp; 2</w:t>
            </w:r>
          </w:p>
        </w:tc>
        <w:tc>
          <w:tcPr>
            <w:tcW w:w="6042" w:type="dxa"/>
          </w:tcPr>
          <w:p w14:paraId="0E4CAF84" w14:textId="77777777" w:rsidR="003D721F" w:rsidRPr="00A31984" w:rsidRDefault="003D721F" w:rsidP="00B24BC8">
            <w:pPr>
              <w:rPr>
                <w:rFonts w:ascii="Aptos" w:hAnsi="Aptos"/>
              </w:rPr>
            </w:pPr>
            <w:r w:rsidRPr="00A31984">
              <w:rPr>
                <w:rFonts w:ascii="Aptos" w:hAnsi="Aptos"/>
              </w:rPr>
              <w:t>Sovereign bonds</w:t>
            </w:r>
          </w:p>
        </w:tc>
        <w:tc>
          <w:tcPr>
            <w:tcW w:w="2245" w:type="dxa"/>
          </w:tcPr>
          <w:p w14:paraId="2EF6243C" w14:textId="77777777" w:rsidR="003D721F" w:rsidRPr="00A31984" w:rsidRDefault="003D721F" w:rsidP="00B24BC8">
            <w:pPr>
              <w:jc w:val="right"/>
              <w:rPr>
                <w:rFonts w:ascii="Aptos" w:hAnsi="Aptos"/>
              </w:rPr>
            </w:pPr>
            <w:r w:rsidRPr="00A31984">
              <w:rPr>
                <w:rFonts w:ascii="Aptos" w:hAnsi="Aptos"/>
              </w:rPr>
              <w:t>€5,000,000</w:t>
            </w:r>
          </w:p>
        </w:tc>
      </w:tr>
      <w:tr w:rsidR="003D721F" w:rsidRPr="00F149A5" w14:paraId="12C2269E" w14:textId="77777777" w:rsidTr="00B24BC8">
        <w:tc>
          <w:tcPr>
            <w:tcW w:w="1063" w:type="dxa"/>
          </w:tcPr>
          <w:p w14:paraId="21C9756D" w14:textId="77777777" w:rsidR="003D721F" w:rsidRPr="00A31984" w:rsidRDefault="003D721F" w:rsidP="00B24BC8">
            <w:pPr>
              <w:rPr>
                <w:rFonts w:ascii="Aptos" w:hAnsi="Aptos"/>
              </w:rPr>
            </w:pPr>
            <w:r w:rsidRPr="00A31984">
              <w:rPr>
                <w:rFonts w:ascii="Aptos" w:hAnsi="Aptos"/>
              </w:rPr>
              <w:t>3</w:t>
            </w:r>
          </w:p>
        </w:tc>
        <w:tc>
          <w:tcPr>
            <w:tcW w:w="6042" w:type="dxa"/>
          </w:tcPr>
          <w:p w14:paraId="48AA9EC1" w14:textId="77777777" w:rsidR="003D721F" w:rsidRPr="00A31984" w:rsidRDefault="003D721F" w:rsidP="00B24BC8">
            <w:pPr>
              <w:rPr>
                <w:rFonts w:ascii="Aptos" w:hAnsi="Aptos"/>
              </w:rPr>
            </w:pPr>
            <w:r w:rsidRPr="00A31984">
              <w:rPr>
                <w:rFonts w:ascii="Aptos" w:hAnsi="Aptos"/>
              </w:rPr>
              <w:t>Other public bonds</w:t>
            </w:r>
          </w:p>
        </w:tc>
        <w:tc>
          <w:tcPr>
            <w:tcW w:w="2245" w:type="dxa"/>
          </w:tcPr>
          <w:p w14:paraId="549928E1" w14:textId="77777777" w:rsidR="003D721F" w:rsidRPr="00A31984" w:rsidRDefault="003D721F" w:rsidP="00B24BC8">
            <w:pPr>
              <w:jc w:val="right"/>
              <w:rPr>
                <w:rFonts w:ascii="Aptos" w:hAnsi="Aptos"/>
              </w:rPr>
            </w:pPr>
            <w:r w:rsidRPr="00A31984">
              <w:rPr>
                <w:rFonts w:ascii="Aptos" w:hAnsi="Aptos"/>
              </w:rPr>
              <w:t>€1,000,000</w:t>
            </w:r>
          </w:p>
        </w:tc>
      </w:tr>
      <w:tr w:rsidR="003D721F" w:rsidRPr="00F149A5" w14:paraId="66E81EBB" w14:textId="77777777" w:rsidTr="00B24BC8">
        <w:tc>
          <w:tcPr>
            <w:tcW w:w="1063" w:type="dxa"/>
          </w:tcPr>
          <w:p w14:paraId="3D503DEF" w14:textId="77777777" w:rsidR="003D721F" w:rsidRPr="00A31984" w:rsidRDefault="003D721F" w:rsidP="00B24BC8">
            <w:pPr>
              <w:rPr>
                <w:rFonts w:ascii="Aptos" w:hAnsi="Aptos"/>
              </w:rPr>
            </w:pPr>
            <w:r w:rsidRPr="00A31984">
              <w:rPr>
                <w:rFonts w:ascii="Aptos" w:hAnsi="Aptos"/>
              </w:rPr>
              <w:t>4</w:t>
            </w:r>
          </w:p>
        </w:tc>
        <w:tc>
          <w:tcPr>
            <w:tcW w:w="6042" w:type="dxa"/>
          </w:tcPr>
          <w:p w14:paraId="4A64DF0D" w14:textId="77777777" w:rsidR="003D721F" w:rsidRPr="00A31984" w:rsidRDefault="003D721F" w:rsidP="00B24BC8">
            <w:pPr>
              <w:rPr>
                <w:rFonts w:ascii="Aptos" w:hAnsi="Aptos"/>
              </w:rPr>
            </w:pPr>
            <w:r w:rsidRPr="00A31984">
              <w:rPr>
                <w:rFonts w:ascii="Aptos" w:hAnsi="Aptos"/>
              </w:rPr>
              <w:t>Corporate, convertible, and other bonds – IG</w:t>
            </w:r>
          </w:p>
        </w:tc>
        <w:tc>
          <w:tcPr>
            <w:tcW w:w="2245" w:type="dxa"/>
          </w:tcPr>
          <w:p w14:paraId="1ACDDEC6" w14:textId="77777777" w:rsidR="003D721F" w:rsidRPr="00A31984" w:rsidRDefault="003D721F" w:rsidP="00B24BC8">
            <w:pPr>
              <w:jc w:val="right"/>
              <w:rPr>
                <w:rFonts w:ascii="Aptos" w:hAnsi="Aptos"/>
              </w:rPr>
            </w:pPr>
            <w:r w:rsidRPr="00A31984">
              <w:rPr>
                <w:rFonts w:ascii="Aptos" w:hAnsi="Aptos"/>
              </w:rPr>
              <w:t>€1,000,000</w:t>
            </w:r>
          </w:p>
        </w:tc>
      </w:tr>
      <w:tr w:rsidR="003D721F" w:rsidRPr="00F149A5" w14:paraId="5F4CCB32" w14:textId="77777777" w:rsidTr="00B24BC8">
        <w:tc>
          <w:tcPr>
            <w:tcW w:w="1063" w:type="dxa"/>
          </w:tcPr>
          <w:p w14:paraId="71EFCCBD" w14:textId="77777777" w:rsidR="003D721F" w:rsidRPr="00A31984" w:rsidRDefault="003D721F" w:rsidP="00B24BC8">
            <w:pPr>
              <w:rPr>
                <w:rFonts w:ascii="Aptos" w:hAnsi="Aptos"/>
              </w:rPr>
            </w:pPr>
            <w:r w:rsidRPr="00A31984">
              <w:rPr>
                <w:rFonts w:ascii="Aptos" w:hAnsi="Aptos"/>
              </w:rPr>
              <w:t>5</w:t>
            </w:r>
          </w:p>
        </w:tc>
        <w:tc>
          <w:tcPr>
            <w:tcW w:w="6042" w:type="dxa"/>
          </w:tcPr>
          <w:p w14:paraId="178E6294" w14:textId="77777777" w:rsidR="003D721F" w:rsidRPr="00A31984" w:rsidRDefault="003D721F" w:rsidP="00B24BC8">
            <w:pPr>
              <w:rPr>
                <w:rFonts w:ascii="Aptos" w:hAnsi="Aptos"/>
              </w:rPr>
            </w:pPr>
            <w:r w:rsidRPr="00A31984">
              <w:rPr>
                <w:rFonts w:ascii="Aptos" w:hAnsi="Aptos"/>
              </w:rPr>
              <w:t>Corporate, convertible, and other bonds – HY</w:t>
            </w:r>
          </w:p>
        </w:tc>
        <w:tc>
          <w:tcPr>
            <w:tcW w:w="2245" w:type="dxa"/>
          </w:tcPr>
          <w:p w14:paraId="4C687B3E" w14:textId="77777777" w:rsidR="003D721F" w:rsidRPr="00A31984" w:rsidRDefault="003D721F" w:rsidP="00B24BC8">
            <w:pPr>
              <w:jc w:val="right"/>
              <w:rPr>
                <w:rFonts w:ascii="Aptos" w:hAnsi="Aptos"/>
              </w:rPr>
            </w:pPr>
            <w:r w:rsidRPr="00A31984">
              <w:rPr>
                <w:rFonts w:ascii="Aptos" w:hAnsi="Aptos"/>
              </w:rPr>
              <w:t>€750,000</w:t>
            </w:r>
          </w:p>
        </w:tc>
      </w:tr>
      <w:tr w:rsidR="003D721F" w:rsidRPr="00F149A5" w14:paraId="56BB957A" w14:textId="77777777" w:rsidTr="00B24BC8">
        <w:tc>
          <w:tcPr>
            <w:tcW w:w="1063" w:type="dxa"/>
          </w:tcPr>
          <w:p w14:paraId="201C168E" w14:textId="77777777" w:rsidR="003D721F" w:rsidRPr="00A31984" w:rsidRDefault="003D721F" w:rsidP="00B24BC8">
            <w:pPr>
              <w:rPr>
                <w:rFonts w:ascii="Aptos" w:hAnsi="Aptos"/>
              </w:rPr>
            </w:pPr>
            <w:r w:rsidRPr="00A31984">
              <w:rPr>
                <w:rFonts w:ascii="Aptos" w:hAnsi="Aptos"/>
              </w:rPr>
              <w:t>6</w:t>
            </w:r>
          </w:p>
        </w:tc>
        <w:tc>
          <w:tcPr>
            <w:tcW w:w="6042" w:type="dxa"/>
          </w:tcPr>
          <w:p w14:paraId="709A13CF" w14:textId="77777777" w:rsidR="003D721F" w:rsidRPr="00A31984" w:rsidRDefault="003D721F" w:rsidP="00B24BC8">
            <w:pPr>
              <w:rPr>
                <w:rFonts w:ascii="Aptos" w:hAnsi="Aptos"/>
              </w:rPr>
            </w:pPr>
            <w:r w:rsidRPr="00A31984">
              <w:rPr>
                <w:rFonts w:ascii="Aptos" w:hAnsi="Aptos"/>
              </w:rPr>
              <w:t>Covered bonds</w:t>
            </w:r>
          </w:p>
        </w:tc>
        <w:tc>
          <w:tcPr>
            <w:tcW w:w="2245" w:type="dxa"/>
          </w:tcPr>
          <w:p w14:paraId="61F6DE50" w14:textId="77777777" w:rsidR="003D721F" w:rsidRPr="00A31984" w:rsidRDefault="003D721F" w:rsidP="00B24BC8">
            <w:pPr>
              <w:jc w:val="right"/>
              <w:rPr>
                <w:rFonts w:ascii="Aptos" w:hAnsi="Aptos"/>
              </w:rPr>
            </w:pPr>
            <w:r w:rsidRPr="00A31984">
              <w:rPr>
                <w:rFonts w:ascii="Aptos" w:hAnsi="Aptos"/>
              </w:rPr>
              <w:t>€1,000,000</w:t>
            </w:r>
          </w:p>
        </w:tc>
      </w:tr>
    </w:tbl>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0B7B4F6" w14:textId="77777777" w:rsidR="003D721F" w:rsidRDefault="003D721F" w:rsidP="003D721F">
      <w:pPr>
        <w:rPr>
          <w:rFonts w:ascii="Aptos" w:hAnsi="Aptos"/>
        </w:rPr>
      </w:pPr>
      <w:permStart w:id="1293775397" w:edGrp="everyone"/>
      <w:r>
        <w:rPr>
          <w:rFonts w:ascii="Aptos" w:hAnsi="Aptos"/>
        </w:rPr>
        <w:t>ICMA would refer ESMA to the answers to Q.14 and Q.15 for consistency with our post-trade proposal.</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0FCAABD9" w14:textId="77777777" w:rsidR="003D721F" w:rsidRPr="00A31984" w:rsidRDefault="003D721F" w:rsidP="003D721F">
      <w:pPr>
        <w:rPr>
          <w:rFonts w:ascii="Aptos" w:hAnsi="Aptos"/>
        </w:rPr>
      </w:pPr>
      <w:permStart w:id="1076438526" w:edGrp="everyone"/>
      <w:r w:rsidRPr="00A31984">
        <w:rPr>
          <w:rFonts w:ascii="Aptos" w:hAnsi="Aptos"/>
        </w:rPr>
        <w:t>ICMA agrees with the approach taken for the illiquid waiver for pre-trade transparency with respect to bonds</w:t>
      </w:r>
      <w:r>
        <w:rPr>
          <w:rFonts w:ascii="Aptos" w:hAnsi="Aptos"/>
        </w:rPr>
        <w:t xml:space="preserve"> and SFPs. ICMA would also refer ESMA to the answers to Q.11 and Q.14. </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2ED756CB" w14:textId="77777777" w:rsidR="003D721F" w:rsidRPr="00A31984" w:rsidRDefault="003D721F" w:rsidP="003D721F">
      <w:pPr>
        <w:rPr>
          <w:rFonts w:ascii="Aptos" w:hAnsi="Aptos"/>
          <w:b/>
        </w:rPr>
      </w:pPr>
      <w:permStart w:id="1516253385" w:edGrp="everyone"/>
      <w:r w:rsidRPr="00A31984">
        <w:rPr>
          <w:rFonts w:ascii="Aptos" w:hAnsi="Aptos"/>
        </w:rPr>
        <w:t>ICMA agrees with the introduction of “Flag” in Table 2 of Annex II (Field No 5 in Table 5).</w:t>
      </w:r>
    </w:p>
    <w:p w14:paraId="1629707B" w14:textId="77777777" w:rsidR="003D721F" w:rsidRPr="00A31984" w:rsidRDefault="003D721F" w:rsidP="003D721F">
      <w:pPr>
        <w:rPr>
          <w:rFonts w:ascii="Aptos" w:hAnsi="Aptos"/>
          <w:b/>
        </w:rPr>
      </w:pPr>
      <w:r w:rsidRPr="00A31984">
        <w:rPr>
          <w:rFonts w:ascii="Aptos" w:hAnsi="Aptos"/>
        </w:rPr>
        <w:lastRenderedPageBreak/>
        <w:t xml:space="preserve">While ICMA recognizes that the addition of the “Trading system” field (No 6 in Table 5) may create additional cost for Trading Venues, the additional information this provides should be beneficial to market participants. In particular it may be helpful in helping to identify which trading systems are optimal for certain asset classes, or individual securities, whether in general, at certain times, or under specific conditions. It is further noted that this is a Level 1 requirement, so largely a moot point. </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347AC9F4" w14:textId="77777777" w:rsidR="003D721F" w:rsidRPr="00F149A5" w:rsidRDefault="003D721F" w:rsidP="003D721F">
      <w:pPr>
        <w:rPr>
          <w:rFonts w:ascii="Aptos" w:hAnsi="Aptos"/>
        </w:rPr>
      </w:pPr>
      <w:permStart w:id="869493798" w:edGrp="everyone"/>
      <w:r w:rsidRPr="00F149A5">
        <w:rPr>
          <w:rFonts w:ascii="Aptos" w:hAnsi="Aptos"/>
        </w:rPr>
        <w:t>ICMA agrees not to change the concept of “as close to real-time as technically possible”.</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3D8CF1F7" w14:textId="77777777" w:rsidR="003D721F" w:rsidRPr="00F149A5" w:rsidRDefault="003D721F" w:rsidP="003D721F">
      <w:pPr>
        <w:rPr>
          <w:rFonts w:ascii="Aptos" w:hAnsi="Aptos"/>
        </w:rPr>
      </w:pPr>
      <w:permStart w:id="1673160559" w:edGrp="everyone"/>
      <w:r w:rsidRPr="00F149A5">
        <w:rPr>
          <w:rFonts w:ascii="Aptos" w:hAnsi="Aptos"/>
        </w:rPr>
        <w:t>ICMA agrees with the changes proposed for the purpose of reporting OTC transactions.</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0191EA78" w14:textId="77777777" w:rsidR="00013974" w:rsidRPr="00A31984" w:rsidRDefault="00013974" w:rsidP="00B24BC8">
      <w:pPr>
        <w:rPr>
          <w:rFonts w:ascii="Aptos" w:hAnsi="Aptos"/>
        </w:rPr>
      </w:pPr>
      <w:permStart w:id="1628839836" w:edGrp="everyone"/>
      <w:r w:rsidRPr="00A31984">
        <w:rPr>
          <w:rFonts w:ascii="Aptos" w:hAnsi="Aptos"/>
        </w:rPr>
        <w:t xml:space="preserve">While ICMA believes that the post-trade deferral matrix for bonds, established in the Revised MiFIR Level 1, is largely workable, extensive analysis and member discussion have led us to conclude that a number of modifications to the ESMA proposal are required. This is with the explicit goal of optimizing the post-trade deferral calibrations, which ICMA defines as maximizing the universe of transactions that are subject to real-time transparency without detrimental market impacts, while ensuring appropriate deferrals for the subset of trades that warrant a degree of protection.   </w:t>
      </w:r>
    </w:p>
    <w:p w14:paraId="55DCA54E" w14:textId="77777777" w:rsidR="00013974" w:rsidRPr="00A31984" w:rsidRDefault="00013974" w:rsidP="00B24BC8">
      <w:pPr>
        <w:rPr>
          <w:rFonts w:ascii="Aptos" w:hAnsi="Aptos"/>
        </w:rPr>
      </w:pPr>
      <w:r w:rsidRPr="00A31984">
        <w:rPr>
          <w:rFonts w:ascii="Aptos" w:hAnsi="Aptos"/>
        </w:rPr>
        <w:t>ICMA proposes the following modifications to the ESMA proposal, which it believes are consistent with the Level 1 requirements, and which better achieve the objective of optimizing the deferral calibrations:</w:t>
      </w:r>
    </w:p>
    <w:p w14:paraId="0CBE8585" w14:textId="77777777" w:rsidR="00013974" w:rsidRPr="00A31984" w:rsidRDefault="00013974" w:rsidP="00013974">
      <w:pPr>
        <w:pStyle w:val="ListParagraph"/>
        <w:numPr>
          <w:ilvl w:val="0"/>
          <w:numId w:val="51"/>
        </w:numPr>
        <w:spacing w:after="160" w:line="259" w:lineRule="auto"/>
        <w:jc w:val="left"/>
        <w:rPr>
          <w:rFonts w:ascii="Aptos" w:hAnsi="Aptos"/>
        </w:rPr>
      </w:pPr>
      <w:r w:rsidRPr="00A31984">
        <w:rPr>
          <w:rFonts w:ascii="Aptos" w:hAnsi="Aptos"/>
        </w:rPr>
        <w:lastRenderedPageBreak/>
        <w:t>More granular groupings.</w:t>
      </w:r>
    </w:p>
    <w:p w14:paraId="0414F8A4" w14:textId="77777777" w:rsidR="00013974" w:rsidRPr="00A31984" w:rsidRDefault="00013974" w:rsidP="00013974">
      <w:pPr>
        <w:pStyle w:val="ListParagraph"/>
        <w:numPr>
          <w:ilvl w:val="0"/>
          <w:numId w:val="51"/>
        </w:numPr>
        <w:spacing w:after="160" w:line="259" w:lineRule="auto"/>
        <w:jc w:val="left"/>
        <w:rPr>
          <w:rFonts w:ascii="Aptos" w:hAnsi="Aptos"/>
        </w:rPr>
      </w:pPr>
      <w:r w:rsidRPr="00A31984">
        <w:rPr>
          <w:rFonts w:ascii="Aptos" w:hAnsi="Aptos"/>
        </w:rPr>
        <w:t>A more data-driven approach to establishing the appropriate Liquidity determinant (based on outstanding issuance size).</w:t>
      </w:r>
    </w:p>
    <w:p w14:paraId="33935D55" w14:textId="77777777" w:rsidR="00013974" w:rsidRPr="00A31984" w:rsidRDefault="00013974" w:rsidP="00013974">
      <w:pPr>
        <w:pStyle w:val="ListParagraph"/>
        <w:numPr>
          <w:ilvl w:val="0"/>
          <w:numId w:val="51"/>
        </w:numPr>
        <w:spacing w:after="160" w:line="259" w:lineRule="auto"/>
        <w:jc w:val="left"/>
        <w:rPr>
          <w:rFonts w:ascii="Aptos" w:hAnsi="Aptos"/>
        </w:rPr>
      </w:pPr>
      <w:r w:rsidRPr="00A31984">
        <w:rPr>
          <w:rFonts w:ascii="Aptos" w:hAnsi="Aptos"/>
        </w:rPr>
        <w:t>A refinement to the proposed matrix, which essentially splits out real-time (“N/A” in the ESMA proposal) into</w:t>
      </w:r>
      <w:r w:rsidRPr="00A31984">
        <w:rPr>
          <w:rFonts w:ascii="Aptos" w:hAnsi="Aptos"/>
          <w:i/>
        </w:rPr>
        <w:t xml:space="preserve"> Liquid </w:t>
      </w:r>
      <w:r w:rsidRPr="00A31984">
        <w:rPr>
          <w:rFonts w:ascii="Aptos" w:hAnsi="Aptos"/>
        </w:rPr>
        <w:t xml:space="preserve">and </w:t>
      </w:r>
      <w:r w:rsidRPr="00A31984">
        <w:rPr>
          <w:rFonts w:ascii="Aptos" w:hAnsi="Aptos"/>
          <w:i/>
        </w:rPr>
        <w:t>Illiquid</w:t>
      </w:r>
      <w:r w:rsidRPr="00A31984">
        <w:rPr>
          <w:rFonts w:ascii="Aptos" w:hAnsi="Aptos"/>
        </w:rPr>
        <w:t xml:space="preserve"> as well as the </w:t>
      </w:r>
      <w:r w:rsidRPr="00A31984">
        <w:rPr>
          <w:rFonts w:ascii="Aptos" w:hAnsi="Aptos"/>
          <w:i/>
        </w:rPr>
        <w:t>Very Large</w:t>
      </w:r>
      <w:r w:rsidRPr="00A31984">
        <w:rPr>
          <w:rFonts w:ascii="Aptos" w:hAnsi="Aptos"/>
        </w:rPr>
        <w:t xml:space="preserve"> category also into </w:t>
      </w:r>
      <w:r w:rsidRPr="00A31984">
        <w:rPr>
          <w:rFonts w:ascii="Aptos" w:hAnsi="Aptos"/>
          <w:i/>
        </w:rPr>
        <w:t>Liquid</w:t>
      </w:r>
      <w:r w:rsidRPr="00A31984">
        <w:rPr>
          <w:rFonts w:ascii="Aptos" w:hAnsi="Aptos"/>
        </w:rPr>
        <w:t xml:space="preserve"> and </w:t>
      </w:r>
      <w:r w:rsidRPr="00A31984">
        <w:rPr>
          <w:rFonts w:ascii="Aptos" w:hAnsi="Aptos"/>
          <w:i/>
        </w:rPr>
        <w:t>Illiquid</w:t>
      </w:r>
      <w:r w:rsidRPr="00A31984">
        <w:rPr>
          <w:rFonts w:ascii="Aptos" w:hAnsi="Aptos"/>
        </w:rPr>
        <w:t xml:space="preserve"> sub-categories. This is discussed further in the answer to Q.12.</w:t>
      </w:r>
    </w:p>
    <w:p w14:paraId="377050BC" w14:textId="77777777" w:rsidR="00013974" w:rsidRPr="00A31984" w:rsidRDefault="00013974" w:rsidP="00013974">
      <w:pPr>
        <w:pStyle w:val="ListParagraph"/>
        <w:numPr>
          <w:ilvl w:val="0"/>
          <w:numId w:val="51"/>
        </w:numPr>
        <w:spacing w:after="160" w:line="259" w:lineRule="auto"/>
        <w:jc w:val="left"/>
        <w:rPr>
          <w:rFonts w:ascii="Aptos" w:hAnsi="Aptos"/>
        </w:rPr>
      </w:pPr>
      <w:r w:rsidRPr="00A31984">
        <w:rPr>
          <w:rFonts w:ascii="Aptos" w:hAnsi="Aptos"/>
        </w:rPr>
        <w:t>A more data-driven approach to establishing the appropriate trade size thresholds for the relevant deferral categories. This is also discussed further in the answer to Q.12.</w:t>
      </w:r>
    </w:p>
    <w:p w14:paraId="6AD60161" w14:textId="77777777" w:rsidR="00013974" w:rsidRPr="00A31984" w:rsidRDefault="00013974" w:rsidP="00B24BC8">
      <w:pPr>
        <w:rPr>
          <w:rFonts w:ascii="Aptos" w:hAnsi="Aptos"/>
          <w:i/>
        </w:rPr>
      </w:pPr>
    </w:p>
    <w:p w14:paraId="2EFFD236" w14:textId="77777777" w:rsidR="00013974" w:rsidRPr="00A31984" w:rsidRDefault="00013974" w:rsidP="00B24BC8">
      <w:pPr>
        <w:rPr>
          <w:rFonts w:ascii="Aptos" w:hAnsi="Aptos"/>
          <w:u w:val="single"/>
        </w:rPr>
      </w:pPr>
      <w:r w:rsidRPr="00A31984">
        <w:rPr>
          <w:rFonts w:ascii="Aptos" w:hAnsi="Aptos"/>
          <w:u w:val="single"/>
        </w:rPr>
        <w:t xml:space="preserve">The application of Average Daily Volumes </w:t>
      </w:r>
    </w:p>
    <w:p w14:paraId="273031B8" w14:textId="77777777" w:rsidR="00013974" w:rsidRPr="00A31984" w:rsidRDefault="00013974" w:rsidP="00B24BC8">
      <w:pPr>
        <w:rPr>
          <w:rFonts w:ascii="Aptos" w:hAnsi="Aptos"/>
        </w:rPr>
      </w:pPr>
      <w:r w:rsidRPr="00A31984">
        <w:rPr>
          <w:rFonts w:ascii="Aptos" w:hAnsi="Aptos"/>
        </w:rPr>
        <w:t>In identifying helpful modifications to the ESMA proposal as well as suggesting an alternative, more accurate approach to determining the appropriate thresholds (both for liquidity determination and deferral category calibrations), ICMA uses the historical average daily volumes (ADV) of notional amounts traded for various classes and sub-classes of bonds. This is based on a historical data set of MiFIR EU reported trades for all of 2023. Further details of how the data set is sourced and treated are provided in Annex I of this response.</w:t>
      </w:r>
    </w:p>
    <w:p w14:paraId="7EF019FC" w14:textId="77777777" w:rsidR="00013974" w:rsidRPr="00A31984" w:rsidRDefault="00013974" w:rsidP="00B24BC8">
      <w:pPr>
        <w:rPr>
          <w:rFonts w:ascii="Aptos" w:hAnsi="Aptos"/>
        </w:rPr>
      </w:pPr>
      <w:r w:rsidRPr="00A31984">
        <w:rPr>
          <w:rFonts w:ascii="Aptos" w:hAnsi="Aptos"/>
        </w:rPr>
        <w:t>ICMA uses ADV as a measure of liquidity, allowing for liquidity profiling of different classes and sub-classes of bonds, including estimating market depth, from which one can infer the potential time required to trade out of a risk position for a given size and bond. (This last point is discussed in more detail in the answer to Q.12.)</w:t>
      </w:r>
    </w:p>
    <w:p w14:paraId="18908634" w14:textId="77777777" w:rsidR="004E675A" w:rsidRPr="00A31984" w:rsidRDefault="00013974" w:rsidP="00B24BC8">
      <w:pPr>
        <w:rPr>
          <w:rFonts w:ascii="Aptos" w:hAnsi="Aptos"/>
        </w:rPr>
      </w:pPr>
      <w:r w:rsidRPr="00A31984">
        <w:rPr>
          <w:rFonts w:ascii="Aptos" w:hAnsi="Aptos"/>
        </w:rPr>
        <w:t>It is important to consider that there are essentially two main approaches for calculating ADV. One is an aggregate approach, which is calculated by summing the total notional value traded across all securities on a given day and then dividing this sum by the number of unique securities (ISINs) traded on that day. The other is an individual ISIN approach which involves calculating the ADV for each security individually, dividing this by the number of trading days for the data time series, and</w:t>
      </w:r>
      <w:r w:rsidR="004E675A">
        <w:rPr>
          <w:rFonts w:ascii="Aptos" w:hAnsi="Aptos"/>
        </w:rPr>
        <w:t xml:space="preserve"> </w:t>
      </w:r>
      <w:r w:rsidR="004E675A" w:rsidRPr="00A31984">
        <w:rPr>
          <w:rFonts w:ascii="Aptos" w:hAnsi="Aptos"/>
        </w:rPr>
        <w:t xml:space="preserve">then averaging these individual values. More details of both methodologies are provided in the Annex IV of this response, while, for completeness, calculations using the individual ISIN approach are provided in Annex III. Neither approach is necessarily right nor wrong, however it is important to note that the latter (individual ISIN) methodology will tend to produce lower ADV measures than the aggregate approach, largely due to the fact it factors in the infrequency with which certain ISINs trade. </w:t>
      </w:r>
    </w:p>
    <w:p w14:paraId="7B792698" w14:textId="77777777" w:rsidR="004E675A" w:rsidRPr="00E362BD" w:rsidRDefault="004E675A" w:rsidP="00B24BC8">
      <w:r w:rsidRPr="00A31984">
        <w:rPr>
          <w:rFonts w:ascii="Aptos" w:hAnsi="Aptos"/>
        </w:rPr>
        <w:t xml:space="preserve">ICMA has taken the former (averaging) approach in providing feedback to this response due to its relative simplicity, but it is important to bear this in mind, particularly when estimating the time to trade out of a risk position, which is highlighted in the answer to Q.12. </w:t>
      </w:r>
      <w:r>
        <w:t>H</w:t>
      </w:r>
      <w:r w:rsidRPr="00E362BD">
        <w:t xml:space="preserve">owever, the averaging approach is perfectly adequate for determining appropriate groupings and in establishing liquidity thresholds. </w:t>
      </w:r>
    </w:p>
    <w:p w14:paraId="71CA9947" w14:textId="77777777" w:rsidR="004E675A" w:rsidRPr="00A31984" w:rsidRDefault="004E675A" w:rsidP="00B24BC8">
      <w:pPr>
        <w:rPr>
          <w:rFonts w:ascii="Aptos" w:hAnsi="Aptos"/>
        </w:rPr>
      </w:pPr>
      <w:r w:rsidRPr="00A31984">
        <w:rPr>
          <w:rFonts w:ascii="Aptos" w:hAnsi="Aptos"/>
        </w:rPr>
        <w:lastRenderedPageBreak/>
        <w:t xml:space="preserve">Note that when calculating the adv, </w:t>
      </w:r>
      <w:r>
        <w:rPr>
          <w:rFonts w:ascii="Aptos" w:hAnsi="Aptos"/>
        </w:rPr>
        <w:t xml:space="preserve">ICMA </w:t>
      </w:r>
      <w:r w:rsidRPr="00B46962">
        <w:rPr>
          <w:rFonts w:ascii="Aptos" w:hAnsi="Aptos"/>
        </w:rPr>
        <w:t>use</w:t>
      </w:r>
      <w:r>
        <w:rPr>
          <w:rFonts w:ascii="Aptos" w:hAnsi="Aptos"/>
        </w:rPr>
        <w:t>s</w:t>
      </w:r>
      <w:r w:rsidRPr="00A31984">
        <w:rPr>
          <w:rFonts w:ascii="Aptos" w:hAnsi="Aptos"/>
        </w:rPr>
        <w:t xml:space="preserve"> a 5-day moving average (</w:t>
      </w:r>
      <w:proofErr w:type="gramStart"/>
      <w:r>
        <w:rPr>
          <w:rFonts w:ascii="Aptos" w:hAnsi="Aptos"/>
        </w:rPr>
        <w:t>ADV</w:t>
      </w:r>
      <w:r w:rsidRPr="00A31984">
        <w:rPr>
          <w:rFonts w:ascii="Aptos" w:hAnsi="Aptos"/>
        </w:rPr>
        <w:t>(</w:t>
      </w:r>
      <w:proofErr w:type="gramEnd"/>
      <w:r w:rsidRPr="00A31984">
        <w:rPr>
          <w:rFonts w:ascii="Aptos" w:hAnsi="Aptos"/>
        </w:rPr>
        <w:t xml:space="preserve">5)) to help smooth out any short-term volatility in the daily calculations. </w:t>
      </w:r>
    </w:p>
    <w:p w14:paraId="04672B5D" w14:textId="77777777" w:rsidR="004E675A" w:rsidRPr="00A31984" w:rsidRDefault="004E675A" w:rsidP="00B24BC8">
      <w:pPr>
        <w:rPr>
          <w:rFonts w:ascii="Aptos" w:hAnsi="Aptos"/>
        </w:rPr>
      </w:pPr>
    </w:p>
    <w:p w14:paraId="04F737ED" w14:textId="77777777" w:rsidR="004E675A" w:rsidRPr="00A31984" w:rsidRDefault="004E675A" w:rsidP="00B24BC8">
      <w:pPr>
        <w:rPr>
          <w:rFonts w:ascii="Aptos" w:hAnsi="Aptos"/>
          <w:u w:val="single"/>
        </w:rPr>
      </w:pPr>
      <w:r w:rsidRPr="00A31984">
        <w:rPr>
          <w:rFonts w:ascii="Aptos" w:hAnsi="Aptos"/>
          <w:u w:val="single"/>
        </w:rPr>
        <w:t>Groupings</w:t>
      </w:r>
    </w:p>
    <w:p w14:paraId="1B2927DC" w14:textId="77777777" w:rsidR="004E675A" w:rsidRPr="00A31984" w:rsidRDefault="004E675A" w:rsidP="00B24BC8">
      <w:pPr>
        <w:rPr>
          <w:rFonts w:ascii="Aptos" w:hAnsi="Aptos"/>
        </w:rPr>
      </w:pPr>
      <w:r>
        <w:rPr>
          <w:rFonts w:ascii="Aptos" w:hAnsi="Aptos"/>
        </w:rPr>
        <w:t>W</w:t>
      </w:r>
      <w:r w:rsidRPr="00A31984">
        <w:rPr>
          <w:rFonts w:ascii="Aptos" w:hAnsi="Aptos"/>
        </w:rPr>
        <w:t xml:space="preserve">hen establishing groupings of bond classes and sub-classes for the application of a deferral regime, it is imperative that the bonds within each grouping have relatively similar liquidity profiles. </w:t>
      </w:r>
      <w:r>
        <w:rPr>
          <w:rFonts w:ascii="Aptos" w:hAnsi="Aptos"/>
        </w:rPr>
        <w:t>T</w:t>
      </w:r>
      <w:r w:rsidRPr="00A31984">
        <w:rPr>
          <w:rFonts w:ascii="Aptos" w:hAnsi="Aptos"/>
        </w:rPr>
        <w:t xml:space="preserve">his is because these bonds will be subject to the same liquidity determinant and the same trade size thresholds. groupings with diversely heterogenous bonds will weaken the deferral framework and lead to adverse outcomes. </w:t>
      </w:r>
    </w:p>
    <w:p w14:paraId="14EAF592" w14:textId="77777777" w:rsidR="004E675A" w:rsidRPr="00A31984" w:rsidRDefault="004E675A" w:rsidP="00B24BC8">
      <w:pPr>
        <w:rPr>
          <w:rFonts w:ascii="Aptos" w:hAnsi="Aptos"/>
        </w:rPr>
      </w:pPr>
      <w:r>
        <w:rPr>
          <w:rFonts w:ascii="Aptos" w:hAnsi="Aptos"/>
        </w:rPr>
        <w:t xml:space="preserve">ICMA </w:t>
      </w:r>
      <w:r w:rsidRPr="00A31984">
        <w:rPr>
          <w:rFonts w:ascii="Aptos" w:hAnsi="Aptos"/>
        </w:rPr>
        <w:t xml:space="preserve">has used </w:t>
      </w:r>
      <w:r>
        <w:rPr>
          <w:rFonts w:ascii="Aptos" w:hAnsi="Aptos"/>
        </w:rPr>
        <w:t>ADV</w:t>
      </w:r>
      <w:r w:rsidRPr="00A31984">
        <w:rPr>
          <w:rFonts w:ascii="Aptos" w:hAnsi="Aptos"/>
        </w:rPr>
        <w:t xml:space="preserve"> analysis of various classes and sub-classes to identify where more granular groupings than those in the </w:t>
      </w:r>
      <w:r>
        <w:rPr>
          <w:rFonts w:ascii="Aptos" w:hAnsi="Aptos"/>
        </w:rPr>
        <w:t>ESMA</w:t>
      </w:r>
      <w:r w:rsidRPr="00A31984">
        <w:rPr>
          <w:rFonts w:ascii="Aptos" w:hAnsi="Aptos"/>
        </w:rPr>
        <w:t xml:space="preserve"> proposal are warranted, while balancing this with the need to ensure that the framework is not overly complex.</w:t>
      </w:r>
      <w:r>
        <w:rPr>
          <w:rFonts w:ascii="Aptos" w:hAnsi="Aptos"/>
        </w:rPr>
        <w:t xml:space="preserve"> ICMA</w:t>
      </w:r>
      <w:r w:rsidRPr="00A31984">
        <w:rPr>
          <w:rFonts w:ascii="Aptos" w:hAnsi="Aptos"/>
        </w:rPr>
        <w:t xml:space="preserve"> further recognizes that it is important to be able to categorize groupings relatively easily, transparently, and consistently. </w:t>
      </w:r>
    </w:p>
    <w:p w14:paraId="14DBA2EE" w14:textId="77777777" w:rsidR="004E675A" w:rsidRPr="00A31984" w:rsidRDefault="004E675A" w:rsidP="00B24BC8">
      <w:pPr>
        <w:rPr>
          <w:rFonts w:ascii="Aptos" w:hAnsi="Aptos"/>
          <w:i/>
        </w:rPr>
      </w:pPr>
    </w:p>
    <w:p w14:paraId="4906437A" w14:textId="77777777" w:rsidR="004E675A" w:rsidRPr="00A31984" w:rsidRDefault="004E675A" w:rsidP="00B24BC8">
      <w:pPr>
        <w:rPr>
          <w:rFonts w:ascii="Aptos" w:hAnsi="Aptos"/>
          <w:i/>
        </w:rPr>
      </w:pPr>
      <w:r>
        <w:rPr>
          <w:rFonts w:ascii="Aptos" w:hAnsi="Aptos"/>
          <w:i/>
        </w:rPr>
        <w:t>S</w:t>
      </w:r>
      <w:r w:rsidRPr="00A31984">
        <w:rPr>
          <w:rFonts w:ascii="Aptos" w:hAnsi="Aptos"/>
          <w:i/>
        </w:rPr>
        <w:t>overeign and other public bonds</w:t>
      </w:r>
    </w:p>
    <w:p w14:paraId="33731698" w14:textId="77777777" w:rsidR="004E675A" w:rsidRPr="00A31984" w:rsidRDefault="004E675A" w:rsidP="004E675A">
      <w:pPr>
        <w:rPr>
          <w:rFonts w:ascii="Aptos" w:hAnsi="Aptos"/>
        </w:rPr>
      </w:pPr>
      <w:r>
        <w:rPr>
          <w:rFonts w:ascii="Aptos" w:hAnsi="Aptos"/>
        </w:rPr>
        <w:t>O</w:t>
      </w:r>
      <w:r w:rsidRPr="00A31984">
        <w:rPr>
          <w:rFonts w:ascii="Aptos" w:hAnsi="Aptos"/>
        </w:rPr>
        <w:t xml:space="preserve">ne of the most striking observations from the data is the difference between the vanilla (fixed coupon) government bonds of the largest sovereign issuers and other sovereign and public bonds. </w:t>
      </w:r>
      <w:r>
        <w:rPr>
          <w:rFonts w:ascii="Aptos" w:hAnsi="Aptos"/>
        </w:rPr>
        <w:t>I</w:t>
      </w:r>
      <w:r w:rsidRPr="00A31984">
        <w:rPr>
          <w:rFonts w:ascii="Aptos" w:hAnsi="Aptos"/>
        </w:rPr>
        <w:t xml:space="preserve">n our analysis we focus on the government bonds of the sovereign issuers that individually account for more than 4% of total notional value of sovereign debt traded in the </w:t>
      </w:r>
      <w:r>
        <w:rPr>
          <w:rFonts w:ascii="Aptos" w:hAnsi="Aptos"/>
        </w:rPr>
        <w:t>EU</w:t>
      </w:r>
      <w:r w:rsidRPr="00A31984">
        <w:rPr>
          <w:rFonts w:ascii="Aptos" w:hAnsi="Aptos"/>
        </w:rPr>
        <w:t xml:space="preserve"> for the sample data set (in this case all of 2023). </w:t>
      </w:r>
      <w:r>
        <w:rPr>
          <w:rFonts w:ascii="Aptos" w:hAnsi="Aptos"/>
        </w:rPr>
        <w:t>T</w:t>
      </w:r>
      <w:r w:rsidRPr="00A31984">
        <w:rPr>
          <w:rFonts w:ascii="Aptos" w:hAnsi="Aptos"/>
        </w:rPr>
        <w:t xml:space="preserve">hese are the government bonds issued by </w:t>
      </w:r>
      <w:r>
        <w:rPr>
          <w:rFonts w:ascii="Aptos" w:hAnsi="Aptos"/>
        </w:rPr>
        <w:t>F</w:t>
      </w:r>
      <w:r w:rsidRPr="00A31984">
        <w:rPr>
          <w:rFonts w:ascii="Aptos" w:hAnsi="Aptos"/>
        </w:rPr>
        <w:t xml:space="preserve">rance, </w:t>
      </w:r>
      <w:r>
        <w:rPr>
          <w:rFonts w:ascii="Aptos" w:hAnsi="Aptos"/>
        </w:rPr>
        <w:t>G</w:t>
      </w:r>
      <w:r w:rsidRPr="00A31984">
        <w:rPr>
          <w:rFonts w:ascii="Aptos" w:hAnsi="Aptos"/>
        </w:rPr>
        <w:t xml:space="preserve">ermany, </w:t>
      </w:r>
      <w:r>
        <w:rPr>
          <w:rFonts w:ascii="Aptos" w:hAnsi="Aptos"/>
        </w:rPr>
        <w:t>I</w:t>
      </w:r>
      <w:r w:rsidRPr="00A31984">
        <w:rPr>
          <w:rFonts w:ascii="Aptos" w:hAnsi="Aptos"/>
        </w:rPr>
        <w:t xml:space="preserve">taly, </w:t>
      </w:r>
      <w:r>
        <w:rPr>
          <w:rFonts w:ascii="Aptos" w:hAnsi="Aptos"/>
        </w:rPr>
        <w:t>S</w:t>
      </w:r>
      <w:r w:rsidRPr="00A31984">
        <w:rPr>
          <w:rFonts w:ascii="Aptos" w:hAnsi="Aptos"/>
        </w:rPr>
        <w:t xml:space="preserve">pain, the </w:t>
      </w:r>
      <w:r>
        <w:rPr>
          <w:rFonts w:ascii="Aptos" w:hAnsi="Aptos"/>
        </w:rPr>
        <w:t>UK</w:t>
      </w:r>
      <w:r w:rsidRPr="00A31984">
        <w:rPr>
          <w:rFonts w:ascii="Aptos" w:hAnsi="Aptos"/>
        </w:rPr>
        <w:t xml:space="preserve">, and the </w:t>
      </w:r>
      <w:r>
        <w:rPr>
          <w:rFonts w:ascii="Aptos" w:hAnsi="Aptos"/>
        </w:rPr>
        <w:t>US</w:t>
      </w:r>
      <w:r w:rsidRPr="00A31984">
        <w:rPr>
          <w:rFonts w:ascii="Aptos" w:hAnsi="Aptos"/>
        </w:rPr>
        <w:t xml:space="preserve">. </w:t>
      </w:r>
      <w:r>
        <w:rPr>
          <w:rFonts w:ascii="Aptos" w:hAnsi="Aptos"/>
        </w:rPr>
        <w:t>W</w:t>
      </w:r>
      <w:r w:rsidRPr="00A31984">
        <w:rPr>
          <w:rFonts w:ascii="Aptos" w:hAnsi="Aptos"/>
        </w:rPr>
        <w:t>e will refer to these as group “</w:t>
      </w:r>
      <w:r>
        <w:rPr>
          <w:rFonts w:ascii="Aptos" w:hAnsi="Aptos"/>
        </w:rPr>
        <w:t>SB</w:t>
      </w:r>
      <w:r w:rsidRPr="00A31984">
        <w:rPr>
          <w:rFonts w:ascii="Aptos" w:hAnsi="Aptos"/>
        </w:rPr>
        <w:t xml:space="preserve">1”. </w:t>
      </w:r>
      <w:r>
        <w:rPr>
          <w:rFonts w:ascii="Aptos" w:hAnsi="Aptos"/>
        </w:rPr>
        <w:t>T</w:t>
      </w:r>
      <w:r w:rsidRPr="00A31984">
        <w:rPr>
          <w:rFonts w:ascii="Aptos" w:hAnsi="Aptos"/>
        </w:rPr>
        <w:t xml:space="preserve">here are a number of factors that make </w:t>
      </w:r>
      <w:r>
        <w:rPr>
          <w:rFonts w:ascii="Aptos" w:hAnsi="Aptos"/>
        </w:rPr>
        <w:t>SB</w:t>
      </w:r>
      <w:r w:rsidRPr="00A31984">
        <w:rPr>
          <w:rFonts w:ascii="Aptos" w:hAnsi="Aptos"/>
        </w:rPr>
        <w:t xml:space="preserve">1 bonds distinct from all other sovereign bonds. </w:t>
      </w:r>
      <w:r>
        <w:rPr>
          <w:rFonts w:ascii="Aptos" w:hAnsi="Aptos"/>
        </w:rPr>
        <w:t>F</w:t>
      </w:r>
      <w:r w:rsidRPr="00A31984">
        <w:rPr>
          <w:rFonts w:ascii="Aptos" w:hAnsi="Aptos"/>
        </w:rPr>
        <w:t xml:space="preserve">irstly, </w:t>
      </w:r>
      <w:r>
        <w:rPr>
          <w:rFonts w:ascii="Aptos" w:hAnsi="Aptos"/>
        </w:rPr>
        <w:t>SB</w:t>
      </w:r>
      <w:r w:rsidRPr="00A31984">
        <w:rPr>
          <w:rFonts w:ascii="Aptos" w:hAnsi="Aptos"/>
        </w:rPr>
        <w:t>1 bonds account for 90%</w:t>
      </w:r>
      <w:r w:rsidRPr="00A31984">
        <w:rPr>
          <w:rStyle w:val="FootnoteReference"/>
          <w:rFonts w:ascii="Aptos" w:hAnsi="Aptos"/>
        </w:rPr>
        <w:footnoteReference w:id="2"/>
      </w:r>
      <w:r w:rsidRPr="00A31984">
        <w:rPr>
          <w:rFonts w:ascii="Aptos" w:hAnsi="Aptos"/>
        </w:rPr>
        <w:t xml:space="preserve"> of the total notional value of government bonds traded in the </w:t>
      </w:r>
      <w:r>
        <w:rPr>
          <w:rFonts w:ascii="Aptos" w:hAnsi="Aptos"/>
        </w:rPr>
        <w:t>EU</w:t>
      </w:r>
      <w:r w:rsidRPr="00A31984">
        <w:rPr>
          <w:rFonts w:ascii="Aptos" w:hAnsi="Aptos"/>
        </w:rPr>
        <w:t xml:space="preserve"> in 2023. </w:t>
      </w:r>
      <w:r>
        <w:rPr>
          <w:rFonts w:ascii="Aptos" w:hAnsi="Aptos"/>
        </w:rPr>
        <w:t>S</w:t>
      </w:r>
      <w:r w:rsidRPr="00A31984">
        <w:rPr>
          <w:rFonts w:ascii="Aptos" w:hAnsi="Aptos"/>
        </w:rPr>
        <w:t xml:space="preserve">econdly, their issuance sizes are significantly larger than most other sovereign bonds, with an average notional outstanding of €37.9bn and a median value of €31.6bn, compared with €5.6bn and €1.6bn respectively for all other sovereign issuers bonds. </w:t>
      </w:r>
      <w:r>
        <w:rPr>
          <w:rFonts w:ascii="Aptos" w:hAnsi="Aptos"/>
        </w:rPr>
        <w:t>T</w:t>
      </w:r>
      <w:r w:rsidRPr="00A31984">
        <w:rPr>
          <w:rFonts w:ascii="Aptos" w:hAnsi="Aptos"/>
        </w:rPr>
        <w:t xml:space="preserve">hirdly, </w:t>
      </w:r>
      <w:r>
        <w:rPr>
          <w:rFonts w:ascii="Aptos" w:hAnsi="Aptos"/>
        </w:rPr>
        <w:t>t</w:t>
      </w:r>
      <w:r w:rsidRPr="00A31984">
        <w:rPr>
          <w:rFonts w:ascii="Aptos" w:hAnsi="Aptos"/>
        </w:rPr>
        <w:t xml:space="preserve">he government </w:t>
      </w:r>
      <w:r>
        <w:rPr>
          <w:rFonts w:ascii="Aptos" w:hAnsi="Aptos"/>
        </w:rPr>
        <w:t>b</w:t>
      </w:r>
      <w:r w:rsidRPr="00A31984">
        <w:rPr>
          <w:rFonts w:ascii="Aptos" w:hAnsi="Aptos"/>
        </w:rPr>
        <w:t xml:space="preserve">onds </w:t>
      </w:r>
      <w:r>
        <w:rPr>
          <w:rFonts w:ascii="Aptos" w:hAnsi="Aptos"/>
        </w:rPr>
        <w:t>o</w:t>
      </w:r>
      <w:r w:rsidRPr="00A31984">
        <w:rPr>
          <w:rFonts w:ascii="Aptos" w:hAnsi="Aptos"/>
        </w:rPr>
        <w:t xml:space="preserve">f </w:t>
      </w:r>
      <w:r>
        <w:rPr>
          <w:rFonts w:ascii="Aptos" w:hAnsi="Aptos"/>
        </w:rPr>
        <w:t>t</w:t>
      </w:r>
      <w:r w:rsidRPr="00A31984">
        <w:rPr>
          <w:rFonts w:ascii="Aptos" w:hAnsi="Aptos"/>
        </w:rPr>
        <w:t xml:space="preserve">hese </w:t>
      </w:r>
      <w:r>
        <w:rPr>
          <w:rFonts w:ascii="Aptos" w:hAnsi="Aptos"/>
        </w:rPr>
        <w:t>i</w:t>
      </w:r>
      <w:r w:rsidRPr="00A31984">
        <w:rPr>
          <w:rFonts w:ascii="Aptos" w:hAnsi="Aptos"/>
        </w:rPr>
        <w:t xml:space="preserve">ssuers </w:t>
      </w:r>
      <w:r>
        <w:rPr>
          <w:rFonts w:ascii="Aptos" w:hAnsi="Aptos"/>
        </w:rPr>
        <w:t>a</w:t>
      </w:r>
      <w:r w:rsidRPr="00A31984">
        <w:rPr>
          <w:rFonts w:ascii="Aptos" w:hAnsi="Aptos"/>
        </w:rPr>
        <w:t xml:space="preserve">re </w:t>
      </w:r>
      <w:r>
        <w:rPr>
          <w:rFonts w:ascii="Aptos" w:hAnsi="Aptos"/>
        </w:rPr>
        <w:t>w</w:t>
      </w:r>
      <w:r w:rsidRPr="00A31984">
        <w:rPr>
          <w:rFonts w:ascii="Aptos" w:hAnsi="Aptos"/>
        </w:rPr>
        <w:t xml:space="preserve">idely </w:t>
      </w:r>
      <w:r>
        <w:rPr>
          <w:rFonts w:ascii="Aptos" w:hAnsi="Aptos"/>
        </w:rPr>
        <w:t>u</w:t>
      </w:r>
      <w:r w:rsidRPr="00A31984">
        <w:rPr>
          <w:rFonts w:ascii="Aptos" w:hAnsi="Aptos"/>
        </w:rPr>
        <w:t xml:space="preserve">sed </w:t>
      </w:r>
      <w:r>
        <w:rPr>
          <w:rFonts w:ascii="Aptos" w:hAnsi="Aptos"/>
        </w:rPr>
        <w:t>a</w:t>
      </w:r>
      <w:r w:rsidRPr="00A31984">
        <w:rPr>
          <w:rFonts w:ascii="Aptos" w:hAnsi="Aptos"/>
        </w:rPr>
        <w:t>s</w:t>
      </w:r>
      <w:r>
        <w:rPr>
          <w:rFonts w:ascii="Aptos" w:hAnsi="Aptos"/>
        </w:rPr>
        <w:t xml:space="preserve"> </w:t>
      </w:r>
      <w:r w:rsidRPr="00A31984">
        <w:rPr>
          <w:rFonts w:ascii="Aptos" w:hAnsi="Aptos"/>
        </w:rPr>
        <w:t xml:space="preserve">reference bonds for pricing and hedging, including for other sovereign bond markets. Unlike most other sovereign bond markets traded in the EU, they also have deep and active futures markets. Furthermore, when we look at the </w:t>
      </w:r>
      <w:r w:rsidRPr="00A31984">
        <w:rPr>
          <w:rFonts w:ascii="Aptos" w:hAnsi="Aptos"/>
        </w:rPr>
        <w:lastRenderedPageBreak/>
        <w:t xml:space="preserve">ADV of the SB1 grouping compared to that of non-SB1 sovereign bonds (which we call “SB2”), there is no comparison. The average </w:t>
      </w:r>
      <w:proofErr w:type="gramStart"/>
      <w:r w:rsidRPr="00A31984">
        <w:rPr>
          <w:rFonts w:ascii="Aptos" w:hAnsi="Aptos"/>
        </w:rPr>
        <w:t>ADV(</w:t>
      </w:r>
      <w:proofErr w:type="gramEnd"/>
      <w:r w:rsidRPr="00A31984">
        <w:rPr>
          <w:rFonts w:ascii="Aptos" w:hAnsi="Aptos"/>
        </w:rPr>
        <w:t xml:space="preserve">5) for SB1 group equates to €116.44mn against €18.07mn for the SB2 group. The full time series for 2023 can be seen in </w:t>
      </w:r>
      <w:r w:rsidRPr="00B46962">
        <w:rPr>
          <w:rFonts w:ascii="Aptos" w:hAnsi="Aptos" w:cs="Calibri"/>
        </w:rPr>
        <w:fldChar w:fldCharType="begin"/>
      </w:r>
      <w:r w:rsidRPr="00B46962">
        <w:rPr>
          <w:rFonts w:ascii="Aptos" w:hAnsi="Aptos" w:cs="Calibri"/>
        </w:rPr>
        <w:instrText xml:space="preserve"> REF _Ref174972716 \h </w:instrText>
      </w:r>
      <w:r>
        <w:rPr>
          <w:rFonts w:ascii="Aptos" w:hAnsi="Aptos" w:cs="Calibri"/>
        </w:rPr>
        <w:instrText xml:space="preserve"> \* MERGEFORMAT </w:instrText>
      </w:r>
      <w:r w:rsidRPr="00B46962">
        <w:rPr>
          <w:rFonts w:ascii="Aptos" w:hAnsi="Aptos" w:cs="Calibri"/>
        </w:rPr>
      </w:r>
      <w:r w:rsidRPr="00B46962">
        <w:rPr>
          <w:rFonts w:ascii="Aptos" w:hAnsi="Aptos" w:cs="Calibri"/>
        </w:rPr>
        <w:fldChar w:fldCharType="separate"/>
      </w:r>
      <w:r w:rsidRPr="004D6E86">
        <w:rPr>
          <w:rFonts w:ascii="Aptos" w:hAnsi="Aptos"/>
        </w:rPr>
        <w:t xml:space="preserve">Figure </w:t>
      </w:r>
      <w:r w:rsidRPr="004D6E86">
        <w:rPr>
          <w:rFonts w:ascii="Aptos" w:hAnsi="Aptos"/>
          <w:noProof/>
        </w:rPr>
        <w:t>1</w:t>
      </w:r>
      <w:r w:rsidRPr="00B46962">
        <w:rPr>
          <w:rFonts w:ascii="Aptos" w:hAnsi="Aptos" w:cs="Calibri"/>
        </w:rPr>
        <w:fldChar w:fldCharType="end"/>
      </w:r>
      <w:r w:rsidRPr="00A31984">
        <w:rPr>
          <w:rFonts w:ascii="Aptos" w:hAnsi="Aptos"/>
        </w:rPr>
        <w:t xml:space="preserve"> in Annex I.</w:t>
      </w:r>
    </w:p>
    <w:p w14:paraId="61368279" w14:textId="15FEDB1B" w:rsidR="004E675A" w:rsidRPr="00A31984" w:rsidRDefault="004E675A" w:rsidP="004E675A">
      <w:pPr>
        <w:rPr>
          <w:rFonts w:ascii="Aptos" w:hAnsi="Aptos"/>
        </w:rPr>
      </w:pPr>
      <w:r w:rsidRPr="00A31984">
        <w:rPr>
          <w:rFonts w:ascii="Aptos" w:hAnsi="Aptos"/>
        </w:rPr>
        <w:t xml:space="preserve">ICMA also looked at the ADVs of inflation-linked bonds (“linkers”) of the largest issuers and concluded that these were significantly less liquid than vanilla coupon bonds and were more closely aligned with the SB2 grouping. Inflation linked bonds of the largest issuers exhibit an average </w:t>
      </w:r>
      <w:proofErr w:type="gramStart"/>
      <w:r w:rsidRPr="00A31984">
        <w:rPr>
          <w:rFonts w:ascii="Aptos" w:hAnsi="Aptos"/>
        </w:rPr>
        <w:t>ADV(</w:t>
      </w:r>
      <w:proofErr w:type="gramEnd"/>
      <w:r w:rsidRPr="00A31984">
        <w:rPr>
          <w:rFonts w:ascii="Aptos" w:hAnsi="Aptos"/>
        </w:rPr>
        <w:t xml:space="preserve">5) of €36.9mn. The full time series for 2023, compared to the </w:t>
      </w:r>
      <w:proofErr w:type="gramStart"/>
      <w:r w:rsidRPr="00A31984">
        <w:rPr>
          <w:rFonts w:ascii="Aptos" w:hAnsi="Aptos"/>
        </w:rPr>
        <w:t>ADV(</w:t>
      </w:r>
      <w:proofErr w:type="gramEnd"/>
      <w:r w:rsidRPr="00A31984">
        <w:rPr>
          <w:rFonts w:ascii="Aptos" w:hAnsi="Aptos"/>
        </w:rPr>
        <w:t xml:space="preserve">5) of the SB2 group can be seen as per </w:t>
      </w:r>
      <w:r w:rsidRPr="00B46962">
        <w:rPr>
          <w:rFonts w:ascii="Aptos" w:hAnsi="Aptos" w:cs="Calibri"/>
        </w:rPr>
        <w:fldChar w:fldCharType="begin"/>
      </w:r>
      <w:r w:rsidRPr="00B46962">
        <w:rPr>
          <w:rFonts w:ascii="Aptos" w:hAnsi="Aptos" w:cs="Calibri"/>
        </w:rPr>
        <w:instrText xml:space="preserve"> REF _Ref174974699 \h </w:instrText>
      </w:r>
      <w:r>
        <w:rPr>
          <w:rFonts w:ascii="Aptos" w:hAnsi="Aptos" w:cs="Calibri"/>
        </w:rPr>
        <w:instrText xml:space="preserve"> \* MERGEFORMAT </w:instrText>
      </w:r>
      <w:r w:rsidRPr="00B46962">
        <w:rPr>
          <w:rFonts w:ascii="Aptos" w:hAnsi="Aptos" w:cs="Calibri"/>
        </w:rPr>
      </w:r>
      <w:r w:rsidRPr="00B46962">
        <w:rPr>
          <w:rFonts w:ascii="Aptos" w:hAnsi="Aptos" w:cs="Calibri"/>
        </w:rPr>
        <w:fldChar w:fldCharType="separate"/>
      </w:r>
      <w:r w:rsidRPr="004D6E86">
        <w:rPr>
          <w:rFonts w:ascii="Aptos" w:hAnsi="Aptos"/>
        </w:rPr>
        <w:t xml:space="preserve">Figure </w:t>
      </w:r>
      <w:r w:rsidRPr="004D6E86">
        <w:rPr>
          <w:rFonts w:ascii="Aptos" w:hAnsi="Aptos"/>
          <w:noProof/>
        </w:rPr>
        <w:t>2</w:t>
      </w:r>
      <w:r w:rsidRPr="00B46962">
        <w:rPr>
          <w:rFonts w:ascii="Aptos" w:hAnsi="Aptos" w:cs="Calibri"/>
        </w:rPr>
        <w:fldChar w:fldCharType="end"/>
      </w:r>
      <w:r w:rsidRPr="00B46962">
        <w:rPr>
          <w:rFonts w:ascii="Aptos" w:hAnsi="Aptos" w:cs="Calibri"/>
        </w:rPr>
        <w:t>.</w:t>
      </w:r>
      <w:r w:rsidRPr="00A31984">
        <w:rPr>
          <w:rFonts w:ascii="Aptos" w:hAnsi="Aptos"/>
        </w:rPr>
        <w:t xml:space="preserve"> Accordingly, ICMA proposes that only vanilla, fixed coupon government issuance is included in SB1, and that bonds such as linkers, coupon strips, or floating rate notes (“floaters”) be included in SB2. </w:t>
      </w:r>
    </w:p>
    <w:p w14:paraId="03383577" w14:textId="77777777" w:rsidR="004E675A" w:rsidRPr="00A31984" w:rsidRDefault="004E675A" w:rsidP="004E675A">
      <w:pPr>
        <w:rPr>
          <w:rFonts w:ascii="Aptos" w:hAnsi="Aptos"/>
        </w:rPr>
      </w:pPr>
      <w:r w:rsidRPr="00A31984">
        <w:rPr>
          <w:rFonts w:ascii="Aptos" w:hAnsi="Aptos"/>
        </w:rPr>
        <w:t>Grouping these SB1 government bonds together with all other sovereign bonds (SB2) into the same deferral matrix will generate a deeply suboptimal outcome due to the highly distortive nature of these largest issues. Even applying a relatively high liquidity threshold (eg €10bn outstanding issuance) will still be suboptimal given the significant difference in ADVs between</w:t>
      </w:r>
      <w:r w:rsidRPr="00A31984">
        <w:rPr>
          <w:rFonts w:ascii="Aptos" w:hAnsi="Aptos"/>
          <w:i/>
        </w:rPr>
        <w:t xml:space="preserve"> Illiquid </w:t>
      </w:r>
      <w:r w:rsidRPr="00A31984">
        <w:rPr>
          <w:rFonts w:ascii="Aptos" w:hAnsi="Aptos"/>
        </w:rPr>
        <w:t xml:space="preserve">SB1 and SB2 bonds (€30.5mn vs €10.9mn). This is illustrated in </w:t>
      </w:r>
      <w:r>
        <w:rPr>
          <w:rFonts w:ascii="Aptos" w:hAnsi="Aptos" w:cs="Calibri"/>
        </w:rPr>
        <w:t xml:space="preserve">Figures 1 to 3 </w:t>
      </w:r>
      <w:r w:rsidRPr="00A31984">
        <w:rPr>
          <w:rFonts w:ascii="Aptos" w:hAnsi="Aptos"/>
        </w:rPr>
        <w:t>in Annex I.</w:t>
      </w:r>
    </w:p>
    <w:p w14:paraId="1E67B567" w14:textId="77777777" w:rsidR="004E675A" w:rsidRPr="00A31984" w:rsidRDefault="004E675A" w:rsidP="004E675A">
      <w:pPr>
        <w:rPr>
          <w:rFonts w:ascii="Aptos" w:hAnsi="Aptos"/>
        </w:rPr>
      </w:pPr>
      <w:r w:rsidRPr="00A31984">
        <w:rPr>
          <w:rFonts w:ascii="Aptos" w:hAnsi="Aptos"/>
        </w:rPr>
        <w:t>Hence ICMA proposes that for the EU deferral regime for sovereign bonds to be credible, the fixed coupon bonds of the largest government issuers (ie</w:t>
      </w:r>
      <w:r>
        <w:rPr>
          <w:rFonts w:ascii="Aptos" w:hAnsi="Aptos"/>
        </w:rPr>
        <w:t xml:space="preserve"> with a share</w:t>
      </w:r>
      <w:r w:rsidRPr="00A31984">
        <w:rPr>
          <w:rFonts w:ascii="Aptos" w:hAnsi="Aptos"/>
        </w:rPr>
        <w:t xml:space="preserve"> &gt;4% of </w:t>
      </w:r>
      <w:r>
        <w:rPr>
          <w:rFonts w:ascii="Aptos" w:hAnsi="Aptos"/>
        </w:rPr>
        <w:t xml:space="preserve">total </w:t>
      </w:r>
      <w:r w:rsidRPr="00A31984">
        <w:rPr>
          <w:rFonts w:ascii="Aptos" w:hAnsi="Aptos"/>
        </w:rPr>
        <w:t>annual traded volume) need to be grouped separately from other sovereign bonds. ICMA would also point to the UK FCA proposal which provides a different treatment for the very largest sovereign issuers</w:t>
      </w:r>
      <w:r>
        <w:rPr>
          <w:rFonts w:ascii="Aptos" w:hAnsi="Aptos"/>
        </w:rPr>
        <w:t>.</w:t>
      </w:r>
      <w:r w:rsidRPr="00A31984">
        <w:rPr>
          <w:rFonts w:ascii="Aptos" w:hAnsi="Aptos"/>
        </w:rPr>
        <w:t xml:space="preserve"> </w:t>
      </w:r>
    </w:p>
    <w:p w14:paraId="0BA6F97B" w14:textId="77777777" w:rsidR="004E675A" w:rsidRPr="00A31984" w:rsidRDefault="004E675A" w:rsidP="004E675A">
      <w:pPr>
        <w:rPr>
          <w:rFonts w:ascii="Aptos" w:hAnsi="Aptos"/>
        </w:rPr>
      </w:pPr>
      <w:r w:rsidRPr="00A31984">
        <w:rPr>
          <w:rFonts w:ascii="Aptos" w:hAnsi="Aptos"/>
        </w:rPr>
        <w:t xml:space="preserve">ICMA would recommend that ESMA reassess the individual share of each sovereign issuer (based on fixed coupon issues) with respect to the total traded notional value of all sovereign bonds in the EU on a regular basis (say, every two years) in order to determine the composition of the SB1 group. </w:t>
      </w:r>
    </w:p>
    <w:p w14:paraId="45A2257C" w14:textId="18C436C2" w:rsidR="004E675A" w:rsidRPr="00910442" w:rsidRDefault="004E675A" w:rsidP="004E675A">
      <w:pPr>
        <w:rPr>
          <w:rFonts w:ascii="Aptos" w:hAnsi="Aptos"/>
        </w:rPr>
      </w:pPr>
      <w:r w:rsidRPr="00A31984">
        <w:rPr>
          <w:rFonts w:ascii="Aptos" w:hAnsi="Aptos"/>
        </w:rPr>
        <w:t xml:space="preserve">ESMA may further wish to consider the treatment of US Treasury bonds, for some consistency with TRACE. As ESMA may be aware, currently TRACE only provides data for transactions in on-the-run treasuries. Under the ESMA proposal, US Treasuries traded in the EU would be afforded a higher degree of transparency </w:t>
      </w:r>
      <w:r w:rsidRPr="00B46962">
        <w:rPr>
          <w:rFonts w:ascii="Aptos" w:hAnsi="Aptos"/>
        </w:rPr>
        <w:t xml:space="preserve">than </w:t>
      </w:r>
      <w:r w:rsidRPr="00A31984">
        <w:rPr>
          <w:rFonts w:ascii="Aptos" w:hAnsi="Aptos"/>
        </w:rPr>
        <w:t>in the US.</w:t>
      </w:r>
    </w:p>
    <w:p w14:paraId="7884CDE6" w14:textId="77777777" w:rsidR="004E675A" w:rsidRPr="00A31984" w:rsidRDefault="004E675A" w:rsidP="004E675A">
      <w:pPr>
        <w:rPr>
          <w:rFonts w:ascii="Aptos" w:hAnsi="Aptos"/>
          <w:i/>
        </w:rPr>
      </w:pPr>
      <w:r w:rsidRPr="00A31984">
        <w:rPr>
          <w:rFonts w:ascii="Aptos" w:hAnsi="Aptos"/>
          <w:i/>
        </w:rPr>
        <w:t>Other public bonds</w:t>
      </w:r>
    </w:p>
    <w:p w14:paraId="19DBF82D" w14:textId="77777777" w:rsidR="004E675A" w:rsidRDefault="004E675A" w:rsidP="004E675A">
      <w:pPr>
        <w:rPr>
          <w:rFonts w:ascii="Aptos" w:hAnsi="Aptos"/>
        </w:rPr>
      </w:pPr>
      <w:r w:rsidRPr="00A31984">
        <w:rPr>
          <w:rFonts w:ascii="Aptos" w:hAnsi="Aptos"/>
        </w:rPr>
        <w:t xml:space="preserve">Based on ADV analysis, ICMA also believes that it is warranted for other public bonds </w:t>
      </w:r>
      <w:r>
        <w:rPr>
          <w:rFonts w:ascii="Aptos" w:hAnsi="Aptos"/>
        </w:rPr>
        <w:t xml:space="preserve">(with an ADV of </w:t>
      </w:r>
      <w:r>
        <w:rPr>
          <w:rFonts w:ascii="Calibri" w:hAnsi="Calibri" w:cs="Calibri"/>
        </w:rPr>
        <w:t>€</w:t>
      </w:r>
      <w:r>
        <w:rPr>
          <w:rFonts w:ascii="Aptos" w:hAnsi="Aptos"/>
        </w:rPr>
        <w:t xml:space="preserve">4mn) </w:t>
      </w:r>
      <w:r w:rsidRPr="00A31984">
        <w:rPr>
          <w:rFonts w:ascii="Aptos" w:hAnsi="Aptos"/>
        </w:rPr>
        <w:t>to be grouped separately, rather than mixed with sovereign bonds</w:t>
      </w:r>
      <w:r>
        <w:rPr>
          <w:rFonts w:ascii="Aptos" w:hAnsi="Aptos"/>
        </w:rPr>
        <w:t xml:space="preserve"> (ADV </w:t>
      </w:r>
      <w:r>
        <w:rPr>
          <w:rFonts w:ascii="Calibri" w:hAnsi="Calibri" w:cs="Calibri"/>
        </w:rPr>
        <w:t>€</w:t>
      </w:r>
      <w:r>
        <w:rPr>
          <w:rFonts w:ascii="Aptos" w:hAnsi="Aptos"/>
        </w:rPr>
        <w:t>18mn).</w:t>
      </w:r>
    </w:p>
    <w:p w14:paraId="578A94F7" w14:textId="77777777" w:rsidR="004E675A" w:rsidRPr="00A31984" w:rsidRDefault="004E675A" w:rsidP="004E675A">
      <w:pPr>
        <w:rPr>
          <w:rFonts w:ascii="Aptos" w:hAnsi="Aptos"/>
          <w:i/>
        </w:rPr>
      </w:pPr>
      <w:r w:rsidRPr="00A31984">
        <w:rPr>
          <w:rFonts w:ascii="Aptos" w:hAnsi="Aptos"/>
          <w:i/>
        </w:rPr>
        <w:t>High Yield credit</w:t>
      </w:r>
    </w:p>
    <w:p w14:paraId="7A81AF0E" w14:textId="40113BEF" w:rsidR="004E675A" w:rsidRPr="00A31984" w:rsidRDefault="004E675A" w:rsidP="004E675A">
      <w:pPr>
        <w:rPr>
          <w:rFonts w:ascii="Aptos" w:hAnsi="Aptos"/>
        </w:rPr>
      </w:pPr>
      <w:r w:rsidRPr="00A31984">
        <w:rPr>
          <w:rFonts w:ascii="Aptos" w:hAnsi="Aptos"/>
        </w:rPr>
        <w:t xml:space="preserve">Given the distinct difference between investment grade (IG) and high yield (HY) credit, ICMA also proposes splitting the </w:t>
      </w:r>
      <w:r w:rsidRPr="00A31984">
        <w:rPr>
          <w:rFonts w:ascii="Aptos" w:hAnsi="Aptos"/>
          <w:i/>
        </w:rPr>
        <w:t>Corporate, convertible, and other bonds</w:t>
      </w:r>
      <w:r w:rsidRPr="00A31984">
        <w:rPr>
          <w:rFonts w:ascii="Aptos" w:hAnsi="Aptos"/>
        </w:rPr>
        <w:t xml:space="preserve"> group into IG and HY. While ADVs do not </w:t>
      </w:r>
      <w:r w:rsidRPr="00A31984">
        <w:rPr>
          <w:rFonts w:ascii="Aptos" w:hAnsi="Aptos"/>
        </w:rPr>
        <w:lastRenderedPageBreak/>
        <w:t xml:space="preserve">immediately look dissimilar, and a larger issuance size threshold for the liquidity determinant could help move most of HY issuance into the </w:t>
      </w:r>
      <w:r w:rsidRPr="00A31984">
        <w:rPr>
          <w:rFonts w:ascii="Aptos" w:hAnsi="Aptos"/>
          <w:i/>
        </w:rPr>
        <w:t xml:space="preserve">Illiquid </w:t>
      </w:r>
      <w:r w:rsidRPr="00A31984">
        <w:rPr>
          <w:rFonts w:ascii="Aptos" w:hAnsi="Aptos"/>
        </w:rPr>
        <w:t>categories, this would fail to recognize the fact that IG and HY are effectively distinct asset classes. While there is a cross-over segment of HY that may have a similar liquidity profile to IG, the lower rated segment of the market is structurally very different, with both specialist investors and market-makers. When we look at ADV for IG versus that of HY with a credit rating equal</w:t>
      </w:r>
      <w:r w:rsidRPr="00B46962">
        <w:rPr>
          <w:rFonts w:ascii="Aptos" w:hAnsi="Aptos"/>
        </w:rPr>
        <w:t xml:space="preserve"> </w:t>
      </w:r>
      <w:r>
        <w:rPr>
          <w:rFonts w:ascii="Aptos" w:hAnsi="Aptos"/>
        </w:rPr>
        <w:t>to</w:t>
      </w:r>
      <w:r w:rsidRPr="00A31984">
        <w:rPr>
          <w:rFonts w:ascii="Aptos" w:hAnsi="Aptos"/>
        </w:rPr>
        <w:t xml:space="preserve"> or lower than single B, we do see a sharp relative fall (see Figures 4 and 5 in Annex I). The products are traded differently, too. While IG credit is usually priced and traded on a spread basis (yield vs benchmark), HY credit is more commonly quoted and traded on price (ie percentage of par value). The latter is also more difficult to hedge and is associated with significantly higher idiosyncratic risk. For all of these reasons, HY credit is likely to be far more sensitive to information leakage and therefore requires a different deferral treatment to IG.</w:t>
      </w:r>
    </w:p>
    <w:p w14:paraId="5C25986E" w14:textId="77777777" w:rsidR="004E675A" w:rsidRPr="00A31984" w:rsidRDefault="004E675A" w:rsidP="004E675A">
      <w:pPr>
        <w:rPr>
          <w:rFonts w:ascii="Aptos" w:hAnsi="Aptos"/>
        </w:rPr>
      </w:pPr>
      <w:r w:rsidRPr="00A31984">
        <w:rPr>
          <w:rFonts w:ascii="Aptos" w:hAnsi="Aptos"/>
        </w:rPr>
        <w:t xml:space="preserve">ICMA would also point to the fact that US TRACE applies a different transparency treatment for IG and HY corporate bonds, while the UK FCA proposes to do something similar. </w:t>
      </w:r>
    </w:p>
    <w:p w14:paraId="2955A6FA" w14:textId="77777777" w:rsidR="004E675A" w:rsidRPr="00A31984" w:rsidRDefault="004E675A" w:rsidP="004E675A">
      <w:pPr>
        <w:rPr>
          <w:rFonts w:ascii="Aptos" w:hAnsi="Aptos"/>
        </w:rPr>
      </w:pPr>
      <w:r w:rsidRPr="00A31984">
        <w:rPr>
          <w:rFonts w:ascii="Aptos" w:hAnsi="Aptos"/>
        </w:rPr>
        <w:t xml:space="preserve">In order for data providers and the CTP to categorize IG and HY consistently it is important to establish a relatively straightforward determination methodology, ideally supported by a centralized and accessible database.  </w:t>
      </w:r>
    </w:p>
    <w:p w14:paraId="55F397B1" w14:textId="77777777" w:rsidR="004E675A" w:rsidRPr="00A31984" w:rsidRDefault="004E675A" w:rsidP="004E675A">
      <w:pPr>
        <w:rPr>
          <w:rFonts w:ascii="Aptos" w:hAnsi="Aptos"/>
        </w:rPr>
      </w:pPr>
      <w:r w:rsidRPr="00A31984">
        <w:rPr>
          <w:rFonts w:ascii="Aptos" w:hAnsi="Aptos"/>
        </w:rPr>
        <w:t>In the case of TRACE, FINRA captures the credit ratings from two agencies at the end of each day via direct feeds (FINRA pays a fee for this). The FINRA definition for IG vs HY is available in FINRA rule 6710(h), (i) and (j) (</w:t>
      </w:r>
      <w:hyperlink r:id="rId24" w:history="1">
        <w:r w:rsidRPr="00A31984">
          <w:rPr>
            <w:rStyle w:val="Hyperlink"/>
            <w:rFonts w:ascii="Aptos" w:hAnsi="Aptos"/>
          </w:rPr>
          <w:t>https://www.finra.org/rules-guidance/rulebooks/finra-rules/6710</w:t>
        </w:r>
      </w:hyperlink>
      <w:r w:rsidRPr="00A31984">
        <w:rPr>
          <w:rFonts w:ascii="Aptos" w:hAnsi="Aptos"/>
        </w:rPr>
        <w:t>). Based on this, FINRA makes available to participants its IG/HY assessment for each security (but not the underlying agency ratings).</w:t>
      </w:r>
    </w:p>
    <w:p w14:paraId="4CC051B7" w14:textId="77777777" w:rsidR="00910442" w:rsidRDefault="004E675A" w:rsidP="00C54034">
      <w:pPr>
        <w:spacing w:after="0"/>
        <w:rPr>
          <w:rFonts w:ascii="Aptos" w:hAnsi="Aptos"/>
        </w:rPr>
      </w:pPr>
      <w:r w:rsidRPr="00A31984">
        <w:rPr>
          <w:rFonts w:ascii="Aptos" w:hAnsi="Aptos"/>
        </w:rPr>
        <w:t xml:space="preserve">A possible point of reference could be the methodology for determining IG employed by the ECB in its Corporate Sector Purchase Programme (CSPP). (This is outlined in Article 83 and 84 of </w:t>
      </w:r>
      <w:hyperlink r:id="rId25" w:history="1">
        <w:r w:rsidRPr="00A31984">
          <w:rPr>
            <w:rStyle w:val="Hyperlink"/>
            <w:rFonts w:ascii="Aptos" w:hAnsi="Aptos"/>
          </w:rPr>
          <w:t>Guideline ECB/2014/60</w:t>
        </w:r>
      </w:hyperlink>
      <w:r w:rsidRPr="00A31984">
        <w:rPr>
          <w:rFonts w:ascii="Aptos" w:hAnsi="Aptos"/>
        </w:rPr>
        <w:t xml:space="preserve">). There is also a well-established precedence for utilizing external rating agencies in EU regulation with CRR/CRD. </w:t>
      </w:r>
      <w:r w:rsidR="00013974" w:rsidRPr="00A31984">
        <w:rPr>
          <w:rFonts w:ascii="Aptos" w:hAnsi="Aptos"/>
        </w:rPr>
        <w:t xml:space="preserve"> </w:t>
      </w:r>
    </w:p>
    <w:p w14:paraId="21A31A30" w14:textId="77777777" w:rsidR="00910442" w:rsidRDefault="00910442" w:rsidP="00C54034">
      <w:pPr>
        <w:spacing w:after="0"/>
        <w:rPr>
          <w:rFonts w:ascii="Aptos" w:hAnsi="Aptos"/>
        </w:rPr>
      </w:pPr>
    </w:p>
    <w:p w14:paraId="4EB00E33" w14:textId="77777777" w:rsidR="00612106" w:rsidRDefault="00612106" w:rsidP="00612106">
      <w:pPr>
        <w:rPr>
          <w:rFonts w:ascii="Aptos" w:hAnsi="Aptos"/>
        </w:rPr>
      </w:pPr>
      <w:r w:rsidRPr="00A31984">
        <w:rPr>
          <w:rFonts w:ascii="Aptos" w:hAnsi="Aptos"/>
        </w:rPr>
        <w:t>Accordingly, ICMA proposes 6 groupings for the EU transparency framework:</w:t>
      </w:r>
    </w:p>
    <w:p w14:paraId="4D74637D" w14:textId="77777777" w:rsidR="00612106" w:rsidRDefault="00612106" w:rsidP="00612106">
      <w:pPr>
        <w:rPr>
          <w:rFonts w:ascii="Aptos" w:hAnsi="Aptos"/>
        </w:rPr>
      </w:pPr>
    </w:p>
    <w:p w14:paraId="3BE98F87" w14:textId="77777777" w:rsidR="00360439" w:rsidRDefault="00360439" w:rsidP="00612106">
      <w:pPr>
        <w:rPr>
          <w:rFonts w:ascii="Aptos" w:hAnsi="Aptos"/>
        </w:rPr>
      </w:pPr>
    </w:p>
    <w:p w14:paraId="084D6438" w14:textId="77777777" w:rsidR="00360439" w:rsidRDefault="00360439" w:rsidP="00612106">
      <w:pPr>
        <w:rPr>
          <w:rFonts w:ascii="Aptos" w:hAnsi="Aptos"/>
        </w:rPr>
      </w:pPr>
    </w:p>
    <w:p w14:paraId="55DD1436" w14:textId="77777777" w:rsidR="00360439" w:rsidRPr="00A31984" w:rsidRDefault="00360439" w:rsidP="00612106">
      <w:pPr>
        <w:rPr>
          <w:rFonts w:ascii="Aptos" w:hAnsi="Aptos"/>
        </w:rPr>
      </w:pPr>
    </w:p>
    <w:tbl>
      <w:tblPr>
        <w:tblStyle w:val="TableGrid"/>
        <w:tblW w:w="0" w:type="auto"/>
        <w:tblLook w:val="04A0" w:firstRow="1" w:lastRow="0" w:firstColumn="1" w:lastColumn="0" w:noHBand="0" w:noVBand="1"/>
      </w:tblPr>
      <w:tblGrid>
        <w:gridCol w:w="1615"/>
        <w:gridCol w:w="5490"/>
        <w:gridCol w:w="1911"/>
      </w:tblGrid>
      <w:tr w:rsidR="00612106" w:rsidRPr="00B46962" w14:paraId="5C1B6A94" w14:textId="77777777" w:rsidTr="00B24BC8">
        <w:tc>
          <w:tcPr>
            <w:tcW w:w="1615" w:type="dxa"/>
            <w:shd w:val="clear" w:color="auto" w:fill="D9D9D9" w:themeFill="background1" w:themeFillShade="D9"/>
          </w:tcPr>
          <w:p w14:paraId="531D9DA8" w14:textId="77777777" w:rsidR="00612106" w:rsidRPr="00A31984" w:rsidRDefault="00612106" w:rsidP="00B24BC8">
            <w:pPr>
              <w:rPr>
                <w:rFonts w:ascii="Aptos" w:hAnsi="Aptos"/>
                <w:b/>
              </w:rPr>
            </w:pPr>
            <w:r w:rsidRPr="00A31984">
              <w:rPr>
                <w:rFonts w:ascii="Aptos" w:hAnsi="Aptos"/>
                <w:b/>
              </w:rPr>
              <w:lastRenderedPageBreak/>
              <w:t>Grouping</w:t>
            </w:r>
          </w:p>
        </w:tc>
        <w:tc>
          <w:tcPr>
            <w:tcW w:w="5490" w:type="dxa"/>
            <w:shd w:val="clear" w:color="auto" w:fill="D9D9D9" w:themeFill="background1" w:themeFillShade="D9"/>
          </w:tcPr>
          <w:p w14:paraId="32361BC9" w14:textId="77777777" w:rsidR="00612106" w:rsidRPr="00A31984" w:rsidRDefault="00612106" w:rsidP="00B24BC8">
            <w:pPr>
              <w:rPr>
                <w:rFonts w:ascii="Aptos" w:hAnsi="Aptos"/>
                <w:b/>
              </w:rPr>
            </w:pPr>
            <w:r w:rsidRPr="00A31984">
              <w:rPr>
                <w:rFonts w:ascii="Aptos" w:hAnsi="Aptos"/>
                <w:b/>
              </w:rPr>
              <w:t>Description</w:t>
            </w:r>
          </w:p>
        </w:tc>
        <w:tc>
          <w:tcPr>
            <w:tcW w:w="1911" w:type="dxa"/>
            <w:shd w:val="clear" w:color="auto" w:fill="D9D9D9" w:themeFill="background1" w:themeFillShade="D9"/>
          </w:tcPr>
          <w:p w14:paraId="60D4BB1E" w14:textId="6CB841C3" w:rsidR="00612106" w:rsidRPr="00A31984" w:rsidRDefault="00612106" w:rsidP="00B24BC8">
            <w:pPr>
              <w:rPr>
                <w:rFonts w:ascii="Aptos" w:hAnsi="Aptos"/>
                <w:b/>
              </w:rPr>
            </w:pPr>
            <w:r w:rsidRPr="00A31984">
              <w:rPr>
                <w:rFonts w:ascii="Aptos" w:hAnsi="Aptos"/>
                <w:b/>
              </w:rPr>
              <w:t>ADV (€</w:t>
            </w:r>
            <w:proofErr w:type="spellStart"/>
            <w:r w:rsidRPr="00A31984">
              <w:rPr>
                <w:rFonts w:ascii="Aptos" w:hAnsi="Aptos"/>
                <w:b/>
              </w:rPr>
              <w:t>mn</w:t>
            </w:r>
            <w:proofErr w:type="spellEnd"/>
            <w:r w:rsidRPr="00A31984">
              <w:rPr>
                <w:rFonts w:ascii="Aptos" w:hAnsi="Aptos"/>
                <w:b/>
              </w:rPr>
              <w:t xml:space="preserve">) </w:t>
            </w:r>
          </w:p>
        </w:tc>
      </w:tr>
      <w:tr w:rsidR="00612106" w:rsidRPr="00B46962" w14:paraId="64BE1D94" w14:textId="77777777" w:rsidTr="00B24BC8">
        <w:tc>
          <w:tcPr>
            <w:tcW w:w="1615" w:type="dxa"/>
          </w:tcPr>
          <w:p w14:paraId="22D49333" w14:textId="77777777" w:rsidR="00612106" w:rsidRPr="00A31984" w:rsidRDefault="00612106" w:rsidP="00B24BC8">
            <w:pPr>
              <w:rPr>
                <w:rFonts w:ascii="Aptos" w:hAnsi="Aptos"/>
              </w:rPr>
            </w:pPr>
            <w:r w:rsidRPr="00A31984">
              <w:rPr>
                <w:rFonts w:ascii="Aptos" w:hAnsi="Aptos"/>
              </w:rPr>
              <w:t>1</w:t>
            </w:r>
          </w:p>
        </w:tc>
        <w:tc>
          <w:tcPr>
            <w:tcW w:w="5490" w:type="dxa"/>
          </w:tcPr>
          <w:p w14:paraId="501FC06D" w14:textId="77777777" w:rsidR="00612106" w:rsidRPr="00A31984" w:rsidRDefault="00612106" w:rsidP="00B24BC8">
            <w:pPr>
              <w:rPr>
                <w:rFonts w:ascii="Aptos" w:hAnsi="Aptos"/>
              </w:rPr>
            </w:pPr>
            <w:r w:rsidRPr="00A31984">
              <w:rPr>
                <w:rFonts w:ascii="Aptos" w:hAnsi="Aptos"/>
              </w:rPr>
              <w:t>Largest sovereign bond issuers (vanilla) [SB1]</w:t>
            </w:r>
          </w:p>
        </w:tc>
        <w:tc>
          <w:tcPr>
            <w:tcW w:w="1911" w:type="dxa"/>
          </w:tcPr>
          <w:p w14:paraId="6D25F893" w14:textId="77777777" w:rsidR="00612106" w:rsidRPr="00A31984" w:rsidRDefault="00612106" w:rsidP="00B24BC8">
            <w:pPr>
              <w:rPr>
                <w:rFonts w:ascii="Aptos" w:hAnsi="Aptos"/>
              </w:rPr>
            </w:pPr>
            <w:r w:rsidRPr="00A31984">
              <w:rPr>
                <w:rFonts w:ascii="Aptos" w:hAnsi="Aptos"/>
              </w:rPr>
              <w:t>€116.44</w:t>
            </w:r>
          </w:p>
        </w:tc>
      </w:tr>
      <w:tr w:rsidR="00612106" w:rsidRPr="00B46962" w14:paraId="74328204" w14:textId="77777777" w:rsidTr="00B24BC8">
        <w:tc>
          <w:tcPr>
            <w:tcW w:w="1615" w:type="dxa"/>
          </w:tcPr>
          <w:p w14:paraId="6C81B278" w14:textId="77777777" w:rsidR="00612106" w:rsidRPr="00A31984" w:rsidRDefault="00612106" w:rsidP="00B24BC8">
            <w:pPr>
              <w:rPr>
                <w:rFonts w:ascii="Aptos" w:hAnsi="Aptos"/>
              </w:rPr>
            </w:pPr>
            <w:r w:rsidRPr="00A31984">
              <w:rPr>
                <w:rFonts w:ascii="Aptos" w:hAnsi="Aptos"/>
              </w:rPr>
              <w:t>2</w:t>
            </w:r>
          </w:p>
        </w:tc>
        <w:tc>
          <w:tcPr>
            <w:tcW w:w="5490" w:type="dxa"/>
          </w:tcPr>
          <w:p w14:paraId="46A8A186" w14:textId="77777777" w:rsidR="00612106" w:rsidRPr="00A31984" w:rsidRDefault="00612106" w:rsidP="00B24BC8">
            <w:pPr>
              <w:rPr>
                <w:rFonts w:ascii="Aptos" w:hAnsi="Aptos"/>
              </w:rPr>
            </w:pPr>
            <w:r w:rsidRPr="00A31984">
              <w:rPr>
                <w:rFonts w:ascii="Aptos" w:hAnsi="Aptos"/>
              </w:rPr>
              <w:t>All other sovereign bonds [SB2]</w:t>
            </w:r>
          </w:p>
        </w:tc>
        <w:tc>
          <w:tcPr>
            <w:tcW w:w="1911" w:type="dxa"/>
          </w:tcPr>
          <w:p w14:paraId="4E497C4D" w14:textId="77777777" w:rsidR="00612106" w:rsidRPr="00A31984" w:rsidRDefault="00612106" w:rsidP="00B24BC8">
            <w:pPr>
              <w:rPr>
                <w:rFonts w:ascii="Aptos" w:hAnsi="Aptos"/>
              </w:rPr>
            </w:pPr>
            <w:r w:rsidRPr="00A31984">
              <w:rPr>
                <w:rFonts w:ascii="Aptos" w:hAnsi="Aptos"/>
              </w:rPr>
              <w:t>€18.07</w:t>
            </w:r>
          </w:p>
        </w:tc>
      </w:tr>
      <w:tr w:rsidR="00612106" w:rsidRPr="00B46962" w14:paraId="63712011" w14:textId="77777777" w:rsidTr="00B24BC8">
        <w:tc>
          <w:tcPr>
            <w:tcW w:w="1615" w:type="dxa"/>
          </w:tcPr>
          <w:p w14:paraId="50B2D0CF" w14:textId="77777777" w:rsidR="00612106" w:rsidRPr="00A31984" w:rsidRDefault="00612106" w:rsidP="00B24BC8">
            <w:pPr>
              <w:rPr>
                <w:rFonts w:ascii="Aptos" w:hAnsi="Aptos"/>
              </w:rPr>
            </w:pPr>
            <w:r w:rsidRPr="00A31984">
              <w:rPr>
                <w:rFonts w:ascii="Aptos" w:hAnsi="Aptos"/>
              </w:rPr>
              <w:t>3</w:t>
            </w:r>
          </w:p>
        </w:tc>
        <w:tc>
          <w:tcPr>
            <w:tcW w:w="5490" w:type="dxa"/>
          </w:tcPr>
          <w:p w14:paraId="77016AB0" w14:textId="77777777" w:rsidR="00612106" w:rsidRPr="00A31984" w:rsidRDefault="00612106" w:rsidP="00B24BC8">
            <w:pPr>
              <w:rPr>
                <w:rFonts w:ascii="Aptos" w:hAnsi="Aptos"/>
              </w:rPr>
            </w:pPr>
            <w:r w:rsidRPr="00A31984">
              <w:rPr>
                <w:rFonts w:ascii="Aptos" w:hAnsi="Aptos"/>
              </w:rPr>
              <w:t>Other public bonds</w:t>
            </w:r>
          </w:p>
        </w:tc>
        <w:tc>
          <w:tcPr>
            <w:tcW w:w="1911" w:type="dxa"/>
          </w:tcPr>
          <w:p w14:paraId="0C66EBCF" w14:textId="77777777" w:rsidR="00612106" w:rsidRPr="00A31984" w:rsidRDefault="00612106" w:rsidP="00B24BC8">
            <w:pPr>
              <w:rPr>
                <w:rFonts w:ascii="Aptos" w:hAnsi="Aptos"/>
              </w:rPr>
            </w:pPr>
            <w:r w:rsidRPr="00A31984">
              <w:rPr>
                <w:rFonts w:ascii="Aptos" w:hAnsi="Aptos"/>
              </w:rPr>
              <w:t>€4.01</w:t>
            </w:r>
          </w:p>
        </w:tc>
      </w:tr>
      <w:tr w:rsidR="00612106" w:rsidRPr="00B46962" w14:paraId="3AAD7744" w14:textId="77777777" w:rsidTr="00B24BC8">
        <w:tc>
          <w:tcPr>
            <w:tcW w:w="1615" w:type="dxa"/>
          </w:tcPr>
          <w:p w14:paraId="05E80B0A" w14:textId="77777777" w:rsidR="00612106" w:rsidRPr="00A31984" w:rsidRDefault="00612106" w:rsidP="00B24BC8">
            <w:pPr>
              <w:rPr>
                <w:rFonts w:ascii="Aptos" w:hAnsi="Aptos"/>
              </w:rPr>
            </w:pPr>
            <w:r w:rsidRPr="00A31984">
              <w:rPr>
                <w:rFonts w:ascii="Aptos" w:hAnsi="Aptos"/>
              </w:rPr>
              <w:t>4</w:t>
            </w:r>
          </w:p>
        </w:tc>
        <w:tc>
          <w:tcPr>
            <w:tcW w:w="5490" w:type="dxa"/>
          </w:tcPr>
          <w:p w14:paraId="31FC3076" w14:textId="77777777" w:rsidR="00612106" w:rsidRPr="00A31984" w:rsidRDefault="00612106" w:rsidP="00B24BC8">
            <w:pPr>
              <w:rPr>
                <w:rFonts w:ascii="Aptos" w:hAnsi="Aptos"/>
              </w:rPr>
            </w:pPr>
            <w:r w:rsidRPr="00A31984">
              <w:rPr>
                <w:rFonts w:ascii="Aptos" w:hAnsi="Aptos"/>
              </w:rPr>
              <w:t>Corporate, convertible, and other public bonds IG</w:t>
            </w:r>
          </w:p>
        </w:tc>
        <w:tc>
          <w:tcPr>
            <w:tcW w:w="1911" w:type="dxa"/>
          </w:tcPr>
          <w:p w14:paraId="32DBF0B1" w14:textId="77777777" w:rsidR="00612106" w:rsidRPr="00A31984" w:rsidRDefault="00612106" w:rsidP="00B24BC8">
            <w:pPr>
              <w:rPr>
                <w:rFonts w:ascii="Aptos" w:hAnsi="Aptos"/>
              </w:rPr>
            </w:pPr>
            <w:r w:rsidRPr="00A31984">
              <w:rPr>
                <w:rFonts w:ascii="Aptos" w:hAnsi="Aptos"/>
              </w:rPr>
              <w:t>€1.63</w:t>
            </w:r>
          </w:p>
        </w:tc>
      </w:tr>
      <w:tr w:rsidR="00612106" w:rsidRPr="00B46962" w14:paraId="3AEE2995" w14:textId="77777777" w:rsidTr="00B24BC8">
        <w:tc>
          <w:tcPr>
            <w:tcW w:w="1615" w:type="dxa"/>
          </w:tcPr>
          <w:p w14:paraId="2BC531B0" w14:textId="77777777" w:rsidR="00612106" w:rsidRPr="00A31984" w:rsidRDefault="00612106" w:rsidP="00B24BC8">
            <w:pPr>
              <w:rPr>
                <w:rFonts w:ascii="Aptos" w:hAnsi="Aptos"/>
              </w:rPr>
            </w:pPr>
            <w:r w:rsidRPr="00A31984">
              <w:rPr>
                <w:rFonts w:ascii="Aptos" w:hAnsi="Aptos"/>
              </w:rPr>
              <w:t>5</w:t>
            </w:r>
          </w:p>
        </w:tc>
        <w:tc>
          <w:tcPr>
            <w:tcW w:w="5490" w:type="dxa"/>
          </w:tcPr>
          <w:p w14:paraId="470FF970" w14:textId="1025DDD3" w:rsidR="00612106" w:rsidRPr="00A31984" w:rsidRDefault="00612106" w:rsidP="00B24BC8">
            <w:pPr>
              <w:rPr>
                <w:rFonts w:ascii="Aptos" w:hAnsi="Aptos"/>
              </w:rPr>
            </w:pPr>
            <w:r w:rsidRPr="00A31984">
              <w:rPr>
                <w:rFonts w:ascii="Aptos" w:hAnsi="Aptos"/>
              </w:rPr>
              <w:t>Corporate, convertible, and other public bonds HY</w:t>
            </w:r>
          </w:p>
        </w:tc>
        <w:tc>
          <w:tcPr>
            <w:tcW w:w="1911" w:type="dxa"/>
          </w:tcPr>
          <w:p w14:paraId="4AE128FC" w14:textId="77777777" w:rsidR="00612106" w:rsidRPr="00A31984" w:rsidRDefault="00612106" w:rsidP="00B24BC8">
            <w:pPr>
              <w:rPr>
                <w:rFonts w:ascii="Aptos" w:hAnsi="Aptos"/>
              </w:rPr>
            </w:pPr>
            <w:r w:rsidRPr="00A31984">
              <w:rPr>
                <w:rFonts w:ascii="Aptos" w:hAnsi="Aptos"/>
              </w:rPr>
              <w:t>€1.72</w:t>
            </w:r>
          </w:p>
        </w:tc>
      </w:tr>
      <w:tr w:rsidR="00612106" w:rsidRPr="00B46962" w14:paraId="26DAC630" w14:textId="77777777" w:rsidTr="00B24BC8">
        <w:tc>
          <w:tcPr>
            <w:tcW w:w="1615" w:type="dxa"/>
          </w:tcPr>
          <w:p w14:paraId="5DBE1165" w14:textId="77777777" w:rsidR="00612106" w:rsidRPr="00A31984" w:rsidRDefault="00612106" w:rsidP="00B24BC8">
            <w:pPr>
              <w:rPr>
                <w:rFonts w:ascii="Aptos" w:hAnsi="Aptos"/>
              </w:rPr>
            </w:pPr>
            <w:r w:rsidRPr="00A31984">
              <w:rPr>
                <w:rFonts w:ascii="Aptos" w:hAnsi="Aptos"/>
              </w:rPr>
              <w:t>6</w:t>
            </w:r>
          </w:p>
        </w:tc>
        <w:tc>
          <w:tcPr>
            <w:tcW w:w="5490" w:type="dxa"/>
          </w:tcPr>
          <w:p w14:paraId="5FAE287B" w14:textId="77777777" w:rsidR="00612106" w:rsidRPr="00A31984" w:rsidRDefault="00612106" w:rsidP="00B24BC8">
            <w:pPr>
              <w:rPr>
                <w:rFonts w:ascii="Aptos" w:hAnsi="Aptos"/>
              </w:rPr>
            </w:pPr>
            <w:r w:rsidRPr="00A31984">
              <w:rPr>
                <w:rFonts w:ascii="Aptos" w:hAnsi="Aptos"/>
              </w:rPr>
              <w:t>Covered bonds</w:t>
            </w:r>
          </w:p>
        </w:tc>
        <w:tc>
          <w:tcPr>
            <w:tcW w:w="1911" w:type="dxa"/>
          </w:tcPr>
          <w:p w14:paraId="3753D9E4" w14:textId="77777777" w:rsidR="00612106" w:rsidRPr="00A31984" w:rsidRDefault="00612106" w:rsidP="00B24BC8">
            <w:pPr>
              <w:rPr>
                <w:rFonts w:ascii="Aptos" w:hAnsi="Aptos"/>
              </w:rPr>
            </w:pPr>
            <w:r w:rsidRPr="00A31984">
              <w:rPr>
                <w:rFonts w:ascii="Aptos" w:hAnsi="Aptos"/>
              </w:rPr>
              <w:t>€6.35</w:t>
            </w:r>
          </w:p>
        </w:tc>
      </w:tr>
    </w:tbl>
    <w:p w14:paraId="31F1E86B" w14:textId="77777777" w:rsidR="00612106" w:rsidRPr="00A31984" w:rsidRDefault="00612106" w:rsidP="00612106">
      <w:pPr>
        <w:rPr>
          <w:rFonts w:ascii="Aptos" w:hAnsi="Aptos"/>
        </w:rPr>
      </w:pPr>
    </w:p>
    <w:p w14:paraId="286E2791" w14:textId="77777777" w:rsidR="00612106" w:rsidRPr="00A31984" w:rsidRDefault="00612106" w:rsidP="00612106">
      <w:pPr>
        <w:rPr>
          <w:rFonts w:ascii="Aptos" w:hAnsi="Aptos"/>
          <w:u w:val="single"/>
        </w:rPr>
      </w:pPr>
      <w:r w:rsidRPr="00A31984">
        <w:rPr>
          <w:rFonts w:ascii="Aptos" w:hAnsi="Aptos"/>
          <w:u w:val="single"/>
        </w:rPr>
        <w:t>Calculating liquidity thresholds</w:t>
      </w:r>
    </w:p>
    <w:p w14:paraId="24F09F39" w14:textId="77777777" w:rsidR="00612106" w:rsidRPr="00A31984" w:rsidRDefault="00612106" w:rsidP="00612106">
      <w:pPr>
        <w:rPr>
          <w:rFonts w:ascii="Aptos" w:hAnsi="Aptos"/>
        </w:rPr>
      </w:pPr>
      <w:r w:rsidRPr="00A31984">
        <w:rPr>
          <w:rFonts w:ascii="Aptos" w:hAnsi="Aptos"/>
        </w:rPr>
        <w:t xml:space="preserve">In previous work, ICMA has applied regression </w:t>
      </w:r>
      <w:proofErr w:type="spellStart"/>
      <w:r w:rsidRPr="00A31984">
        <w:rPr>
          <w:rFonts w:ascii="Aptos" w:hAnsi="Aptos"/>
        </w:rPr>
        <w:t>modeling</w:t>
      </w:r>
      <w:proofErr w:type="spellEnd"/>
      <w:r w:rsidRPr="00A31984">
        <w:rPr>
          <w:rFonts w:ascii="Aptos" w:hAnsi="Aptos"/>
        </w:rPr>
        <w:t xml:space="preserve"> to identify the significant endogenous features of a bond that contribute to liquidity (measured in terms of ADV). After time since issuance, outstanding issuance size was identified as the next most important feature. Depending on bond class or sub-class, other features may also have an impact to some degree, including time to maturity, currency denomination, and credit rating. For sovereign bonds the analysis is complicated further by additional considerations such as the distinction between on-the-run and off-the-run bonds and futures deliverability. </w:t>
      </w:r>
    </w:p>
    <w:p w14:paraId="3E19145D" w14:textId="77777777" w:rsidR="00612106" w:rsidRPr="00A31984" w:rsidRDefault="00612106" w:rsidP="00612106">
      <w:pPr>
        <w:rPr>
          <w:rFonts w:ascii="Aptos" w:hAnsi="Aptos"/>
        </w:rPr>
      </w:pPr>
      <w:r w:rsidRPr="00A31984">
        <w:rPr>
          <w:rFonts w:ascii="Aptos" w:hAnsi="Aptos"/>
        </w:rPr>
        <w:t xml:space="preserve">For the purposes of this response, ICMA has focused primarily on outstanding issuance size (hereafter referred to as </w:t>
      </w:r>
      <w:r w:rsidRPr="00A31984">
        <w:rPr>
          <w:rFonts w:ascii="Aptos" w:hAnsi="Aptos"/>
          <w:i/>
        </w:rPr>
        <w:t>issuance size</w:t>
      </w:r>
      <w:r w:rsidRPr="00A31984">
        <w:rPr>
          <w:rFonts w:ascii="Aptos" w:hAnsi="Aptos"/>
        </w:rPr>
        <w:t>) as the sole liquidity</w:t>
      </w:r>
      <w:r w:rsidRPr="00A31984">
        <w:rPr>
          <w:rFonts w:ascii="Aptos" w:hAnsi="Aptos"/>
          <w:i/>
        </w:rPr>
        <w:t xml:space="preserve"> </w:t>
      </w:r>
      <w:r w:rsidRPr="00A31984">
        <w:rPr>
          <w:rFonts w:ascii="Aptos" w:hAnsi="Aptos"/>
        </w:rPr>
        <w:t>determinant, consistent with ESMA’s proposal.  However, ICMA does not discount the fact that the framework could be improved by incorporating other liquidity determinants, for example time to maturity, particularly in the case of sovereign bonds. (ICMA did look at the ADV maturity profile of sovereign bonds which is provided in Figures 6 and 7 in Annex I).</w:t>
      </w:r>
      <w:r w:rsidRPr="00B46962">
        <w:rPr>
          <w:rFonts w:ascii="Aptos" w:hAnsi="Aptos"/>
        </w:rPr>
        <w:t xml:space="preserve"> Given the duration effect on liquidity (and risk), which naturally leads to smaller trade sizes in longer maturities, ICMA could support the introduction of an additional liquidity determinant based on time to maturity (which would also be consistent with the UK proposal for sovereign bonds).</w:t>
      </w:r>
    </w:p>
    <w:p w14:paraId="632F18A3" w14:textId="77777777" w:rsidR="00612106" w:rsidRPr="00A31984" w:rsidRDefault="00612106" w:rsidP="00612106">
      <w:pPr>
        <w:rPr>
          <w:rFonts w:ascii="Aptos" w:hAnsi="Aptos"/>
        </w:rPr>
      </w:pPr>
      <w:r w:rsidRPr="00A31984">
        <w:rPr>
          <w:rFonts w:ascii="Aptos" w:hAnsi="Aptos"/>
        </w:rPr>
        <w:t>ICMA has taken a 3-step approach to identifying the appropriate issue size threshold for each of the 6 groupings in order to differentiate between</w:t>
      </w:r>
      <w:r w:rsidRPr="00A31984">
        <w:rPr>
          <w:rFonts w:ascii="Aptos" w:hAnsi="Aptos"/>
          <w:i/>
        </w:rPr>
        <w:t xml:space="preserve"> </w:t>
      </w:r>
      <w:r w:rsidRPr="00A31984">
        <w:rPr>
          <w:rFonts w:ascii="Aptos" w:hAnsi="Aptos"/>
        </w:rPr>
        <w:t>liquid and illiquid</w:t>
      </w:r>
      <w:r w:rsidRPr="00A31984">
        <w:rPr>
          <w:rFonts w:ascii="Aptos" w:hAnsi="Aptos"/>
          <w:i/>
        </w:rPr>
        <w:t>:</w:t>
      </w:r>
    </w:p>
    <w:p w14:paraId="20D111CA" w14:textId="77777777" w:rsidR="00612106" w:rsidRPr="00A31984" w:rsidRDefault="00612106" w:rsidP="00612106">
      <w:pPr>
        <w:pStyle w:val="ListParagraph"/>
        <w:numPr>
          <w:ilvl w:val="0"/>
          <w:numId w:val="52"/>
        </w:numPr>
        <w:spacing w:after="160" w:line="259" w:lineRule="auto"/>
        <w:jc w:val="left"/>
        <w:rPr>
          <w:rFonts w:ascii="Aptos" w:hAnsi="Aptos"/>
        </w:rPr>
      </w:pPr>
      <w:r w:rsidRPr="00A31984">
        <w:rPr>
          <w:rFonts w:ascii="Aptos" w:hAnsi="Aptos"/>
        </w:rPr>
        <w:t>Applying a purely scientific ADV-based methodology.</w:t>
      </w:r>
    </w:p>
    <w:p w14:paraId="0FA42D6E" w14:textId="77777777" w:rsidR="00612106" w:rsidRPr="00A31984" w:rsidRDefault="00612106" w:rsidP="00612106">
      <w:pPr>
        <w:pStyle w:val="ListParagraph"/>
        <w:numPr>
          <w:ilvl w:val="0"/>
          <w:numId w:val="52"/>
        </w:numPr>
        <w:spacing w:after="160" w:line="259" w:lineRule="auto"/>
        <w:jc w:val="left"/>
        <w:rPr>
          <w:rFonts w:ascii="Aptos" w:hAnsi="Aptos"/>
        </w:rPr>
      </w:pPr>
      <w:r w:rsidRPr="00A31984">
        <w:rPr>
          <w:rFonts w:ascii="Aptos" w:hAnsi="Aptos"/>
        </w:rPr>
        <w:t>Reference to the issuance size distribution of the relevant grouping (in particular the average issuance size).</w:t>
      </w:r>
    </w:p>
    <w:p w14:paraId="286F8D89" w14:textId="77777777" w:rsidR="00612106" w:rsidRPr="00A31984" w:rsidRDefault="00612106" w:rsidP="00612106">
      <w:pPr>
        <w:pStyle w:val="ListParagraph"/>
        <w:numPr>
          <w:ilvl w:val="0"/>
          <w:numId w:val="52"/>
        </w:numPr>
        <w:spacing w:after="160" w:line="259" w:lineRule="auto"/>
        <w:jc w:val="left"/>
        <w:rPr>
          <w:rFonts w:ascii="Aptos" w:hAnsi="Aptos"/>
        </w:rPr>
      </w:pPr>
      <w:r w:rsidRPr="00A31984">
        <w:rPr>
          <w:rFonts w:ascii="Aptos" w:hAnsi="Aptos"/>
        </w:rPr>
        <w:lastRenderedPageBreak/>
        <w:t xml:space="preserve">Viewing the ratio of </w:t>
      </w:r>
      <w:proofErr w:type="spellStart"/>
      <w:r w:rsidRPr="00A31984">
        <w:rPr>
          <w:rFonts w:ascii="Aptos" w:hAnsi="Aptos"/>
        </w:rPr>
        <w:t>liquid:illiquid</w:t>
      </w:r>
      <w:proofErr w:type="spellEnd"/>
      <w:r w:rsidRPr="00A31984">
        <w:rPr>
          <w:rFonts w:ascii="Aptos" w:hAnsi="Aptos"/>
        </w:rPr>
        <w:t xml:space="preserve"> bonds for each issuance size threshold (noting that there is no rule for this, given that some bond classes are inherently illiquid).</w:t>
      </w:r>
    </w:p>
    <w:p w14:paraId="036CB1AA" w14:textId="77777777" w:rsidR="00612106" w:rsidRPr="00A31984" w:rsidRDefault="00612106" w:rsidP="00612106">
      <w:pPr>
        <w:rPr>
          <w:rFonts w:ascii="Aptos" w:hAnsi="Aptos"/>
        </w:rPr>
      </w:pPr>
      <w:r w:rsidRPr="00A31984">
        <w:rPr>
          <w:rFonts w:ascii="Aptos" w:hAnsi="Aptos"/>
        </w:rPr>
        <w:t>Particularly in the case of the sovereign bond groupings, some members expressed concerns that the ESMA proposal tends toward low thresholds (eg €1bn for sovereign bonds), and that this could</w:t>
      </w:r>
      <w:r>
        <w:rPr>
          <w:rFonts w:ascii="Aptos" w:hAnsi="Aptos"/>
        </w:rPr>
        <w:t xml:space="preserve"> </w:t>
      </w:r>
      <w:r w:rsidRPr="00A31984">
        <w:rPr>
          <w:rFonts w:ascii="Aptos" w:hAnsi="Aptos"/>
        </w:rPr>
        <w:t>already anchor expectations, even without any analytical basis. Accordingly, the ICMA suggestion for the Group 1 issuance size threshold is far lower than could easily be justified.</w:t>
      </w:r>
    </w:p>
    <w:p w14:paraId="7BE8688C" w14:textId="77777777" w:rsidR="00612106" w:rsidRPr="00A31984" w:rsidRDefault="00612106" w:rsidP="00612106">
      <w:pPr>
        <w:rPr>
          <w:rFonts w:ascii="Aptos" w:hAnsi="Aptos"/>
        </w:rPr>
      </w:pPr>
    </w:p>
    <w:p w14:paraId="1DFFBFFE" w14:textId="77777777" w:rsidR="00612106" w:rsidRPr="00A31984" w:rsidRDefault="00612106" w:rsidP="00612106">
      <w:pPr>
        <w:rPr>
          <w:rFonts w:ascii="Aptos" w:hAnsi="Aptos"/>
          <w:i/>
        </w:rPr>
      </w:pPr>
      <w:r w:rsidRPr="00A31984">
        <w:rPr>
          <w:rFonts w:ascii="Aptos" w:hAnsi="Aptos"/>
          <w:i/>
        </w:rPr>
        <w:t>ADV vs issuance size</w:t>
      </w:r>
    </w:p>
    <w:p w14:paraId="777533EF" w14:textId="77777777" w:rsidR="00612106" w:rsidRPr="00A31984" w:rsidRDefault="00612106" w:rsidP="00612106">
      <w:pPr>
        <w:rPr>
          <w:rFonts w:ascii="Aptos" w:hAnsi="Aptos"/>
        </w:rPr>
      </w:pPr>
      <w:r w:rsidRPr="00A31984">
        <w:rPr>
          <w:rFonts w:ascii="Aptos" w:hAnsi="Aptos"/>
        </w:rPr>
        <w:t xml:space="preserve">To isolate the optimal issuance size threshold for each grouping, ICMA plotted the ADV associated with the bonds that fell into each issuance size bucket. At each issuance size </w:t>
      </w:r>
      <w:proofErr w:type="gramStart"/>
      <w:r w:rsidRPr="00A31984">
        <w:rPr>
          <w:rFonts w:ascii="Aptos" w:hAnsi="Aptos"/>
        </w:rPr>
        <w:t>interval</w:t>
      </w:r>
      <w:proofErr w:type="gramEnd"/>
      <w:r w:rsidRPr="00A31984">
        <w:rPr>
          <w:rFonts w:ascii="Aptos" w:hAnsi="Aptos"/>
        </w:rPr>
        <w:t xml:space="preserve"> we assume that all bonds with an equal or greater issuance size are liquid and those with a smaller issuance size are illiquid. This analysis can be seen in  </w:t>
      </w:r>
      <w:r w:rsidRPr="00B46962">
        <w:rPr>
          <w:rFonts w:ascii="Aptos" w:hAnsi="Aptos"/>
        </w:rPr>
        <w:fldChar w:fldCharType="begin"/>
      </w:r>
      <w:r w:rsidRPr="00B46962">
        <w:rPr>
          <w:rFonts w:ascii="Aptos" w:hAnsi="Aptos"/>
        </w:rPr>
        <w:instrText xml:space="preserve"> REF _Ref174998201 \h </w:instrText>
      </w:r>
      <w:r>
        <w:rPr>
          <w:rFonts w:ascii="Aptos" w:hAnsi="Aptos"/>
        </w:rPr>
        <w:instrText xml:space="preserve"> \* MERGEFORMAT </w:instrText>
      </w:r>
      <w:r w:rsidRPr="00B46962">
        <w:rPr>
          <w:rFonts w:ascii="Aptos" w:hAnsi="Aptos"/>
        </w:rPr>
      </w:r>
      <w:r w:rsidRPr="00B46962">
        <w:rPr>
          <w:rFonts w:ascii="Aptos" w:hAnsi="Aptos"/>
        </w:rPr>
        <w:fldChar w:fldCharType="separate"/>
      </w:r>
      <w:r w:rsidRPr="004D6E86">
        <w:rPr>
          <w:rFonts w:ascii="Aptos" w:hAnsi="Aptos"/>
        </w:rPr>
        <w:t xml:space="preserve">Figure </w:t>
      </w:r>
      <w:r w:rsidRPr="004D6E86">
        <w:rPr>
          <w:rFonts w:ascii="Aptos" w:hAnsi="Aptos"/>
          <w:noProof/>
        </w:rPr>
        <w:t>8</w:t>
      </w:r>
      <w:r w:rsidRPr="00B46962">
        <w:rPr>
          <w:rFonts w:ascii="Aptos" w:hAnsi="Aptos"/>
        </w:rPr>
        <w:fldChar w:fldCharType="end"/>
      </w:r>
      <w:r w:rsidRPr="00A31984">
        <w:rPr>
          <w:rFonts w:ascii="Aptos" w:hAnsi="Aptos"/>
        </w:rPr>
        <w:t xml:space="preserve"> to 13 in Annex I. </w:t>
      </w:r>
    </w:p>
    <w:p w14:paraId="66564EA9" w14:textId="77777777" w:rsidR="00612106" w:rsidRPr="00A31984" w:rsidRDefault="00612106" w:rsidP="00612106">
      <w:pPr>
        <w:rPr>
          <w:rFonts w:ascii="Aptos" w:hAnsi="Aptos"/>
        </w:rPr>
      </w:pPr>
      <w:r w:rsidRPr="00A31984">
        <w:rPr>
          <w:rFonts w:ascii="Aptos" w:hAnsi="Aptos"/>
        </w:rPr>
        <w:t>As we would expect, the plot for both sets of bonds (liquid and illiquid) is upward sloping, with ADV increasing with issuance size. To identify the optimal point on the curve, we look to find the point at which the difference between liquid and illiquid ADV is at its widest (maximizing the spread between liquid and illiquid). Essentially, this aims to optimize the difference between liquid and illiquid bonds based on their relative ADV. While this works well in the case of a non-linear (quadratic) relationship between ADV and issuance size, we observe that in most cases the relationship is linear (ie the gradient of the curve is relatively constant). Here we apply a different methodology, whereby we look for the point on the illiquid curve where the gradient of the curve is at its lowest; ie where an incremental increase in issuance size has the least effect on ADV.</w:t>
      </w:r>
    </w:p>
    <w:p w14:paraId="244E58FA" w14:textId="77777777" w:rsidR="00612106" w:rsidRPr="00A31984" w:rsidRDefault="00612106" w:rsidP="00612106">
      <w:pPr>
        <w:rPr>
          <w:rFonts w:ascii="Aptos" w:hAnsi="Aptos"/>
        </w:rPr>
      </w:pPr>
    </w:p>
    <w:p w14:paraId="6679E0C7" w14:textId="77777777" w:rsidR="00612106" w:rsidRPr="00A31984" w:rsidRDefault="00612106" w:rsidP="00612106">
      <w:pPr>
        <w:rPr>
          <w:rFonts w:ascii="Aptos" w:hAnsi="Aptos"/>
          <w:i/>
        </w:rPr>
      </w:pPr>
      <w:r w:rsidRPr="00A31984">
        <w:rPr>
          <w:rFonts w:ascii="Aptos" w:hAnsi="Aptos"/>
          <w:i/>
        </w:rPr>
        <w:t>Issuance size distributions</w:t>
      </w:r>
    </w:p>
    <w:p w14:paraId="6CB1162C" w14:textId="5D9602ED" w:rsidR="00612106" w:rsidRDefault="00612106" w:rsidP="00612106">
      <w:pPr>
        <w:rPr>
          <w:rFonts w:ascii="Aptos" w:hAnsi="Aptos"/>
        </w:rPr>
      </w:pPr>
      <w:r w:rsidRPr="00A31984">
        <w:rPr>
          <w:rFonts w:ascii="Aptos" w:hAnsi="Aptos"/>
        </w:rPr>
        <w:t>The outstanding issuance sizes observed in each grouping are also a helpful reference point. These are illustrated in in the below table. While there is no strict rule, we would probably expect the threshold at least</w:t>
      </w:r>
      <w:r w:rsidRPr="00B46962">
        <w:rPr>
          <w:rFonts w:ascii="Aptos" w:hAnsi="Aptos"/>
        </w:rPr>
        <w:t xml:space="preserve"> </w:t>
      </w:r>
      <w:r>
        <w:rPr>
          <w:rFonts w:ascii="Aptos" w:hAnsi="Aptos"/>
        </w:rPr>
        <w:t>to</w:t>
      </w:r>
      <w:r w:rsidRPr="00A31984">
        <w:rPr>
          <w:rFonts w:ascii="Aptos" w:hAnsi="Aptos"/>
        </w:rPr>
        <w:t xml:space="preserve"> be in line with mean and median values, and not significantly above or below. </w:t>
      </w:r>
    </w:p>
    <w:p w14:paraId="633C5390" w14:textId="77777777" w:rsidR="006F6AC1" w:rsidRDefault="006F6AC1" w:rsidP="00612106">
      <w:pPr>
        <w:rPr>
          <w:rFonts w:ascii="Aptos" w:hAnsi="Aptos"/>
        </w:rPr>
      </w:pPr>
    </w:p>
    <w:p w14:paraId="7627ACD5" w14:textId="77777777" w:rsidR="006F6AC1" w:rsidRPr="00A31984" w:rsidRDefault="006F6AC1" w:rsidP="00612106">
      <w:pPr>
        <w:rPr>
          <w:rFonts w:ascii="Aptos" w:hAnsi="Aptos"/>
        </w:rPr>
      </w:pPr>
    </w:p>
    <w:p w14:paraId="60AC74B1" w14:textId="77777777" w:rsidR="00612106" w:rsidRPr="00A31984" w:rsidRDefault="00612106" w:rsidP="00612106">
      <w:pPr>
        <w:rPr>
          <w:rFonts w:ascii="Aptos" w:hAnsi="Aptos"/>
        </w:rPr>
      </w:pPr>
    </w:p>
    <w:tbl>
      <w:tblPr>
        <w:tblW w:w="5000" w:type="pct"/>
        <w:tblCellMar>
          <w:left w:w="0" w:type="dxa"/>
          <w:right w:w="0" w:type="dxa"/>
        </w:tblCellMar>
        <w:tblLook w:val="04A0" w:firstRow="1" w:lastRow="0" w:firstColumn="1" w:lastColumn="0" w:noHBand="0" w:noVBand="1"/>
      </w:tblPr>
      <w:tblGrid>
        <w:gridCol w:w="1034"/>
        <w:gridCol w:w="2179"/>
        <w:gridCol w:w="2369"/>
        <w:gridCol w:w="1912"/>
        <w:gridCol w:w="1913"/>
      </w:tblGrid>
      <w:tr w:rsidR="00612106" w:rsidRPr="00B46962" w14:paraId="56319FE6" w14:textId="77777777" w:rsidTr="00B24BC8">
        <w:trPr>
          <w:trHeight w:val="317"/>
        </w:trPr>
        <w:tc>
          <w:tcPr>
            <w:tcW w:w="550" w:type="pct"/>
            <w:tcBorders>
              <w:top w:val="nil"/>
              <w:left w:val="nil"/>
              <w:bottom w:val="nil"/>
              <w:right w:val="nil"/>
            </w:tcBorders>
            <w:shd w:val="clear" w:color="auto" w:fill="auto"/>
            <w:noWrap/>
            <w:tcMar>
              <w:top w:w="15" w:type="dxa"/>
              <w:left w:w="15" w:type="dxa"/>
              <w:bottom w:w="0" w:type="dxa"/>
              <w:right w:w="15" w:type="dxa"/>
            </w:tcMar>
            <w:hideMark/>
          </w:tcPr>
          <w:p w14:paraId="53059AEB" w14:textId="77777777" w:rsidR="00612106" w:rsidRPr="00A31984" w:rsidRDefault="00612106" w:rsidP="00B24BC8">
            <w:pPr>
              <w:jc w:val="center"/>
              <w:rPr>
                <w:rFonts w:ascii="Aptos" w:hAnsi="Aptos"/>
              </w:rPr>
            </w:pPr>
          </w:p>
        </w:tc>
        <w:tc>
          <w:tcPr>
            <w:tcW w:w="4450" w:type="pct"/>
            <w:gridSpan w:val="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9150370" w14:textId="77777777" w:rsidR="00612106" w:rsidRPr="00A31984" w:rsidRDefault="00612106" w:rsidP="00B24BC8">
            <w:pPr>
              <w:jc w:val="center"/>
              <w:rPr>
                <w:rFonts w:ascii="Aptos" w:hAnsi="Aptos"/>
                <w:color w:val="000000"/>
              </w:rPr>
            </w:pPr>
            <w:r w:rsidRPr="00A31984">
              <w:rPr>
                <w:rFonts w:ascii="Aptos" w:hAnsi="Aptos"/>
                <w:color w:val="000000"/>
              </w:rPr>
              <w:t>Issue size – figures in €</w:t>
            </w:r>
          </w:p>
        </w:tc>
      </w:tr>
      <w:tr w:rsidR="00612106" w:rsidRPr="00B46962" w14:paraId="6362F562" w14:textId="77777777" w:rsidTr="00B24BC8">
        <w:trPr>
          <w:trHeight w:val="317"/>
        </w:trPr>
        <w:tc>
          <w:tcPr>
            <w:tcW w:w="550" w:type="pct"/>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hideMark/>
          </w:tcPr>
          <w:p w14:paraId="48D02DF2" w14:textId="77777777" w:rsidR="00612106" w:rsidRPr="00B46962" w:rsidRDefault="00612106" w:rsidP="00B24BC8">
            <w:pPr>
              <w:jc w:val="center"/>
              <w:rPr>
                <w:rFonts w:ascii="Aptos" w:hAnsi="Aptos"/>
                <w:b/>
                <w:bCs/>
                <w:color w:val="000000"/>
              </w:rPr>
            </w:pPr>
            <w:r w:rsidRPr="00B46962">
              <w:rPr>
                <w:rFonts w:ascii="Aptos" w:hAnsi="Aptos"/>
                <w:b/>
                <w:bCs/>
                <w:color w:val="000000"/>
              </w:rPr>
              <w:t>Group</w:t>
            </w:r>
          </w:p>
        </w:tc>
        <w:tc>
          <w:tcPr>
            <w:tcW w:w="1158"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14:paraId="757F6C43" w14:textId="77777777" w:rsidR="00612106" w:rsidRPr="00B46962" w:rsidRDefault="00612106" w:rsidP="00B24BC8">
            <w:pPr>
              <w:jc w:val="center"/>
              <w:rPr>
                <w:rFonts w:ascii="Aptos" w:hAnsi="Aptos"/>
                <w:b/>
                <w:bCs/>
                <w:color w:val="000000"/>
              </w:rPr>
            </w:pPr>
            <w:r w:rsidRPr="00B46962">
              <w:rPr>
                <w:rFonts w:ascii="Aptos" w:hAnsi="Aptos"/>
                <w:b/>
                <w:bCs/>
                <w:color w:val="000000"/>
              </w:rPr>
              <w:t>25th percentile</w:t>
            </w:r>
          </w:p>
        </w:tc>
        <w:tc>
          <w:tcPr>
            <w:tcW w:w="1259"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14:paraId="34692DE4" w14:textId="77777777" w:rsidR="00612106" w:rsidRPr="00B46962" w:rsidRDefault="00612106" w:rsidP="00B24BC8">
            <w:pPr>
              <w:jc w:val="center"/>
              <w:rPr>
                <w:rFonts w:ascii="Aptos" w:hAnsi="Aptos"/>
                <w:b/>
                <w:bCs/>
                <w:color w:val="000000"/>
              </w:rPr>
            </w:pPr>
            <w:r w:rsidRPr="00B46962">
              <w:rPr>
                <w:rFonts w:ascii="Aptos" w:hAnsi="Aptos"/>
                <w:b/>
                <w:bCs/>
                <w:color w:val="000000"/>
              </w:rPr>
              <w:t>mean</w:t>
            </w:r>
          </w:p>
        </w:tc>
        <w:tc>
          <w:tcPr>
            <w:tcW w:w="1016"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14:paraId="42125EDE" w14:textId="77777777" w:rsidR="00612106" w:rsidRPr="00B46962" w:rsidRDefault="00612106" w:rsidP="00B24BC8">
            <w:pPr>
              <w:jc w:val="center"/>
              <w:rPr>
                <w:rFonts w:ascii="Aptos" w:hAnsi="Aptos"/>
                <w:b/>
                <w:bCs/>
                <w:color w:val="000000"/>
              </w:rPr>
            </w:pPr>
            <w:r w:rsidRPr="00B46962">
              <w:rPr>
                <w:rFonts w:ascii="Aptos" w:hAnsi="Aptos"/>
                <w:b/>
                <w:bCs/>
                <w:color w:val="000000"/>
              </w:rPr>
              <w:t>Median</w:t>
            </w:r>
          </w:p>
        </w:tc>
        <w:tc>
          <w:tcPr>
            <w:tcW w:w="1017"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hideMark/>
          </w:tcPr>
          <w:p w14:paraId="55CE38B9" w14:textId="77777777" w:rsidR="00612106" w:rsidRPr="00B46962" w:rsidRDefault="00612106" w:rsidP="00B24BC8">
            <w:pPr>
              <w:jc w:val="center"/>
              <w:rPr>
                <w:rFonts w:ascii="Aptos" w:hAnsi="Aptos"/>
                <w:b/>
                <w:bCs/>
                <w:color w:val="000000"/>
              </w:rPr>
            </w:pPr>
            <w:r w:rsidRPr="00B46962">
              <w:rPr>
                <w:rFonts w:ascii="Aptos" w:hAnsi="Aptos"/>
                <w:b/>
                <w:bCs/>
                <w:color w:val="000000"/>
              </w:rPr>
              <w:t>75th percentile</w:t>
            </w:r>
          </w:p>
        </w:tc>
      </w:tr>
      <w:tr w:rsidR="00612106" w:rsidRPr="00B46962" w14:paraId="226E2584" w14:textId="77777777" w:rsidTr="00B24BC8">
        <w:trPr>
          <w:trHeight w:val="317"/>
        </w:trPr>
        <w:tc>
          <w:tcPr>
            <w:tcW w:w="55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66CAB2F"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Group1</w:t>
            </w:r>
          </w:p>
        </w:tc>
        <w:tc>
          <w:tcPr>
            <w:tcW w:w="11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1F00A34"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18,647,217,300</w:t>
            </w:r>
          </w:p>
        </w:tc>
        <w:tc>
          <w:tcPr>
            <w:tcW w:w="1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0C46ED2"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37,895,588,957</w:t>
            </w:r>
          </w:p>
        </w:tc>
        <w:tc>
          <w:tcPr>
            <w:tcW w:w="1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DC2091"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31,571,254,099</w:t>
            </w:r>
          </w:p>
        </w:tc>
        <w:tc>
          <w:tcPr>
            <w:tcW w:w="10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9DA2FF1"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47,899,120,400</w:t>
            </w:r>
          </w:p>
        </w:tc>
      </w:tr>
      <w:tr w:rsidR="00612106" w:rsidRPr="00B46962" w14:paraId="159B5421" w14:textId="77777777" w:rsidTr="00B24BC8">
        <w:trPr>
          <w:trHeight w:val="317"/>
        </w:trPr>
        <w:tc>
          <w:tcPr>
            <w:tcW w:w="55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6A2012E"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Group2</w:t>
            </w:r>
          </w:p>
        </w:tc>
        <w:tc>
          <w:tcPr>
            <w:tcW w:w="11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1445CF"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751,587,750</w:t>
            </w:r>
          </w:p>
        </w:tc>
        <w:tc>
          <w:tcPr>
            <w:tcW w:w="1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4C6F907"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5,606,781,758</w:t>
            </w:r>
          </w:p>
        </w:tc>
        <w:tc>
          <w:tcPr>
            <w:tcW w:w="1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04C71C9"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1,631,495,000</w:t>
            </w:r>
          </w:p>
        </w:tc>
        <w:tc>
          <w:tcPr>
            <w:tcW w:w="10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FB6099B"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5,533,275,825</w:t>
            </w:r>
          </w:p>
        </w:tc>
      </w:tr>
      <w:tr w:rsidR="00612106" w:rsidRPr="00B46962" w14:paraId="212E4F0B" w14:textId="77777777" w:rsidTr="00B24BC8">
        <w:trPr>
          <w:trHeight w:val="317"/>
        </w:trPr>
        <w:tc>
          <w:tcPr>
            <w:tcW w:w="55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2F74125"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Group3</w:t>
            </w:r>
          </w:p>
        </w:tc>
        <w:tc>
          <w:tcPr>
            <w:tcW w:w="11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628AE309"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100,000,000</w:t>
            </w:r>
          </w:p>
        </w:tc>
        <w:tc>
          <w:tcPr>
            <w:tcW w:w="1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0534ABC3"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775,760,268</w:t>
            </w:r>
          </w:p>
        </w:tc>
        <w:tc>
          <w:tcPr>
            <w:tcW w:w="1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50AE1A00"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228,140,250</w:t>
            </w:r>
          </w:p>
        </w:tc>
        <w:tc>
          <w:tcPr>
            <w:tcW w:w="10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2285AC0"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918,738,750</w:t>
            </w:r>
          </w:p>
        </w:tc>
      </w:tr>
      <w:tr w:rsidR="00612106" w:rsidRPr="00B46962" w14:paraId="6A552ABD" w14:textId="77777777" w:rsidTr="00B24BC8">
        <w:trPr>
          <w:trHeight w:val="317"/>
        </w:trPr>
        <w:tc>
          <w:tcPr>
            <w:tcW w:w="55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9B23EE"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Group4</w:t>
            </w:r>
          </w:p>
        </w:tc>
        <w:tc>
          <w:tcPr>
            <w:tcW w:w="11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2BE0726"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416,880,500</w:t>
            </w:r>
          </w:p>
        </w:tc>
        <w:tc>
          <w:tcPr>
            <w:tcW w:w="1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F2524A9"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741,639,188</w:t>
            </w:r>
          </w:p>
        </w:tc>
        <w:tc>
          <w:tcPr>
            <w:tcW w:w="1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EFC116F"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600,000,000</w:t>
            </w:r>
          </w:p>
        </w:tc>
        <w:tc>
          <w:tcPr>
            <w:tcW w:w="10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7357EFA"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913,292,000</w:t>
            </w:r>
          </w:p>
        </w:tc>
      </w:tr>
      <w:tr w:rsidR="00612106" w:rsidRPr="00B46962" w14:paraId="7C149803" w14:textId="77777777" w:rsidTr="00B24BC8">
        <w:trPr>
          <w:trHeight w:val="317"/>
        </w:trPr>
        <w:tc>
          <w:tcPr>
            <w:tcW w:w="55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558068"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Group5</w:t>
            </w:r>
          </w:p>
        </w:tc>
        <w:tc>
          <w:tcPr>
            <w:tcW w:w="11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B2BF743"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30,000,000</w:t>
            </w:r>
          </w:p>
        </w:tc>
        <w:tc>
          <w:tcPr>
            <w:tcW w:w="1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70B9AB3D"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287,293,697</w:t>
            </w:r>
          </w:p>
        </w:tc>
        <w:tc>
          <w:tcPr>
            <w:tcW w:w="1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DEB4490"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100,000,000</w:t>
            </w:r>
          </w:p>
        </w:tc>
        <w:tc>
          <w:tcPr>
            <w:tcW w:w="10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65B21676"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445,021,500</w:t>
            </w:r>
          </w:p>
        </w:tc>
      </w:tr>
      <w:tr w:rsidR="00612106" w:rsidRPr="00B46962" w14:paraId="45AA7AF8" w14:textId="77777777" w:rsidTr="00B24BC8">
        <w:trPr>
          <w:trHeight w:val="317"/>
        </w:trPr>
        <w:tc>
          <w:tcPr>
            <w:tcW w:w="550"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D18A18D"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Group6</w:t>
            </w:r>
          </w:p>
        </w:tc>
        <w:tc>
          <w:tcPr>
            <w:tcW w:w="115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74FA7ECD"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180,349,365</w:t>
            </w:r>
          </w:p>
        </w:tc>
        <w:tc>
          <w:tcPr>
            <w:tcW w:w="125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8DF83D8"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617,766,026</w:t>
            </w:r>
          </w:p>
        </w:tc>
        <w:tc>
          <w:tcPr>
            <w:tcW w:w="101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41D1DB99"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500,000,000</w:t>
            </w:r>
          </w:p>
        </w:tc>
        <w:tc>
          <w:tcPr>
            <w:tcW w:w="101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AE2462A" w14:textId="77777777" w:rsidR="00612106" w:rsidRPr="00B46962" w:rsidRDefault="00612106" w:rsidP="00B24BC8">
            <w:pPr>
              <w:spacing w:after="0" w:line="240" w:lineRule="auto"/>
              <w:jc w:val="center"/>
              <w:rPr>
                <w:rFonts w:ascii="Aptos" w:eastAsia="Times New Roman" w:hAnsi="Aptos" w:cs="Times New Roman"/>
                <w:color w:val="000000"/>
                <w:lang w:eastAsia="en-GB"/>
              </w:rPr>
            </w:pPr>
            <w:r w:rsidRPr="00B46962">
              <w:rPr>
                <w:rFonts w:ascii="Aptos" w:eastAsia="Times New Roman" w:hAnsi="Aptos" w:cs="Times New Roman"/>
                <w:color w:val="000000"/>
                <w:lang w:eastAsia="en-GB"/>
              </w:rPr>
              <w:t>750,000,000</w:t>
            </w:r>
          </w:p>
        </w:tc>
      </w:tr>
    </w:tbl>
    <w:p w14:paraId="383C6166" w14:textId="77777777" w:rsidR="00612106" w:rsidRDefault="00612106" w:rsidP="00612106">
      <w:pPr>
        <w:rPr>
          <w:rFonts w:ascii="Aptos" w:hAnsi="Aptos"/>
        </w:rPr>
      </w:pPr>
    </w:p>
    <w:p w14:paraId="1610AD72" w14:textId="77777777" w:rsidR="00360439" w:rsidRPr="00A31984" w:rsidRDefault="00360439" w:rsidP="00360439">
      <w:pPr>
        <w:rPr>
          <w:rFonts w:ascii="Aptos" w:hAnsi="Aptos"/>
          <w:i/>
        </w:rPr>
      </w:pPr>
      <w:r w:rsidRPr="00A31984">
        <w:rPr>
          <w:rFonts w:ascii="Aptos" w:hAnsi="Aptos"/>
          <w:i/>
        </w:rPr>
        <w:t>Liquid vs Illiquid ISIN count</w:t>
      </w:r>
    </w:p>
    <w:p w14:paraId="18DA9F92" w14:textId="77777777" w:rsidR="00360439" w:rsidRDefault="00360439" w:rsidP="00360439">
      <w:pPr>
        <w:rPr>
          <w:rFonts w:ascii="Aptos" w:hAnsi="Aptos"/>
        </w:rPr>
      </w:pPr>
      <w:r w:rsidRPr="00A31984">
        <w:rPr>
          <w:rFonts w:ascii="Aptos" w:hAnsi="Aptos"/>
        </w:rPr>
        <w:t xml:space="preserve">For each grouping we look at the percentage of liquid vs illiquid bonds for each issuance size threshold (see Figures 14 o 19 in Annex </w:t>
      </w:r>
      <w:r w:rsidRPr="00B46962">
        <w:rPr>
          <w:rFonts w:ascii="Aptos" w:hAnsi="Aptos"/>
        </w:rPr>
        <w:t>I</w:t>
      </w:r>
      <w:r w:rsidRPr="00A31984">
        <w:rPr>
          <w:rFonts w:ascii="Aptos" w:hAnsi="Aptos"/>
        </w:rPr>
        <w:t xml:space="preserve">). There is no rule for what the optimal ratio should be, given that certain bond classes and sub-classes are inherently less liquid. However, we would expect that when we look at less liquid bond types, the proportion of illiquid bonds should increase relative to liquid bonds. </w:t>
      </w:r>
    </w:p>
    <w:p w14:paraId="05CB29A2" w14:textId="6B1E6A20" w:rsidR="00360439" w:rsidRPr="00A31984" w:rsidRDefault="00360439" w:rsidP="00360439">
      <w:pPr>
        <w:rPr>
          <w:rFonts w:ascii="Aptos" w:hAnsi="Aptos"/>
        </w:rPr>
      </w:pPr>
      <w:r w:rsidRPr="00A31984">
        <w:rPr>
          <w:rFonts w:ascii="Aptos" w:hAnsi="Aptos"/>
        </w:rPr>
        <w:t xml:space="preserve">Based on analysis using its 2023 data set, as well as member feedback, ICMA proposes the following issuance size thresholds as the liquidity determinant for each grouping. However, ICMA would also encourage ESMA to undertake its own analysis, particularly with attention to the relationship between ADV and issuance size, although ICMA would expect ESMA to reach similar conclusions. </w:t>
      </w:r>
    </w:p>
    <w:tbl>
      <w:tblPr>
        <w:tblStyle w:val="TableGrid"/>
        <w:tblW w:w="0" w:type="auto"/>
        <w:tblLook w:val="04A0" w:firstRow="1" w:lastRow="0" w:firstColumn="1" w:lastColumn="0" w:noHBand="0" w:noVBand="1"/>
      </w:tblPr>
      <w:tblGrid>
        <w:gridCol w:w="1133"/>
        <w:gridCol w:w="2012"/>
        <w:gridCol w:w="2087"/>
        <w:gridCol w:w="1990"/>
        <w:gridCol w:w="1794"/>
      </w:tblGrid>
      <w:tr w:rsidR="00360439" w:rsidRPr="00B46962" w14:paraId="79272114" w14:textId="77777777" w:rsidTr="00B24BC8">
        <w:tc>
          <w:tcPr>
            <w:tcW w:w="1133" w:type="dxa"/>
            <w:shd w:val="clear" w:color="auto" w:fill="D9D9D9" w:themeFill="background1" w:themeFillShade="D9"/>
          </w:tcPr>
          <w:p w14:paraId="599ACEC4" w14:textId="77777777" w:rsidR="00360439" w:rsidRPr="00A31984" w:rsidRDefault="00360439" w:rsidP="00B24BC8">
            <w:pPr>
              <w:rPr>
                <w:rFonts w:ascii="Aptos" w:hAnsi="Aptos"/>
                <w:b/>
              </w:rPr>
            </w:pPr>
            <w:r w:rsidRPr="00A31984">
              <w:rPr>
                <w:rFonts w:ascii="Aptos" w:hAnsi="Aptos"/>
                <w:b/>
              </w:rPr>
              <w:t>Grouping</w:t>
            </w:r>
          </w:p>
        </w:tc>
        <w:tc>
          <w:tcPr>
            <w:tcW w:w="2012" w:type="dxa"/>
            <w:shd w:val="clear" w:color="auto" w:fill="D9D9D9" w:themeFill="background1" w:themeFillShade="D9"/>
          </w:tcPr>
          <w:p w14:paraId="22FB2167" w14:textId="77777777" w:rsidR="00360439" w:rsidRPr="00A31984" w:rsidRDefault="00360439" w:rsidP="00B24BC8">
            <w:pPr>
              <w:rPr>
                <w:rFonts w:ascii="Aptos" w:hAnsi="Aptos"/>
                <w:b/>
              </w:rPr>
            </w:pPr>
            <w:r w:rsidRPr="00A31984">
              <w:rPr>
                <w:rFonts w:ascii="Aptos" w:hAnsi="Aptos"/>
                <w:b/>
              </w:rPr>
              <w:t>ADV optimization</w:t>
            </w:r>
          </w:p>
        </w:tc>
        <w:tc>
          <w:tcPr>
            <w:tcW w:w="2087" w:type="dxa"/>
            <w:shd w:val="clear" w:color="auto" w:fill="D9D9D9" w:themeFill="background1" w:themeFillShade="D9"/>
          </w:tcPr>
          <w:p w14:paraId="173D2AFC" w14:textId="77777777" w:rsidR="00360439" w:rsidRPr="00A31984" w:rsidRDefault="00360439" w:rsidP="00B24BC8">
            <w:pPr>
              <w:rPr>
                <w:rFonts w:ascii="Aptos" w:hAnsi="Aptos"/>
                <w:b/>
              </w:rPr>
            </w:pPr>
            <w:r w:rsidRPr="00A31984">
              <w:rPr>
                <w:rFonts w:ascii="Aptos" w:hAnsi="Aptos"/>
                <w:b/>
              </w:rPr>
              <w:t>Average Issuance size</w:t>
            </w:r>
          </w:p>
        </w:tc>
        <w:tc>
          <w:tcPr>
            <w:tcW w:w="1990" w:type="dxa"/>
            <w:shd w:val="clear" w:color="auto" w:fill="D9D9D9" w:themeFill="background1" w:themeFillShade="D9"/>
          </w:tcPr>
          <w:p w14:paraId="20A6D2BA" w14:textId="77777777" w:rsidR="00360439" w:rsidRPr="00A31984" w:rsidRDefault="00360439" w:rsidP="00B24BC8">
            <w:pPr>
              <w:rPr>
                <w:rFonts w:ascii="Aptos" w:hAnsi="Aptos"/>
                <w:b/>
              </w:rPr>
            </w:pPr>
            <w:r w:rsidRPr="00A31984">
              <w:rPr>
                <w:rFonts w:ascii="Aptos" w:hAnsi="Aptos"/>
                <w:b/>
              </w:rPr>
              <w:t>50:50 Liquid/Illiquid</w:t>
            </w:r>
          </w:p>
        </w:tc>
        <w:tc>
          <w:tcPr>
            <w:tcW w:w="1794" w:type="dxa"/>
            <w:shd w:val="clear" w:color="auto" w:fill="D9D9D9" w:themeFill="background1" w:themeFillShade="D9"/>
          </w:tcPr>
          <w:p w14:paraId="3AEEE07E" w14:textId="77777777" w:rsidR="00360439" w:rsidRPr="00A31984" w:rsidRDefault="00360439" w:rsidP="00B24BC8">
            <w:pPr>
              <w:rPr>
                <w:rFonts w:ascii="Aptos" w:hAnsi="Aptos"/>
                <w:b/>
              </w:rPr>
            </w:pPr>
            <w:r w:rsidRPr="00A31984">
              <w:rPr>
                <w:rFonts w:ascii="Aptos" w:hAnsi="Aptos"/>
                <w:b/>
              </w:rPr>
              <w:t>Proposed Threshold</w:t>
            </w:r>
          </w:p>
        </w:tc>
      </w:tr>
      <w:tr w:rsidR="00360439" w:rsidRPr="00B46962" w14:paraId="4CC3A751" w14:textId="77777777" w:rsidTr="00B24BC8">
        <w:tc>
          <w:tcPr>
            <w:tcW w:w="1133" w:type="dxa"/>
          </w:tcPr>
          <w:p w14:paraId="6D2CFE44" w14:textId="77777777" w:rsidR="00360439" w:rsidRPr="00A31984" w:rsidRDefault="00360439" w:rsidP="00B24BC8">
            <w:pPr>
              <w:rPr>
                <w:rFonts w:ascii="Aptos" w:hAnsi="Aptos"/>
              </w:rPr>
            </w:pPr>
            <w:r w:rsidRPr="00A31984">
              <w:rPr>
                <w:rFonts w:ascii="Aptos" w:hAnsi="Aptos"/>
              </w:rPr>
              <w:t>1</w:t>
            </w:r>
          </w:p>
        </w:tc>
        <w:tc>
          <w:tcPr>
            <w:tcW w:w="2012" w:type="dxa"/>
          </w:tcPr>
          <w:p w14:paraId="7223563C" w14:textId="77777777" w:rsidR="00360439" w:rsidRPr="00A31984" w:rsidRDefault="00360439" w:rsidP="00B24BC8">
            <w:pPr>
              <w:rPr>
                <w:rFonts w:ascii="Aptos" w:hAnsi="Aptos"/>
              </w:rPr>
            </w:pPr>
            <w:r w:rsidRPr="00A31984">
              <w:rPr>
                <w:rFonts w:ascii="Aptos" w:hAnsi="Aptos"/>
              </w:rPr>
              <w:t>€15-20bn</w:t>
            </w:r>
          </w:p>
        </w:tc>
        <w:tc>
          <w:tcPr>
            <w:tcW w:w="2087" w:type="dxa"/>
          </w:tcPr>
          <w:p w14:paraId="50B02C6A" w14:textId="77777777" w:rsidR="00360439" w:rsidRPr="00A31984" w:rsidRDefault="00360439" w:rsidP="00B24BC8">
            <w:pPr>
              <w:rPr>
                <w:rFonts w:ascii="Aptos" w:hAnsi="Aptos"/>
              </w:rPr>
            </w:pPr>
            <w:r w:rsidRPr="00A31984">
              <w:rPr>
                <w:rFonts w:ascii="Aptos" w:hAnsi="Aptos"/>
              </w:rPr>
              <w:t>€37.9bn</w:t>
            </w:r>
          </w:p>
        </w:tc>
        <w:tc>
          <w:tcPr>
            <w:tcW w:w="1990" w:type="dxa"/>
          </w:tcPr>
          <w:p w14:paraId="11A4B8A6" w14:textId="77777777" w:rsidR="00360439" w:rsidRPr="00A31984" w:rsidRDefault="00360439" w:rsidP="00B24BC8">
            <w:pPr>
              <w:rPr>
                <w:rFonts w:ascii="Aptos" w:hAnsi="Aptos"/>
              </w:rPr>
            </w:pPr>
            <w:r w:rsidRPr="00A31984">
              <w:rPr>
                <w:rFonts w:ascii="Aptos" w:hAnsi="Aptos"/>
              </w:rPr>
              <w:t>€31.6bn</w:t>
            </w:r>
          </w:p>
        </w:tc>
        <w:tc>
          <w:tcPr>
            <w:tcW w:w="1794" w:type="dxa"/>
            <w:shd w:val="clear" w:color="auto" w:fill="A3DBFF"/>
          </w:tcPr>
          <w:p w14:paraId="774C7F7C" w14:textId="77777777" w:rsidR="00360439" w:rsidRPr="00A31984" w:rsidRDefault="00360439" w:rsidP="00B24BC8">
            <w:pPr>
              <w:rPr>
                <w:rFonts w:ascii="Aptos" w:hAnsi="Aptos"/>
                <w:b/>
              </w:rPr>
            </w:pPr>
            <w:r w:rsidRPr="00A31984">
              <w:rPr>
                <w:rFonts w:ascii="Aptos" w:hAnsi="Aptos"/>
                <w:b/>
              </w:rPr>
              <w:t>≥ €10bn</w:t>
            </w:r>
          </w:p>
        </w:tc>
      </w:tr>
      <w:tr w:rsidR="00360439" w:rsidRPr="00B46962" w14:paraId="783F1062" w14:textId="77777777" w:rsidTr="00B24BC8">
        <w:tc>
          <w:tcPr>
            <w:tcW w:w="1133" w:type="dxa"/>
          </w:tcPr>
          <w:p w14:paraId="08F69E3A" w14:textId="77777777" w:rsidR="00360439" w:rsidRPr="00A31984" w:rsidRDefault="00360439" w:rsidP="00B24BC8">
            <w:pPr>
              <w:rPr>
                <w:rFonts w:ascii="Aptos" w:hAnsi="Aptos"/>
              </w:rPr>
            </w:pPr>
            <w:r w:rsidRPr="00A31984">
              <w:rPr>
                <w:rFonts w:ascii="Aptos" w:hAnsi="Aptos"/>
              </w:rPr>
              <w:t>2</w:t>
            </w:r>
          </w:p>
        </w:tc>
        <w:tc>
          <w:tcPr>
            <w:tcW w:w="2012" w:type="dxa"/>
          </w:tcPr>
          <w:p w14:paraId="7820DBB4" w14:textId="77777777" w:rsidR="00360439" w:rsidRPr="00A31984" w:rsidRDefault="00360439" w:rsidP="00B24BC8">
            <w:pPr>
              <w:rPr>
                <w:rFonts w:ascii="Aptos" w:hAnsi="Aptos"/>
              </w:rPr>
            </w:pPr>
            <w:r w:rsidRPr="00A31984">
              <w:rPr>
                <w:rFonts w:ascii="Aptos" w:hAnsi="Aptos"/>
              </w:rPr>
              <w:t>€12.5-20bn</w:t>
            </w:r>
          </w:p>
        </w:tc>
        <w:tc>
          <w:tcPr>
            <w:tcW w:w="2087" w:type="dxa"/>
          </w:tcPr>
          <w:p w14:paraId="1F9970EB" w14:textId="77777777" w:rsidR="00360439" w:rsidRPr="00A31984" w:rsidRDefault="00360439" w:rsidP="00B24BC8">
            <w:pPr>
              <w:rPr>
                <w:rFonts w:ascii="Aptos" w:hAnsi="Aptos"/>
              </w:rPr>
            </w:pPr>
            <w:r w:rsidRPr="00A31984">
              <w:rPr>
                <w:rFonts w:ascii="Aptos" w:hAnsi="Aptos"/>
              </w:rPr>
              <w:t>€5.6bn</w:t>
            </w:r>
          </w:p>
        </w:tc>
        <w:tc>
          <w:tcPr>
            <w:tcW w:w="1990" w:type="dxa"/>
          </w:tcPr>
          <w:p w14:paraId="5C8DA9D5" w14:textId="77777777" w:rsidR="00360439" w:rsidRPr="00A31984" w:rsidRDefault="00360439" w:rsidP="00B24BC8">
            <w:pPr>
              <w:rPr>
                <w:rFonts w:ascii="Aptos" w:hAnsi="Aptos"/>
              </w:rPr>
            </w:pPr>
            <w:r w:rsidRPr="00A31984">
              <w:rPr>
                <w:rFonts w:ascii="Aptos" w:hAnsi="Aptos"/>
              </w:rPr>
              <w:t>€1.6bn</w:t>
            </w:r>
          </w:p>
        </w:tc>
        <w:tc>
          <w:tcPr>
            <w:tcW w:w="1794" w:type="dxa"/>
            <w:shd w:val="clear" w:color="auto" w:fill="A3DBFF"/>
          </w:tcPr>
          <w:p w14:paraId="41B92EA4" w14:textId="77777777" w:rsidR="00360439" w:rsidRPr="00A31984" w:rsidRDefault="00360439" w:rsidP="00B24BC8">
            <w:pPr>
              <w:rPr>
                <w:rFonts w:ascii="Aptos" w:hAnsi="Aptos"/>
                <w:b/>
              </w:rPr>
            </w:pPr>
            <w:r w:rsidRPr="00A31984">
              <w:rPr>
                <w:rFonts w:ascii="Aptos" w:hAnsi="Aptos"/>
                <w:b/>
              </w:rPr>
              <w:t>≥ €5bn</w:t>
            </w:r>
          </w:p>
        </w:tc>
      </w:tr>
      <w:tr w:rsidR="00360439" w:rsidRPr="00B46962" w14:paraId="1F547A1E" w14:textId="77777777" w:rsidTr="00B24BC8">
        <w:tc>
          <w:tcPr>
            <w:tcW w:w="1133" w:type="dxa"/>
          </w:tcPr>
          <w:p w14:paraId="26647265" w14:textId="77777777" w:rsidR="00360439" w:rsidRPr="00A31984" w:rsidRDefault="00360439" w:rsidP="00B24BC8">
            <w:pPr>
              <w:rPr>
                <w:rFonts w:ascii="Aptos" w:hAnsi="Aptos"/>
              </w:rPr>
            </w:pPr>
            <w:r w:rsidRPr="00A31984">
              <w:rPr>
                <w:rFonts w:ascii="Aptos" w:hAnsi="Aptos"/>
              </w:rPr>
              <w:t>3</w:t>
            </w:r>
          </w:p>
        </w:tc>
        <w:tc>
          <w:tcPr>
            <w:tcW w:w="2012" w:type="dxa"/>
          </w:tcPr>
          <w:p w14:paraId="76854AA7" w14:textId="77777777" w:rsidR="00360439" w:rsidRPr="00A31984" w:rsidRDefault="00360439" w:rsidP="00B24BC8">
            <w:pPr>
              <w:rPr>
                <w:rFonts w:ascii="Aptos" w:hAnsi="Aptos"/>
              </w:rPr>
            </w:pPr>
            <w:r w:rsidRPr="00A31984">
              <w:rPr>
                <w:rFonts w:ascii="Aptos" w:hAnsi="Aptos"/>
              </w:rPr>
              <w:t>€5-7bn</w:t>
            </w:r>
          </w:p>
        </w:tc>
        <w:tc>
          <w:tcPr>
            <w:tcW w:w="2087" w:type="dxa"/>
          </w:tcPr>
          <w:p w14:paraId="728DF12F" w14:textId="77777777" w:rsidR="00360439" w:rsidRPr="00A31984" w:rsidRDefault="00360439" w:rsidP="00B24BC8">
            <w:pPr>
              <w:rPr>
                <w:rFonts w:ascii="Aptos" w:hAnsi="Aptos"/>
              </w:rPr>
            </w:pPr>
            <w:r w:rsidRPr="00A31984">
              <w:rPr>
                <w:rFonts w:ascii="Aptos" w:hAnsi="Aptos"/>
              </w:rPr>
              <w:t>€776mn</w:t>
            </w:r>
          </w:p>
        </w:tc>
        <w:tc>
          <w:tcPr>
            <w:tcW w:w="1990" w:type="dxa"/>
          </w:tcPr>
          <w:p w14:paraId="4A6A967A" w14:textId="77777777" w:rsidR="00360439" w:rsidRPr="00A31984" w:rsidRDefault="00360439" w:rsidP="00B24BC8">
            <w:pPr>
              <w:rPr>
                <w:rFonts w:ascii="Aptos" w:hAnsi="Aptos"/>
              </w:rPr>
            </w:pPr>
            <w:r w:rsidRPr="00A31984">
              <w:rPr>
                <w:rFonts w:ascii="Aptos" w:hAnsi="Aptos"/>
              </w:rPr>
              <w:t>€228mn</w:t>
            </w:r>
          </w:p>
        </w:tc>
        <w:tc>
          <w:tcPr>
            <w:tcW w:w="1794" w:type="dxa"/>
            <w:shd w:val="clear" w:color="auto" w:fill="A3DBFF"/>
          </w:tcPr>
          <w:p w14:paraId="761BB0A4" w14:textId="77777777" w:rsidR="00360439" w:rsidRPr="00A31984" w:rsidRDefault="00360439" w:rsidP="00B24BC8">
            <w:pPr>
              <w:rPr>
                <w:rFonts w:ascii="Aptos" w:hAnsi="Aptos"/>
                <w:b/>
              </w:rPr>
            </w:pPr>
            <w:r w:rsidRPr="00A31984">
              <w:rPr>
                <w:rFonts w:ascii="Aptos" w:hAnsi="Aptos"/>
                <w:b/>
              </w:rPr>
              <w:t>≥ €1bn</w:t>
            </w:r>
          </w:p>
        </w:tc>
      </w:tr>
      <w:tr w:rsidR="00360439" w:rsidRPr="00B46962" w14:paraId="36AC828F" w14:textId="77777777" w:rsidTr="00B24BC8">
        <w:tc>
          <w:tcPr>
            <w:tcW w:w="1133" w:type="dxa"/>
          </w:tcPr>
          <w:p w14:paraId="06DD922A" w14:textId="77777777" w:rsidR="00360439" w:rsidRPr="00A31984" w:rsidRDefault="00360439" w:rsidP="00B24BC8">
            <w:pPr>
              <w:rPr>
                <w:rFonts w:ascii="Aptos" w:hAnsi="Aptos"/>
              </w:rPr>
            </w:pPr>
            <w:r w:rsidRPr="00A31984">
              <w:rPr>
                <w:rFonts w:ascii="Aptos" w:hAnsi="Aptos"/>
              </w:rPr>
              <w:t>4</w:t>
            </w:r>
          </w:p>
        </w:tc>
        <w:tc>
          <w:tcPr>
            <w:tcW w:w="2012" w:type="dxa"/>
          </w:tcPr>
          <w:p w14:paraId="7D3D10BF" w14:textId="77777777" w:rsidR="00360439" w:rsidRPr="00A31984" w:rsidRDefault="00360439" w:rsidP="00B24BC8">
            <w:pPr>
              <w:rPr>
                <w:rFonts w:ascii="Aptos" w:hAnsi="Aptos"/>
              </w:rPr>
            </w:pPr>
            <w:r w:rsidRPr="00A31984">
              <w:rPr>
                <w:rFonts w:ascii="Aptos" w:hAnsi="Aptos"/>
              </w:rPr>
              <w:t>€750mn-1.25bn</w:t>
            </w:r>
          </w:p>
        </w:tc>
        <w:tc>
          <w:tcPr>
            <w:tcW w:w="2087" w:type="dxa"/>
            <w:shd w:val="clear" w:color="auto" w:fill="auto"/>
          </w:tcPr>
          <w:p w14:paraId="2AB87822" w14:textId="77777777" w:rsidR="00360439" w:rsidRPr="00A31984" w:rsidRDefault="00360439" w:rsidP="00B24BC8">
            <w:pPr>
              <w:rPr>
                <w:rFonts w:ascii="Aptos" w:hAnsi="Aptos"/>
              </w:rPr>
            </w:pPr>
            <w:r w:rsidRPr="00A31984">
              <w:rPr>
                <w:rFonts w:ascii="Aptos" w:hAnsi="Aptos"/>
              </w:rPr>
              <w:t>€742mn</w:t>
            </w:r>
          </w:p>
        </w:tc>
        <w:tc>
          <w:tcPr>
            <w:tcW w:w="1990" w:type="dxa"/>
            <w:shd w:val="clear" w:color="auto" w:fill="auto"/>
          </w:tcPr>
          <w:p w14:paraId="01E576DD" w14:textId="77777777" w:rsidR="00360439" w:rsidRPr="00A31984" w:rsidRDefault="00360439" w:rsidP="00B24BC8">
            <w:pPr>
              <w:rPr>
                <w:rFonts w:ascii="Aptos" w:hAnsi="Aptos"/>
              </w:rPr>
            </w:pPr>
            <w:r w:rsidRPr="00A31984">
              <w:rPr>
                <w:rFonts w:ascii="Aptos" w:hAnsi="Aptos"/>
              </w:rPr>
              <w:t>€600mn</w:t>
            </w:r>
          </w:p>
        </w:tc>
        <w:tc>
          <w:tcPr>
            <w:tcW w:w="1794" w:type="dxa"/>
            <w:shd w:val="clear" w:color="auto" w:fill="A3DBFF"/>
          </w:tcPr>
          <w:p w14:paraId="5B0DACD6" w14:textId="77777777" w:rsidR="00360439" w:rsidRPr="00A31984" w:rsidRDefault="00360439" w:rsidP="00B24BC8">
            <w:pPr>
              <w:rPr>
                <w:rFonts w:ascii="Aptos" w:hAnsi="Aptos"/>
                <w:b/>
              </w:rPr>
            </w:pPr>
            <w:r w:rsidRPr="00A31984">
              <w:rPr>
                <w:rFonts w:ascii="Aptos" w:hAnsi="Aptos"/>
                <w:b/>
              </w:rPr>
              <w:t>≥ €750mn</w:t>
            </w:r>
          </w:p>
        </w:tc>
      </w:tr>
      <w:tr w:rsidR="00360439" w:rsidRPr="00B46962" w14:paraId="0B0BA9AF" w14:textId="77777777" w:rsidTr="00B24BC8">
        <w:tc>
          <w:tcPr>
            <w:tcW w:w="1133" w:type="dxa"/>
          </w:tcPr>
          <w:p w14:paraId="13197940" w14:textId="77777777" w:rsidR="00360439" w:rsidRPr="00A31984" w:rsidRDefault="00360439" w:rsidP="00B24BC8">
            <w:pPr>
              <w:rPr>
                <w:rFonts w:ascii="Aptos" w:hAnsi="Aptos"/>
              </w:rPr>
            </w:pPr>
            <w:r w:rsidRPr="00A31984">
              <w:rPr>
                <w:rFonts w:ascii="Aptos" w:hAnsi="Aptos"/>
              </w:rPr>
              <w:t>5</w:t>
            </w:r>
          </w:p>
        </w:tc>
        <w:tc>
          <w:tcPr>
            <w:tcW w:w="2012" w:type="dxa"/>
          </w:tcPr>
          <w:p w14:paraId="534D42CC" w14:textId="77777777" w:rsidR="00360439" w:rsidRPr="00A31984" w:rsidRDefault="00360439" w:rsidP="00B24BC8">
            <w:pPr>
              <w:rPr>
                <w:rFonts w:ascii="Aptos" w:hAnsi="Aptos"/>
              </w:rPr>
            </w:pPr>
            <w:r w:rsidRPr="00A31984">
              <w:rPr>
                <w:rFonts w:ascii="Aptos" w:hAnsi="Aptos"/>
              </w:rPr>
              <w:t>€750mn-1.25bn</w:t>
            </w:r>
          </w:p>
        </w:tc>
        <w:tc>
          <w:tcPr>
            <w:tcW w:w="2087" w:type="dxa"/>
            <w:shd w:val="clear" w:color="auto" w:fill="auto"/>
          </w:tcPr>
          <w:p w14:paraId="56086EF0" w14:textId="77777777" w:rsidR="00360439" w:rsidRPr="00A31984" w:rsidRDefault="00360439" w:rsidP="00B24BC8">
            <w:pPr>
              <w:rPr>
                <w:rFonts w:ascii="Aptos" w:hAnsi="Aptos"/>
              </w:rPr>
            </w:pPr>
            <w:r w:rsidRPr="00A31984">
              <w:rPr>
                <w:rFonts w:ascii="Aptos" w:hAnsi="Aptos"/>
              </w:rPr>
              <w:t>€287mn</w:t>
            </w:r>
          </w:p>
        </w:tc>
        <w:tc>
          <w:tcPr>
            <w:tcW w:w="1990" w:type="dxa"/>
            <w:shd w:val="clear" w:color="auto" w:fill="auto"/>
          </w:tcPr>
          <w:p w14:paraId="1C94DD6F" w14:textId="77777777" w:rsidR="00360439" w:rsidRPr="00A31984" w:rsidRDefault="00360439" w:rsidP="00B24BC8">
            <w:pPr>
              <w:rPr>
                <w:rFonts w:ascii="Aptos" w:hAnsi="Aptos"/>
              </w:rPr>
            </w:pPr>
            <w:r w:rsidRPr="00A31984">
              <w:rPr>
                <w:rFonts w:ascii="Aptos" w:hAnsi="Aptos"/>
              </w:rPr>
              <w:t>€100mn</w:t>
            </w:r>
          </w:p>
        </w:tc>
        <w:tc>
          <w:tcPr>
            <w:tcW w:w="1794" w:type="dxa"/>
            <w:shd w:val="clear" w:color="auto" w:fill="A3DBFF"/>
          </w:tcPr>
          <w:p w14:paraId="15FFA28D" w14:textId="77777777" w:rsidR="00360439" w:rsidRPr="00A31984" w:rsidRDefault="00360439" w:rsidP="00B24BC8">
            <w:pPr>
              <w:rPr>
                <w:rFonts w:ascii="Aptos" w:hAnsi="Aptos"/>
                <w:b/>
              </w:rPr>
            </w:pPr>
            <w:r w:rsidRPr="00A31984">
              <w:rPr>
                <w:rFonts w:ascii="Aptos" w:hAnsi="Aptos"/>
                <w:b/>
              </w:rPr>
              <w:t>≥ €750mn</w:t>
            </w:r>
          </w:p>
        </w:tc>
      </w:tr>
      <w:tr w:rsidR="00360439" w:rsidRPr="00B46962" w14:paraId="6E793D60" w14:textId="77777777" w:rsidTr="00B24BC8">
        <w:tc>
          <w:tcPr>
            <w:tcW w:w="1133" w:type="dxa"/>
          </w:tcPr>
          <w:p w14:paraId="5979435D" w14:textId="77777777" w:rsidR="00360439" w:rsidRPr="00A31984" w:rsidRDefault="00360439" w:rsidP="00B24BC8">
            <w:pPr>
              <w:rPr>
                <w:rFonts w:ascii="Aptos" w:hAnsi="Aptos"/>
              </w:rPr>
            </w:pPr>
            <w:r w:rsidRPr="00A31984">
              <w:rPr>
                <w:rFonts w:ascii="Aptos" w:hAnsi="Aptos"/>
              </w:rPr>
              <w:t>6</w:t>
            </w:r>
          </w:p>
        </w:tc>
        <w:tc>
          <w:tcPr>
            <w:tcW w:w="2012" w:type="dxa"/>
          </w:tcPr>
          <w:p w14:paraId="1C1A27BF" w14:textId="77777777" w:rsidR="00360439" w:rsidRPr="00A31984" w:rsidRDefault="00360439" w:rsidP="00B24BC8">
            <w:pPr>
              <w:rPr>
                <w:rFonts w:ascii="Aptos" w:hAnsi="Aptos"/>
              </w:rPr>
            </w:pPr>
            <w:r w:rsidRPr="00A31984">
              <w:rPr>
                <w:rFonts w:ascii="Aptos" w:hAnsi="Aptos"/>
              </w:rPr>
              <w:t>€1-1.75bn</w:t>
            </w:r>
          </w:p>
        </w:tc>
        <w:tc>
          <w:tcPr>
            <w:tcW w:w="2087" w:type="dxa"/>
          </w:tcPr>
          <w:p w14:paraId="32737F83" w14:textId="77777777" w:rsidR="00360439" w:rsidRPr="00A31984" w:rsidRDefault="00360439" w:rsidP="00B24BC8">
            <w:pPr>
              <w:rPr>
                <w:rFonts w:ascii="Aptos" w:hAnsi="Aptos"/>
              </w:rPr>
            </w:pPr>
            <w:r w:rsidRPr="00A31984">
              <w:rPr>
                <w:rFonts w:ascii="Aptos" w:hAnsi="Aptos"/>
              </w:rPr>
              <w:t>€618mn</w:t>
            </w:r>
          </w:p>
        </w:tc>
        <w:tc>
          <w:tcPr>
            <w:tcW w:w="1990" w:type="dxa"/>
          </w:tcPr>
          <w:p w14:paraId="13EF961D" w14:textId="77777777" w:rsidR="00360439" w:rsidRPr="00A31984" w:rsidRDefault="00360439" w:rsidP="00B24BC8">
            <w:pPr>
              <w:rPr>
                <w:rFonts w:ascii="Aptos" w:hAnsi="Aptos"/>
              </w:rPr>
            </w:pPr>
            <w:r w:rsidRPr="00A31984">
              <w:rPr>
                <w:rFonts w:ascii="Aptos" w:hAnsi="Aptos"/>
              </w:rPr>
              <w:t>€500mn</w:t>
            </w:r>
          </w:p>
        </w:tc>
        <w:tc>
          <w:tcPr>
            <w:tcW w:w="1794" w:type="dxa"/>
            <w:shd w:val="clear" w:color="auto" w:fill="A3DBFF"/>
          </w:tcPr>
          <w:p w14:paraId="695EA1FC" w14:textId="77777777" w:rsidR="00360439" w:rsidRPr="00A31984" w:rsidRDefault="00360439" w:rsidP="00B24BC8">
            <w:pPr>
              <w:rPr>
                <w:rFonts w:ascii="Aptos" w:hAnsi="Aptos"/>
                <w:b/>
              </w:rPr>
            </w:pPr>
            <w:r w:rsidRPr="00A31984">
              <w:rPr>
                <w:rFonts w:ascii="Aptos" w:hAnsi="Aptos"/>
                <w:b/>
              </w:rPr>
              <w:t>≥ €1bn</w:t>
            </w:r>
          </w:p>
        </w:tc>
      </w:tr>
    </w:tbl>
    <w:p w14:paraId="4A62B1E0" w14:textId="5E08EDF0" w:rsidR="00612106" w:rsidRDefault="00360439" w:rsidP="00360439">
      <w:pPr>
        <w:rPr>
          <w:rFonts w:ascii="Aptos" w:hAnsi="Aptos"/>
        </w:rPr>
      </w:pPr>
      <w:r w:rsidRPr="00B46962">
        <w:rPr>
          <w:rFonts w:ascii="Aptos" w:hAnsi="Aptos"/>
        </w:rPr>
        <w:lastRenderedPageBreak/>
        <w:t xml:space="preserve">Again, ICMA would make the point that while some of the proposed thresholds are notably higher than those suggested by ESMA, selecting the right calibration will ensure the optimal determination of liquid and illiquid bonds within the relevant groupings, as well as allowing for higher trade size thresholds with respect to liquid bonds for the corresponding deferrals. Selecting an issue size threshold that is too low will simply result in a less optimal determination of what is liquid and illiquid, along with much lower deferral trade size thresholds.  </w:t>
      </w:r>
    </w:p>
    <w:p w14:paraId="7576A4B7" w14:textId="77777777" w:rsidR="00612106" w:rsidRDefault="00612106" w:rsidP="00612106">
      <w:pPr>
        <w:spacing w:after="0"/>
        <w:rPr>
          <w:rFonts w:ascii="Aptos" w:hAnsi="Aptos"/>
        </w:rPr>
      </w:pPr>
    </w:p>
    <w:permEnd w:id="1628839836"/>
    <w:p w14:paraId="03AED2EA" w14:textId="090BB81E"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16E6BB62" w14:textId="77777777" w:rsidR="006F6AC1" w:rsidRPr="00A31984" w:rsidRDefault="006F6AC1" w:rsidP="006F6AC1">
      <w:pPr>
        <w:rPr>
          <w:rFonts w:ascii="Aptos" w:hAnsi="Aptos"/>
        </w:rPr>
      </w:pPr>
      <w:permStart w:id="1550012690" w:edGrp="everyone"/>
      <w:r w:rsidRPr="00A31984">
        <w:rPr>
          <w:rFonts w:ascii="Aptos" w:hAnsi="Aptos"/>
        </w:rPr>
        <w:t>ICMA believes that the trade size thresholds for each deferral category should reflect the estimated time required by liquidity providers to trade out of a risk position. Using the ADV of liquid and illiquid</w:t>
      </w:r>
      <w:r w:rsidRPr="00A31984">
        <w:rPr>
          <w:rFonts w:ascii="Aptos" w:hAnsi="Aptos"/>
          <w:i/>
        </w:rPr>
        <w:t xml:space="preserve"> </w:t>
      </w:r>
      <w:r w:rsidRPr="00A31984">
        <w:rPr>
          <w:rFonts w:ascii="Aptos" w:hAnsi="Aptos"/>
        </w:rPr>
        <w:t>bonds within each grouping is a helpful gauge in this respect, as dividing the size of a trade by the</w:t>
      </w:r>
      <w:r>
        <w:rPr>
          <w:rFonts w:ascii="Aptos" w:hAnsi="Aptos"/>
        </w:rPr>
        <w:t xml:space="preserve"> </w:t>
      </w:r>
      <w:r w:rsidRPr="00A31984">
        <w:rPr>
          <w:rFonts w:ascii="Aptos" w:hAnsi="Aptos"/>
        </w:rPr>
        <w:t>related ADV provides a crude indication of the expected (average) time to trade out of the position in terms of days and fractions of days. (See also Annex IV for an explanation of the methodology.)</w:t>
      </w:r>
    </w:p>
    <w:p w14:paraId="2CAF5F0B" w14:textId="77777777" w:rsidR="006F6AC1" w:rsidRPr="00A31984" w:rsidRDefault="006F6AC1" w:rsidP="006F6AC1">
      <w:pPr>
        <w:rPr>
          <w:rFonts w:ascii="Aptos" w:hAnsi="Aptos"/>
          <w:i/>
        </w:rPr>
      </w:pPr>
    </w:p>
    <w:p w14:paraId="5EDDE490" w14:textId="77777777" w:rsidR="006F6AC1" w:rsidRPr="00A31984" w:rsidRDefault="006F6AC1" w:rsidP="006F6AC1">
      <w:pPr>
        <w:rPr>
          <w:rFonts w:ascii="Aptos" w:hAnsi="Aptos"/>
          <w:i/>
        </w:rPr>
      </w:pPr>
      <w:r w:rsidRPr="00A31984">
        <w:rPr>
          <w:rFonts w:ascii="Aptos" w:hAnsi="Aptos"/>
          <w:i/>
        </w:rPr>
        <w:t>Refining the real-time and deferral categories</w:t>
      </w:r>
    </w:p>
    <w:p w14:paraId="019651AA" w14:textId="77777777" w:rsidR="006F6AC1" w:rsidRPr="00A31984" w:rsidRDefault="006F6AC1" w:rsidP="006F6AC1">
      <w:pPr>
        <w:rPr>
          <w:rFonts w:ascii="Aptos" w:hAnsi="Aptos"/>
        </w:rPr>
      </w:pPr>
      <w:r w:rsidRPr="00A31984">
        <w:rPr>
          <w:rFonts w:ascii="Aptos" w:hAnsi="Aptos"/>
        </w:rPr>
        <w:t>However, given the significant difference in ADV between liquid</w:t>
      </w:r>
      <w:r w:rsidRPr="00A31984">
        <w:rPr>
          <w:rFonts w:ascii="Aptos" w:hAnsi="Aptos"/>
          <w:i/>
        </w:rPr>
        <w:t xml:space="preserve"> </w:t>
      </w:r>
      <w:r w:rsidRPr="00A31984">
        <w:rPr>
          <w:rFonts w:ascii="Aptos" w:hAnsi="Aptos"/>
        </w:rPr>
        <w:t>and illiquid</w:t>
      </w:r>
      <w:r w:rsidRPr="00A31984">
        <w:rPr>
          <w:rFonts w:ascii="Aptos" w:hAnsi="Aptos"/>
          <w:i/>
        </w:rPr>
        <w:t xml:space="preserve"> </w:t>
      </w:r>
      <w:r w:rsidRPr="00A31984">
        <w:rPr>
          <w:rFonts w:ascii="Aptos" w:hAnsi="Aptos"/>
        </w:rPr>
        <w:t>bonds in each category, the proposed deferral matrix requires further refinement to reflect this reality. The current proposal does not provide for different real-time thresholds (category “N/A”) for</w:t>
      </w:r>
      <w:r w:rsidRPr="00A31984">
        <w:rPr>
          <w:rFonts w:ascii="Aptos" w:hAnsi="Aptos"/>
          <w:i/>
        </w:rPr>
        <w:t xml:space="preserve"> </w:t>
      </w:r>
      <w:r w:rsidRPr="00A31984">
        <w:rPr>
          <w:rFonts w:ascii="Aptos" w:hAnsi="Aptos"/>
        </w:rPr>
        <w:t>liquid and illiquid bonds, and accordingly uses the same thresholds for</w:t>
      </w:r>
      <w:r w:rsidRPr="00A31984">
        <w:rPr>
          <w:rFonts w:ascii="Aptos" w:hAnsi="Aptos"/>
          <w:i/>
        </w:rPr>
        <w:t xml:space="preserve"> </w:t>
      </w:r>
      <w:r w:rsidRPr="00A31984">
        <w:rPr>
          <w:rFonts w:ascii="Aptos" w:hAnsi="Aptos"/>
        </w:rPr>
        <w:t xml:space="preserve">liquid and illiquid bonds in each category, including </w:t>
      </w:r>
      <w:r w:rsidRPr="00A31984">
        <w:rPr>
          <w:rFonts w:ascii="Aptos" w:hAnsi="Aptos"/>
          <w:i/>
        </w:rPr>
        <w:t>category 5</w:t>
      </w:r>
      <w:r w:rsidRPr="00A31984">
        <w:rPr>
          <w:rFonts w:ascii="Aptos" w:hAnsi="Aptos"/>
        </w:rPr>
        <w:t xml:space="preserve"> (</w:t>
      </w:r>
      <w:r w:rsidRPr="00A31984">
        <w:rPr>
          <w:rFonts w:ascii="Aptos" w:hAnsi="Aptos"/>
          <w:i/>
        </w:rPr>
        <w:t>Very Large transactions</w:t>
      </w:r>
      <w:r w:rsidRPr="00A31984">
        <w:rPr>
          <w:rFonts w:ascii="Aptos" w:hAnsi="Aptos"/>
        </w:rPr>
        <w:t>). ICMA sees this as a weakness in the proposed framework as it will naturally result in trade size thresholds that are too low for most liquid bonds, and too high for most illiquid bonds. By splitting categories N/A and 5 into liquid and illiquid</w:t>
      </w:r>
      <w:r w:rsidRPr="00A31984">
        <w:rPr>
          <w:rFonts w:ascii="Aptos" w:hAnsi="Aptos"/>
          <w:i/>
        </w:rPr>
        <w:t xml:space="preserve"> </w:t>
      </w:r>
      <w:r w:rsidRPr="00A31984">
        <w:rPr>
          <w:rFonts w:ascii="Aptos" w:hAnsi="Aptos"/>
        </w:rPr>
        <w:t>sub-categories, it is possible to apply more precisely calibrated trade size thresholds that recognize the different ADV between liquid and illiquid bonds in each grouping.</w:t>
      </w:r>
    </w:p>
    <w:p w14:paraId="4CADE7DD" w14:textId="74B94536" w:rsidR="006F6AC1" w:rsidRPr="00A31984" w:rsidRDefault="006F6AC1" w:rsidP="006F6AC1">
      <w:pPr>
        <w:rPr>
          <w:rFonts w:ascii="Aptos" w:hAnsi="Aptos"/>
        </w:rPr>
      </w:pPr>
      <w:r w:rsidRPr="00A31984">
        <w:rPr>
          <w:rFonts w:ascii="Aptos" w:hAnsi="Aptos"/>
        </w:rPr>
        <w:t>ICMA’s proposal therefore introduces “N/A Liquid” and “N/A Illiquid” categories for real-time transparency, along with a new category 6 (“Very large Illiquid”). ICMA further suggests that to ensure compliance with the Level 1 requirements, it may be possible to split each proposed grouping into a Liquid and Illiquid sub-grouping</w:t>
      </w:r>
      <w:r w:rsidR="00A31CA9">
        <w:rPr>
          <w:rFonts w:ascii="Aptos" w:hAnsi="Aptos"/>
        </w:rPr>
        <w:t>.</w:t>
      </w:r>
    </w:p>
    <w:tbl>
      <w:tblPr>
        <w:tblStyle w:val="TableGrid"/>
        <w:tblW w:w="0" w:type="auto"/>
        <w:tblLook w:val="04A0" w:firstRow="1" w:lastRow="0" w:firstColumn="1" w:lastColumn="0" w:noHBand="0" w:noVBand="1"/>
      </w:tblPr>
      <w:tblGrid>
        <w:gridCol w:w="1612"/>
        <w:gridCol w:w="1612"/>
        <w:gridCol w:w="1271"/>
        <w:gridCol w:w="1156"/>
        <w:gridCol w:w="1707"/>
        <w:gridCol w:w="1658"/>
      </w:tblGrid>
      <w:tr w:rsidR="006F6AC1" w:rsidRPr="00B46962" w14:paraId="3EC6D301" w14:textId="77777777" w:rsidTr="00B24BC8">
        <w:tc>
          <w:tcPr>
            <w:tcW w:w="9016" w:type="dxa"/>
            <w:gridSpan w:val="6"/>
            <w:shd w:val="clear" w:color="auto" w:fill="FFFFFF" w:themeFill="background1"/>
          </w:tcPr>
          <w:p w14:paraId="46A4E3E0" w14:textId="77777777" w:rsidR="006F6AC1" w:rsidRPr="00A31984" w:rsidRDefault="006F6AC1" w:rsidP="00B24BC8">
            <w:pPr>
              <w:jc w:val="center"/>
              <w:rPr>
                <w:rFonts w:ascii="Aptos" w:hAnsi="Aptos"/>
                <w:b/>
              </w:rPr>
            </w:pPr>
            <w:r w:rsidRPr="00A31984">
              <w:rPr>
                <w:rFonts w:ascii="Aptos" w:hAnsi="Aptos"/>
                <w:b/>
              </w:rPr>
              <w:lastRenderedPageBreak/>
              <w:t>Liquid</w:t>
            </w:r>
          </w:p>
        </w:tc>
      </w:tr>
      <w:tr w:rsidR="006F6AC1" w:rsidRPr="00B46962" w14:paraId="52634444" w14:textId="77777777" w:rsidTr="00B24BC8">
        <w:tc>
          <w:tcPr>
            <w:tcW w:w="1612" w:type="dxa"/>
            <w:shd w:val="clear" w:color="auto" w:fill="D9D9D9" w:themeFill="background1" w:themeFillShade="D9"/>
          </w:tcPr>
          <w:p w14:paraId="6C99A3E7" w14:textId="77777777" w:rsidR="006F6AC1" w:rsidRPr="00A31984" w:rsidRDefault="006F6AC1" w:rsidP="00B24BC8">
            <w:pPr>
              <w:jc w:val="center"/>
              <w:rPr>
                <w:rFonts w:ascii="Aptos" w:hAnsi="Aptos"/>
                <w:b/>
              </w:rPr>
            </w:pPr>
            <w:r w:rsidRPr="00A31984">
              <w:rPr>
                <w:rFonts w:ascii="Aptos" w:hAnsi="Aptos"/>
                <w:b/>
              </w:rPr>
              <w:t>Category</w:t>
            </w:r>
          </w:p>
        </w:tc>
        <w:tc>
          <w:tcPr>
            <w:tcW w:w="1612" w:type="dxa"/>
            <w:shd w:val="clear" w:color="auto" w:fill="D9D9D9" w:themeFill="background1" w:themeFillShade="D9"/>
          </w:tcPr>
          <w:p w14:paraId="5D31CD40" w14:textId="77777777" w:rsidR="006F6AC1" w:rsidRPr="00A31984" w:rsidRDefault="006F6AC1" w:rsidP="00B24BC8">
            <w:pPr>
              <w:rPr>
                <w:rFonts w:ascii="Aptos" w:hAnsi="Aptos"/>
                <w:b/>
              </w:rPr>
            </w:pPr>
            <w:r w:rsidRPr="00A31984">
              <w:rPr>
                <w:rFonts w:ascii="Aptos" w:hAnsi="Aptos"/>
                <w:b/>
              </w:rPr>
              <w:t>Issuance size</w:t>
            </w:r>
          </w:p>
        </w:tc>
        <w:tc>
          <w:tcPr>
            <w:tcW w:w="1271" w:type="dxa"/>
            <w:shd w:val="clear" w:color="auto" w:fill="D9D9D9" w:themeFill="background1" w:themeFillShade="D9"/>
          </w:tcPr>
          <w:p w14:paraId="5A9C05A9" w14:textId="77777777" w:rsidR="006F6AC1" w:rsidRPr="00A31984" w:rsidRDefault="006F6AC1" w:rsidP="00B24BC8">
            <w:pPr>
              <w:rPr>
                <w:rFonts w:ascii="Aptos" w:hAnsi="Aptos"/>
                <w:b/>
              </w:rPr>
            </w:pPr>
          </w:p>
        </w:tc>
        <w:tc>
          <w:tcPr>
            <w:tcW w:w="1156" w:type="dxa"/>
            <w:shd w:val="clear" w:color="auto" w:fill="D9D9D9" w:themeFill="background1" w:themeFillShade="D9"/>
          </w:tcPr>
          <w:p w14:paraId="2E921670" w14:textId="77777777" w:rsidR="006F6AC1" w:rsidRPr="00A31984" w:rsidRDefault="006F6AC1" w:rsidP="00B24BC8">
            <w:pPr>
              <w:rPr>
                <w:rFonts w:ascii="Aptos" w:hAnsi="Aptos"/>
                <w:b/>
              </w:rPr>
            </w:pPr>
            <w:r w:rsidRPr="00A31984">
              <w:rPr>
                <w:rFonts w:ascii="Aptos" w:hAnsi="Aptos"/>
                <w:b/>
              </w:rPr>
              <w:t>Trade Size</w:t>
            </w:r>
          </w:p>
        </w:tc>
        <w:tc>
          <w:tcPr>
            <w:tcW w:w="1707" w:type="dxa"/>
            <w:shd w:val="clear" w:color="auto" w:fill="D9D9D9" w:themeFill="background1" w:themeFillShade="D9"/>
          </w:tcPr>
          <w:p w14:paraId="35738BB3" w14:textId="77777777" w:rsidR="006F6AC1" w:rsidRPr="00A31984" w:rsidRDefault="006F6AC1" w:rsidP="00B24BC8">
            <w:pPr>
              <w:rPr>
                <w:rFonts w:ascii="Aptos" w:hAnsi="Aptos"/>
                <w:b/>
              </w:rPr>
            </w:pPr>
            <w:r w:rsidRPr="00A31984">
              <w:rPr>
                <w:rFonts w:ascii="Aptos" w:hAnsi="Aptos"/>
                <w:b/>
              </w:rPr>
              <w:t>Price deferral</w:t>
            </w:r>
          </w:p>
        </w:tc>
        <w:tc>
          <w:tcPr>
            <w:tcW w:w="1658" w:type="dxa"/>
            <w:shd w:val="clear" w:color="auto" w:fill="D9D9D9" w:themeFill="background1" w:themeFillShade="D9"/>
          </w:tcPr>
          <w:p w14:paraId="2CC310AB" w14:textId="77777777" w:rsidR="006F6AC1" w:rsidRPr="00A31984" w:rsidRDefault="006F6AC1" w:rsidP="00B24BC8">
            <w:pPr>
              <w:rPr>
                <w:rFonts w:ascii="Aptos" w:hAnsi="Aptos"/>
                <w:b/>
              </w:rPr>
            </w:pPr>
            <w:r w:rsidRPr="00A31984">
              <w:rPr>
                <w:rFonts w:ascii="Aptos" w:hAnsi="Aptos"/>
                <w:b/>
              </w:rPr>
              <w:t>Volume deferral</w:t>
            </w:r>
          </w:p>
        </w:tc>
      </w:tr>
      <w:tr w:rsidR="006F6AC1" w:rsidRPr="00B46962" w14:paraId="4E421588" w14:textId="77777777" w:rsidTr="00B24BC8">
        <w:tc>
          <w:tcPr>
            <w:tcW w:w="1612" w:type="dxa"/>
          </w:tcPr>
          <w:p w14:paraId="453EBDDE" w14:textId="77777777" w:rsidR="006F6AC1" w:rsidRPr="00A31984" w:rsidRDefault="006F6AC1" w:rsidP="00B24BC8">
            <w:pPr>
              <w:rPr>
                <w:rFonts w:ascii="Aptos" w:hAnsi="Aptos"/>
              </w:rPr>
            </w:pPr>
            <w:r w:rsidRPr="00A31984">
              <w:rPr>
                <w:rFonts w:ascii="Aptos" w:hAnsi="Aptos"/>
              </w:rPr>
              <w:t xml:space="preserve">N/A Liquid </w:t>
            </w:r>
          </w:p>
        </w:tc>
        <w:tc>
          <w:tcPr>
            <w:tcW w:w="1612" w:type="dxa"/>
          </w:tcPr>
          <w:p w14:paraId="1306CD56" w14:textId="77777777" w:rsidR="006F6AC1" w:rsidRPr="00A31984" w:rsidRDefault="006F6AC1" w:rsidP="00B24BC8">
            <w:pPr>
              <w:rPr>
                <w:rFonts w:ascii="Aptos" w:hAnsi="Aptos"/>
              </w:rPr>
            </w:pPr>
            <w:r w:rsidRPr="00A31984">
              <w:rPr>
                <w:rFonts w:ascii="Aptos" w:hAnsi="Aptos"/>
              </w:rPr>
              <w:t>≥ X</w:t>
            </w:r>
          </w:p>
        </w:tc>
        <w:tc>
          <w:tcPr>
            <w:tcW w:w="1271" w:type="dxa"/>
          </w:tcPr>
          <w:p w14:paraId="07000E00" w14:textId="77777777" w:rsidR="006F6AC1" w:rsidRPr="00A31984" w:rsidRDefault="006F6AC1" w:rsidP="00B24BC8">
            <w:pPr>
              <w:rPr>
                <w:rFonts w:ascii="Aptos" w:hAnsi="Aptos"/>
              </w:rPr>
            </w:pPr>
          </w:p>
        </w:tc>
        <w:tc>
          <w:tcPr>
            <w:tcW w:w="1156" w:type="dxa"/>
          </w:tcPr>
          <w:p w14:paraId="2825BA7E" w14:textId="77777777" w:rsidR="006F6AC1" w:rsidRPr="00A31984" w:rsidRDefault="006F6AC1" w:rsidP="00B24BC8">
            <w:pPr>
              <w:rPr>
                <w:rFonts w:ascii="Aptos" w:hAnsi="Aptos"/>
              </w:rPr>
            </w:pPr>
            <w:r w:rsidRPr="00A31984">
              <w:rPr>
                <w:rFonts w:ascii="Aptos" w:hAnsi="Aptos"/>
              </w:rPr>
              <w:t>&lt; a</w:t>
            </w:r>
          </w:p>
        </w:tc>
        <w:tc>
          <w:tcPr>
            <w:tcW w:w="3365" w:type="dxa"/>
            <w:gridSpan w:val="2"/>
          </w:tcPr>
          <w:p w14:paraId="4A7038DB" w14:textId="77777777" w:rsidR="006F6AC1" w:rsidRPr="00A31984" w:rsidRDefault="006F6AC1" w:rsidP="00B24BC8">
            <w:pPr>
              <w:jc w:val="center"/>
              <w:rPr>
                <w:rFonts w:ascii="Aptos" w:hAnsi="Aptos"/>
              </w:rPr>
            </w:pPr>
            <w:r w:rsidRPr="00A31984">
              <w:rPr>
                <w:rFonts w:ascii="Aptos" w:hAnsi="Aptos"/>
              </w:rPr>
              <w:t>Real Time</w:t>
            </w:r>
          </w:p>
        </w:tc>
      </w:tr>
      <w:tr w:rsidR="006F6AC1" w:rsidRPr="00B46962" w14:paraId="58A3E295" w14:textId="77777777" w:rsidTr="00B24BC8">
        <w:tc>
          <w:tcPr>
            <w:tcW w:w="1612" w:type="dxa"/>
          </w:tcPr>
          <w:p w14:paraId="5840D26E" w14:textId="77777777" w:rsidR="006F6AC1" w:rsidRPr="00A31984" w:rsidRDefault="006F6AC1" w:rsidP="00B24BC8">
            <w:pPr>
              <w:rPr>
                <w:rFonts w:ascii="Aptos" w:hAnsi="Aptos"/>
              </w:rPr>
            </w:pPr>
            <w:r w:rsidRPr="00A31984">
              <w:rPr>
                <w:rFonts w:ascii="Aptos" w:hAnsi="Aptos"/>
              </w:rPr>
              <w:t>1</w:t>
            </w:r>
          </w:p>
        </w:tc>
        <w:tc>
          <w:tcPr>
            <w:tcW w:w="1612" w:type="dxa"/>
          </w:tcPr>
          <w:p w14:paraId="49D59F80" w14:textId="77777777" w:rsidR="006F6AC1" w:rsidRPr="00A31984" w:rsidRDefault="006F6AC1" w:rsidP="00B24BC8">
            <w:pPr>
              <w:rPr>
                <w:rFonts w:ascii="Aptos" w:hAnsi="Aptos"/>
              </w:rPr>
            </w:pPr>
            <w:r w:rsidRPr="00A31984">
              <w:rPr>
                <w:rFonts w:ascii="Aptos" w:hAnsi="Aptos"/>
              </w:rPr>
              <w:t>≥ X</w:t>
            </w:r>
          </w:p>
        </w:tc>
        <w:tc>
          <w:tcPr>
            <w:tcW w:w="1271" w:type="dxa"/>
          </w:tcPr>
          <w:p w14:paraId="2354CDAA" w14:textId="77777777" w:rsidR="006F6AC1" w:rsidRPr="00A31984" w:rsidRDefault="006F6AC1" w:rsidP="00B24BC8">
            <w:pPr>
              <w:rPr>
                <w:rFonts w:ascii="Aptos" w:hAnsi="Aptos"/>
              </w:rPr>
            </w:pPr>
            <w:r w:rsidRPr="00A31984">
              <w:rPr>
                <w:rFonts w:ascii="Aptos" w:hAnsi="Aptos"/>
              </w:rPr>
              <w:t>Medium</w:t>
            </w:r>
          </w:p>
        </w:tc>
        <w:tc>
          <w:tcPr>
            <w:tcW w:w="1156" w:type="dxa"/>
          </w:tcPr>
          <w:p w14:paraId="0762B646" w14:textId="77777777" w:rsidR="006F6AC1" w:rsidRPr="00A31984" w:rsidRDefault="006F6AC1" w:rsidP="00B24BC8">
            <w:pPr>
              <w:rPr>
                <w:rFonts w:ascii="Aptos" w:hAnsi="Aptos"/>
              </w:rPr>
            </w:pPr>
            <w:r w:rsidRPr="00A31984">
              <w:rPr>
                <w:rFonts w:ascii="Aptos" w:hAnsi="Aptos"/>
              </w:rPr>
              <w:t>a-b</w:t>
            </w:r>
          </w:p>
        </w:tc>
        <w:tc>
          <w:tcPr>
            <w:tcW w:w="3365" w:type="dxa"/>
            <w:gridSpan w:val="2"/>
          </w:tcPr>
          <w:p w14:paraId="70F741CA" w14:textId="77777777" w:rsidR="006F6AC1" w:rsidRPr="00A31984" w:rsidRDefault="006F6AC1" w:rsidP="00B24BC8">
            <w:pPr>
              <w:jc w:val="center"/>
              <w:rPr>
                <w:rFonts w:ascii="Aptos" w:hAnsi="Aptos"/>
              </w:rPr>
            </w:pPr>
            <w:r w:rsidRPr="00A31984">
              <w:rPr>
                <w:rFonts w:ascii="Aptos" w:hAnsi="Aptos"/>
              </w:rPr>
              <w:t>15 mins</w:t>
            </w:r>
          </w:p>
        </w:tc>
      </w:tr>
      <w:tr w:rsidR="006F6AC1" w:rsidRPr="00B46962" w14:paraId="7E62CDDD" w14:textId="77777777" w:rsidTr="00B24BC8">
        <w:tc>
          <w:tcPr>
            <w:tcW w:w="1612" w:type="dxa"/>
          </w:tcPr>
          <w:p w14:paraId="2238663E" w14:textId="77777777" w:rsidR="006F6AC1" w:rsidRPr="00A31984" w:rsidRDefault="006F6AC1" w:rsidP="00B24BC8">
            <w:pPr>
              <w:rPr>
                <w:rFonts w:ascii="Aptos" w:hAnsi="Aptos"/>
              </w:rPr>
            </w:pPr>
            <w:r w:rsidRPr="00A31984">
              <w:rPr>
                <w:rFonts w:ascii="Aptos" w:hAnsi="Aptos"/>
              </w:rPr>
              <w:t>3</w:t>
            </w:r>
          </w:p>
        </w:tc>
        <w:tc>
          <w:tcPr>
            <w:tcW w:w="1612" w:type="dxa"/>
          </w:tcPr>
          <w:p w14:paraId="68B71284" w14:textId="77777777" w:rsidR="006F6AC1" w:rsidRPr="00A31984" w:rsidRDefault="006F6AC1" w:rsidP="00B24BC8">
            <w:pPr>
              <w:rPr>
                <w:rFonts w:ascii="Aptos" w:hAnsi="Aptos"/>
              </w:rPr>
            </w:pPr>
            <w:r w:rsidRPr="00A31984">
              <w:rPr>
                <w:rFonts w:ascii="Aptos" w:hAnsi="Aptos"/>
              </w:rPr>
              <w:t>≥ X</w:t>
            </w:r>
          </w:p>
        </w:tc>
        <w:tc>
          <w:tcPr>
            <w:tcW w:w="1271" w:type="dxa"/>
          </w:tcPr>
          <w:p w14:paraId="524E426B" w14:textId="77777777" w:rsidR="006F6AC1" w:rsidRPr="00A31984" w:rsidRDefault="006F6AC1" w:rsidP="00B24BC8">
            <w:pPr>
              <w:rPr>
                <w:rFonts w:ascii="Aptos" w:hAnsi="Aptos"/>
              </w:rPr>
            </w:pPr>
            <w:r w:rsidRPr="00A31984">
              <w:rPr>
                <w:rFonts w:ascii="Aptos" w:hAnsi="Aptos"/>
              </w:rPr>
              <w:t>Large</w:t>
            </w:r>
          </w:p>
        </w:tc>
        <w:tc>
          <w:tcPr>
            <w:tcW w:w="1156" w:type="dxa"/>
          </w:tcPr>
          <w:p w14:paraId="1F56F55D" w14:textId="77777777" w:rsidR="006F6AC1" w:rsidRPr="00A31984" w:rsidRDefault="006F6AC1" w:rsidP="00B24BC8">
            <w:pPr>
              <w:rPr>
                <w:rFonts w:ascii="Aptos" w:hAnsi="Aptos"/>
              </w:rPr>
            </w:pPr>
            <w:r w:rsidRPr="00A31984">
              <w:rPr>
                <w:rFonts w:ascii="Aptos" w:hAnsi="Aptos"/>
              </w:rPr>
              <w:t>b-c</w:t>
            </w:r>
          </w:p>
        </w:tc>
        <w:tc>
          <w:tcPr>
            <w:tcW w:w="1707" w:type="dxa"/>
          </w:tcPr>
          <w:p w14:paraId="660FB93D" w14:textId="77777777" w:rsidR="006F6AC1" w:rsidRPr="00A31984" w:rsidRDefault="006F6AC1" w:rsidP="00B24BC8">
            <w:pPr>
              <w:jc w:val="center"/>
              <w:rPr>
                <w:rFonts w:ascii="Aptos" w:hAnsi="Aptos"/>
              </w:rPr>
            </w:pPr>
            <w:r w:rsidRPr="00A31984">
              <w:rPr>
                <w:rFonts w:ascii="Aptos" w:hAnsi="Aptos"/>
              </w:rPr>
              <w:t>T+1</w:t>
            </w:r>
          </w:p>
        </w:tc>
        <w:tc>
          <w:tcPr>
            <w:tcW w:w="1658" w:type="dxa"/>
          </w:tcPr>
          <w:p w14:paraId="04424BCE" w14:textId="77777777" w:rsidR="006F6AC1" w:rsidRPr="00A31984" w:rsidRDefault="006F6AC1" w:rsidP="00B24BC8">
            <w:pPr>
              <w:jc w:val="center"/>
              <w:rPr>
                <w:rFonts w:ascii="Aptos" w:hAnsi="Aptos"/>
              </w:rPr>
            </w:pPr>
            <w:r w:rsidRPr="00A31984">
              <w:rPr>
                <w:rFonts w:ascii="Aptos" w:hAnsi="Aptos"/>
              </w:rPr>
              <w:t>1 week</w:t>
            </w:r>
          </w:p>
        </w:tc>
      </w:tr>
      <w:tr w:rsidR="006F6AC1" w:rsidRPr="00B46962" w14:paraId="0AECC5BD" w14:textId="77777777" w:rsidTr="00B24BC8">
        <w:tc>
          <w:tcPr>
            <w:tcW w:w="1612" w:type="dxa"/>
          </w:tcPr>
          <w:p w14:paraId="2F8081AF" w14:textId="77777777" w:rsidR="006F6AC1" w:rsidRPr="00A31984" w:rsidRDefault="006F6AC1" w:rsidP="00B24BC8">
            <w:pPr>
              <w:rPr>
                <w:rFonts w:ascii="Aptos" w:hAnsi="Aptos"/>
              </w:rPr>
            </w:pPr>
            <w:r w:rsidRPr="00A31984">
              <w:rPr>
                <w:rFonts w:ascii="Aptos" w:hAnsi="Aptos"/>
              </w:rPr>
              <w:t>5</w:t>
            </w:r>
          </w:p>
        </w:tc>
        <w:tc>
          <w:tcPr>
            <w:tcW w:w="1612" w:type="dxa"/>
          </w:tcPr>
          <w:p w14:paraId="6FFBEDB7" w14:textId="77777777" w:rsidR="006F6AC1" w:rsidRPr="00A31984" w:rsidRDefault="006F6AC1" w:rsidP="00B24BC8">
            <w:pPr>
              <w:rPr>
                <w:rFonts w:ascii="Aptos" w:hAnsi="Aptos"/>
              </w:rPr>
            </w:pPr>
            <w:r w:rsidRPr="00A31984">
              <w:rPr>
                <w:rFonts w:ascii="Aptos" w:hAnsi="Aptos"/>
              </w:rPr>
              <w:t>≥ X</w:t>
            </w:r>
          </w:p>
        </w:tc>
        <w:tc>
          <w:tcPr>
            <w:tcW w:w="1271" w:type="dxa"/>
          </w:tcPr>
          <w:p w14:paraId="2EDB68D6" w14:textId="77777777" w:rsidR="006F6AC1" w:rsidRPr="00A31984" w:rsidRDefault="006F6AC1" w:rsidP="00B24BC8">
            <w:pPr>
              <w:rPr>
                <w:rFonts w:ascii="Aptos" w:hAnsi="Aptos"/>
              </w:rPr>
            </w:pPr>
            <w:r w:rsidRPr="00A31984">
              <w:rPr>
                <w:rFonts w:ascii="Aptos" w:hAnsi="Aptos"/>
              </w:rPr>
              <w:t>Very Large</w:t>
            </w:r>
          </w:p>
        </w:tc>
        <w:tc>
          <w:tcPr>
            <w:tcW w:w="1156" w:type="dxa"/>
          </w:tcPr>
          <w:p w14:paraId="3251AE30" w14:textId="77777777" w:rsidR="006F6AC1" w:rsidRPr="00A31984" w:rsidRDefault="006F6AC1" w:rsidP="00B24BC8">
            <w:pPr>
              <w:rPr>
                <w:rFonts w:ascii="Aptos" w:hAnsi="Aptos"/>
              </w:rPr>
            </w:pPr>
            <w:r w:rsidRPr="00A31984">
              <w:rPr>
                <w:rFonts w:ascii="Aptos" w:hAnsi="Aptos"/>
              </w:rPr>
              <w:t>≥ c</w:t>
            </w:r>
          </w:p>
        </w:tc>
        <w:tc>
          <w:tcPr>
            <w:tcW w:w="3365" w:type="dxa"/>
            <w:gridSpan w:val="2"/>
          </w:tcPr>
          <w:p w14:paraId="0294361E" w14:textId="77777777" w:rsidR="006F6AC1" w:rsidRPr="00A31984" w:rsidRDefault="006F6AC1" w:rsidP="00B24BC8">
            <w:pPr>
              <w:jc w:val="center"/>
              <w:rPr>
                <w:rFonts w:ascii="Aptos" w:hAnsi="Aptos"/>
              </w:rPr>
            </w:pPr>
            <w:r w:rsidRPr="00A31984">
              <w:rPr>
                <w:rFonts w:ascii="Aptos" w:hAnsi="Aptos"/>
              </w:rPr>
              <w:t>4 weeks</w:t>
            </w:r>
          </w:p>
        </w:tc>
      </w:tr>
    </w:tbl>
    <w:p w14:paraId="386A96EA" w14:textId="77777777" w:rsidR="006F6AC1" w:rsidRPr="00A31984" w:rsidRDefault="006F6AC1" w:rsidP="006F6AC1">
      <w:pPr>
        <w:rPr>
          <w:rFonts w:ascii="Aptos" w:hAnsi="Aptos"/>
        </w:rPr>
      </w:pPr>
    </w:p>
    <w:tbl>
      <w:tblPr>
        <w:tblStyle w:val="TableGrid"/>
        <w:tblW w:w="0" w:type="auto"/>
        <w:tblLook w:val="04A0" w:firstRow="1" w:lastRow="0" w:firstColumn="1" w:lastColumn="0" w:noHBand="0" w:noVBand="1"/>
      </w:tblPr>
      <w:tblGrid>
        <w:gridCol w:w="1612"/>
        <w:gridCol w:w="1612"/>
        <w:gridCol w:w="1271"/>
        <w:gridCol w:w="1156"/>
        <w:gridCol w:w="1707"/>
        <w:gridCol w:w="1658"/>
      </w:tblGrid>
      <w:tr w:rsidR="006F6AC1" w:rsidRPr="00B46962" w14:paraId="7DD5ECF7" w14:textId="77777777" w:rsidTr="00B24BC8">
        <w:tc>
          <w:tcPr>
            <w:tcW w:w="9016" w:type="dxa"/>
            <w:gridSpan w:val="6"/>
            <w:shd w:val="clear" w:color="auto" w:fill="FFFFFF" w:themeFill="background1"/>
            <w:vAlign w:val="center"/>
          </w:tcPr>
          <w:p w14:paraId="6C2C62C4" w14:textId="77777777" w:rsidR="006F6AC1" w:rsidRPr="00A31984" w:rsidRDefault="006F6AC1" w:rsidP="00B24BC8">
            <w:pPr>
              <w:jc w:val="center"/>
              <w:rPr>
                <w:rFonts w:ascii="Aptos" w:hAnsi="Aptos"/>
                <w:b/>
              </w:rPr>
            </w:pPr>
            <w:r w:rsidRPr="00A31984">
              <w:rPr>
                <w:rFonts w:ascii="Aptos" w:hAnsi="Aptos"/>
                <w:b/>
              </w:rPr>
              <w:t>Illiquid</w:t>
            </w:r>
          </w:p>
        </w:tc>
      </w:tr>
      <w:tr w:rsidR="006F6AC1" w:rsidRPr="00B46962" w14:paraId="27C59CC4" w14:textId="77777777" w:rsidTr="00B24BC8">
        <w:tc>
          <w:tcPr>
            <w:tcW w:w="1612" w:type="dxa"/>
            <w:shd w:val="clear" w:color="auto" w:fill="D9D9D9" w:themeFill="background1" w:themeFillShade="D9"/>
          </w:tcPr>
          <w:p w14:paraId="12F0B200" w14:textId="77777777" w:rsidR="006F6AC1" w:rsidRPr="00A31984" w:rsidRDefault="006F6AC1" w:rsidP="00B24BC8">
            <w:pPr>
              <w:jc w:val="center"/>
              <w:rPr>
                <w:rFonts w:ascii="Aptos" w:hAnsi="Aptos"/>
                <w:b/>
              </w:rPr>
            </w:pPr>
            <w:r w:rsidRPr="00A31984">
              <w:rPr>
                <w:rFonts w:ascii="Aptos" w:hAnsi="Aptos"/>
                <w:b/>
              </w:rPr>
              <w:t>Category</w:t>
            </w:r>
          </w:p>
        </w:tc>
        <w:tc>
          <w:tcPr>
            <w:tcW w:w="1612" w:type="dxa"/>
            <w:shd w:val="clear" w:color="auto" w:fill="D9D9D9" w:themeFill="background1" w:themeFillShade="D9"/>
          </w:tcPr>
          <w:p w14:paraId="36E95DA0" w14:textId="77777777" w:rsidR="006F6AC1" w:rsidRPr="00A31984" w:rsidRDefault="006F6AC1" w:rsidP="00B24BC8">
            <w:pPr>
              <w:rPr>
                <w:rFonts w:ascii="Aptos" w:hAnsi="Aptos"/>
                <w:b/>
              </w:rPr>
            </w:pPr>
            <w:r w:rsidRPr="00A31984">
              <w:rPr>
                <w:rFonts w:ascii="Aptos" w:hAnsi="Aptos"/>
                <w:b/>
              </w:rPr>
              <w:t>Issuance size</w:t>
            </w:r>
          </w:p>
        </w:tc>
        <w:tc>
          <w:tcPr>
            <w:tcW w:w="1271" w:type="dxa"/>
            <w:shd w:val="clear" w:color="auto" w:fill="D9D9D9" w:themeFill="background1" w:themeFillShade="D9"/>
          </w:tcPr>
          <w:p w14:paraId="31B9A2BC" w14:textId="77777777" w:rsidR="006F6AC1" w:rsidRPr="00A31984" w:rsidRDefault="006F6AC1" w:rsidP="00B24BC8">
            <w:pPr>
              <w:rPr>
                <w:rFonts w:ascii="Aptos" w:hAnsi="Aptos"/>
                <w:b/>
              </w:rPr>
            </w:pPr>
          </w:p>
        </w:tc>
        <w:tc>
          <w:tcPr>
            <w:tcW w:w="1156" w:type="dxa"/>
            <w:shd w:val="clear" w:color="auto" w:fill="D9D9D9" w:themeFill="background1" w:themeFillShade="D9"/>
          </w:tcPr>
          <w:p w14:paraId="39A4D772" w14:textId="77777777" w:rsidR="006F6AC1" w:rsidRPr="00A31984" w:rsidRDefault="006F6AC1" w:rsidP="00B24BC8">
            <w:pPr>
              <w:rPr>
                <w:rFonts w:ascii="Aptos" w:hAnsi="Aptos"/>
                <w:b/>
              </w:rPr>
            </w:pPr>
            <w:r w:rsidRPr="00A31984">
              <w:rPr>
                <w:rFonts w:ascii="Aptos" w:hAnsi="Aptos"/>
                <w:b/>
              </w:rPr>
              <w:t>Trade Size</w:t>
            </w:r>
          </w:p>
        </w:tc>
        <w:tc>
          <w:tcPr>
            <w:tcW w:w="1707" w:type="dxa"/>
            <w:shd w:val="clear" w:color="auto" w:fill="D9D9D9" w:themeFill="background1" w:themeFillShade="D9"/>
          </w:tcPr>
          <w:p w14:paraId="03E9FF64" w14:textId="77777777" w:rsidR="006F6AC1" w:rsidRPr="00A31984" w:rsidRDefault="006F6AC1" w:rsidP="00B24BC8">
            <w:pPr>
              <w:rPr>
                <w:rFonts w:ascii="Aptos" w:hAnsi="Aptos"/>
                <w:b/>
              </w:rPr>
            </w:pPr>
            <w:r w:rsidRPr="00A31984">
              <w:rPr>
                <w:rFonts w:ascii="Aptos" w:hAnsi="Aptos"/>
                <w:b/>
              </w:rPr>
              <w:t>Price deferral</w:t>
            </w:r>
          </w:p>
        </w:tc>
        <w:tc>
          <w:tcPr>
            <w:tcW w:w="1658" w:type="dxa"/>
            <w:shd w:val="clear" w:color="auto" w:fill="D9D9D9" w:themeFill="background1" w:themeFillShade="D9"/>
          </w:tcPr>
          <w:p w14:paraId="42F7640A" w14:textId="77777777" w:rsidR="006F6AC1" w:rsidRPr="00A31984" w:rsidRDefault="006F6AC1" w:rsidP="00B24BC8">
            <w:pPr>
              <w:rPr>
                <w:rFonts w:ascii="Aptos" w:hAnsi="Aptos"/>
                <w:b/>
              </w:rPr>
            </w:pPr>
            <w:r w:rsidRPr="00A31984">
              <w:rPr>
                <w:rFonts w:ascii="Aptos" w:hAnsi="Aptos"/>
                <w:b/>
              </w:rPr>
              <w:t>Volume deferral</w:t>
            </w:r>
          </w:p>
        </w:tc>
      </w:tr>
      <w:tr w:rsidR="006F6AC1" w:rsidRPr="00B46962" w14:paraId="7FDCE69D" w14:textId="77777777" w:rsidTr="00B24BC8">
        <w:tc>
          <w:tcPr>
            <w:tcW w:w="1612" w:type="dxa"/>
          </w:tcPr>
          <w:p w14:paraId="631BC977" w14:textId="77777777" w:rsidR="006F6AC1" w:rsidRPr="00A31984" w:rsidRDefault="006F6AC1" w:rsidP="00B24BC8">
            <w:pPr>
              <w:rPr>
                <w:rFonts w:ascii="Aptos" w:hAnsi="Aptos"/>
              </w:rPr>
            </w:pPr>
            <w:r w:rsidRPr="00A31984">
              <w:rPr>
                <w:rFonts w:ascii="Aptos" w:hAnsi="Aptos"/>
              </w:rPr>
              <w:t>N/A Illiquid</w:t>
            </w:r>
          </w:p>
        </w:tc>
        <w:tc>
          <w:tcPr>
            <w:tcW w:w="1612" w:type="dxa"/>
          </w:tcPr>
          <w:p w14:paraId="3C0CD843" w14:textId="77777777" w:rsidR="006F6AC1" w:rsidRPr="00A31984" w:rsidRDefault="006F6AC1" w:rsidP="00B24BC8">
            <w:pPr>
              <w:rPr>
                <w:rFonts w:ascii="Aptos" w:hAnsi="Aptos"/>
              </w:rPr>
            </w:pPr>
            <w:r w:rsidRPr="00A31984">
              <w:rPr>
                <w:rFonts w:ascii="Aptos" w:hAnsi="Aptos"/>
              </w:rPr>
              <w:t>&lt; X</w:t>
            </w:r>
          </w:p>
        </w:tc>
        <w:tc>
          <w:tcPr>
            <w:tcW w:w="1271" w:type="dxa"/>
          </w:tcPr>
          <w:p w14:paraId="53D149BF" w14:textId="77777777" w:rsidR="006F6AC1" w:rsidRPr="00A31984" w:rsidRDefault="006F6AC1" w:rsidP="00B24BC8">
            <w:pPr>
              <w:rPr>
                <w:rFonts w:ascii="Aptos" w:hAnsi="Aptos"/>
              </w:rPr>
            </w:pPr>
          </w:p>
        </w:tc>
        <w:tc>
          <w:tcPr>
            <w:tcW w:w="1156" w:type="dxa"/>
          </w:tcPr>
          <w:p w14:paraId="1F070233" w14:textId="77777777" w:rsidR="006F6AC1" w:rsidRPr="00A31984" w:rsidRDefault="006F6AC1" w:rsidP="00B24BC8">
            <w:pPr>
              <w:rPr>
                <w:rFonts w:ascii="Aptos" w:hAnsi="Aptos"/>
              </w:rPr>
            </w:pPr>
            <w:r w:rsidRPr="00A31984">
              <w:rPr>
                <w:rFonts w:ascii="Aptos" w:hAnsi="Aptos"/>
              </w:rPr>
              <w:t>&lt; d</w:t>
            </w:r>
          </w:p>
        </w:tc>
        <w:tc>
          <w:tcPr>
            <w:tcW w:w="3365" w:type="dxa"/>
            <w:gridSpan w:val="2"/>
          </w:tcPr>
          <w:p w14:paraId="6AEC21E3" w14:textId="77777777" w:rsidR="006F6AC1" w:rsidRPr="00A31984" w:rsidRDefault="006F6AC1" w:rsidP="00B24BC8">
            <w:pPr>
              <w:jc w:val="center"/>
              <w:rPr>
                <w:rFonts w:ascii="Aptos" w:hAnsi="Aptos"/>
              </w:rPr>
            </w:pPr>
            <w:r w:rsidRPr="00A31984">
              <w:rPr>
                <w:rFonts w:ascii="Aptos" w:hAnsi="Aptos"/>
              </w:rPr>
              <w:t>Real Time</w:t>
            </w:r>
          </w:p>
        </w:tc>
      </w:tr>
      <w:tr w:rsidR="006F6AC1" w:rsidRPr="00B46962" w14:paraId="3F515B26" w14:textId="77777777" w:rsidTr="00B24BC8">
        <w:tc>
          <w:tcPr>
            <w:tcW w:w="1612" w:type="dxa"/>
          </w:tcPr>
          <w:p w14:paraId="58881DA1" w14:textId="77777777" w:rsidR="006F6AC1" w:rsidRPr="00A31984" w:rsidRDefault="006F6AC1" w:rsidP="00B24BC8">
            <w:pPr>
              <w:rPr>
                <w:rFonts w:ascii="Aptos" w:hAnsi="Aptos"/>
              </w:rPr>
            </w:pPr>
            <w:r w:rsidRPr="00A31984">
              <w:rPr>
                <w:rFonts w:ascii="Aptos" w:hAnsi="Aptos"/>
              </w:rPr>
              <w:t>2</w:t>
            </w:r>
          </w:p>
        </w:tc>
        <w:tc>
          <w:tcPr>
            <w:tcW w:w="1612" w:type="dxa"/>
          </w:tcPr>
          <w:p w14:paraId="78E5886B" w14:textId="77777777" w:rsidR="006F6AC1" w:rsidRPr="00A31984" w:rsidRDefault="006F6AC1" w:rsidP="00B24BC8">
            <w:pPr>
              <w:rPr>
                <w:rFonts w:ascii="Aptos" w:hAnsi="Aptos"/>
              </w:rPr>
            </w:pPr>
            <w:r w:rsidRPr="00A31984">
              <w:rPr>
                <w:rFonts w:ascii="Aptos" w:hAnsi="Aptos"/>
              </w:rPr>
              <w:t>&lt; X</w:t>
            </w:r>
          </w:p>
        </w:tc>
        <w:tc>
          <w:tcPr>
            <w:tcW w:w="1271" w:type="dxa"/>
          </w:tcPr>
          <w:p w14:paraId="18AF7665" w14:textId="77777777" w:rsidR="006F6AC1" w:rsidRPr="00A31984" w:rsidRDefault="006F6AC1" w:rsidP="00B24BC8">
            <w:pPr>
              <w:rPr>
                <w:rFonts w:ascii="Aptos" w:hAnsi="Aptos"/>
              </w:rPr>
            </w:pPr>
            <w:r w:rsidRPr="00A31984">
              <w:rPr>
                <w:rFonts w:ascii="Aptos" w:hAnsi="Aptos"/>
              </w:rPr>
              <w:t>Medium</w:t>
            </w:r>
          </w:p>
        </w:tc>
        <w:tc>
          <w:tcPr>
            <w:tcW w:w="1156" w:type="dxa"/>
          </w:tcPr>
          <w:p w14:paraId="1E5DCE8B" w14:textId="77777777" w:rsidR="006F6AC1" w:rsidRPr="00A31984" w:rsidRDefault="006F6AC1" w:rsidP="00B24BC8">
            <w:pPr>
              <w:rPr>
                <w:rFonts w:ascii="Aptos" w:hAnsi="Aptos"/>
              </w:rPr>
            </w:pPr>
            <w:r w:rsidRPr="00A31984">
              <w:rPr>
                <w:rFonts w:ascii="Aptos" w:hAnsi="Aptos"/>
              </w:rPr>
              <w:t>d-e</w:t>
            </w:r>
          </w:p>
        </w:tc>
        <w:tc>
          <w:tcPr>
            <w:tcW w:w="3365" w:type="dxa"/>
            <w:gridSpan w:val="2"/>
          </w:tcPr>
          <w:p w14:paraId="0FC979C6" w14:textId="77777777" w:rsidR="006F6AC1" w:rsidRPr="00A31984" w:rsidRDefault="006F6AC1" w:rsidP="00B24BC8">
            <w:pPr>
              <w:jc w:val="center"/>
              <w:rPr>
                <w:rFonts w:ascii="Aptos" w:hAnsi="Aptos"/>
              </w:rPr>
            </w:pPr>
            <w:r w:rsidRPr="00A31984">
              <w:rPr>
                <w:rFonts w:ascii="Aptos" w:hAnsi="Aptos"/>
              </w:rPr>
              <w:t>EOD</w:t>
            </w:r>
          </w:p>
        </w:tc>
      </w:tr>
      <w:tr w:rsidR="006F6AC1" w:rsidRPr="00B46962" w14:paraId="642AFD17" w14:textId="77777777" w:rsidTr="00B24BC8">
        <w:tc>
          <w:tcPr>
            <w:tcW w:w="1612" w:type="dxa"/>
          </w:tcPr>
          <w:p w14:paraId="2F229FD1" w14:textId="77777777" w:rsidR="006F6AC1" w:rsidRPr="00A31984" w:rsidRDefault="006F6AC1" w:rsidP="00B24BC8">
            <w:pPr>
              <w:rPr>
                <w:rFonts w:ascii="Aptos" w:hAnsi="Aptos"/>
              </w:rPr>
            </w:pPr>
            <w:r w:rsidRPr="00A31984">
              <w:rPr>
                <w:rFonts w:ascii="Aptos" w:hAnsi="Aptos"/>
              </w:rPr>
              <w:t>4</w:t>
            </w:r>
          </w:p>
        </w:tc>
        <w:tc>
          <w:tcPr>
            <w:tcW w:w="1612" w:type="dxa"/>
          </w:tcPr>
          <w:p w14:paraId="5E59D4B0" w14:textId="77777777" w:rsidR="006F6AC1" w:rsidRPr="00A31984" w:rsidRDefault="006F6AC1" w:rsidP="00B24BC8">
            <w:pPr>
              <w:rPr>
                <w:rFonts w:ascii="Aptos" w:hAnsi="Aptos"/>
              </w:rPr>
            </w:pPr>
            <w:r w:rsidRPr="00A31984">
              <w:rPr>
                <w:rFonts w:ascii="Aptos" w:hAnsi="Aptos"/>
              </w:rPr>
              <w:t>&lt; X</w:t>
            </w:r>
          </w:p>
        </w:tc>
        <w:tc>
          <w:tcPr>
            <w:tcW w:w="1271" w:type="dxa"/>
          </w:tcPr>
          <w:p w14:paraId="374153E2" w14:textId="77777777" w:rsidR="006F6AC1" w:rsidRPr="00A31984" w:rsidRDefault="006F6AC1" w:rsidP="00B24BC8">
            <w:pPr>
              <w:rPr>
                <w:rFonts w:ascii="Aptos" w:hAnsi="Aptos"/>
              </w:rPr>
            </w:pPr>
            <w:r w:rsidRPr="00A31984">
              <w:rPr>
                <w:rFonts w:ascii="Aptos" w:hAnsi="Aptos"/>
              </w:rPr>
              <w:t>Large</w:t>
            </w:r>
          </w:p>
        </w:tc>
        <w:tc>
          <w:tcPr>
            <w:tcW w:w="1156" w:type="dxa"/>
          </w:tcPr>
          <w:p w14:paraId="603BC6D0" w14:textId="77777777" w:rsidR="006F6AC1" w:rsidRPr="00A31984" w:rsidRDefault="006F6AC1" w:rsidP="00B24BC8">
            <w:pPr>
              <w:rPr>
                <w:rFonts w:ascii="Aptos" w:hAnsi="Aptos"/>
              </w:rPr>
            </w:pPr>
            <w:r w:rsidRPr="00A31984">
              <w:rPr>
                <w:rFonts w:ascii="Aptos" w:hAnsi="Aptos"/>
              </w:rPr>
              <w:t>e-f</w:t>
            </w:r>
          </w:p>
        </w:tc>
        <w:tc>
          <w:tcPr>
            <w:tcW w:w="1707" w:type="dxa"/>
          </w:tcPr>
          <w:p w14:paraId="7046FEDD" w14:textId="77777777" w:rsidR="006F6AC1" w:rsidRPr="00A31984" w:rsidRDefault="006F6AC1" w:rsidP="00B24BC8">
            <w:pPr>
              <w:jc w:val="center"/>
              <w:rPr>
                <w:rFonts w:ascii="Aptos" w:hAnsi="Aptos"/>
              </w:rPr>
            </w:pPr>
            <w:r w:rsidRPr="00A31984">
              <w:rPr>
                <w:rFonts w:ascii="Aptos" w:hAnsi="Aptos"/>
              </w:rPr>
              <w:t>T+2</w:t>
            </w:r>
          </w:p>
        </w:tc>
        <w:tc>
          <w:tcPr>
            <w:tcW w:w="1658" w:type="dxa"/>
          </w:tcPr>
          <w:p w14:paraId="6EAC544D" w14:textId="77777777" w:rsidR="006F6AC1" w:rsidRPr="00A31984" w:rsidRDefault="006F6AC1" w:rsidP="00B24BC8">
            <w:pPr>
              <w:jc w:val="center"/>
              <w:rPr>
                <w:rFonts w:ascii="Aptos" w:hAnsi="Aptos"/>
              </w:rPr>
            </w:pPr>
            <w:r w:rsidRPr="00A31984">
              <w:rPr>
                <w:rFonts w:ascii="Aptos" w:hAnsi="Aptos"/>
              </w:rPr>
              <w:t>2 weeks</w:t>
            </w:r>
          </w:p>
        </w:tc>
      </w:tr>
      <w:tr w:rsidR="006F6AC1" w:rsidRPr="00B46962" w14:paraId="564A92A0" w14:textId="77777777" w:rsidTr="00B24BC8">
        <w:tc>
          <w:tcPr>
            <w:tcW w:w="1612" w:type="dxa"/>
          </w:tcPr>
          <w:p w14:paraId="603C4394" w14:textId="77777777" w:rsidR="006F6AC1" w:rsidRPr="00A31984" w:rsidRDefault="006F6AC1" w:rsidP="00B24BC8">
            <w:pPr>
              <w:rPr>
                <w:rFonts w:ascii="Aptos" w:hAnsi="Aptos"/>
              </w:rPr>
            </w:pPr>
            <w:r w:rsidRPr="00A31984">
              <w:rPr>
                <w:rFonts w:ascii="Aptos" w:hAnsi="Aptos"/>
              </w:rPr>
              <w:t>6</w:t>
            </w:r>
          </w:p>
        </w:tc>
        <w:tc>
          <w:tcPr>
            <w:tcW w:w="1612" w:type="dxa"/>
          </w:tcPr>
          <w:p w14:paraId="02F97802" w14:textId="77777777" w:rsidR="006F6AC1" w:rsidRPr="00A31984" w:rsidRDefault="006F6AC1" w:rsidP="00B24BC8">
            <w:pPr>
              <w:rPr>
                <w:rFonts w:ascii="Aptos" w:hAnsi="Aptos"/>
              </w:rPr>
            </w:pPr>
            <w:r w:rsidRPr="00A31984">
              <w:rPr>
                <w:rFonts w:ascii="Aptos" w:hAnsi="Aptos"/>
              </w:rPr>
              <w:t>&lt; X</w:t>
            </w:r>
          </w:p>
        </w:tc>
        <w:tc>
          <w:tcPr>
            <w:tcW w:w="1271" w:type="dxa"/>
          </w:tcPr>
          <w:p w14:paraId="377DA624" w14:textId="77777777" w:rsidR="006F6AC1" w:rsidRPr="00A31984" w:rsidRDefault="006F6AC1" w:rsidP="00B24BC8">
            <w:pPr>
              <w:rPr>
                <w:rFonts w:ascii="Aptos" w:hAnsi="Aptos"/>
              </w:rPr>
            </w:pPr>
            <w:r w:rsidRPr="00A31984">
              <w:rPr>
                <w:rFonts w:ascii="Aptos" w:hAnsi="Aptos"/>
              </w:rPr>
              <w:t>Very Large</w:t>
            </w:r>
          </w:p>
        </w:tc>
        <w:tc>
          <w:tcPr>
            <w:tcW w:w="1156" w:type="dxa"/>
          </w:tcPr>
          <w:p w14:paraId="6A5B7C82" w14:textId="77777777" w:rsidR="006F6AC1" w:rsidRPr="00A31984" w:rsidRDefault="006F6AC1" w:rsidP="00B24BC8">
            <w:pPr>
              <w:rPr>
                <w:rFonts w:ascii="Aptos" w:hAnsi="Aptos"/>
              </w:rPr>
            </w:pPr>
            <w:r w:rsidRPr="00A31984">
              <w:rPr>
                <w:rFonts w:ascii="Aptos" w:hAnsi="Aptos"/>
              </w:rPr>
              <w:t>≥ f</w:t>
            </w:r>
          </w:p>
        </w:tc>
        <w:tc>
          <w:tcPr>
            <w:tcW w:w="3365" w:type="dxa"/>
            <w:gridSpan w:val="2"/>
          </w:tcPr>
          <w:p w14:paraId="52C4785E" w14:textId="77777777" w:rsidR="006F6AC1" w:rsidRPr="00A31984" w:rsidRDefault="006F6AC1" w:rsidP="00B24BC8">
            <w:pPr>
              <w:jc w:val="center"/>
              <w:rPr>
                <w:rFonts w:ascii="Aptos" w:hAnsi="Aptos"/>
              </w:rPr>
            </w:pPr>
            <w:r w:rsidRPr="00A31984">
              <w:rPr>
                <w:rFonts w:ascii="Aptos" w:hAnsi="Aptos"/>
              </w:rPr>
              <w:t>4 weeks</w:t>
            </w:r>
          </w:p>
        </w:tc>
      </w:tr>
    </w:tbl>
    <w:p w14:paraId="05E7F439" w14:textId="77777777" w:rsidR="006F6AC1" w:rsidRPr="00A31984" w:rsidRDefault="006F6AC1" w:rsidP="006F6AC1">
      <w:pPr>
        <w:rPr>
          <w:rFonts w:ascii="Aptos" w:hAnsi="Aptos"/>
        </w:rPr>
      </w:pPr>
    </w:p>
    <w:p w14:paraId="2E90D7FE" w14:textId="77777777" w:rsidR="006F6AC1" w:rsidRPr="00A31984" w:rsidRDefault="006F6AC1" w:rsidP="006F6AC1">
      <w:pPr>
        <w:rPr>
          <w:rFonts w:ascii="Aptos" w:hAnsi="Aptos"/>
          <w:i/>
        </w:rPr>
      </w:pPr>
      <w:r w:rsidRPr="00A31984">
        <w:rPr>
          <w:rFonts w:ascii="Aptos" w:hAnsi="Aptos"/>
          <w:i/>
        </w:rPr>
        <w:t>Time to trade out</w:t>
      </w:r>
    </w:p>
    <w:p w14:paraId="05BB0857" w14:textId="77777777" w:rsidR="006F6AC1" w:rsidRDefault="006F6AC1" w:rsidP="006F6AC1">
      <w:pPr>
        <w:rPr>
          <w:rFonts w:ascii="Aptos" w:hAnsi="Aptos"/>
        </w:rPr>
      </w:pPr>
      <w:r w:rsidRPr="00A31984">
        <w:rPr>
          <w:rFonts w:ascii="Aptos" w:hAnsi="Aptos"/>
        </w:rPr>
        <w:t>ICMA believes that the estimated time to trade out of a risk position for a given bond and size should be the guiding principle for establishing the size thresholds for each category. Essentially, for transactions that are not reported in real-time, the post-trade deferral should allow enough time for a liquidity provider to trade out of the position before the details of the trade are made public.</w:t>
      </w:r>
    </w:p>
    <w:p w14:paraId="4CA40958" w14:textId="77777777" w:rsidR="006F6AC1" w:rsidRPr="00A31984" w:rsidRDefault="006F6AC1" w:rsidP="006F6AC1">
      <w:pPr>
        <w:rPr>
          <w:rFonts w:ascii="Aptos" w:hAnsi="Aptos"/>
        </w:rPr>
      </w:pPr>
      <w:r w:rsidRPr="00A31984">
        <w:rPr>
          <w:rFonts w:ascii="Aptos" w:hAnsi="Aptos"/>
        </w:rPr>
        <w:t>ADV provides a crude indication of the time to trade out of a position, based on:</w:t>
      </w:r>
    </w:p>
    <w:p w14:paraId="4C0755B3" w14:textId="77777777" w:rsidR="006F6AC1" w:rsidRPr="00A31984" w:rsidRDefault="006F6AC1" w:rsidP="006F6AC1">
      <w:pPr>
        <w:ind w:firstLine="720"/>
        <w:rPr>
          <w:rFonts w:ascii="Aptos" w:hAnsi="Aptos"/>
        </w:rPr>
      </w:pPr>
      <w:r w:rsidRPr="00A31984">
        <w:rPr>
          <w:rFonts w:ascii="Aptos" w:hAnsi="Aptos"/>
        </w:rPr>
        <w:t xml:space="preserve">Time to trade out = Trade size / ADV </w:t>
      </w:r>
    </w:p>
    <w:p w14:paraId="506FA0F9" w14:textId="77777777" w:rsidR="006F6AC1" w:rsidRPr="00B46962" w:rsidRDefault="006F6AC1" w:rsidP="006F6AC1">
      <w:pPr>
        <w:rPr>
          <w:rFonts w:ascii="Aptos" w:hAnsi="Aptos"/>
        </w:rPr>
      </w:pPr>
      <w:r w:rsidRPr="00A31984">
        <w:rPr>
          <w:rFonts w:ascii="Aptos" w:hAnsi="Aptos"/>
        </w:rPr>
        <w:lastRenderedPageBreak/>
        <w:t xml:space="preserve">For the purposes of this response, ICMA uses this simple calculation to estimate the appropriate trade size thresholds for each of the six deferral categories for the different groupings. These are summarized below, while the estimated time to trade out is shown in </w:t>
      </w:r>
      <w:r w:rsidRPr="00B46962">
        <w:rPr>
          <w:rFonts w:ascii="Aptos" w:hAnsi="Aptos"/>
        </w:rPr>
        <w:fldChar w:fldCharType="begin"/>
      </w:r>
      <w:r w:rsidRPr="00B46962">
        <w:rPr>
          <w:rFonts w:ascii="Aptos" w:hAnsi="Aptos"/>
        </w:rPr>
        <w:instrText xml:space="preserve"> REF _Ref175136304 \h </w:instrText>
      </w:r>
      <w:r>
        <w:rPr>
          <w:rFonts w:ascii="Aptos" w:hAnsi="Aptos"/>
        </w:rPr>
        <w:instrText xml:space="preserve"> \* MERGEFORMAT </w:instrText>
      </w:r>
      <w:r w:rsidRPr="00B46962">
        <w:rPr>
          <w:rFonts w:ascii="Aptos" w:hAnsi="Aptos"/>
        </w:rPr>
      </w:r>
      <w:r w:rsidRPr="00B46962">
        <w:rPr>
          <w:rFonts w:ascii="Aptos" w:hAnsi="Aptos"/>
        </w:rPr>
        <w:fldChar w:fldCharType="separate"/>
      </w:r>
      <w:r w:rsidRPr="004D6E86">
        <w:rPr>
          <w:rFonts w:ascii="Aptos" w:hAnsi="Aptos"/>
        </w:rPr>
        <w:t>Annex II</w:t>
      </w:r>
      <w:r w:rsidRPr="00B46962">
        <w:rPr>
          <w:rFonts w:ascii="Aptos" w:hAnsi="Aptos"/>
        </w:rPr>
        <w:fldChar w:fldCharType="end"/>
      </w:r>
      <w:r w:rsidRPr="00B46962">
        <w:rPr>
          <w:rFonts w:ascii="Aptos" w:hAnsi="Aptos"/>
        </w:rPr>
        <w:t>.</w:t>
      </w:r>
    </w:p>
    <w:p w14:paraId="657F4E57" w14:textId="77777777" w:rsidR="006F6AC1" w:rsidRPr="00A31984" w:rsidRDefault="006F6AC1" w:rsidP="006F6AC1">
      <w:pPr>
        <w:rPr>
          <w:rFonts w:ascii="Aptos" w:hAnsi="Aptos"/>
        </w:rPr>
      </w:pPr>
      <w:r w:rsidRPr="00A31984">
        <w:rPr>
          <w:rFonts w:ascii="Aptos" w:hAnsi="Aptos"/>
        </w:rPr>
        <w:t xml:space="preserve">For completeness, ICMA also estimated trade out times for each grouping using the individual-ISIN approach, which also estimated the longest trade out time based on the historical data set, and which can be found in </w:t>
      </w:r>
      <w:r w:rsidRPr="00A31984">
        <w:rPr>
          <w:rFonts w:ascii="Aptos" w:hAnsi="Aptos"/>
        </w:rPr>
        <w:fldChar w:fldCharType="begin"/>
      </w:r>
      <w:r w:rsidRPr="00A31984">
        <w:rPr>
          <w:rFonts w:ascii="Aptos" w:hAnsi="Aptos"/>
        </w:rPr>
        <w:instrText xml:space="preserve"> REF _Ref175136340 \h  \* MERGEFORMAT </w:instrText>
      </w:r>
      <w:r w:rsidRPr="00A31984">
        <w:rPr>
          <w:rFonts w:ascii="Aptos" w:hAnsi="Aptos"/>
        </w:rPr>
      </w:r>
      <w:r w:rsidRPr="00A31984">
        <w:rPr>
          <w:rFonts w:ascii="Aptos" w:hAnsi="Aptos"/>
        </w:rPr>
        <w:fldChar w:fldCharType="separate"/>
      </w:r>
      <w:r w:rsidRPr="004D6E86">
        <w:rPr>
          <w:rFonts w:ascii="Aptos" w:hAnsi="Aptos"/>
        </w:rPr>
        <w:t>Annex III</w:t>
      </w:r>
      <w:r w:rsidRPr="00A31984">
        <w:rPr>
          <w:rFonts w:ascii="Aptos" w:hAnsi="Aptos"/>
        </w:rPr>
        <w:fldChar w:fldCharType="end"/>
      </w:r>
      <w:r w:rsidRPr="00A31984">
        <w:rPr>
          <w:rFonts w:ascii="Aptos" w:hAnsi="Aptos"/>
        </w:rPr>
        <w:t>.</w:t>
      </w:r>
    </w:p>
    <w:p w14:paraId="5FED504C" w14:textId="77777777" w:rsidR="006F6AC1" w:rsidRPr="00A31984" w:rsidRDefault="006F6AC1" w:rsidP="006F6AC1">
      <w:pPr>
        <w:rPr>
          <w:rFonts w:ascii="Aptos" w:hAnsi="Aptos"/>
        </w:rPr>
      </w:pPr>
      <w:r w:rsidRPr="00A31984">
        <w:rPr>
          <w:rFonts w:ascii="Aptos" w:hAnsi="Aptos"/>
        </w:rPr>
        <w:t>However, as mentioned in the answer to Q.11, these estimated times to trade out of a position should be treated with some caution for the following reasons:</w:t>
      </w:r>
    </w:p>
    <w:p w14:paraId="2E2E54A5" w14:textId="77777777" w:rsidR="006F6AC1" w:rsidRPr="00A31984" w:rsidRDefault="006F6AC1" w:rsidP="006F6AC1">
      <w:pPr>
        <w:pStyle w:val="ListParagraph"/>
        <w:numPr>
          <w:ilvl w:val="0"/>
          <w:numId w:val="53"/>
        </w:numPr>
        <w:spacing w:after="160" w:line="259" w:lineRule="auto"/>
        <w:jc w:val="left"/>
        <w:rPr>
          <w:rFonts w:ascii="Aptos" w:hAnsi="Aptos"/>
        </w:rPr>
      </w:pPr>
      <w:r w:rsidRPr="00A31984">
        <w:rPr>
          <w:rFonts w:ascii="Aptos" w:hAnsi="Aptos"/>
        </w:rPr>
        <w:t xml:space="preserve">Using different ADV methodologies (average vs individual ISIN) will result in different ADV calculations for the same data set. This is explained in more detail in </w:t>
      </w:r>
      <w:r w:rsidRPr="00A31984">
        <w:rPr>
          <w:rFonts w:ascii="Aptos" w:hAnsi="Aptos"/>
        </w:rPr>
        <w:fldChar w:fldCharType="begin"/>
      </w:r>
      <w:r w:rsidRPr="00A31984">
        <w:rPr>
          <w:rFonts w:ascii="Aptos" w:hAnsi="Aptos"/>
        </w:rPr>
        <w:instrText xml:space="preserve"> REF _Ref175136340 \h  \* MERGEFORMAT </w:instrText>
      </w:r>
      <w:r w:rsidRPr="00A31984">
        <w:rPr>
          <w:rFonts w:ascii="Aptos" w:hAnsi="Aptos"/>
        </w:rPr>
      </w:r>
      <w:r w:rsidRPr="00A31984">
        <w:rPr>
          <w:rFonts w:ascii="Aptos" w:hAnsi="Aptos"/>
        </w:rPr>
        <w:fldChar w:fldCharType="separate"/>
      </w:r>
      <w:r w:rsidRPr="004D6E86">
        <w:rPr>
          <w:rFonts w:ascii="Aptos" w:hAnsi="Aptos"/>
        </w:rPr>
        <w:t>Annex III</w:t>
      </w:r>
      <w:r w:rsidRPr="00A31984">
        <w:rPr>
          <w:rFonts w:ascii="Aptos" w:hAnsi="Aptos"/>
        </w:rPr>
        <w:fldChar w:fldCharType="end"/>
      </w:r>
      <w:r w:rsidRPr="00A31984">
        <w:rPr>
          <w:rFonts w:ascii="Aptos" w:hAnsi="Aptos"/>
        </w:rPr>
        <w:t xml:space="preserve"> </w:t>
      </w:r>
      <w:r>
        <w:rPr>
          <w:rFonts w:ascii="Aptos" w:hAnsi="Aptos"/>
        </w:rPr>
        <w:t>and</w:t>
      </w:r>
      <w:r w:rsidRPr="00A31984">
        <w:rPr>
          <w:rFonts w:ascii="Aptos" w:hAnsi="Aptos"/>
        </w:rPr>
        <w:t xml:space="preserve"> </w:t>
      </w:r>
      <w:r w:rsidRPr="00A31984">
        <w:rPr>
          <w:rFonts w:ascii="Aptos" w:hAnsi="Aptos"/>
        </w:rPr>
        <w:fldChar w:fldCharType="begin"/>
      </w:r>
      <w:r w:rsidRPr="00A31984">
        <w:rPr>
          <w:rFonts w:ascii="Aptos" w:hAnsi="Aptos"/>
        </w:rPr>
        <w:instrText xml:space="preserve"> REF _Ref175136497 \h  \* MERGEFORMAT </w:instrText>
      </w:r>
      <w:r w:rsidRPr="00A31984">
        <w:rPr>
          <w:rFonts w:ascii="Aptos" w:hAnsi="Aptos"/>
        </w:rPr>
      </w:r>
      <w:r w:rsidRPr="00A31984">
        <w:rPr>
          <w:rFonts w:ascii="Aptos" w:hAnsi="Aptos"/>
        </w:rPr>
        <w:fldChar w:fldCharType="separate"/>
      </w:r>
      <w:r w:rsidRPr="004D6E86">
        <w:rPr>
          <w:rFonts w:ascii="Aptos" w:hAnsi="Aptos"/>
        </w:rPr>
        <w:t>Annex IV</w:t>
      </w:r>
      <w:r w:rsidRPr="00A31984">
        <w:rPr>
          <w:rFonts w:ascii="Aptos" w:hAnsi="Aptos"/>
        </w:rPr>
        <w:fldChar w:fldCharType="end"/>
      </w:r>
      <w:r w:rsidRPr="00A31984">
        <w:rPr>
          <w:rFonts w:ascii="Aptos" w:hAnsi="Aptos"/>
        </w:rPr>
        <w:t xml:space="preserve">, but essentially the averaging methodology (as used by ICMA in this response) treats all bonds within a grouping as homogenous, which produces a higher ADV (and so a </w:t>
      </w:r>
      <w:r>
        <w:rPr>
          <w:rFonts w:ascii="Aptos" w:hAnsi="Aptos"/>
        </w:rPr>
        <w:t>shorte</w:t>
      </w:r>
      <w:r w:rsidRPr="00B46962">
        <w:rPr>
          <w:rFonts w:ascii="Aptos" w:hAnsi="Aptos"/>
        </w:rPr>
        <w:t>r</w:t>
      </w:r>
      <w:r w:rsidRPr="00A31984">
        <w:rPr>
          <w:rFonts w:ascii="Aptos" w:hAnsi="Aptos"/>
        </w:rPr>
        <w:t xml:space="preserve"> time to trade out).  </w:t>
      </w:r>
    </w:p>
    <w:p w14:paraId="4271FA09" w14:textId="759F8560" w:rsidR="006F6AC1" w:rsidRPr="00A31984" w:rsidRDefault="006F6AC1" w:rsidP="006F6AC1">
      <w:pPr>
        <w:pStyle w:val="ListParagraph"/>
        <w:numPr>
          <w:ilvl w:val="0"/>
          <w:numId w:val="53"/>
        </w:numPr>
        <w:spacing w:after="160" w:line="259" w:lineRule="auto"/>
        <w:jc w:val="left"/>
        <w:rPr>
          <w:rFonts w:ascii="Aptos" w:hAnsi="Aptos"/>
        </w:rPr>
      </w:pPr>
      <w:r w:rsidRPr="00A31984">
        <w:rPr>
          <w:rFonts w:ascii="Aptos" w:hAnsi="Aptos"/>
        </w:rPr>
        <w:t xml:space="preserve">The ADV is an average of a distribution of daily volumes for different bonds within a grouping. For a given trade size, some bonds in that grouping will have a lower ADV, and require a longer average trade-out time, while some will have a </w:t>
      </w:r>
      <w:r>
        <w:rPr>
          <w:rFonts w:ascii="Aptos" w:hAnsi="Aptos"/>
        </w:rPr>
        <w:t>hig</w:t>
      </w:r>
      <w:r w:rsidR="00D82F4F">
        <w:rPr>
          <w:rFonts w:ascii="Aptos" w:hAnsi="Aptos"/>
        </w:rPr>
        <w:t>h</w:t>
      </w:r>
      <w:r>
        <w:rPr>
          <w:rFonts w:ascii="Aptos" w:hAnsi="Aptos"/>
        </w:rPr>
        <w:t>er</w:t>
      </w:r>
      <w:r w:rsidRPr="00A31984">
        <w:rPr>
          <w:rFonts w:ascii="Aptos" w:hAnsi="Aptos"/>
        </w:rPr>
        <w:t xml:space="preserve"> ADV and require a shorter average trade-out time.</w:t>
      </w:r>
      <w:r w:rsidRPr="00B46962">
        <w:rPr>
          <w:rFonts w:ascii="Aptos" w:hAnsi="Aptos"/>
        </w:rPr>
        <w:t xml:space="preserve"> </w:t>
      </w:r>
    </w:p>
    <w:p w14:paraId="2991F8AC" w14:textId="77777777" w:rsidR="006F6AC1" w:rsidRPr="00B46962" w:rsidRDefault="006F6AC1" w:rsidP="006F6AC1">
      <w:pPr>
        <w:pStyle w:val="ListParagraph"/>
        <w:numPr>
          <w:ilvl w:val="0"/>
          <w:numId w:val="53"/>
        </w:numPr>
        <w:spacing w:after="160" w:line="259" w:lineRule="auto"/>
        <w:jc w:val="left"/>
        <w:rPr>
          <w:rFonts w:ascii="Aptos" w:hAnsi="Aptos"/>
        </w:rPr>
      </w:pPr>
      <w:r w:rsidRPr="00B46962">
        <w:rPr>
          <w:rFonts w:ascii="Aptos" w:hAnsi="Aptos"/>
        </w:rPr>
        <w:t xml:space="preserve">In the case of bonds that trade relatively infrequently (such as illiquid corporate bonds), the averaging methodology could underestimate the trade-out-time quite significantly. </w:t>
      </w:r>
    </w:p>
    <w:p w14:paraId="5FFDAA4F" w14:textId="77777777" w:rsidR="006F6AC1" w:rsidRPr="00A31984" w:rsidRDefault="006F6AC1" w:rsidP="006F6AC1">
      <w:pPr>
        <w:pStyle w:val="ListParagraph"/>
        <w:numPr>
          <w:ilvl w:val="0"/>
          <w:numId w:val="53"/>
        </w:numPr>
        <w:spacing w:after="160" w:line="259" w:lineRule="auto"/>
        <w:jc w:val="left"/>
        <w:rPr>
          <w:rFonts w:ascii="Aptos" w:hAnsi="Aptos"/>
        </w:rPr>
      </w:pPr>
      <w:r w:rsidRPr="00A31984">
        <w:rPr>
          <w:rFonts w:ascii="Aptos" w:hAnsi="Aptos"/>
        </w:rPr>
        <w:t xml:space="preserve">The ADV reflects the total daily traded volume in a bond (essentially a measure of market depth). It is highly unlikely that a liquidity provider will be able to transact against 100% of the volumes during the deferral period, and this also needs to be factored into setting the trade size threshold (eg, one might assume that 25% of daily volume is achievable). </w:t>
      </w:r>
    </w:p>
    <w:p w14:paraId="217B9203" w14:textId="77777777" w:rsidR="006F6AC1" w:rsidRPr="00A31984" w:rsidRDefault="006F6AC1" w:rsidP="006F6AC1">
      <w:pPr>
        <w:pStyle w:val="ListParagraph"/>
        <w:numPr>
          <w:ilvl w:val="0"/>
          <w:numId w:val="53"/>
        </w:numPr>
        <w:spacing w:after="160" w:line="259" w:lineRule="auto"/>
        <w:jc w:val="left"/>
        <w:rPr>
          <w:rFonts w:ascii="Aptos" w:hAnsi="Aptos"/>
        </w:rPr>
      </w:pPr>
      <w:r w:rsidRPr="00A31984">
        <w:rPr>
          <w:rFonts w:ascii="Aptos" w:hAnsi="Aptos"/>
        </w:rPr>
        <w:t>For categories 5 and 6 there is no upper threshold. Therefore, some very large trades will require longer than the 4-week deferral provided.</w:t>
      </w:r>
    </w:p>
    <w:p w14:paraId="1C9D337E" w14:textId="77777777" w:rsidR="006F6AC1" w:rsidRPr="00A31984" w:rsidRDefault="006F6AC1" w:rsidP="006F6AC1">
      <w:pPr>
        <w:rPr>
          <w:rFonts w:ascii="Aptos" w:hAnsi="Aptos"/>
          <w:b/>
        </w:rPr>
      </w:pPr>
      <w:r w:rsidRPr="00A31984">
        <w:rPr>
          <w:rFonts w:ascii="Aptos" w:hAnsi="Aptos"/>
          <w:b/>
        </w:rPr>
        <w:t>Accordingly, these proposed thresholds should be viewed as indicative and ICMA would encourage ESMA to make its own assessment, taking into consideration these important points. However, this does help to illustrate how higher size thresholds can be achieved in the case of liquid bonds, based on mor</w:t>
      </w:r>
      <w:r>
        <w:rPr>
          <w:rFonts w:ascii="Aptos" w:hAnsi="Aptos"/>
          <w:b/>
        </w:rPr>
        <w:t>e</w:t>
      </w:r>
      <w:r w:rsidRPr="00A31984">
        <w:rPr>
          <w:rFonts w:ascii="Aptos" w:hAnsi="Aptos"/>
          <w:b/>
        </w:rPr>
        <w:t xml:space="preserve"> granular groupings and more scientifically based liquidity determination thresholds. </w:t>
      </w:r>
    </w:p>
    <w:p w14:paraId="690FBC68" w14:textId="77777777" w:rsidR="00A31CA9" w:rsidRDefault="00A31CA9" w:rsidP="00A31CA9">
      <w:pPr>
        <w:rPr>
          <w:rFonts w:ascii="Aptos" w:hAnsi="Aptos"/>
        </w:rPr>
      </w:pPr>
    </w:p>
    <w:p w14:paraId="477DF1CF" w14:textId="77777777" w:rsidR="00A31CA9" w:rsidRDefault="00A31CA9" w:rsidP="00A31CA9">
      <w:pPr>
        <w:rPr>
          <w:rFonts w:ascii="Aptos" w:hAnsi="Aptos"/>
        </w:rPr>
      </w:pPr>
    </w:p>
    <w:p w14:paraId="6B06D4DC" w14:textId="77777777" w:rsidR="00A31CA9" w:rsidRPr="00B46962" w:rsidRDefault="00A31CA9" w:rsidP="00A31CA9">
      <w:pPr>
        <w:rPr>
          <w:rFonts w:ascii="Aptos" w:hAnsi="Aptos"/>
        </w:rPr>
      </w:pPr>
    </w:p>
    <w:p w14:paraId="1BBBCBF5" w14:textId="77777777" w:rsidR="00A31CA9" w:rsidRPr="00A31984" w:rsidRDefault="00A31CA9" w:rsidP="00A31CA9">
      <w:pPr>
        <w:rPr>
          <w:rFonts w:ascii="Aptos" w:hAnsi="Aptos"/>
          <w:b/>
        </w:rPr>
      </w:pPr>
      <w:r w:rsidRPr="00A31984">
        <w:rPr>
          <w:rFonts w:ascii="Aptos" w:hAnsi="Aptos"/>
          <w:b/>
        </w:rPr>
        <w:lastRenderedPageBreak/>
        <w:t>ICMA Group 1a: Sovereign bonds Liquid #1 [SB1: Government bond issuance by DE, FR, IT, ES, UK, and US – fixed coupon]</w:t>
      </w:r>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66E30C50" w14:textId="77777777" w:rsidTr="00B24BC8">
        <w:tc>
          <w:tcPr>
            <w:tcW w:w="1803" w:type="dxa"/>
            <w:shd w:val="clear" w:color="auto" w:fill="D9D9D9" w:themeFill="background1" w:themeFillShade="D9"/>
          </w:tcPr>
          <w:p w14:paraId="0E8C383E"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34566BE1"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727569E8"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1D6CDAF3"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741864E1"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132064BB" w14:textId="77777777" w:rsidTr="00B24BC8">
        <w:tc>
          <w:tcPr>
            <w:tcW w:w="1803" w:type="dxa"/>
          </w:tcPr>
          <w:p w14:paraId="2F5C4D94" w14:textId="77777777" w:rsidR="00A31CA9" w:rsidRPr="00A31984" w:rsidRDefault="00A31CA9" w:rsidP="00B24BC8">
            <w:pPr>
              <w:rPr>
                <w:rFonts w:ascii="Aptos" w:hAnsi="Aptos"/>
              </w:rPr>
            </w:pPr>
            <w:r w:rsidRPr="00A31984">
              <w:rPr>
                <w:rFonts w:ascii="Aptos" w:hAnsi="Aptos"/>
              </w:rPr>
              <w:t xml:space="preserve">N/A Liquid </w:t>
            </w:r>
          </w:p>
        </w:tc>
        <w:tc>
          <w:tcPr>
            <w:tcW w:w="1803" w:type="dxa"/>
          </w:tcPr>
          <w:p w14:paraId="0318EB8E" w14:textId="77777777" w:rsidR="00A31CA9" w:rsidRPr="00A31984" w:rsidRDefault="00A31CA9" w:rsidP="00B24BC8">
            <w:pPr>
              <w:rPr>
                <w:rFonts w:ascii="Aptos" w:hAnsi="Aptos"/>
              </w:rPr>
            </w:pPr>
            <w:r w:rsidRPr="00A31984">
              <w:rPr>
                <w:rFonts w:ascii="Aptos" w:hAnsi="Aptos"/>
              </w:rPr>
              <w:t>≥ 10bn</w:t>
            </w:r>
          </w:p>
        </w:tc>
        <w:tc>
          <w:tcPr>
            <w:tcW w:w="1519" w:type="dxa"/>
          </w:tcPr>
          <w:p w14:paraId="6E115052" w14:textId="77777777" w:rsidR="00A31CA9" w:rsidRPr="00A31984" w:rsidRDefault="00A31CA9" w:rsidP="00B24BC8">
            <w:pPr>
              <w:rPr>
                <w:rFonts w:ascii="Aptos" w:hAnsi="Aptos"/>
              </w:rPr>
            </w:pPr>
            <w:r w:rsidRPr="00A31984">
              <w:rPr>
                <w:rFonts w:ascii="Aptos" w:hAnsi="Aptos"/>
              </w:rPr>
              <w:t>&lt; 5mn</w:t>
            </w:r>
          </w:p>
        </w:tc>
        <w:tc>
          <w:tcPr>
            <w:tcW w:w="3891" w:type="dxa"/>
            <w:gridSpan w:val="2"/>
          </w:tcPr>
          <w:p w14:paraId="29433A4D"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513A2FF9" w14:textId="77777777" w:rsidTr="00B24BC8">
        <w:tc>
          <w:tcPr>
            <w:tcW w:w="1803" w:type="dxa"/>
          </w:tcPr>
          <w:p w14:paraId="5CC51BB8" w14:textId="77777777" w:rsidR="00A31CA9" w:rsidRPr="00A31984" w:rsidRDefault="00A31CA9" w:rsidP="00B24BC8">
            <w:pPr>
              <w:rPr>
                <w:rFonts w:ascii="Aptos" w:hAnsi="Aptos"/>
              </w:rPr>
            </w:pPr>
            <w:r w:rsidRPr="00A31984">
              <w:rPr>
                <w:rFonts w:ascii="Aptos" w:hAnsi="Aptos"/>
              </w:rPr>
              <w:t>1</w:t>
            </w:r>
          </w:p>
        </w:tc>
        <w:tc>
          <w:tcPr>
            <w:tcW w:w="1803" w:type="dxa"/>
          </w:tcPr>
          <w:p w14:paraId="10C54E1E" w14:textId="77777777" w:rsidR="00A31CA9" w:rsidRPr="00A31984" w:rsidRDefault="00A31CA9" w:rsidP="00B24BC8">
            <w:pPr>
              <w:rPr>
                <w:rFonts w:ascii="Aptos" w:hAnsi="Aptos"/>
              </w:rPr>
            </w:pPr>
            <w:r w:rsidRPr="00A31984">
              <w:rPr>
                <w:rFonts w:ascii="Aptos" w:hAnsi="Aptos"/>
              </w:rPr>
              <w:t>≥ 10bn</w:t>
            </w:r>
          </w:p>
        </w:tc>
        <w:tc>
          <w:tcPr>
            <w:tcW w:w="1519" w:type="dxa"/>
          </w:tcPr>
          <w:p w14:paraId="7C529A6E" w14:textId="77777777" w:rsidR="00A31CA9" w:rsidRPr="00A31984" w:rsidRDefault="00A31CA9" w:rsidP="00B24BC8">
            <w:pPr>
              <w:rPr>
                <w:rFonts w:ascii="Aptos" w:hAnsi="Aptos"/>
              </w:rPr>
            </w:pPr>
            <w:r w:rsidRPr="00A31984">
              <w:rPr>
                <w:rFonts w:ascii="Aptos" w:hAnsi="Aptos"/>
              </w:rPr>
              <w:t>5-20mn</w:t>
            </w:r>
          </w:p>
        </w:tc>
        <w:tc>
          <w:tcPr>
            <w:tcW w:w="3891" w:type="dxa"/>
            <w:gridSpan w:val="2"/>
          </w:tcPr>
          <w:p w14:paraId="07FB5D62" w14:textId="77777777" w:rsidR="00A31CA9" w:rsidRPr="00A31984" w:rsidRDefault="00A31CA9" w:rsidP="00B24BC8">
            <w:pPr>
              <w:jc w:val="center"/>
              <w:rPr>
                <w:rFonts w:ascii="Aptos" w:hAnsi="Aptos"/>
              </w:rPr>
            </w:pPr>
            <w:r w:rsidRPr="00A31984">
              <w:rPr>
                <w:rFonts w:ascii="Aptos" w:hAnsi="Aptos"/>
              </w:rPr>
              <w:t>15 mins</w:t>
            </w:r>
          </w:p>
        </w:tc>
      </w:tr>
      <w:tr w:rsidR="00A31CA9" w:rsidRPr="00B46962" w14:paraId="34EC9E3B" w14:textId="77777777" w:rsidTr="00B24BC8">
        <w:tc>
          <w:tcPr>
            <w:tcW w:w="1803" w:type="dxa"/>
          </w:tcPr>
          <w:p w14:paraId="404F4636" w14:textId="77777777" w:rsidR="00A31CA9" w:rsidRPr="00A31984" w:rsidRDefault="00A31CA9" w:rsidP="00B24BC8">
            <w:pPr>
              <w:rPr>
                <w:rFonts w:ascii="Aptos" w:hAnsi="Aptos"/>
              </w:rPr>
            </w:pPr>
            <w:r w:rsidRPr="00A31984">
              <w:rPr>
                <w:rFonts w:ascii="Aptos" w:hAnsi="Aptos"/>
              </w:rPr>
              <w:t>3</w:t>
            </w:r>
          </w:p>
        </w:tc>
        <w:tc>
          <w:tcPr>
            <w:tcW w:w="1803" w:type="dxa"/>
          </w:tcPr>
          <w:p w14:paraId="3C456EE4" w14:textId="77777777" w:rsidR="00A31CA9" w:rsidRPr="00A31984" w:rsidRDefault="00A31CA9" w:rsidP="00B24BC8">
            <w:pPr>
              <w:rPr>
                <w:rFonts w:ascii="Aptos" w:hAnsi="Aptos"/>
              </w:rPr>
            </w:pPr>
            <w:r w:rsidRPr="00A31984">
              <w:rPr>
                <w:rFonts w:ascii="Aptos" w:hAnsi="Aptos"/>
              </w:rPr>
              <w:t>≥ 10bn</w:t>
            </w:r>
          </w:p>
        </w:tc>
        <w:tc>
          <w:tcPr>
            <w:tcW w:w="1519" w:type="dxa"/>
          </w:tcPr>
          <w:p w14:paraId="4EBC0289" w14:textId="77777777" w:rsidR="00A31CA9" w:rsidRPr="00A31984" w:rsidRDefault="00A31CA9" w:rsidP="00B24BC8">
            <w:pPr>
              <w:rPr>
                <w:rFonts w:ascii="Aptos" w:hAnsi="Aptos"/>
              </w:rPr>
            </w:pPr>
            <w:r w:rsidRPr="00A31984">
              <w:rPr>
                <w:rFonts w:ascii="Aptos" w:hAnsi="Aptos"/>
              </w:rPr>
              <w:t>20-100mn</w:t>
            </w:r>
          </w:p>
        </w:tc>
        <w:tc>
          <w:tcPr>
            <w:tcW w:w="1980" w:type="dxa"/>
          </w:tcPr>
          <w:p w14:paraId="1DBA1637" w14:textId="77777777" w:rsidR="00A31CA9" w:rsidRPr="00A31984" w:rsidRDefault="00A31CA9" w:rsidP="00B24BC8">
            <w:pPr>
              <w:jc w:val="center"/>
              <w:rPr>
                <w:rFonts w:ascii="Aptos" w:hAnsi="Aptos"/>
              </w:rPr>
            </w:pPr>
            <w:r w:rsidRPr="00A31984">
              <w:rPr>
                <w:rFonts w:ascii="Aptos" w:hAnsi="Aptos"/>
              </w:rPr>
              <w:t>T+1</w:t>
            </w:r>
          </w:p>
        </w:tc>
        <w:tc>
          <w:tcPr>
            <w:tcW w:w="1911" w:type="dxa"/>
          </w:tcPr>
          <w:p w14:paraId="06F30AA9" w14:textId="77777777" w:rsidR="00A31CA9" w:rsidRPr="00A31984" w:rsidRDefault="00A31CA9" w:rsidP="00B24BC8">
            <w:pPr>
              <w:jc w:val="center"/>
              <w:rPr>
                <w:rFonts w:ascii="Aptos" w:hAnsi="Aptos"/>
              </w:rPr>
            </w:pPr>
            <w:r w:rsidRPr="00A31984">
              <w:rPr>
                <w:rFonts w:ascii="Aptos" w:hAnsi="Aptos"/>
              </w:rPr>
              <w:t>1 week</w:t>
            </w:r>
          </w:p>
        </w:tc>
      </w:tr>
      <w:tr w:rsidR="00A31CA9" w:rsidRPr="00B46962" w14:paraId="54975CA1" w14:textId="77777777" w:rsidTr="00B24BC8">
        <w:tc>
          <w:tcPr>
            <w:tcW w:w="1803" w:type="dxa"/>
          </w:tcPr>
          <w:p w14:paraId="747F170C" w14:textId="77777777" w:rsidR="00A31CA9" w:rsidRPr="00A31984" w:rsidRDefault="00A31CA9" w:rsidP="00B24BC8">
            <w:pPr>
              <w:rPr>
                <w:rFonts w:ascii="Aptos" w:hAnsi="Aptos"/>
              </w:rPr>
            </w:pPr>
            <w:r w:rsidRPr="00A31984">
              <w:rPr>
                <w:rFonts w:ascii="Aptos" w:hAnsi="Aptos"/>
              </w:rPr>
              <w:t>5</w:t>
            </w:r>
          </w:p>
        </w:tc>
        <w:tc>
          <w:tcPr>
            <w:tcW w:w="1803" w:type="dxa"/>
          </w:tcPr>
          <w:p w14:paraId="4AA40A7D" w14:textId="77777777" w:rsidR="00A31CA9" w:rsidRPr="00A31984" w:rsidRDefault="00A31CA9" w:rsidP="00B24BC8">
            <w:pPr>
              <w:rPr>
                <w:rFonts w:ascii="Aptos" w:hAnsi="Aptos"/>
              </w:rPr>
            </w:pPr>
            <w:r w:rsidRPr="00A31984">
              <w:rPr>
                <w:rFonts w:ascii="Aptos" w:hAnsi="Aptos"/>
              </w:rPr>
              <w:t>≥ 10bn</w:t>
            </w:r>
          </w:p>
        </w:tc>
        <w:tc>
          <w:tcPr>
            <w:tcW w:w="1519" w:type="dxa"/>
          </w:tcPr>
          <w:p w14:paraId="1233433E" w14:textId="77777777" w:rsidR="00A31CA9" w:rsidRPr="00A31984" w:rsidRDefault="00A31CA9" w:rsidP="00B24BC8">
            <w:pPr>
              <w:rPr>
                <w:rFonts w:ascii="Aptos" w:hAnsi="Aptos"/>
              </w:rPr>
            </w:pPr>
            <w:r w:rsidRPr="00A31984">
              <w:rPr>
                <w:rFonts w:ascii="Aptos" w:hAnsi="Aptos"/>
              </w:rPr>
              <w:t>≥ 100mn</w:t>
            </w:r>
          </w:p>
        </w:tc>
        <w:tc>
          <w:tcPr>
            <w:tcW w:w="3891" w:type="dxa"/>
            <w:gridSpan w:val="2"/>
          </w:tcPr>
          <w:p w14:paraId="53A74F3B" w14:textId="77777777" w:rsidR="00A31CA9" w:rsidRPr="00A31984" w:rsidRDefault="00A31CA9" w:rsidP="00B24BC8">
            <w:pPr>
              <w:jc w:val="center"/>
              <w:rPr>
                <w:rFonts w:ascii="Aptos" w:hAnsi="Aptos"/>
              </w:rPr>
            </w:pPr>
            <w:r w:rsidRPr="00A31984">
              <w:rPr>
                <w:rFonts w:ascii="Aptos" w:hAnsi="Aptos"/>
              </w:rPr>
              <w:t>4 weeks</w:t>
            </w:r>
          </w:p>
        </w:tc>
      </w:tr>
    </w:tbl>
    <w:p w14:paraId="4DC9704B" w14:textId="77777777" w:rsidR="00A31CA9" w:rsidRPr="00A31984" w:rsidRDefault="00A31CA9" w:rsidP="00A31CA9">
      <w:pPr>
        <w:rPr>
          <w:rFonts w:ascii="Aptos" w:hAnsi="Aptos"/>
          <w:b/>
        </w:rPr>
      </w:pPr>
    </w:p>
    <w:p w14:paraId="43E5C4FD" w14:textId="77777777" w:rsidR="00A31CA9" w:rsidRPr="00A31984" w:rsidRDefault="00A31CA9" w:rsidP="00A31CA9">
      <w:pPr>
        <w:rPr>
          <w:rFonts w:ascii="Aptos" w:hAnsi="Aptos"/>
          <w:b/>
        </w:rPr>
      </w:pPr>
      <w:r w:rsidRPr="00A31984">
        <w:rPr>
          <w:rFonts w:ascii="Aptos" w:hAnsi="Aptos"/>
          <w:b/>
        </w:rPr>
        <w:t>ICMA Group 1b: Sovereign bonds Illiquid #1 [SB1: Government bond issuance by DE, FR, IT, ES, UK, and US – fixed coupon]</w:t>
      </w:r>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7F3134F0" w14:textId="77777777" w:rsidTr="00B24BC8">
        <w:tc>
          <w:tcPr>
            <w:tcW w:w="1803" w:type="dxa"/>
            <w:shd w:val="clear" w:color="auto" w:fill="D9D9D9" w:themeFill="background1" w:themeFillShade="D9"/>
          </w:tcPr>
          <w:p w14:paraId="60C2EC49"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30EF8636"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6FFC895A"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462E2354"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730E1B10"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15B8B5D2" w14:textId="77777777" w:rsidTr="00B24BC8">
        <w:tc>
          <w:tcPr>
            <w:tcW w:w="1803" w:type="dxa"/>
          </w:tcPr>
          <w:p w14:paraId="1DC8CC68" w14:textId="77777777" w:rsidR="00A31CA9" w:rsidRPr="00A31984" w:rsidRDefault="00A31CA9" w:rsidP="00B24BC8">
            <w:pPr>
              <w:rPr>
                <w:rFonts w:ascii="Aptos" w:hAnsi="Aptos"/>
              </w:rPr>
            </w:pPr>
            <w:r w:rsidRPr="00A31984">
              <w:rPr>
                <w:rFonts w:ascii="Aptos" w:hAnsi="Aptos"/>
              </w:rPr>
              <w:t xml:space="preserve">N/A Illiquid </w:t>
            </w:r>
          </w:p>
        </w:tc>
        <w:tc>
          <w:tcPr>
            <w:tcW w:w="1803" w:type="dxa"/>
          </w:tcPr>
          <w:p w14:paraId="3B5676F1" w14:textId="77777777" w:rsidR="00A31CA9" w:rsidRPr="00A31984" w:rsidRDefault="00A31CA9" w:rsidP="00B24BC8">
            <w:pPr>
              <w:rPr>
                <w:rFonts w:ascii="Aptos" w:hAnsi="Aptos"/>
              </w:rPr>
            </w:pPr>
            <w:r w:rsidRPr="00A31984">
              <w:rPr>
                <w:rFonts w:ascii="Aptos" w:hAnsi="Aptos"/>
              </w:rPr>
              <w:t>&lt; 1</w:t>
            </w:r>
            <w:r>
              <w:rPr>
                <w:rFonts w:ascii="Aptos" w:hAnsi="Aptos"/>
              </w:rPr>
              <w:t>0</w:t>
            </w:r>
            <w:r w:rsidRPr="00A31984">
              <w:rPr>
                <w:rFonts w:ascii="Aptos" w:hAnsi="Aptos"/>
              </w:rPr>
              <w:t>bn</w:t>
            </w:r>
          </w:p>
        </w:tc>
        <w:tc>
          <w:tcPr>
            <w:tcW w:w="1519" w:type="dxa"/>
          </w:tcPr>
          <w:p w14:paraId="7F1DC820" w14:textId="77777777" w:rsidR="00A31CA9" w:rsidRPr="00A31984" w:rsidRDefault="00A31CA9" w:rsidP="00B24BC8">
            <w:pPr>
              <w:rPr>
                <w:rFonts w:ascii="Aptos" w:hAnsi="Aptos"/>
              </w:rPr>
            </w:pPr>
            <w:r w:rsidRPr="00A31984">
              <w:rPr>
                <w:rFonts w:ascii="Aptos" w:hAnsi="Aptos"/>
              </w:rPr>
              <w:t xml:space="preserve">&lt; 1mn </w:t>
            </w:r>
          </w:p>
        </w:tc>
        <w:tc>
          <w:tcPr>
            <w:tcW w:w="3891" w:type="dxa"/>
            <w:gridSpan w:val="2"/>
          </w:tcPr>
          <w:p w14:paraId="349365E4" w14:textId="77777777" w:rsidR="00A31CA9" w:rsidRPr="00A31984" w:rsidRDefault="00A31CA9" w:rsidP="00B24BC8">
            <w:pPr>
              <w:jc w:val="center"/>
              <w:rPr>
                <w:rFonts w:ascii="Aptos" w:hAnsi="Aptos"/>
                <w:highlight w:val="green"/>
              </w:rPr>
            </w:pPr>
            <w:r w:rsidRPr="00A31984">
              <w:rPr>
                <w:rFonts w:ascii="Aptos" w:hAnsi="Aptos"/>
              </w:rPr>
              <w:t xml:space="preserve">Real Time </w:t>
            </w:r>
          </w:p>
        </w:tc>
      </w:tr>
      <w:tr w:rsidR="00A31CA9" w:rsidRPr="00B46962" w14:paraId="14CC4C84" w14:textId="77777777" w:rsidTr="00B24BC8">
        <w:tc>
          <w:tcPr>
            <w:tcW w:w="1803" w:type="dxa"/>
          </w:tcPr>
          <w:p w14:paraId="6A23F288" w14:textId="77777777" w:rsidR="00A31CA9" w:rsidRPr="00A31984" w:rsidRDefault="00A31CA9" w:rsidP="00B24BC8">
            <w:pPr>
              <w:rPr>
                <w:rFonts w:ascii="Aptos" w:hAnsi="Aptos"/>
              </w:rPr>
            </w:pPr>
            <w:r w:rsidRPr="00A31984">
              <w:rPr>
                <w:rFonts w:ascii="Aptos" w:hAnsi="Aptos"/>
              </w:rPr>
              <w:t>2</w:t>
            </w:r>
          </w:p>
        </w:tc>
        <w:tc>
          <w:tcPr>
            <w:tcW w:w="1803" w:type="dxa"/>
          </w:tcPr>
          <w:p w14:paraId="001C42EC" w14:textId="77777777" w:rsidR="00A31CA9" w:rsidRPr="00A31984" w:rsidRDefault="00A31CA9" w:rsidP="00B24BC8">
            <w:pPr>
              <w:rPr>
                <w:rFonts w:ascii="Aptos" w:hAnsi="Aptos"/>
              </w:rPr>
            </w:pPr>
            <w:r w:rsidRPr="00A31984">
              <w:rPr>
                <w:rFonts w:ascii="Aptos" w:hAnsi="Aptos"/>
              </w:rPr>
              <w:t>&lt; 10bn</w:t>
            </w:r>
          </w:p>
        </w:tc>
        <w:tc>
          <w:tcPr>
            <w:tcW w:w="1519" w:type="dxa"/>
          </w:tcPr>
          <w:p w14:paraId="57400058" w14:textId="77777777" w:rsidR="00A31CA9" w:rsidRPr="00A31984" w:rsidRDefault="00A31CA9" w:rsidP="00B24BC8">
            <w:pPr>
              <w:rPr>
                <w:rFonts w:ascii="Aptos" w:hAnsi="Aptos"/>
              </w:rPr>
            </w:pPr>
            <w:r w:rsidRPr="00A31984">
              <w:rPr>
                <w:rFonts w:ascii="Aptos" w:hAnsi="Aptos"/>
              </w:rPr>
              <w:t>1-10mn</w:t>
            </w:r>
          </w:p>
        </w:tc>
        <w:tc>
          <w:tcPr>
            <w:tcW w:w="3891" w:type="dxa"/>
            <w:gridSpan w:val="2"/>
          </w:tcPr>
          <w:p w14:paraId="4D5A1B0B" w14:textId="77777777" w:rsidR="00A31CA9" w:rsidRPr="00A31984" w:rsidRDefault="00A31CA9" w:rsidP="00B24BC8">
            <w:pPr>
              <w:jc w:val="center"/>
              <w:rPr>
                <w:rFonts w:ascii="Aptos" w:hAnsi="Aptos"/>
              </w:rPr>
            </w:pPr>
            <w:r w:rsidRPr="00A31984">
              <w:rPr>
                <w:rFonts w:ascii="Aptos" w:hAnsi="Aptos"/>
              </w:rPr>
              <w:t>End of day</w:t>
            </w:r>
          </w:p>
        </w:tc>
      </w:tr>
      <w:tr w:rsidR="00A31CA9" w:rsidRPr="00B46962" w14:paraId="501DB681" w14:textId="77777777" w:rsidTr="00B24BC8">
        <w:tc>
          <w:tcPr>
            <w:tcW w:w="1803" w:type="dxa"/>
          </w:tcPr>
          <w:p w14:paraId="7CA01D6B" w14:textId="77777777" w:rsidR="00A31CA9" w:rsidRPr="00A31984" w:rsidRDefault="00A31CA9" w:rsidP="00B24BC8">
            <w:pPr>
              <w:rPr>
                <w:rFonts w:ascii="Aptos" w:hAnsi="Aptos"/>
              </w:rPr>
            </w:pPr>
            <w:r w:rsidRPr="00A31984">
              <w:rPr>
                <w:rFonts w:ascii="Aptos" w:hAnsi="Aptos"/>
              </w:rPr>
              <w:t>4</w:t>
            </w:r>
          </w:p>
        </w:tc>
        <w:tc>
          <w:tcPr>
            <w:tcW w:w="1803" w:type="dxa"/>
          </w:tcPr>
          <w:p w14:paraId="25959E4A" w14:textId="77777777" w:rsidR="00A31CA9" w:rsidRPr="00A31984" w:rsidRDefault="00A31CA9" w:rsidP="00B24BC8">
            <w:pPr>
              <w:rPr>
                <w:rFonts w:ascii="Aptos" w:hAnsi="Aptos"/>
              </w:rPr>
            </w:pPr>
            <w:r w:rsidRPr="00A31984">
              <w:rPr>
                <w:rFonts w:ascii="Aptos" w:hAnsi="Aptos"/>
              </w:rPr>
              <w:t>&lt; 10bn</w:t>
            </w:r>
          </w:p>
        </w:tc>
        <w:tc>
          <w:tcPr>
            <w:tcW w:w="1519" w:type="dxa"/>
          </w:tcPr>
          <w:p w14:paraId="77E63FA4" w14:textId="77777777" w:rsidR="00A31CA9" w:rsidRPr="00A31984" w:rsidRDefault="00A31CA9" w:rsidP="00B24BC8">
            <w:pPr>
              <w:rPr>
                <w:rFonts w:ascii="Aptos" w:hAnsi="Aptos"/>
              </w:rPr>
            </w:pPr>
            <w:r w:rsidRPr="00A31984">
              <w:rPr>
                <w:rFonts w:ascii="Aptos" w:hAnsi="Aptos"/>
              </w:rPr>
              <w:t>10-50mn</w:t>
            </w:r>
          </w:p>
        </w:tc>
        <w:tc>
          <w:tcPr>
            <w:tcW w:w="1980" w:type="dxa"/>
          </w:tcPr>
          <w:p w14:paraId="572470B6" w14:textId="77777777" w:rsidR="00A31CA9" w:rsidRPr="00A31984" w:rsidRDefault="00A31CA9" w:rsidP="00B24BC8">
            <w:pPr>
              <w:jc w:val="center"/>
              <w:rPr>
                <w:rFonts w:ascii="Aptos" w:hAnsi="Aptos"/>
              </w:rPr>
            </w:pPr>
            <w:r w:rsidRPr="00A31984">
              <w:rPr>
                <w:rFonts w:ascii="Aptos" w:hAnsi="Aptos"/>
              </w:rPr>
              <w:t>T+2</w:t>
            </w:r>
          </w:p>
        </w:tc>
        <w:tc>
          <w:tcPr>
            <w:tcW w:w="1911" w:type="dxa"/>
          </w:tcPr>
          <w:p w14:paraId="2C04D2F4" w14:textId="77777777" w:rsidR="00A31CA9" w:rsidRPr="00A31984" w:rsidRDefault="00A31CA9" w:rsidP="00B24BC8">
            <w:pPr>
              <w:jc w:val="center"/>
              <w:rPr>
                <w:rFonts w:ascii="Aptos" w:hAnsi="Aptos"/>
              </w:rPr>
            </w:pPr>
            <w:r w:rsidRPr="00A31984">
              <w:rPr>
                <w:rFonts w:ascii="Aptos" w:hAnsi="Aptos"/>
              </w:rPr>
              <w:t>2 weeks</w:t>
            </w:r>
          </w:p>
        </w:tc>
      </w:tr>
      <w:tr w:rsidR="00A31CA9" w:rsidRPr="00B46962" w14:paraId="62C96D7F" w14:textId="77777777" w:rsidTr="00B24BC8">
        <w:tc>
          <w:tcPr>
            <w:tcW w:w="1803" w:type="dxa"/>
          </w:tcPr>
          <w:p w14:paraId="1EEF40DE" w14:textId="77777777" w:rsidR="00A31CA9" w:rsidRPr="00A31984" w:rsidRDefault="00A31CA9" w:rsidP="00B24BC8">
            <w:pPr>
              <w:rPr>
                <w:rFonts w:ascii="Aptos" w:hAnsi="Aptos"/>
              </w:rPr>
            </w:pPr>
            <w:r w:rsidRPr="00A31984">
              <w:rPr>
                <w:rFonts w:ascii="Aptos" w:hAnsi="Aptos"/>
              </w:rPr>
              <w:t>6</w:t>
            </w:r>
          </w:p>
        </w:tc>
        <w:tc>
          <w:tcPr>
            <w:tcW w:w="1803" w:type="dxa"/>
          </w:tcPr>
          <w:p w14:paraId="5B983B7F" w14:textId="77777777" w:rsidR="00A31CA9" w:rsidRPr="00A31984" w:rsidRDefault="00A31CA9" w:rsidP="00B24BC8">
            <w:pPr>
              <w:rPr>
                <w:rFonts w:ascii="Aptos" w:hAnsi="Aptos"/>
              </w:rPr>
            </w:pPr>
            <w:r w:rsidRPr="00A31984">
              <w:rPr>
                <w:rFonts w:ascii="Aptos" w:hAnsi="Aptos"/>
              </w:rPr>
              <w:t>&lt; 10bn</w:t>
            </w:r>
          </w:p>
        </w:tc>
        <w:tc>
          <w:tcPr>
            <w:tcW w:w="1519" w:type="dxa"/>
          </w:tcPr>
          <w:p w14:paraId="7A2F4F79" w14:textId="77777777" w:rsidR="00A31CA9" w:rsidRPr="00A31984" w:rsidRDefault="00A31CA9" w:rsidP="00B24BC8">
            <w:pPr>
              <w:rPr>
                <w:rFonts w:ascii="Aptos" w:hAnsi="Aptos"/>
              </w:rPr>
            </w:pPr>
            <w:r w:rsidRPr="00A31984">
              <w:rPr>
                <w:rFonts w:ascii="Aptos" w:hAnsi="Aptos"/>
              </w:rPr>
              <w:t>≥ 50mn</w:t>
            </w:r>
          </w:p>
        </w:tc>
        <w:tc>
          <w:tcPr>
            <w:tcW w:w="3891" w:type="dxa"/>
            <w:gridSpan w:val="2"/>
          </w:tcPr>
          <w:p w14:paraId="0408DB15" w14:textId="77777777" w:rsidR="00A31CA9" w:rsidRPr="00A31984" w:rsidRDefault="00A31CA9" w:rsidP="00B24BC8">
            <w:pPr>
              <w:jc w:val="center"/>
              <w:rPr>
                <w:rFonts w:ascii="Aptos" w:hAnsi="Aptos"/>
              </w:rPr>
            </w:pPr>
            <w:r w:rsidRPr="00A31984">
              <w:rPr>
                <w:rFonts w:ascii="Aptos" w:hAnsi="Aptos"/>
              </w:rPr>
              <w:t>4 weeks</w:t>
            </w:r>
          </w:p>
        </w:tc>
      </w:tr>
    </w:tbl>
    <w:p w14:paraId="647A9C2B" w14:textId="77777777" w:rsidR="00A31CA9" w:rsidRPr="00A31984" w:rsidRDefault="00A31CA9" w:rsidP="00A31CA9">
      <w:pPr>
        <w:rPr>
          <w:rFonts w:ascii="Aptos" w:hAnsi="Aptos"/>
        </w:rPr>
      </w:pPr>
    </w:p>
    <w:p w14:paraId="4EC60133" w14:textId="77777777" w:rsidR="00A31CA9" w:rsidRDefault="00A31CA9" w:rsidP="00A31CA9">
      <w:pPr>
        <w:rPr>
          <w:rFonts w:ascii="Aptos" w:hAnsi="Aptos"/>
        </w:rPr>
      </w:pPr>
    </w:p>
    <w:p w14:paraId="0AA65E46" w14:textId="77777777" w:rsidR="00A31CA9" w:rsidRDefault="00A31CA9" w:rsidP="00A31CA9">
      <w:pPr>
        <w:rPr>
          <w:rFonts w:ascii="Aptos" w:hAnsi="Aptos"/>
        </w:rPr>
      </w:pPr>
    </w:p>
    <w:p w14:paraId="33B999BD" w14:textId="77777777" w:rsidR="00A31CA9" w:rsidRDefault="00A31CA9" w:rsidP="00A31CA9">
      <w:pPr>
        <w:rPr>
          <w:rFonts w:ascii="Aptos" w:hAnsi="Aptos"/>
        </w:rPr>
      </w:pPr>
    </w:p>
    <w:p w14:paraId="5DF3DE7C" w14:textId="77777777" w:rsidR="00A31CA9" w:rsidRDefault="00A31CA9" w:rsidP="00A31CA9">
      <w:pPr>
        <w:rPr>
          <w:rFonts w:ascii="Aptos" w:hAnsi="Aptos"/>
        </w:rPr>
      </w:pPr>
    </w:p>
    <w:p w14:paraId="78E16C6B" w14:textId="77777777" w:rsidR="00A31CA9" w:rsidRDefault="00A31CA9" w:rsidP="00A31CA9">
      <w:pPr>
        <w:rPr>
          <w:rFonts w:ascii="Aptos" w:hAnsi="Aptos"/>
        </w:rPr>
      </w:pPr>
    </w:p>
    <w:p w14:paraId="28C51F55" w14:textId="77777777" w:rsidR="00A31CA9" w:rsidRPr="00B46962" w:rsidRDefault="00A31CA9" w:rsidP="00A31CA9">
      <w:pPr>
        <w:rPr>
          <w:rFonts w:ascii="Aptos" w:hAnsi="Aptos"/>
        </w:rPr>
      </w:pPr>
    </w:p>
    <w:p w14:paraId="1D28EABB" w14:textId="77777777" w:rsidR="00A31CA9" w:rsidRPr="00A31984" w:rsidRDefault="00A31CA9" w:rsidP="00A31CA9">
      <w:pPr>
        <w:rPr>
          <w:rFonts w:ascii="Aptos" w:hAnsi="Aptos"/>
          <w:b/>
        </w:rPr>
      </w:pPr>
      <w:bookmarkStart w:id="11" w:name="_Toc173869055"/>
      <w:bookmarkStart w:id="12" w:name="_Toc173869056"/>
      <w:r w:rsidRPr="00A31984">
        <w:rPr>
          <w:rFonts w:ascii="Aptos" w:hAnsi="Aptos"/>
          <w:b/>
        </w:rPr>
        <w:lastRenderedPageBreak/>
        <w:t>ICMA Group 2a: Sovereign bonds Liquid #2 [SB2: All other sovereign bonds]</w:t>
      </w:r>
      <w:bookmarkEnd w:id="11"/>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2680B417" w14:textId="77777777" w:rsidTr="00B24BC8">
        <w:tc>
          <w:tcPr>
            <w:tcW w:w="1803" w:type="dxa"/>
            <w:shd w:val="clear" w:color="auto" w:fill="D9D9D9" w:themeFill="background1" w:themeFillShade="D9"/>
          </w:tcPr>
          <w:p w14:paraId="45C1BC4F"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3461FB44"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2DF12E01"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187EAF16"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4F0FA6D9"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09BDFFFB" w14:textId="77777777" w:rsidTr="00B24BC8">
        <w:tc>
          <w:tcPr>
            <w:tcW w:w="1803" w:type="dxa"/>
          </w:tcPr>
          <w:p w14:paraId="3289A75B" w14:textId="77777777" w:rsidR="00A31CA9" w:rsidRPr="00A31984" w:rsidRDefault="00A31CA9" w:rsidP="00B24BC8">
            <w:pPr>
              <w:rPr>
                <w:rFonts w:ascii="Aptos" w:hAnsi="Aptos"/>
              </w:rPr>
            </w:pPr>
            <w:r w:rsidRPr="00A31984">
              <w:rPr>
                <w:rFonts w:ascii="Aptos" w:hAnsi="Aptos"/>
              </w:rPr>
              <w:t>N/A Liquid</w:t>
            </w:r>
          </w:p>
        </w:tc>
        <w:tc>
          <w:tcPr>
            <w:tcW w:w="1803" w:type="dxa"/>
          </w:tcPr>
          <w:p w14:paraId="65E60F18" w14:textId="77777777" w:rsidR="00A31CA9" w:rsidRPr="00A31984" w:rsidRDefault="00A31CA9" w:rsidP="00B24BC8">
            <w:pPr>
              <w:rPr>
                <w:rFonts w:ascii="Aptos" w:hAnsi="Aptos"/>
              </w:rPr>
            </w:pPr>
            <w:r w:rsidRPr="00A31984">
              <w:rPr>
                <w:rFonts w:ascii="Aptos" w:hAnsi="Aptos"/>
              </w:rPr>
              <w:t>≥ 5bn</w:t>
            </w:r>
          </w:p>
        </w:tc>
        <w:tc>
          <w:tcPr>
            <w:tcW w:w="1519" w:type="dxa"/>
          </w:tcPr>
          <w:p w14:paraId="45DDFF09" w14:textId="77777777" w:rsidR="00A31CA9" w:rsidRPr="00A31984" w:rsidRDefault="00A31CA9" w:rsidP="00B24BC8">
            <w:pPr>
              <w:rPr>
                <w:rFonts w:ascii="Aptos" w:hAnsi="Aptos"/>
              </w:rPr>
            </w:pPr>
            <w:r w:rsidRPr="00A31984">
              <w:rPr>
                <w:rFonts w:ascii="Aptos" w:hAnsi="Aptos"/>
              </w:rPr>
              <w:t>&lt;5mn</w:t>
            </w:r>
          </w:p>
        </w:tc>
        <w:tc>
          <w:tcPr>
            <w:tcW w:w="3891" w:type="dxa"/>
            <w:gridSpan w:val="2"/>
          </w:tcPr>
          <w:p w14:paraId="708DC4A6"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74EDA482" w14:textId="77777777" w:rsidTr="00B24BC8">
        <w:tc>
          <w:tcPr>
            <w:tcW w:w="1803" w:type="dxa"/>
          </w:tcPr>
          <w:p w14:paraId="5911F468" w14:textId="77777777" w:rsidR="00A31CA9" w:rsidRPr="00A31984" w:rsidRDefault="00A31CA9" w:rsidP="00B24BC8">
            <w:pPr>
              <w:rPr>
                <w:rFonts w:ascii="Aptos" w:hAnsi="Aptos"/>
              </w:rPr>
            </w:pPr>
            <w:r w:rsidRPr="00A31984">
              <w:rPr>
                <w:rFonts w:ascii="Aptos" w:hAnsi="Aptos"/>
              </w:rPr>
              <w:t>1</w:t>
            </w:r>
          </w:p>
        </w:tc>
        <w:tc>
          <w:tcPr>
            <w:tcW w:w="1803" w:type="dxa"/>
          </w:tcPr>
          <w:p w14:paraId="20DA2AC6" w14:textId="77777777" w:rsidR="00A31CA9" w:rsidRPr="00A31984" w:rsidRDefault="00A31CA9" w:rsidP="00B24BC8">
            <w:pPr>
              <w:rPr>
                <w:rFonts w:ascii="Aptos" w:hAnsi="Aptos"/>
              </w:rPr>
            </w:pPr>
            <w:r w:rsidRPr="00A31984">
              <w:rPr>
                <w:rFonts w:ascii="Aptos" w:hAnsi="Aptos"/>
              </w:rPr>
              <w:t>≥ 5bn</w:t>
            </w:r>
          </w:p>
        </w:tc>
        <w:tc>
          <w:tcPr>
            <w:tcW w:w="1519" w:type="dxa"/>
          </w:tcPr>
          <w:p w14:paraId="6CA7C478" w14:textId="77777777" w:rsidR="00A31CA9" w:rsidRPr="00A31984" w:rsidRDefault="00A31CA9" w:rsidP="00B24BC8">
            <w:pPr>
              <w:rPr>
                <w:rFonts w:ascii="Aptos" w:hAnsi="Aptos"/>
              </w:rPr>
            </w:pPr>
            <w:r w:rsidRPr="00A31984">
              <w:rPr>
                <w:rFonts w:ascii="Aptos" w:hAnsi="Aptos"/>
              </w:rPr>
              <w:t>5-</w:t>
            </w:r>
            <w:r>
              <w:rPr>
                <w:rFonts w:ascii="Aptos" w:hAnsi="Aptos"/>
              </w:rPr>
              <w:t>7.5</w:t>
            </w:r>
            <w:r w:rsidRPr="00A31984">
              <w:rPr>
                <w:rFonts w:ascii="Aptos" w:hAnsi="Aptos"/>
              </w:rPr>
              <w:t>mn</w:t>
            </w:r>
          </w:p>
        </w:tc>
        <w:tc>
          <w:tcPr>
            <w:tcW w:w="3891" w:type="dxa"/>
            <w:gridSpan w:val="2"/>
          </w:tcPr>
          <w:p w14:paraId="7B2927ED" w14:textId="77777777" w:rsidR="00A31CA9" w:rsidRPr="00A31984" w:rsidRDefault="00A31CA9" w:rsidP="00B24BC8">
            <w:pPr>
              <w:jc w:val="center"/>
              <w:rPr>
                <w:rFonts w:ascii="Aptos" w:hAnsi="Aptos"/>
              </w:rPr>
            </w:pPr>
            <w:r w:rsidRPr="00A31984">
              <w:rPr>
                <w:rFonts w:ascii="Aptos" w:hAnsi="Aptos"/>
              </w:rPr>
              <w:t>15 mins</w:t>
            </w:r>
          </w:p>
        </w:tc>
      </w:tr>
      <w:tr w:rsidR="00A31CA9" w:rsidRPr="00B46962" w14:paraId="37D69AAC" w14:textId="77777777" w:rsidTr="00B24BC8">
        <w:tc>
          <w:tcPr>
            <w:tcW w:w="1803" w:type="dxa"/>
          </w:tcPr>
          <w:p w14:paraId="5BCD0157" w14:textId="77777777" w:rsidR="00A31CA9" w:rsidRPr="00A31984" w:rsidRDefault="00A31CA9" w:rsidP="00B24BC8">
            <w:pPr>
              <w:rPr>
                <w:rFonts w:ascii="Aptos" w:hAnsi="Aptos"/>
              </w:rPr>
            </w:pPr>
            <w:r w:rsidRPr="00A31984">
              <w:rPr>
                <w:rFonts w:ascii="Aptos" w:hAnsi="Aptos"/>
              </w:rPr>
              <w:t>3</w:t>
            </w:r>
          </w:p>
        </w:tc>
        <w:tc>
          <w:tcPr>
            <w:tcW w:w="1803" w:type="dxa"/>
          </w:tcPr>
          <w:p w14:paraId="62B95905" w14:textId="77777777" w:rsidR="00A31CA9" w:rsidRPr="00A31984" w:rsidRDefault="00A31CA9" w:rsidP="00B24BC8">
            <w:pPr>
              <w:rPr>
                <w:rFonts w:ascii="Aptos" w:hAnsi="Aptos"/>
              </w:rPr>
            </w:pPr>
            <w:r w:rsidRPr="00A31984">
              <w:rPr>
                <w:rFonts w:ascii="Aptos" w:hAnsi="Aptos"/>
              </w:rPr>
              <w:t>≥ 5bn</w:t>
            </w:r>
          </w:p>
        </w:tc>
        <w:tc>
          <w:tcPr>
            <w:tcW w:w="1519" w:type="dxa"/>
          </w:tcPr>
          <w:p w14:paraId="7B98FCAA" w14:textId="77777777" w:rsidR="00A31CA9" w:rsidRPr="00A31984" w:rsidRDefault="00A31CA9" w:rsidP="00B24BC8">
            <w:pPr>
              <w:rPr>
                <w:rFonts w:ascii="Aptos" w:hAnsi="Aptos"/>
              </w:rPr>
            </w:pPr>
            <w:r>
              <w:rPr>
                <w:rFonts w:ascii="Aptos" w:hAnsi="Aptos"/>
              </w:rPr>
              <w:t>7.5</w:t>
            </w:r>
            <w:r w:rsidRPr="00A31984">
              <w:rPr>
                <w:rFonts w:ascii="Aptos" w:hAnsi="Aptos"/>
              </w:rPr>
              <w:t>-20mn</w:t>
            </w:r>
          </w:p>
        </w:tc>
        <w:tc>
          <w:tcPr>
            <w:tcW w:w="1980" w:type="dxa"/>
          </w:tcPr>
          <w:p w14:paraId="3721FC85" w14:textId="77777777" w:rsidR="00A31CA9" w:rsidRPr="00A31984" w:rsidRDefault="00A31CA9" w:rsidP="00B24BC8">
            <w:pPr>
              <w:jc w:val="center"/>
              <w:rPr>
                <w:rFonts w:ascii="Aptos" w:hAnsi="Aptos"/>
              </w:rPr>
            </w:pPr>
            <w:r w:rsidRPr="00A31984">
              <w:rPr>
                <w:rFonts w:ascii="Aptos" w:hAnsi="Aptos"/>
              </w:rPr>
              <w:t>T+1</w:t>
            </w:r>
          </w:p>
        </w:tc>
        <w:tc>
          <w:tcPr>
            <w:tcW w:w="1911" w:type="dxa"/>
          </w:tcPr>
          <w:p w14:paraId="2DE15069" w14:textId="77777777" w:rsidR="00A31CA9" w:rsidRPr="00A31984" w:rsidRDefault="00A31CA9" w:rsidP="00B24BC8">
            <w:pPr>
              <w:jc w:val="center"/>
              <w:rPr>
                <w:rFonts w:ascii="Aptos" w:hAnsi="Aptos"/>
              </w:rPr>
            </w:pPr>
            <w:r w:rsidRPr="00A31984">
              <w:rPr>
                <w:rFonts w:ascii="Aptos" w:hAnsi="Aptos"/>
              </w:rPr>
              <w:t>1 week</w:t>
            </w:r>
          </w:p>
        </w:tc>
      </w:tr>
      <w:tr w:rsidR="00A31CA9" w:rsidRPr="00B46962" w14:paraId="49EF386E" w14:textId="77777777" w:rsidTr="00B24BC8">
        <w:tc>
          <w:tcPr>
            <w:tcW w:w="1803" w:type="dxa"/>
          </w:tcPr>
          <w:p w14:paraId="3EF879BF" w14:textId="77777777" w:rsidR="00A31CA9" w:rsidRPr="00A31984" w:rsidRDefault="00A31CA9" w:rsidP="00B24BC8">
            <w:pPr>
              <w:rPr>
                <w:rFonts w:ascii="Aptos" w:hAnsi="Aptos"/>
              </w:rPr>
            </w:pPr>
            <w:r w:rsidRPr="00A31984">
              <w:rPr>
                <w:rFonts w:ascii="Aptos" w:hAnsi="Aptos"/>
              </w:rPr>
              <w:t>5</w:t>
            </w:r>
          </w:p>
        </w:tc>
        <w:tc>
          <w:tcPr>
            <w:tcW w:w="1803" w:type="dxa"/>
          </w:tcPr>
          <w:p w14:paraId="5D63763E" w14:textId="77777777" w:rsidR="00A31CA9" w:rsidRPr="00A31984" w:rsidRDefault="00A31CA9" w:rsidP="00B24BC8">
            <w:pPr>
              <w:rPr>
                <w:rFonts w:ascii="Aptos" w:hAnsi="Aptos"/>
              </w:rPr>
            </w:pPr>
            <w:r w:rsidRPr="00A31984">
              <w:rPr>
                <w:rFonts w:ascii="Aptos" w:hAnsi="Aptos"/>
              </w:rPr>
              <w:t>≥ 5bn</w:t>
            </w:r>
          </w:p>
        </w:tc>
        <w:tc>
          <w:tcPr>
            <w:tcW w:w="1519" w:type="dxa"/>
          </w:tcPr>
          <w:p w14:paraId="4BBC0AE7" w14:textId="77777777" w:rsidR="00A31CA9" w:rsidRPr="00A31984" w:rsidRDefault="00A31CA9" w:rsidP="00B24BC8">
            <w:pPr>
              <w:rPr>
                <w:rFonts w:ascii="Aptos" w:hAnsi="Aptos"/>
              </w:rPr>
            </w:pPr>
            <w:r w:rsidRPr="00A31984">
              <w:rPr>
                <w:rFonts w:ascii="Aptos" w:hAnsi="Aptos"/>
              </w:rPr>
              <w:t>≥ 20mn</w:t>
            </w:r>
          </w:p>
        </w:tc>
        <w:tc>
          <w:tcPr>
            <w:tcW w:w="3891" w:type="dxa"/>
            <w:gridSpan w:val="2"/>
          </w:tcPr>
          <w:p w14:paraId="07FB2CB8" w14:textId="77777777" w:rsidR="00A31CA9" w:rsidRPr="00A31984" w:rsidRDefault="00A31CA9" w:rsidP="00B24BC8">
            <w:pPr>
              <w:jc w:val="center"/>
              <w:rPr>
                <w:rFonts w:ascii="Aptos" w:hAnsi="Aptos"/>
              </w:rPr>
            </w:pPr>
            <w:r w:rsidRPr="00A31984">
              <w:rPr>
                <w:rFonts w:ascii="Aptos" w:hAnsi="Aptos"/>
              </w:rPr>
              <w:t>4 weeks</w:t>
            </w:r>
          </w:p>
        </w:tc>
      </w:tr>
    </w:tbl>
    <w:p w14:paraId="7954A687" w14:textId="77777777" w:rsidR="00A31CA9" w:rsidRPr="00A31984" w:rsidRDefault="00A31CA9" w:rsidP="00A31CA9">
      <w:pPr>
        <w:rPr>
          <w:rFonts w:ascii="Aptos" w:hAnsi="Aptos"/>
          <w:b/>
        </w:rPr>
      </w:pPr>
    </w:p>
    <w:p w14:paraId="3F858FB1" w14:textId="77777777" w:rsidR="00A31CA9" w:rsidRPr="00A31984" w:rsidRDefault="00A31CA9" w:rsidP="00A31CA9">
      <w:pPr>
        <w:rPr>
          <w:rFonts w:ascii="Aptos" w:hAnsi="Aptos"/>
          <w:b/>
        </w:rPr>
      </w:pPr>
      <w:r w:rsidRPr="00A31984">
        <w:rPr>
          <w:rFonts w:ascii="Aptos" w:hAnsi="Aptos"/>
          <w:b/>
        </w:rPr>
        <w:t>ICMA Group 2b: Sovereign bonds Illiquid #2 [SB2: All other sovereign bonds]</w:t>
      </w:r>
      <w:bookmarkEnd w:id="12"/>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40EB6C06" w14:textId="77777777" w:rsidTr="00B24BC8">
        <w:tc>
          <w:tcPr>
            <w:tcW w:w="1803" w:type="dxa"/>
            <w:shd w:val="clear" w:color="auto" w:fill="D9D9D9" w:themeFill="background1" w:themeFillShade="D9"/>
          </w:tcPr>
          <w:p w14:paraId="01E63C84"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78AC44CE"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03D87D2A"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23467513"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610611F2"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239FF024" w14:textId="77777777" w:rsidTr="00B24BC8">
        <w:tc>
          <w:tcPr>
            <w:tcW w:w="1803" w:type="dxa"/>
          </w:tcPr>
          <w:p w14:paraId="229BE65E" w14:textId="77777777" w:rsidR="00A31CA9" w:rsidRPr="00A31984" w:rsidRDefault="00A31CA9" w:rsidP="00B24BC8">
            <w:pPr>
              <w:rPr>
                <w:rFonts w:ascii="Aptos" w:hAnsi="Aptos"/>
              </w:rPr>
            </w:pPr>
            <w:r w:rsidRPr="00A31984">
              <w:rPr>
                <w:rFonts w:ascii="Aptos" w:hAnsi="Aptos"/>
              </w:rPr>
              <w:t>N/A Illiquid</w:t>
            </w:r>
          </w:p>
        </w:tc>
        <w:tc>
          <w:tcPr>
            <w:tcW w:w="1803" w:type="dxa"/>
          </w:tcPr>
          <w:p w14:paraId="51E162DD" w14:textId="77777777" w:rsidR="00A31CA9" w:rsidRPr="00A31984" w:rsidRDefault="00A31CA9" w:rsidP="00B24BC8">
            <w:pPr>
              <w:rPr>
                <w:rFonts w:ascii="Aptos" w:hAnsi="Aptos"/>
              </w:rPr>
            </w:pPr>
            <w:r w:rsidRPr="00A31984">
              <w:rPr>
                <w:rFonts w:ascii="Aptos" w:hAnsi="Aptos"/>
              </w:rPr>
              <w:t>&lt; 5bn</w:t>
            </w:r>
          </w:p>
        </w:tc>
        <w:tc>
          <w:tcPr>
            <w:tcW w:w="1519" w:type="dxa"/>
          </w:tcPr>
          <w:p w14:paraId="4E9A9366" w14:textId="77777777" w:rsidR="00A31CA9" w:rsidRPr="00A31984" w:rsidRDefault="00A31CA9" w:rsidP="00B24BC8">
            <w:pPr>
              <w:rPr>
                <w:rFonts w:ascii="Aptos" w:hAnsi="Aptos"/>
              </w:rPr>
            </w:pPr>
            <w:r w:rsidRPr="00A31984">
              <w:rPr>
                <w:rFonts w:ascii="Aptos" w:hAnsi="Aptos"/>
              </w:rPr>
              <w:t xml:space="preserve">&lt;1mn </w:t>
            </w:r>
          </w:p>
        </w:tc>
        <w:tc>
          <w:tcPr>
            <w:tcW w:w="3891" w:type="dxa"/>
            <w:gridSpan w:val="2"/>
          </w:tcPr>
          <w:p w14:paraId="1B15851A"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2BC085BA" w14:textId="77777777" w:rsidTr="00B24BC8">
        <w:tc>
          <w:tcPr>
            <w:tcW w:w="1803" w:type="dxa"/>
          </w:tcPr>
          <w:p w14:paraId="49CC69AC" w14:textId="77777777" w:rsidR="00A31CA9" w:rsidRPr="00A31984" w:rsidRDefault="00A31CA9" w:rsidP="00B24BC8">
            <w:pPr>
              <w:rPr>
                <w:rFonts w:ascii="Aptos" w:hAnsi="Aptos"/>
              </w:rPr>
            </w:pPr>
            <w:r w:rsidRPr="00A31984">
              <w:rPr>
                <w:rFonts w:ascii="Aptos" w:hAnsi="Aptos"/>
              </w:rPr>
              <w:t>2</w:t>
            </w:r>
          </w:p>
        </w:tc>
        <w:tc>
          <w:tcPr>
            <w:tcW w:w="1803" w:type="dxa"/>
          </w:tcPr>
          <w:p w14:paraId="41FEC819" w14:textId="77777777" w:rsidR="00A31CA9" w:rsidRPr="00A31984" w:rsidRDefault="00A31CA9" w:rsidP="00B24BC8">
            <w:pPr>
              <w:rPr>
                <w:rFonts w:ascii="Aptos" w:hAnsi="Aptos"/>
              </w:rPr>
            </w:pPr>
            <w:r w:rsidRPr="00A31984">
              <w:rPr>
                <w:rFonts w:ascii="Aptos" w:hAnsi="Aptos"/>
              </w:rPr>
              <w:t>&lt; 5bn</w:t>
            </w:r>
          </w:p>
        </w:tc>
        <w:tc>
          <w:tcPr>
            <w:tcW w:w="1519" w:type="dxa"/>
          </w:tcPr>
          <w:p w14:paraId="664F2E0A" w14:textId="77777777" w:rsidR="00A31CA9" w:rsidRPr="00A31984" w:rsidRDefault="00A31CA9" w:rsidP="00B24BC8">
            <w:pPr>
              <w:rPr>
                <w:rFonts w:ascii="Aptos" w:hAnsi="Aptos"/>
              </w:rPr>
            </w:pPr>
            <w:r w:rsidRPr="00A31984">
              <w:rPr>
                <w:rFonts w:ascii="Aptos" w:hAnsi="Aptos"/>
              </w:rPr>
              <w:t>1-5mn</w:t>
            </w:r>
          </w:p>
        </w:tc>
        <w:tc>
          <w:tcPr>
            <w:tcW w:w="3891" w:type="dxa"/>
            <w:gridSpan w:val="2"/>
          </w:tcPr>
          <w:p w14:paraId="06A61000" w14:textId="77777777" w:rsidR="00A31CA9" w:rsidRPr="00A31984" w:rsidRDefault="00A31CA9" w:rsidP="00B24BC8">
            <w:pPr>
              <w:jc w:val="center"/>
              <w:rPr>
                <w:rFonts w:ascii="Aptos" w:hAnsi="Aptos"/>
              </w:rPr>
            </w:pPr>
            <w:r w:rsidRPr="00A31984">
              <w:rPr>
                <w:rFonts w:ascii="Aptos" w:hAnsi="Aptos"/>
              </w:rPr>
              <w:t>End of day</w:t>
            </w:r>
          </w:p>
        </w:tc>
      </w:tr>
      <w:tr w:rsidR="00A31CA9" w:rsidRPr="00B46962" w14:paraId="4F4383CB" w14:textId="77777777" w:rsidTr="00B24BC8">
        <w:tc>
          <w:tcPr>
            <w:tcW w:w="1803" w:type="dxa"/>
          </w:tcPr>
          <w:p w14:paraId="13D6ED1E" w14:textId="77777777" w:rsidR="00A31CA9" w:rsidRPr="00A31984" w:rsidRDefault="00A31CA9" w:rsidP="00B24BC8">
            <w:pPr>
              <w:rPr>
                <w:rFonts w:ascii="Aptos" w:hAnsi="Aptos"/>
              </w:rPr>
            </w:pPr>
            <w:r w:rsidRPr="00A31984">
              <w:rPr>
                <w:rFonts w:ascii="Aptos" w:hAnsi="Aptos"/>
              </w:rPr>
              <w:t>4</w:t>
            </w:r>
          </w:p>
        </w:tc>
        <w:tc>
          <w:tcPr>
            <w:tcW w:w="1803" w:type="dxa"/>
          </w:tcPr>
          <w:p w14:paraId="37534262" w14:textId="77777777" w:rsidR="00A31CA9" w:rsidRPr="00A31984" w:rsidRDefault="00A31CA9" w:rsidP="00B24BC8">
            <w:pPr>
              <w:rPr>
                <w:rFonts w:ascii="Aptos" w:hAnsi="Aptos"/>
              </w:rPr>
            </w:pPr>
            <w:r w:rsidRPr="00A31984">
              <w:rPr>
                <w:rFonts w:ascii="Aptos" w:hAnsi="Aptos"/>
              </w:rPr>
              <w:t>&lt; 5bn</w:t>
            </w:r>
          </w:p>
        </w:tc>
        <w:tc>
          <w:tcPr>
            <w:tcW w:w="1519" w:type="dxa"/>
          </w:tcPr>
          <w:p w14:paraId="10268312" w14:textId="77777777" w:rsidR="00A31CA9" w:rsidRPr="00A31984" w:rsidRDefault="00A31CA9" w:rsidP="00B24BC8">
            <w:pPr>
              <w:rPr>
                <w:rFonts w:ascii="Aptos" w:hAnsi="Aptos"/>
              </w:rPr>
            </w:pPr>
            <w:r w:rsidRPr="00A31984">
              <w:rPr>
                <w:rFonts w:ascii="Aptos" w:hAnsi="Aptos"/>
              </w:rPr>
              <w:t>5-10mn</w:t>
            </w:r>
          </w:p>
        </w:tc>
        <w:tc>
          <w:tcPr>
            <w:tcW w:w="1980" w:type="dxa"/>
          </w:tcPr>
          <w:p w14:paraId="307EF85F" w14:textId="77777777" w:rsidR="00A31CA9" w:rsidRPr="00A31984" w:rsidRDefault="00A31CA9" w:rsidP="00B24BC8">
            <w:pPr>
              <w:jc w:val="center"/>
              <w:rPr>
                <w:rFonts w:ascii="Aptos" w:hAnsi="Aptos"/>
              </w:rPr>
            </w:pPr>
            <w:r w:rsidRPr="00A31984">
              <w:rPr>
                <w:rFonts w:ascii="Aptos" w:hAnsi="Aptos"/>
              </w:rPr>
              <w:t>T+2</w:t>
            </w:r>
          </w:p>
        </w:tc>
        <w:tc>
          <w:tcPr>
            <w:tcW w:w="1911" w:type="dxa"/>
          </w:tcPr>
          <w:p w14:paraId="120B1C25" w14:textId="77777777" w:rsidR="00A31CA9" w:rsidRPr="00A31984" w:rsidRDefault="00A31CA9" w:rsidP="00B24BC8">
            <w:pPr>
              <w:jc w:val="center"/>
              <w:rPr>
                <w:rFonts w:ascii="Aptos" w:hAnsi="Aptos"/>
              </w:rPr>
            </w:pPr>
            <w:r w:rsidRPr="00A31984">
              <w:rPr>
                <w:rFonts w:ascii="Aptos" w:hAnsi="Aptos"/>
              </w:rPr>
              <w:t>2 weeks</w:t>
            </w:r>
          </w:p>
        </w:tc>
      </w:tr>
      <w:tr w:rsidR="00A31CA9" w:rsidRPr="00B46962" w14:paraId="6AE9B364" w14:textId="77777777" w:rsidTr="00B24BC8">
        <w:tc>
          <w:tcPr>
            <w:tcW w:w="1803" w:type="dxa"/>
          </w:tcPr>
          <w:p w14:paraId="6C23E01B" w14:textId="77777777" w:rsidR="00A31CA9" w:rsidRPr="00A31984" w:rsidRDefault="00A31CA9" w:rsidP="00B24BC8">
            <w:pPr>
              <w:rPr>
                <w:rFonts w:ascii="Aptos" w:hAnsi="Aptos"/>
              </w:rPr>
            </w:pPr>
            <w:r w:rsidRPr="00A31984">
              <w:rPr>
                <w:rFonts w:ascii="Aptos" w:hAnsi="Aptos"/>
              </w:rPr>
              <w:t>6</w:t>
            </w:r>
          </w:p>
        </w:tc>
        <w:tc>
          <w:tcPr>
            <w:tcW w:w="1803" w:type="dxa"/>
          </w:tcPr>
          <w:p w14:paraId="37595216" w14:textId="77777777" w:rsidR="00A31CA9" w:rsidRPr="00A31984" w:rsidRDefault="00A31CA9" w:rsidP="00B24BC8">
            <w:pPr>
              <w:rPr>
                <w:rFonts w:ascii="Aptos" w:hAnsi="Aptos"/>
              </w:rPr>
            </w:pPr>
            <w:r w:rsidRPr="00A31984">
              <w:rPr>
                <w:rFonts w:ascii="Aptos" w:hAnsi="Aptos"/>
              </w:rPr>
              <w:t>&lt; 5bn</w:t>
            </w:r>
          </w:p>
        </w:tc>
        <w:tc>
          <w:tcPr>
            <w:tcW w:w="1519" w:type="dxa"/>
          </w:tcPr>
          <w:p w14:paraId="78AEED95" w14:textId="77777777" w:rsidR="00A31CA9" w:rsidRPr="00A31984" w:rsidRDefault="00A31CA9" w:rsidP="00B24BC8">
            <w:pPr>
              <w:rPr>
                <w:rFonts w:ascii="Aptos" w:hAnsi="Aptos"/>
              </w:rPr>
            </w:pPr>
            <w:r w:rsidRPr="00A31984">
              <w:rPr>
                <w:rFonts w:ascii="Aptos" w:hAnsi="Aptos"/>
              </w:rPr>
              <w:t>≥ 10mn</w:t>
            </w:r>
          </w:p>
        </w:tc>
        <w:tc>
          <w:tcPr>
            <w:tcW w:w="3891" w:type="dxa"/>
            <w:gridSpan w:val="2"/>
          </w:tcPr>
          <w:p w14:paraId="69DD53EE" w14:textId="77777777" w:rsidR="00A31CA9" w:rsidRPr="00A31984" w:rsidRDefault="00A31CA9" w:rsidP="00B24BC8">
            <w:pPr>
              <w:jc w:val="center"/>
              <w:rPr>
                <w:rFonts w:ascii="Aptos" w:hAnsi="Aptos"/>
              </w:rPr>
            </w:pPr>
            <w:r w:rsidRPr="00A31984">
              <w:rPr>
                <w:rFonts w:ascii="Aptos" w:hAnsi="Aptos"/>
              </w:rPr>
              <w:t>4 weeks</w:t>
            </w:r>
          </w:p>
        </w:tc>
      </w:tr>
    </w:tbl>
    <w:p w14:paraId="2293ECAE" w14:textId="77777777" w:rsidR="00A31CA9" w:rsidRPr="00A31984" w:rsidRDefault="00A31CA9" w:rsidP="00A31CA9">
      <w:pPr>
        <w:rPr>
          <w:rFonts w:ascii="Aptos" w:hAnsi="Aptos"/>
        </w:rPr>
      </w:pPr>
    </w:p>
    <w:p w14:paraId="1FEB91AD" w14:textId="77777777" w:rsidR="00A31CA9" w:rsidRPr="00A31984" w:rsidRDefault="00A31CA9" w:rsidP="00A31CA9">
      <w:pPr>
        <w:rPr>
          <w:rFonts w:ascii="Aptos" w:hAnsi="Aptos"/>
          <w:b/>
        </w:rPr>
      </w:pPr>
      <w:bookmarkStart w:id="13" w:name="_Toc173869057"/>
      <w:r w:rsidRPr="00A31984">
        <w:rPr>
          <w:rFonts w:ascii="Aptos" w:hAnsi="Aptos"/>
          <w:b/>
        </w:rPr>
        <w:t>ICMA Group 3a: Other public bonds Liquid</w:t>
      </w:r>
      <w:bookmarkEnd w:id="13"/>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71AACA31" w14:textId="77777777" w:rsidTr="00B24BC8">
        <w:tc>
          <w:tcPr>
            <w:tcW w:w="1803" w:type="dxa"/>
            <w:shd w:val="clear" w:color="auto" w:fill="D9D9D9" w:themeFill="background1" w:themeFillShade="D9"/>
          </w:tcPr>
          <w:p w14:paraId="2B4051BF"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5D8CD331"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7E8EF196"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4CD7122F"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71E1774D"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76292456" w14:textId="77777777" w:rsidTr="00B24BC8">
        <w:tc>
          <w:tcPr>
            <w:tcW w:w="1803" w:type="dxa"/>
          </w:tcPr>
          <w:p w14:paraId="401BB881" w14:textId="77777777" w:rsidR="00A31CA9" w:rsidRPr="00A31984" w:rsidRDefault="00A31CA9" w:rsidP="00B24BC8">
            <w:pPr>
              <w:rPr>
                <w:rFonts w:ascii="Aptos" w:hAnsi="Aptos"/>
              </w:rPr>
            </w:pPr>
            <w:r w:rsidRPr="00A31984">
              <w:rPr>
                <w:rFonts w:ascii="Aptos" w:hAnsi="Aptos"/>
              </w:rPr>
              <w:t>N/A Liquid</w:t>
            </w:r>
          </w:p>
        </w:tc>
        <w:tc>
          <w:tcPr>
            <w:tcW w:w="1803" w:type="dxa"/>
          </w:tcPr>
          <w:p w14:paraId="02820CB3" w14:textId="77777777" w:rsidR="00A31CA9" w:rsidRPr="00A31984" w:rsidRDefault="00A31CA9" w:rsidP="00B24BC8">
            <w:pPr>
              <w:rPr>
                <w:rFonts w:ascii="Aptos" w:hAnsi="Aptos"/>
              </w:rPr>
            </w:pPr>
            <w:r w:rsidRPr="00A31984">
              <w:rPr>
                <w:rFonts w:ascii="Aptos" w:hAnsi="Aptos"/>
              </w:rPr>
              <w:t>≥ 1bn</w:t>
            </w:r>
          </w:p>
        </w:tc>
        <w:tc>
          <w:tcPr>
            <w:tcW w:w="1519" w:type="dxa"/>
          </w:tcPr>
          <w:p w14:paraId="522DEEB7" w14:textId="77777777" w:rsidR="00A31CA9" w:rsidRPr="00A31984" w:rsidRDefault="00A31CA9" w:rsidP="00B24BC8">
            <w:pPr>
              <w:rPr>
                <w:rFonts w:ascii="Aptos" w:hAnsi="Aptos"/>
              </w:rPr>
            </w:pPr>
            <w:r w:rsidRPr="00A31984">
              <w:rPr>
                <w:rFonts w:ascii="Aptos" w:hAnsi="Aptos"/>
              </w:rPr>
              <w:t>&lt;1mn</w:t>
            </w:r>
          </w:p>
        </w:tc>
        <w:tc>
          <w:tcPr>
            <w:tcW w:w="3891" w:type="dxa"/>
            <w:gridSpan w:val="2"/>
          </w:tcPr>
          <w:p w14:paraId="472BCB75"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4E4F8823" w14:textId="77777777" w:rsidTr="00B24BC8">
        <w:tc>
          <w:tcPr>
            <w:tcW w:w="1803" w:type="dxa"/>
          </w:tcPr>
          <w:p w14:paraId="2363F978" w14:textId="77777777" w:rsidR="00A31CA9" w:rsidRPr="00A31984" w:rsidRDefault="00A31CA9" w:rsidP="00B24BC8">
            <w:pPr>
              <w:rPr>
                <w:rFonts w:ascii="Aptos" w:hAnsi="Aptos"/>
              </w:rPr>
            </w:pPr>
            <w:r w:rsidRPr="00A31984">
              <w:rPr>
                <w:rFonts w:ascii="Aptos" w:hAnsi="Aptos"/>
              </w:rPr>
              <w:t>1</w:t>
            </w:r>
          </w:p>
        </w:tc>
        <w:tc>
          <w:tcPr>
            <w:tcW w:w="1803" w:type="dxa"/>
          </w:tcPr>
          <w:p w14:paraId="4D663EBE" w14:textId="77777777" w:rsidR="00A31CA9" w:rsidRPr="00A31984" w:rsidRDefault="00A31CA9" w:rsidP="00B24BC8">
            <w:pPr>
              <w:rPr>
                <w:rFonts w:ascii="Aptos" w:hAnsi="Aptos"/>
              </w:rPr>
            </w:pPr>
            <w:r w:rsidRPr="00A31984">
              <w:rPr>
                <w:rFonts w:ascii="Aptos" w:hAnsi="Aptos"/>
              </w:rPr>
              <w:t>≥ 1bn</w:t>
            </w:r>
          </w:p>
        </w:tc>
        <w:tc>
          <w:tcPr>
            <w:tcW w:w="1519" w:type="dxa"/>
          </w:tcPr>
          <w:p w14:paraId="6681EA2B" w14:textId="77777777" w:rsidR="00A31CA9" w:rsidRPr="00A31984" w:rsidRDefault="00A31CA9" w:rsidP="00B24BC8">
            <w:pPr>
              <w:rPr>
                <w:rFonts w:ascii="Aptos" w:hAnsi="Aptos"/>
              </w:rPr>
            </w:pPr>
            <w:r w:rsidRPr="00A31984">
              <w:rPr>
                <w:rFonts w:ascii="Aptos" w:hAnsi="Aptos"/>
              </w:rPr>
              <w:t>1-2mn</w:t>
            </w:r>
          </w:p>
        </w:tc>
        <w:tc>
          <w:tcPr>
            <w:tcW w:w="3891" w:type="dxa"/>
            <w:gridSpan w:val="2"/>
          </w:tcPr>
          <w:p w14:paraId="21016A16" w14:textId="77777777" w:rsidR="00A31CA9" w:rsidRPr="00A31984" w:rsidRDefault="00A31CA9" w:rsidP="00B24BC8">
            <w:pPr>
              <w:jc w:val="center"/>
              <w:rPr>
                <w:rFonts w:ascii="Aptos" w:hAnsi="Aptos"/>
              </w:rPr>
            </w:pPr>
            <w:r w:rsidRPr="00A31984">
              <w:rPr>
                <w:rFonts w:ascii="Aptos" w:hAnsi="Aptos"/>
              </w:rPr>
              <w:t xml:space="preserve">15 mins </w:t>
            </w:r>
          </w:p>
        </w:tc>
      </w:tr>
      <w:tr w:rsidR="00A31CA9" w:rsidRPr="00B46962" w14:paraId="1856FAB7" w14:textId="77777777" w:rsidTr="00B24BC8">
        <w:tc>
          <w:tcPr>
            <w:tcW w:w="1803" w:type="dxa"/>
          </w:tcPr>
          <w:p w14:paraId="5C267EC1" w14:textId="77777777" w:rsidR="00A31CA9" w:rsidRPr="00A31984" w:rsidRDefault="00A31CA9" w:rsidP="00B24BC8">
            <w:pPr>
              <w:rPr>
                <w:rFonts w:ascii="Aptos" w:hAnsi="Aptos"/>
              </w:rPr>
            </w:pPr>
            <w:r w:rsidRPr="00A31984">
              <w:rPr>
                <w:rFonts w:ascii="Aptos" w:hAnsi="Aptos"/>
              </w:rPr>
              <w:t>3</w:t>
            </w:r>
          </w:p>
        </w:tc>
        <w:tc>
          <w:tcPr>
            <w:tcW w:w="1803" w:type="dxa"/>
          </w:tcPr>
          <w:p w14:paraId="4BD99C5C" w14:textId="77777777" w:rsidR="00A31CA9" w:rsidRPr="00A31984" w:rsidRDefault="00A31CA9" w:rsidP="00B24BC8">
            <w:pPr>
              <w:rPr>
                <w:rFonts w:ascii="Aptos" w:hAnsi="Aptos"/>
              </w:rPr>
            </w:pPr>
            <w:r w:rsidRPr="00A31984">
              <w:rPr>
                <w:rFonts w:ascii="Aptos" w:hAnsi="Aptos"/>
              </w:rPr>
              <w:t>≥ 1bn</w:t>
            </w:r>
          </w:p>
        </w:tc>
        <w:tc>
          <w:tcPr>
            <w:tcW w:w="1519" w:type="dxa"/>
          </w:tcPr>
          <w:p w14:paraId="765064FD" w14:textId="77777777" w:rsidR="00A31CA9" w:rsidRPr="00A31984" w:rsidRDefault="00A31CA9" w:rsidP="00B24BC8">
            <w:pPr>
              <w:rPr>
                <w:rFonts w:ascii="Aptos" w:hAnsi="Aptos"/>
              </w:rPr>
            </w:pPr>
            <w:r w:rsidRPr="00A31984">
              <w:rPr>
                <w:rFonts w:ascii="Aptos" w:hAnsi="Aptos"/>
              </w:rPr>
              <w:t>2-10mn</w:t>
            </w:r>
          </w:p>
        </w:tc>
        <w:tc>
          <w:tcPr>
            <w:tcW w:w="1980" w:type="dxa"/>
          </w:tcPr>
          <w:p w14:paraId="053F2983" w14:textId="77777777" w:rsidR="00A31CA9" w:rsidRPr="00A31984" w:rsidRDefault="00A31CA9" w:rsidP="00B24BC8">
            <w:pPr>
              <w:jc w:val="center"/>
              <w:rPr>
                <w:rFonts w:ascii="Aptos" w:hAnsi="Aptos"/>
              </w:rPr>
            </w:pPr>
            <w:r w:rsidRPr="00A31984">
              <w:rPr>
                <w:rFonts w:ascii="Aptos" w:hAnsi="Aptos"/>
              </w:rPr>
              <w:t>T+1</w:t>
            </w:r>
          </w:p>
        </w:tc>
        <w:tc>
          <w:tcPr>
            <w:tcW w:w="1911" w:type="dxa"/>
          </w:tcPr>
          <w:p w14:paraId="632833C5" w14:textId="77777777" w:rsidR="00A31CA9" w:rsidRPr="00A31984" w:rsidRDefault="00A31CA9" w:rsidP="00B24BC8">
            <w:pPr>
              <w:jc w:val="center"/>
              <w:rPr>
                <w:rFonts w:ascii="Aptos" w:hAnsi="Aptos"/>
              </w:rPr>
            </w:pPr>
            <w:r w:rsidRPr="00A31984">
              <w:rPr>
                <w:rFonts w:ascii="Aptos" w:hAnsi="Aptos"/>
              </w:rPr>
              <w:t>1 week</w:t>
            </w:r>
          </w:p>
        </w:tc>
      </w:tr>
      <w:tr w:rsidR="00A31CA9" w:rsidRPr="00B46962" w14:paraId="5DF47714" w14:textId="77777777" w:rsidTr="00B24BC8">
        <w:tc>
          <w:tcPr>
            <w:tcW w:w="1803" w:type="dxa"/>
          </w:tcPr>
          <w:p w14:paraId="5BDCF268" w14:textId="77777777" w:rsidR="00A31CA9" w:rsidRPr="00A31984" w:rsidRDefault="00A31CA9" w:rsidP="00B24BC8">
            <w:pPr>
              <w:rPr>
                <w:rFonts w:ascii="Aptos" w:hAnsi="Aptos"/>
              </w:rPr>
            </w:pPr>
            <w:r w:rsidRPr="00A31984">
              <w:rPr>
                <w:rFonts w:ascii="Aptos" w:hAnsi="Aptos"/>
              </w:rPr>
              <w:t>5</w:t>
            </w:r>
          </w:p>
        </w:tc>
        <w:tc>
          <w:tcPr>
            <w:tcW w:w="1803" w:type="dxa"/>
          </w:tcPr>
          <w:p w14:paraId="464C54E6" w14:textId="77777777" w:rsidR="00A31CA9" w:rsidRPr="00A31984" w:rsidRDefault="00A31CA9" w:rsidP="00B24BC8">
            <w:pPr>
              <w:rPr>
                <w:rFonts w:ascii="Aptos" w:hAnsi="Aptos"/>
              </w:rPr>
            </w:pPr>
            <w:r w:rsidRPr="00A31984">
              <w:rPr>
                <w:rFonts w:ascii="Aptos" w:hAnsi="Aptos"/>
              </w:rPr>
              <w:t>≥ 1bn</w:t>
            </w:r>
          </w:p>
        </w:tc>
        <w:tc>
          <w:tcPr>
            <w:tcW w:w="1519" w:type="dxa"/>
          </w:tcPr>
          <w:p w14:paraId="7961E294" w14:textId="77777777" w:rsidR="00A31CA9" w:rsidRPr="00A31984" w:rsidRDefault="00A31CA9" w:rsidP="00B24BC8">
            <w:pPr>
              <w:rPr>
                <w:rFonts w:ascii="Aptos" w:hAnsi="Aptos"/>
              </w:rPr>
            </w:pPr>
            <w:r w:rsidRPr="00A31984">
              <w:rPr>
                <w:rFonts w:ascii="Aptos" w:hAnsi="Aptos"/>
              </w:rPr>
              <w:t>≥ 10mn</w:t>
            </w:r>
          </w:p>
        </w:tc>
        <w:tc>
          <w:tcPr>
            <w:tcW w:w="3891" w:type="dxa"/>
            <w:gridSpan w:val="2"/>
          </w:tcPr>
          <w:p w14:paraId="3B3E3E9A" w14:textId="77777777" w:rsidR="00A31CA9" w:rsidRPr="00A31984" w:rsidRDefault="00A31CA9" w:rsidP="00B24BC8">
            <w:pPr>
              <w:jc w:val="center"/>
              <w:rPr>
                <w:rFonts w:ascii="Aptos" w:hAnsi="Aptos"/>
              </w:rPr>
            </w:pPr>
            <w:r w:rsidRPr="00A31984">
              <w:rPr>
                <w:rFonts w:ascii="Aptos" w:hAnsi="Aptos"/>
              </w:rPr>
              <w:t>4 weeks</w:t>
            </w:r>
          </w:p>
        </w:tc>
      </w:tr>
    </w:tbl>
    <w:p w14:paraId="4B20E3D4" w14:textId="77777777" w:rsidR="00A31CA9" w:rsidRDefault="00A31CA9" w:rsidP="00A31CA9">
      <w:pPr>
        <w:rPr>
          <w:rFonts w:ascii="Aptos" w:hAnsi="Aptos"/>
          <w:b/>
        </w:rPr>
      </w:pPr>
      <w:bookmarkStart w:id="14" w:name="_Toc173869058"/>
    </w:p>
    <w:p w14:paraId="1571C98F" w14:textId="4F6E0775" w:rsidR="00A31CA9" w:rsidRPr="00A31984" w:rsidRDefault="00A31CA9" w:rsidP="00A31CA9">
      <w:pPr>
        <w:rPr>
          <w:rFonts w:ascii="Aptos" w:hAnsi="Aptos"/>
          <w:b/>
        </w:rPr>
      </w:pPr>
      <w:r w:rsidRPr="00A31984">
        <w:rPr>
          <w:rFonts w:ascii="Aptos" w:hAnsi="Aptos"/>
          <w:b/>
        </w:rPr>
        <w:lastRenderedPageBreak/>
        <w:t>ICMA Group 3b: Other public bonds Illiquid</w:t>
      </w:r>
      <w:bookmarkEnd w:id="14"/>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3269D6D3" w14:textId="77777777" w:rsidTr="00B24BC8">
        <w:tc>
          <w:tcPr>
            <w:tcW w:w="1803" w:type="dxa"/>
            <w:shd w:val="clear" w:color="auto" w:fill="D9D9D9" w:themeFill="background1" w:themeFillShade="D9"/>
          </w:tcPr>
          <w:p w14:paraId="494E2680"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5627D524"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51289B59"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1DDC73EF"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2D58600E"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7F15DD8C" w14:textId="77777777" w:rsidTr="00B24BC8">
        <w:tc>
          <w:tcPr>
            <w:tcW w:w="1803" w:type="dxa"/>
          </w:tcPr>
          <w:p w14:paraId="2163190C" w14:textId="77777777" w:rsidR="00A31CA9" w:rsidRPr="00A31984" w:rsidRDefault="00A31CA9" w:rsidP="00B24BC8">
            <w:pPr>
              <w:rPr>
                <w:rFonts w:ascii="Aptos" w:hAnsi="Aptos"/>
              </w:rPr>
            </w:pPr>
            <w:r w:rsidRPr="00A31984">
              <w:rPr>
                <w:rFonts w:ascii="Aptos" w:hAnsi="Aptos"/>
              </w:rPr>
              <w:t xml:space="preserve">N/A Illiquid </w:t>
            </w:r>
          </w:p>
        </w:tc>
        <w:tc>
          <w:tcPr>
            <w:tcW w:w="1803" w:type="dxa"/>
          </w:tcPr>
          <w:p w14:paraId="71C4A445" w14:textId="77777777" w:rsidR="00A31CA9" w:rsidRPr="00A31984" w:rsidRDefault="00A31CA9" w:rsidP="00B24BC8">
            <w:pPr>
              <w:rPr>
                <w:rFonts w:ascii="Aptos" w:hAnsi="Aptos"/>
              </w:rPr>
            </w:pPr>
            <w:r w:rsidRPr="00A31984">
              <w:rPr>
                <w:rFonts w:ascii="Aptos" w:hAnsi="Aptos"/>
              </w:rPr>
              <w:t>&lt; 1bn</w:t>
            </w:r>
          </w:p>
        </w:tc>
        <w:tc>
          <w:tcPr>
            <w:tcW w:w="1519" w:type="dxa"/>
          </w:tcPr>
          <w:p w14:paraId="1FDECCC6" w14:textId="77777777" w:rsidR="00A31CA9" w:rsidRPr="00A31984" w:rsidRDefault="00A31CA9" w:rsidP="00B24BC8">
            <w:pPr>
              <w:rPr>
                <w:rFonts w:ascii="Aptos" w:hAnsi="Aptos"/>
              </w:rPr>
            </w:pPr>
            <w:r w:rsidRPr="00A31984">
              <w:rPr>
                <w:rFonts w:ascii="Aptos" w:hAnsi="Aptos"/>
              </w:rPr>
              <w:t xml:space="preserve">&lt;1mn </w:t>
            </w:r>
          </w:p>
        </w:tc>
        <w:tc>
          <w:tcPr>
            <w:tcW w:w="3891" w:type="dxa"/>
            <w:gridSpan w:val="2"/>
          </w:tcPr>
          <w:p w14:paraId="41629C60"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1EB42991" w14:textId="77777777" w:rsidTr="00B24BC8">
        <w:tc>
          <w:tcPr>
            <w:tcW w:w="1803" w:type="dxa"/>
          </w:tcPr>
          <w:p w14:paraId="04E1396D" w14:textId="77777777" w:rsidR="00A31CA9" w:rsidRPr="00A31984" w:rsidRDefault="00A31CA9" w:rsidP="00B24BC8">
            <w:pPr>
              <w:rPr>
                <w:rFonts w:ascii="Aptos" w:hAnsi="Aptos"/>
              </w:rPr>
            </w:pPr>
            <w:r w:rsidRPr="00A31984">
              <w:rPr>
                <w:rFonts w:ascii="Aptos" w:hAnsi="Aptos"/>
              </w:rPr>
              <w:t>2</w:t>
            </w:r>
          </w:p>
        </w:tc>
        <w:tc>
          <w:tcPr>
            <w:tcW w:w="1803" w:type="dxa"/>
          </w:tcPr>
          <w:p w14:paraId="4F64BDEC" w14:textId="77777777" w:rsidR="00A31CA9" w:rsidRPr="00A31984" w:rsidRDefault="00A31CA9" w:rsidP="00B24BC8">
            <w:pPr>
              <w:rPr>
                <w:rFonts w:ascii="Aptos" w:hAnsi="Aptos"/>
              </w:rPr>
            </w:pPr>
            <w:r w:rsidRPr="00A31984">
              <w:rPr>
                <w:rFonts w:ascii="Aptos" w:hAnsi="Aptos"/>
              </w:rPr>
              <w:t>&lt; 1bn</w:t>
            </w:r>
          </w:p>
        </w:tc>
        <w:tc>
          <w:tcPr>
            <w:tcW w:w="1519" w:type="dxa"/>
          </w:tcPr>
          <w:p w14:paraId="66D6F0D5" w14:textId="77777777" w:rsidR="00A31CA9" w:rsidRPr="00A31984" w:rsidRDefault="00A31CA9" w:rsidP="00B24BC8">
            <w:pPr>
              <w:rPr>
                <w:rFonts w:ascii="Aptos" w:hAnsi="Aptos"/>
              </w:rPr>
            </w:pPr>
            <w:r w:rsidRPr="00A31984">
              <w:rPr>
                <w:rFonts w:ascii="Aptos" w:hAnsi="Aptos"/>
              </w:rPr>
              <w:t>1-2mn</w:t>
            </w:r>
          </w:p>
        </w:tc>
        <w:tc>
          <w:tcPr>
            <w:tcW w:w="3891" w:type="dxa"/>
            <w:gridSpan w:val="2"/>
          </w:tcPr>
          <w:p w14:paraId="5EE1FD02" w14:textId="77777777" w:rsidR="00A31CA9" w:rsidRPr="00A31984" w:rsidRDefault="00A31CA9" w:rsidP="00B24BC8">
            <w:pPr>
              <w:jc w:val="center"/>
              <w:rPr>
                <w:rFonts w:ascii="Aptos" w:hAnsi="Aptos"/>
              </w:rPr>
            </w:pPr>
            <w:r w:rsidRPr="00A31984">
              <w:rPr>
                <w:rFonts w:ascii="Aptos" w:hAnsi="Aptos"/>
              </w:rPr>
              <w:t>End of day</w:t>
            </w:r>
          </w:p>
        </w:tc>
      </w:tr>
      <w:tr w:rsidR="00A31CA9" w:rsidRPr="00B46962" w14:paraId="57991C6C" w14:textId="77777777" w:rsidTr="00B24BC8">
        <w:tc>
          <w:tcPr>
            <w:tcW w:w="1803" w:type="dxa"/>
          </w:tcPr>
          <w:p w14:paraId="00AB727A" w14:textId="77777777" w:rsidR="00A31CA9" w:rsidRPr="00A31984" w:rsidRDefault="00A31CA9" w:rsidP="00B24BC8">
            <w:pPr>
              <w:rPr>
                <w:rFonts w:ascii="Aptos" w:hAnsi="Aptos"/>
              </w:rPr>
            </w:pPr>
            <w:r w:rsidRPr="00A31984">
              <w:rPr>
                <w:rFonts w:ascii="Aptos" w:hAnsi="Aptos"/>
              </w:rPr>
              <w:t>4</w:t>
            </w:r>
          </w:p>
        </w:tc>
        <w:tc>
          <w:tcPr>
            <w:tcW w:w="1803" w:type="dxa"/>
          </w:tcPr>
          <w:p w14:paraId="4C535AC8" w14:textId="77777777" w:rsidR="00A31CA9" w:rsidRPr="00A31984" w:rsidRDefault="00A31CA9" w:rsidP="00B24BC8">
            <w:pPr>
              <w:rPr>
                <w:rFonts w:ascii="Aptos" w:hAnsi="Aptos"/>
              </w:rPr>
            </w:pPr>
            <w:r w:rsidRPr="00A31984">
              <w:rPr>
                <w:rFonts w:ascii="Aptos" w:hAnsi="Aptos"/>
              </w:rPr>
              <w:t>&lt; 1bn</w:t>
            </w:r>
          </w:p>
        </w:tc>
        <w:tc>
          <w:tcPr>
            <w:tcW w:w="1519" w:type="dxa"/>
          </w:tcPr>
          <w:p w14:paraId="34CE87CB" w14:textId="77777777" w:rsidR="00A31CA9" w:rsidRPr="00A31984" w:rsidRDefault="00A31CA9" w:rsidP="00B24BC8">
            <w:pPr>
              <w:rPr>
                <w:rFonts w:ascii="Aptos" w:hAnsi="Aptos"/>
              </w:rPr>
            </w:pPr>
            <w:r w:rsidRPr="00A31984">
              <w:rPr>
                <w:rFonts w:ascii="Aptos" w:hAnsi="Aptos"/>
              </w:rPr>
              <w:t>2-5mn</w:t>
            </w:r>
          </w:p>
        </w:tc>
        <w:tc>
          <w:tcPr>
            <w:tcW w:w="1980" w:type="dxa"/>
          </w:tcPr>
          <w:p w14:paraId="723C5394" w14:textId="77777777" w:rsidR="00A31CA9" w:rsidRPr="00A31984" w:rsidRDefault="00A31CA9" w:rsidP="00B24BC8">
            <w:pPr>
              <w:jc w:val="center"/>
              <w:rPr>
                <w:rFonts w:ascii="Aptos" w:hAnsi="Aptos"/>
              </w:rPr>
            </w:pPr>
            <w:r w:rsidRPr="00A31984">
              <w:rPr>
                <w:rFonts w:ascii="Aptos" w:hAnsi="Aptos"/>
              </w:rPr>
              <w:t>T+2</w:t>
            </w:r>
          </w:p>
        </w:tc>
        <w:tc>
          <w:tcPr>
            <w:tcW w:w="1911" w:type="dxa"/>
          </w:tcPr>
          <w:p w14:paraId="0F5F56FF" w14:textId="77777777" w:rsidR="00A31CA9" w:rsidRPr="00A31984" w:rsidRDefault="00A31CA9" w:rsidP="00B24BC8">
            <w:pPr>
              <w:jc w:val="center"/>
              <w:rPr>
                <w:rFonts w:ascii="Aptos" w:hAnsi="Aptos"/>
              </w:rPr>
            </w:pPr>
            <w:r w:rsidRPr="00A31984">
              <w:rPr>
                <w:rFonts w:ascii="Aptos" w:hAnsi="Aptos"/>
              </w:rPr>
              <w:t>2 weeks</w:t>
            </w:r>
          </w:p>
        </w:tc>
      </w:tr>
      <w:tr w:rsidR="00A31CA9" w:rsidRPr="00B46962" w14:paraId="72009E72" w14:textId="77777777" w:rsidTr="00B24BC8">
        <w:tc>
          <w:tcPr>
            <w:tcW w:w="1803" w:type="dxa"/>
          </w:tcPr>
          <w:p w14:paraId="27E44662" w14:textId="77777777" w:rsidR="00A31CA9" w:rsidRPr="00A31984" w:rsidRDefault="00A31CA9" w:rsidP="00B24BC8">
            <w:pPr>
              <w:rPr>
                <w:rFonts w:ascii="Aptos" w:hAnsi="Aptos"/>
              </w:rPr>
            </w:pPr>
            <w:r w:rsidRPr="00A31984">
              <w:rPr>
                <w:rFonts w:ascii="Aptos" w:hAnsi="Aptos"/>
              </w:rPr>
              <w:t>6</w:t>
            </w:r>
          </w:p>
        </w:tc>
        <w:tc>
          <w:tcPr>
            <w:tcW w:w="1803" w:type="dxa"/>
          </w:tcPr>
          <w:p w14:paraId="7B6CEDB2" w14:textId="77777777" w:rsidR="00A31CA9" w:rsidRPr="00A31984" w:rsidRDefault="00A31CA9" w:rsidP="00B24BC8">
            <w:pPr>
              <w:rPr>
                <w:rFonts w:ascii="Aptos" w:hAnsi="Aptos"/>
              </w:rPr>
            </w:pPr>
            <w:r w:rsidRPr="00A31984">
              <w:rPr>
                <w:rFonts w:ascii="Aptos" w:hAnsi="Aptos"/>
              </w:rPr>
              <w:t>&lt; 1bn</w:t>
            </w:r>
          </w:p>
        </w:tc>
        <w:tc>
          <w:tcPr>
            <w:tcW w:w="1519" w:type="dxa"/>
          </w:tcPr>
          <w:p w14:paraId="1CE7CC8A" w14:textId="77777777" w:rsidR="00A31CA9" w:rsidRPr="00A31984" w:rsidRDefault="00A31CA9" w:rsidP="00B24BC8">
            <w:pPr>
              <w:rPr>
                <w:rFonts w:ascii="Aptos" w:hAnsi="Aptos"/>
              </w:rPr>
            </w:pPr>
            <w:r w:rsidRPr="00A31984">
              <w:rPr>
                <w:rFonts w:ascii="Aptos" w:hAnsi="Aptos"/>
              </w:rPr>
              <w:t>≥5</w:t>
            </w:r>
          </w:p>
        </w:tc>
        <w:tc>
          <w:tcPr>
            <w:tcW w:w="3891" w:type="dxa"/>
            <w:gridSpan w:val="2"/>
          </w:tcPr>
          <w:p w14:paraId="039E7BD0" w14:textId="77777777" w:rsidR="00A31CA9" w:rsidRPr="00A31984" w:rsidRDefault="00A31CA9" w:rsidP="00B24BC8">
            <w:pPr>
              <w:jc w:val="center"/>
              <w:rPr>
                <w:rFonts w:ascii="Aptos" w:hAnsi="Aptos"/>
              </w:rPr>
            </w:pPr>
            <w:r w:rsidRPr="00A31984">
              <w:rPr>
                <w:rFonts w:ascii="Aptos" w:hAnsi="Aptos"/>
              </w:rPr>
              <w:t>4 weeks</w:t>
            </w:r>
          </w:p>
        </w:tc>
      </w:tr>
    </w:tbl>
    <w:p w14:paraId="1CCB6AFC" w14:textId="77777777" w:rsidR="00A31CA9" w:rsidRPr="00A31984" w:rsidRDefault="00A31CA9" w:rsidP="00A31CA9">
      <w:pPr>
        <w:rPr>
          <w:rFonts w:ascii="Aptos" w:hAnsi="Aptos"/>
        </w:rPr>
      </w:pPr>
    </w:p>
    <w:p w14:paraId="42D40ADB" w14:textId="77777777" w:rsidR="00A31CA9" w:rsidRPr="00A31984" w:rsidRDefault="00A31CA9" w:rsidP="00A31CA9">
      <w:pPr>
        <w:rPr>
          <w:rFonts w:ascii="Aptos" w:hAnsi="Aptos"/>
          <w:b/>
        </w:rPr>
      </w:pPr>
      <w:bookmarkStart w:id="15" w:name="_Toc173869059"/>
      <w:r w:rsidRPr="00A31984">
        <w:rPr>
          <w:rFonts w:ascii="Aptos" w:hAnsi="Aptos"/>
          <w:b/>
        </w:rPr>
        <w:t xml:space="preserve">ICMA Group 4a: - IG Corporate bonds, Convertible bonds, and </w:t>
      </w:r>
      <w:proofErr w:type="gramStart"/>
      <w:r w:rsidRPr="00A31984">
        <w:rPr>
          <w:rFonts w:ascii="Aptos" w:hAnsi="Aptos"/>
          <w:b/>
        </w:rPr>
        <w:t>Other</w:t>
      </w:r>
      <w:proofErr w:type="gramEnd"/>
      <w:r w:rsidRPr="00A31984">
        <w:rPr>
          <w:rFonts w:ascii="Aptos" w:hAnsi="Aptos"/>
          <w:b/>
        </w:rPr>
        <w:t xml:space="preserve"> bonds Liquid</w:t>
      </w:r>
      <w:bookmarkEnd w:id="15"/>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0243DE99" w14:textId="77777777" w:rsidTr="00B24BC8">
        <w:tc>
          <w:tcPr>
            <w:tcW w:w="1803" w:type="dxa"/>
            <w:shd w:val="clear" w:color="auto" w:fill="D9D9D9" w:themeFill="background1" w:themeFillShade="D9"/>
          </w:tcPr>
          <w:p w14:paraId="5BB14E12"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3C0CF290"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57C258F9"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55DC406B"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7DA01B4A"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40A713B9" w14:textId="77777777" w:rsidTr="00B24BC8">
        <w:tc>
          <w:tcPr>
            <w:tcW w:w="1803" w:type="dxa"/>
          </w:tcPr>
          <w:p w14:paraId="00BF38AD" w14:textId="77777777" w:rsidR="00A31CA9" w:rsidRPr="00A31984" w:rsidRDefault="00A31CA9" w:rsidP="00B24BC8">
            <w:pPr>
              <w:rPr>
                <w:rFonts w:ascii="Aptos" w:hAnsi="Aptos"/>
              </w:rPr>
            </w:pPr>
            <w:r w:rsidRPr="00A31984">
              <w:rPr>
                <w:rFonts w:ascii="Aptos" w:hAnsi="Aptos"/>
              </w:rPr>
              <w:t>N/A Liquid</w:t>
            </w:r>
          </w:p>
        </w:tc>
        <w:tc>
          <w:tcPr>
            <w:tcW w:w="1803" w:type="dxa"/>
          </w:tcPr>
          <w:p w14:paraId="42EDF4F4" w14:textId="77777777" w:rsidR="00A31CA9" w:rsidRPr="00A31984" w:rsidRDefault="00A31CA9" w:rsidP="00B24BC8">
            <w:pPr>
              <w:rPr>
                <w:rFonts w:ascii="Aptos" w:hAnsi="Aptos"/>
              </w:rPr>
            </w:pPr>
            <w:r w:rsidRPr="00A31984">
              <w:rPr>
                <w:rFonts w:ascii="Aptos" w:hAnsi="Aptos"/>
              </w:rPr>
              <w:t>≥ 750mn</w:t>
            </w:r>
          </w:p>
        </w:tc>
        <w:tc>
          <w:tcPr>
            <w:tcW w:w="1519" w:type="dxa"/>
          </w:tcPr>
          <w:p w14:paraId="3DDB16A4" w14:textId="77777777" w:rsidR="00A31CA9" w:rsidRPr="00A31984" w:rsidRDefault="00A31CA9" w:rsidP="00B24BC8">
            <w:pPr>
              <w:rPr>
                <w:rFonts w:ascii="Aptos" w:hAnsi="Aptos"/>
              </w:rPr>
            </w:pPr>
            <w:r w:rsidRPr="00A31984">
              <w:rPr>
                <w:rFonts w:ascii="Aptos" w:hAnsi="Aptos"/>
              </w:rPr>
              <w:t>&lt;1mn</w:t>
            </w:r>
          </w:p>
        </w:tc>
        <w:tc>
          <w:tcPr>
            <w:tcW w:w="3891" w:type="dxa"/>
            <w:gridSpan w:val="2"/>
          </w:tcPr>
          <w:p w14:paraId="19006ECB"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29613CA6" w14:textId="77777777" w:rsidTr="00B24BC8">
        <w:tc>
          <w:tcPr>
            <w:tcW w:w="1803" w:type="dxa"/>
          </w:tcPr>
          <w:p w14:paraId="64AC7FF7" w14:textId="77777777" w:rsidR="00A31CA9" w:rsidRPr="00A31984" w:rsidRDefault="00A31CA9" w:rsidP="00B24BC8">
            <w:pPr>
              <w:rPr>
                <w:rFonts w:ascii="Aptos" w:hAnsi="Aptos"/>
              </w:rPr>
            </w:pPr>
            <w:r w:rsidRPr="00A31984">
              <w:rPr>
                <w:rFonts w:ascii="Aptos" w:hAnsi="Aptos"/>
              </w:rPr>
              <w:t>1</w:t>
            </w:r>
          </w:p>
        </w:tc>
        <w:tc>
          <w:tcPr>
            <w:tcW w:w="1803" w:type="dxa"/>
          </w:tcPr>
          <w:p w14:paraId="48B605D0" w14:textId="77777777" w:rsidR="00A31CA9" w:rsidRPr="00A31984" w:rsidRDefault="00A31CA9" w:rsidP="00B24BC8">
            <w:pPr>
              <w:rPr>
                <w:rFonts w:ascii="Aptos" w:hAnsi="Aptos"/>
              </w:rPr>
            </w:pPr>
            <w:r w:rsidRPr="00A31984">
              <w:rPr>
                <w:rFonts w:ascii="Aptos" w:hAnsi="Aptos"/>
              </w:rPr>
              <w:t>≥ 750mn</w:t>
            </w:r>
          </w:p>
        </w:tc>
        <w:tc>
          <w:tcPr>
            <w:tcW w:w="1519" w:type="dxa"/>
          </w:tcPr>
          <w:p w14:paraId="0A09E9A9" w14:textId="77777777" w:rsidR="00A31CA9" w:rsidRPr="00A31984" w:rsidRDefault="00A31CA9" w:rsidP="00B24BC8">
            <w:pPr>
              <w:rPr>
                <w:rFonts w:ascii="Aptos" w:hAnsi="Aptos"/>
              </w:rPr>
            </w:pPr>
            <w:r w:rsidRPr="00A31984">
              <w:rPr>
                <w:rFonts w:ascii="Aptos" w:hAnsi="Aptos"/>
              </w:rPr>
              <w:t>1-</w:t>
            </w:r>
            <w:r>
              <w:rPr>
                <w:rFonts w:ascii="Aptos" w:hAnsi="Aptos"/>
              </w:rPr>
              <w:t>1.5</w:t>
            </w:r>
            <w:r w:rsidRPr="00A31984">
              <w:rPr>
                <w:rFonts w:ascii="Aptos" w:hAnsi="Aptos"/>
              </w:rPr>
              <w:t>mn</w:t>
            </w:r>
          </w:p>
        </w:tc>
        <w:tc>
          <w:tcPr>
            <w:tcW w:w="3891" w:type="dxa"/>
            <w:gridSpan w:val="2"/>
          </w:tcPr>
          <w:p w14:paraId="3955BDDB" w14:textId="77777777" w:rsidR="00A31CA9" w:rsidRPr="00A31984" w:rsidRDefault="00A31CA9" w:rsidP="00B24BC8">
            <w:pPr>
              <w:jc w:val="center"/>
              <w:rPr>
                <w:rFonts w:ascii="Aptos" w:hAnsi="Aptos"/>
              </w:rPr>
            </w:pPr>
            <w:r w:rsidRPr="00A31984">
              <w:rPr>
                <w:rFonts w:ascii="Aptos" w:hAnsi="Aptos"/>
              </w:rPr>
              <w:t xml:space="preserve">15 mins </w:t>
            </w:r>
          </w:p>
        </w:tc>
      </w:tr>
      <w:tr w:rsidR="00A31CA9" w:rsidRPr="00B46962" w14:paraId="0338F4FD" w14:textId="77777777" w:rsidTr="00B24BC8">
        <w:tc>
          <w:tcPr>
            <w:tcW w:w="1803" w:type="dxa"/>
          </w:tcPr>
          <w:p w14:paraId="126067BA" w14:textId="77777777" w:rsidR="00A31CA9" w:rsidRPr="00A31984" w:rsidRDefault="00A31CA9" w:rsidP="00B24BC8">
            <w:pPr>
              <w:rPr>
                <w:rFonts w:ascii="Aptos" w:hAnsi="Aptos"/>
              </w:rPr>
            </w:pPr>
            <w:r w:rsidRPr="00A31984">
              <w:rPr>
                <w:rFonts w:ascii="Aptos" w:hAnsi="Aptos"/>
              </w:rPr>
              <w:t>3</w:t>
            </w:r>
          </w:p>
        </w:tc>
        <w:tc>
          <w:tcPr>
            <w:tcW w:w="1803" w:type="dxa"/>
          </w:tcPr>
          <w:p w14:paraId="1777FF9F" w14:textId="77777777" w:rsidR="00A31CA9" w:rsidRPr="00A31984" w:rsidRDefault="00A31CA9" w:rsidP="00B24BC8">
            <w:pPr>
              <w:rPr>
                <w:rFonts w:ascii="Aptos" w:hAnsi="Aptos"/>
              </w:rPr>
            </w:pPr>
            <w:r w:rsidRPr="00A31984">
              <w:rPr>
                <w:rFonts w:ascii="Aptos" w:hAnsi="Aptos"/>
              </w:rPr>
              <w:t>≥ 750mn</w:t>
            </w:r>
          </w:p>
        </w:tc>
        <w:tc>
          <w:tcPr>
            <w:tcW w:w="1519" w:type="dxa"/>
          </w:tcPr>
          <w:p w14:paraId="71964150" w14:textId="77777777" w:rsidR="00A31CA9" w:rsidRPr="00A31984" w:rsidRDefault="00A31CA9" w:rsidP="00B24BC8">
            <w:pPr>
              <w:rPr>
                <w:rFonts w:ascii="Aptos" w:hAnsi="Aptos"/>
              </w:rPr>
            </w:pPr>
            <w:r>
              <w:rPr>
                <w:rFonts w:ascii="Aptos" w:hAnsi="Aptos"/>
              </w:rPr>
              <w:t>1.5</w:t>
            </w:r>
            <w:r w:rsidRPr="00A31984">
              <w:rPr>
                <w:rFonts w:ascii="Aptos" w:hAnsi="Aptos"/>
              </w:rPr>
              <w:t>-5mn</w:t>
            </w:r>
          </w:p>
        </w:tc>
        <w:tc>
          <w:tcPr>
            <w:tcW w:w="1980" w:type="dxa"/>
          </w:tcPr>
          <w:p w14:paraId="2C549000" w14:textId="77777777" w:rsidR="00A31CA9" w:rsidRPr="00A31984" w:rsidRDefault="00A31CA9" w:rsidP="00B24BC8">
            <w:pPr>
              <w:jc w:val="center"/>
              <w:rPr>
                <w:rFonts w:ascii="Aptos" w:hAnsi="Aptos"/>
              </w:rPr>
            </w:pPr>
            <w:r w:rsidRPr="00A31984">
              <w:rPr>
                <w:rFonts w:ascii="Aptos" w:hAnsi="Aptos"/>
              </w:rPr>
              <w:t>T+1</w:t>
            </w:r>
          </w:p>
        </w:tc>
        <w:tc>
          <w:tcPr>
            <w:tcW w:w="1911" w:type="dxa"/>
          </w:tcPr>
          <w:p w14:paraId="4325263E" w14:textId="77777777" w:rsidR="00A31CA9" w:rsidRPr="00A31984" w:rsidRDefault="00A31CA9" w:rsidP="00B24BC8">
            <w:pPr>
              <w:jc w:val="center"/>
              <w:rPr>
                <w:rFonts w:ascii="Aptos" w:hAnsi="Aptos"/>
              </w:rPr>
            </w:pPr>
            <w:r w:rsidRPr="00A31984">
              <w:rPr>
                <w:rFonts w:ascii="Aptos" w:hAnsi="Aptos"/>
              </w:rPr>
              <w:t>1 week</w:t>
            </w:r>
          </w:p>
        </w:tc>
      </w:tr>
      <w:tr w:rsidR="00A31CA9" w:rsidRPr="00B46962" w14:paraId="27B2C357" w14:textId="77777777" w:rsidTr="00B24BC8">
        <w:tc>
          <w:tcPr>
            <w:tcW w:w="1803" w:type="dxa"/>
          </w:tcPr>
          <w:p w14:paraId="3B1B46EE" w14:textId="77777777" w:rsidR="00A31CA9" w:rsidRPr="00A31984" w:rsidRDefault="00A31CA9" w:rsidP="00B24BC8">
            <w:pPr>
              <w:rPr>
                <w:rFonts w:ascii="Aptos" w:hAnsi="Aptos"/>
              </w:rPr>
            </w:pPr>
            <w:r w:rsidRPr="00A31984">
              <w:rPr>
                <w:rFonts w:ascii="Aptos" w:hAnsi="Aptos"/>
              </w:rPr>
              <w:t>5</w:t>
            </w:r>
          </w:p>
        </w:tc>
        <w:tc>
          <w:tcPr>
            <w:tcW w:w="1803" w:type="dxa"/>
          </w:tcPr>
          <w:p w14:paraId="207CFB12" w14:textId="77777777" w:rsidR="00A31CA9" w:rsidRPr="00A31984" w:rsidRDefault="00A31CA9" w:rsidP="00B24BC8">
            <w:pPr>
              <w:rPr>
                <w:rFonts w:ascii="Aptos" w:hAnsi="Aptos"/>
              </w:rPr>
            </w:pPr>
            <w:r w:rsidRPr="00A31984">
              <w:rPr>
                <w:rFonts w:ascii="Aptos" w:hAnsi="Aptos"/>
              </w:rPr>
              <w:t>≥ 750mn</w:t>
            </w:r>
          </w:p>
        </w:tc>
        <w:tc>
          <w:tcPr>
            <w:tcW w:w="1519" w:type="dxa"/>
          </w:tcPr>
          <w:p w14:paraId="75B8AD83" w14:textId="77777777" w:rsidR="00A31CA9" w:rsidRPr="00A31984" w:rsidRDefault="00A31CA9" w:rsidP="00B24BC8">
            <w:pPr>
              <w:rPr>
                <w:rFonts w:ascii="Aptos" w:hAnsi="Aptos"/>
              </w:rPr>
            </w:pPr>
            <w:r w:rsidRPr="00A31984">
              <w:rPr>
                <w:rFonts w:ascii="Aptos" w:hAnsi="Aptos"/>
              </w:rPr>
              <w:t>≥ 5mn</w:t>
            </w:r>
          </w:p>
        </w:tc>
        <w:tc>
          <w:tcPr>
            <w:tcW w:w="3891" w:type="dxa"/>
            <w:gridSpan w:val="2"/>
          </w:tcPr>
          <w:p w14:paraId="48E581D6" w14:textId="77777777" w:rsidR="00A31CA9" w:rsidRPr="00A31984" w:rsidRDefault="00A31CA9" w:rsidP="00B24BC8">
            <w:pPr>
              <w:jc w:val="center"/>
              <w:rPr>
                <w:rFonts w:ascii="Aptos" w:hAnsi="Aptos"/>
              </w:rPr>
            </w:pPr>
            <w:r w:rsidRPr="00A31984">
              <w:rPr>
                <w:rFonts w:ascii="Aptos" w:hAnsi="Aptos"/>
              </w:rPr>
              <w:t>4 weeks</w:t>
            </w:r>
          </w:p>
        </w:tc>
      </w:tr>
    </w:tbl>
    <w:p w14:paraId="0FFC96DB" w14:textId="77777777" w:rsidR="00A31CA9" w:rsidRPr="00A31984" w:rsidRDefault="00A31CA9" w:rsidP="00A31CA9">
      <w:pPr>
        <w:rPr>
          <w:rFonts w:ascii="Aptos" w:hAnsi="Aptos"/>
          <w:b/>
        </w:rPr>
      </w:pPr>
      <w:bookmarkStart w:id="16" w:name="_Toc173869060"/>
    </w:p>
    <w:p w14:paraId="68341683" w14:textId="77777777" w:rsidR="00A31CA9" w:rsidRPr="00A31984" w:rsidRDefault="00A31CA9" w:rsidP="00A31CA9">
      <w:pPr>
        <w:rPr>
          <w:rFonts w:ascii="Aptos" w:hAnsi="Aptos"/>
          <w:b/>
        </w:rPr>
      </w:pPr>
      <w:r w:rsidRPr="00A31984">
        <w:rPr>
          <w:rFonts w:ascii="Aptos" w:hAnsi="Aptos"/>
          <w:b/>
        </w:rPr>
        <w:t xml:space="preserve">ICMA Group 4b: - IG Corporate bonds, Convertible bonds, and </w:t>
      </w:r>
      <w:proofErr w:type="gramStart"/>
      <w:r w:rsidRPr="00A31984">
        <w:rPr>
          <w:rFonts w:ascii="Aptos" w:hAnsi="Aptos"/>
          <w:b/>
        </w:rPr>
        <w:t>Other</w:t>
      </w:r>
      <w:proofErr w:type="gramEnd"/>
      <w:r w:rsidRPr="00A31984">
        <w:rPr>
          <w:rFonts w:ascii="Aptos" w:hAnsi="Aptos"/>
          <w:b/>
        </w:rPr>
        <w:t xml:space="preserve"> bonds Illiquid</w:t>
      </w:r>
      <w:bookmarkEnd w:id="16"/>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5C1ECC48" w14:textId="77777777" w:rsidTr="00B24BC8">
        <w:tc>
          <w:tcPr>
            <w:tcW w:w="1803" w:type="dxa"/>
            <w:shd w:val="clear" w:color="auto" w:fill="D9D9D9" w:themeFill="background1" w:themeFillShade="D9"/>
          </w:tcPr>
          <w:p w14:paraId="3150A051"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7D231F82"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477CC77F"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18FE23FD"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68B75402"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2E51F525" w14:textId="77777777" w:rsidTr="00B24BC8">
        <w:tc>
          <w:tcPr>
            <w:tcW w:w="1803" w:type="dxa"/>
          </w:tcPr>
          <w:p w14:paraId="248FD427" w14:textId="77777777" w:rsidR="00A31CA9" w:rsidRPr="00A31984" w:rsidRDefault="00A31CA9" w:rsidP="00B24BC8">
            <w:pPr>
              <w:rPr>
                <w:rFonts w:ascii="Aptos" w:hAnsi="Aptos"/>
              </w:rPr>
            </w:pPr>
            <w:r w:rsidRPr="00A31984">
              <w:rPr>
                <w:rFonts w:ascii="Aptos" w:hAnsi="Aptos"/>
              </w:rPr>
              <w:t xml:space="preserve">N/A Illiquid </w:t>
            </w:r>
          </w:p>
        </w:tc>
        <w:tc>
          <w:tcPr>
            <w:tcW w:w="1803" w:type="dxa"/>
          </w:tcPr>
          <w:p w14:paraId="3CCAA885" w14:textId="77777777" w:rsidR="00A31CA9" w:rsidRPr="00A31984" w:rsidRDefault="00A31CA9" w:rsidP="00B24BC8">
            <w:pPr>
              <w:rPr>
                <w:rFonts w:ascii="Aptos" w:hAnsi="Aptos"/>
              </w:rPr>
            </w:pPr>
            <w:r w:rsidRPr="00A31984">
              <w:rPr>
                <w:rFonts w:ascii="Aptos" w:hAnsi="Aptos"/>
              </w:rPr>
              <w:t>&lt; 750mn</w:t>
            </w:r>
          </w:p>
        </w:tc>
        <w:tc>
          <w:tcPr>
            <w:tcW w:w="1519" w:type="dxa"/>
          </w:tcPr>
          <w:p w14:paraId="45AFD3AD" w14:textId="77777777" w:rsidR="00A31CA9" w:rsidRPr="00A31984" w:rsidRDefault="00A31CA9" w:rsidP="00B24BC8">
            <w:pPr>
              <w:rPr>
                <w:rFonts w:ascii="Aptos" w:hAnsi="Aptos"/>
              </w:rPr>
            </w:pPr>
            <w:r w:rsidRPr="00A31984">
              <w:rPr>
                <w:rFonts w:ascii="Aptos" w:hAnsi="Aptos"/>
              </w:rPr>
              <w:t xml:space="preserve">&lt;0.5mn </w:t>
            </w:r>
          </w:p>
        </w:tc>
        <w:tc>
          <w:tcPr>
            <w:tcW w:w="3891" w:type="dxa"/>
            <w:gridSpan w:val="2"/>
          </w:tcPr>
          <w:p w14:paraId="05587A21"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16795813" w14:textId="77777777" w:rsidTr="00B24BC8">
        <w:tc>
          <w:tcPr>
            <w:tcW w:w="1803" w:type="dxa"/>
          </w:tcPr>
          <w:p w14:paraId="193645EA" w14:textId="77777777" w:rsidR="00A31CA9" w:rsidRPr="00A31984" w:rsidRDefault="00A31CA9" w:rsidP="00B24BC8">
            <w:pPr>
              <w:rPr>
                <w:rFonts w:ascii="Aptos" w:hAnsi="Aptos"/>
              </w:rPr>
            </w:pPr>
            <w:r w:rsidRPr="00A31984">
              <w:rPr>
                <w:rFonts w:ascii="Aptos" w:hAnsi="Aptos"/>
              </w:rPr>
              <w:t>2</w:t>
            </w:r>
          </w:p>
        </w:tc>
        <w:tc>
          <w:tcPr>
            <w:tcW w:w="1803" w:type="dxa"/>
          </w:tcPr>
          <w:p w14:paraId="5224E1B2" w14:textId="77777777" w:rsidR="00A31CA9" w:rsidRPr="00A31984" w:rsidRDefault="00A31CA9" w:rsidP="00B24BC8">
            <w:pPr>
              <w:rPr>
                <w:rFonts w:ascii="Aptos" w:hAnsi="Aptos"/>
              </w:rPr>
            </w:pPr>
            <w:r w:rsidRPr="00A31984">
              <w:rPr>
                <w:rFonts w:ascii="Aptos" w:hAnsi="Aptos"/>
              </w:rPr>
              <w:t>&lt; 750mn</w:t>
            </w:r>
          </w:p>
        </w:tc>
        <w:tc>
          <w:tcPr>
            <w:tcW w:w="1519" w:type="dxa"/>
          </w:tcPr>
          <w:p w14:paraId="6BF352A3" w14:textId="77777777" w:rsidR="00A31CA9" w:rsidRPr="00A31984" w:rsidRDefault="00A31CA9" w:rsidP="00B24BC8">
            <w:pPr>
              <w:rPr>
                <w:rFonts w:ascii="Aptos" w:hAnsi="Aptos"/>
              </w:rPr>
            </w:pPr>
            <w:r w:rsidRPr="00A31984">
              <w:rPr>
                <w:rFonts w:ascii="Aptos" w:hAnsi="Aptos"/>
              </w:rPr>
              <w:t>0.5-1mn</w:t>
            </w:r>
          </w:p>
        </w:tc>
        <w:tc>
          <w:tcPr>
            <w:tcW w:w="3891" w:type="dxa"/>
            <w:gridSpan w:val="2"/>
          </w:tcPr>
          <w:p w14:paraId="70B62369" w14:textId="77777777" w:rsidR="00A31CA9" w:rsidRPr="00A31984" w:rsidRDefault="00A31CA9" w:rsidP="00B24BC8">
            <w:pPr>
              <w:jc w:val="center"/>
              <w:rPr>
                <w:rFonts w:ascii="Aptos" w:hAnsi="Aptos"/>
              </w:rPr>
            </w:pPr>
            <w:r w:rsidRPr="00A31984">
              <w:rPr>
                <w:rFonts w:ascii="Aptos" w:hAnsi="Aptos"/>
              </w:rPr>
              <w:t>End of day</w:t>
            </w:r>
          </w:p>
        </w:tc>
      </w:tr>
      <w:tr w:rsidR="00A31CA9" w:rsidRPr="00B46962" w14:paraId="2B89A69F" w14:textId="77777777" w:rsidTr="00B24BC8">
        <w:tc>
          <w:tcPr>
            <w:tcW w:w="1803" w:type="dxa"/>
          </w:tcPr>
          <w:p w14:paraId="48349E27" w14:textId="77777777" w:rsidR="00A31CA9" w:rsidRPr="00A31984" w:rsidRDefault="00A31CA9" w:rsidP="00B24BC8">
            <w:pPr>
              <w:rPr>
                <w:rFonts w:ascii="Aptos" w:hAnsi="Aptos"/>
              </w:rPr>
            </w:pPr>
            <w:r w:rsidRPr="00A31984">
              <w:rPr>
                <w:rFonts w:ascii="Aptos" w:hAnsi="Aptos"/>
              </w:rPr>
              <w:t>4</w:t>
            </w:r>
          </w:p>
        </w:tc>
        <w:tc>
          <w:tcPr>
            <w:tcW w:w="1803" w:type="dxa"/>
          </w:tcPr>
          <w:p w14:paraId="25A4226D" w14:textId="77777777" w:rsidR="00A31CA9" w:rsidRPr="00A31984" w:rsidRDefault="00A31CA9" w:rsidP="00B24BC8">
            <w:pPr>
              <w:rPr>
                <w:rFonts w:ascii="Aptos" w:hAnsi="Aptos"/>
              </w:rPr>
            </w:pPr>
            <w:r w:rsidRPr="00A31984">
              <w:rPr>
                <w:rFonts w:ascii="Aptos" w:hAnsi="Aptos"/>
              </w:rPr>
              <w:t>&lt; 750mn</w:t>
            </w:r>
          </w:p>
        </w:tc>
        <w:tc>
          <w:tcPr>
            <w:tcW w:w="1519" w:type="dxa"/>
          </w:tcPr>
          <w:p w14:paraId="24C9646D" w14:textId="77777777" w:rsidR="00A31CA9" w:rsidRPr="00A31984" w:rsidRDefault="00A31CA9" w:rsidP="00B24BC8">
            <w:pPr>
              <w:rPr>
                <w:rFonts w:ascii="Aptos" w:hAnsi="Aptos"/>
              </w:rPr>
            </w:pPr>
            <w:r w:rsidRPr="00A31984">
              <w:rPr>
                <w:rFonts w:ascii="Aptos" w:hAnsi="Aptos"/>
              </w:rPr>
              <w:t>1-2mn</w:t>
            </w:r>
          </w:p>
        </w:tc>
        <w:tc>
          <w:tcPr>
            <w:tcW w:w="1980" w:type="dxa"/>
          </w:tcPr>
          <w:p w14:paraId="5D1E5F3F" w14:textId="77777777" w:rsidR="00A31CA9" w:rsidRPr="00A31984" w:rsidRDefault="00A31CA9" w:rsidP="00B24BC8">
            <w:pPr>
              <w:jc w:val="center"/>
              <w:rPr>
                <w:rFonts w:ascii="Aptos" w:hAnsi="Aptos"/>
              </w:rPr>
            </w:pPr>
            <w:r w:rsidRPr="00A31984">
              <w:rPr>
                <w:rFonts w:ascii="Aptos" w:hAnsi="Aptos"/>
              </w:rPr>
              <w:t>T+2</w:t>
            </w:r>
          </w:p>
        </w:tc>
        <w:tc>
          <w:tcPr>
            <w:tcW w:w="1911" w:type="dxa"/>
          </w:tcPr>
          <w:p w14:paraId="7138CFD2" w14:textId="77777777" w:rsidR="00A31CA9" w:rsidRPr="00A31984" w:rsidRDefault="00A31CA9" w:rsidP="00B24BC8">
            <w:pPr>
              <w:jc w:val="center"/>
              <w:rPr>
                <w:rFonts w:ascii="Aptos" w:hAnsi="Aptos"/>
              </w:rPr>
            </w:pPr>
            <w:r w:rsidRPr="00A31984">
              <w:rPr>
                <w:rFonts w:ascii="Aptos" w:hAnsi="Aptos"/>
              </w:rPr>
              <w:t>2 weeks</w:t>
            </w:r>
          </w:p>
        </w:tc>
      </w:tr>
      <w:tr w:rsidR="00A31CA9" w:rsidRPr="00B46962" w14:paraId="7EAEF278" w14:textId="77777777" w:rsidTr="00B24BC8">
        <w:tc>
          <w:tcPr>
            <w:tcW w:w="1803" w:type="dxa"/>
          </w:tcPr>
          <w:p w14:paraId="5AC9FB00" w14:textId="77777777" w:rsidR="00A31CA9" w:rsidRPr="00A31984" w:rsidRDefault="00A31CA9" w:rsidP="00B24BC8">
            <w:pPr>
              <w:rPr>
                <w:rFonts w:ascii="Aptos" w:hAnsi="Aptos"/>
              </w:rPr>
            </w:pPr>
            <w:r w:rsidRPr="00A31984">
              <w:rPr>
                <w:rFonts w:ascii="Aptos" w:hAnsi="Aptos"/>
              </w:rPr>
              <w:t>6</w:t>
            </w:r>
          </w:p>
        </w:tc>
        <w:tc>
          <w:tcPr>
            <w:tcW w:w="1803" w:type="dxa"/>
          </w:tcPr>
          <w:p w14:paraId="11AF15A8" w14:textId="77777777" w:rsidR="00A31CA9" w:rsidRPr="00A31984" w:rsidRDefault="00A31CA9" w:rsidP="00B24BC8">
            <w:pPr>
              <w:rPr>
                <w:rFonts w:ascii="Aptos" w:hAnsi="Aptos"/>
              </w:rPr>
            </w:pPr>
            <w:r w:rsidRPr="00A31984">
              <w:rPr>
                <w:rFonts w:ascii="Aptos" w:hAnsi="Aptos"/>
              </w:rPr>
              <w:t>&lt; 750mn</w:t>
            </w:r>
          </w:p>
        </w:tc>
        <w:tc>
          <w:tcPr>
            <w:tcW w:w="1519" w:type="dxa"/>
          </w:tcPr>
          <w:p w14:paraId="04DE7BAB" w14:textId="77777777" w:rsidR="00A31CA9" w:rsidRPr="00A31984" w:rsidRDefault="00A31CA9" w:rsidP="00B24BC8">
            <w:pPr>
              <w:rPr>
                <w:rFonts w:ascii="Aptos" w:hAnsi="Aptos"/>
              </w:rPr>
            </w:pPr>
            <w:r w:rsidRPr="00A31984">
              <w:rPr>
                <w:rFonts w:ascii="Aptos" w:hAnsi="Aptos"/>
              </w:rPr>
              <w:t>≥ 2mn</w:t>
            </w:r>
          </w:p>
        </w:tc>
        <w:tc>
          <w:tcPr>
            <w:tcW w:w="3891" w:type="dxa"/>
            <w:gridSpan w:val="2"/>
          </w:tcPr>
          <w:p w14:paraId="663AF3FC" w14:textId="77777777" w:rsidR="00A31CA9" w:rsidRPr="00A31984" w:rsidRDefault="00A31CA9" w:rsidP="00B24BC8">
            <w:pPr>
              <w:jc w:val="center"/>
              <w:rPr>
                <w:rFonts w:ascii="Aptos" w:hAnsi="Aptos"/>
              </w:rPr>
            </w:pPr>
            <w:r w:rsidRPr="00A31984">
              <w:rPr>
                <w:rFonts w:ascii="Aptos" w:hAnsi="Aptos"/>
              </w:rPr>
              <w:t>4 weeks</w:t>
            </w:r>
          </w:p>
        </w:tc>
      </w:tr>
    </w:tbl>
    <w:p w14:paraId="3C55B933" w14:textId="77777777" w:rsidR="00A31CA9" w:rsidRPr="00A31984" w:rsidRDefault="00A31CA9" w:rsidP="00A31CA9">
      <w:pPr>
        <w:rPr>
          <w:rFonts w:ascii="Aptos" w:hAnsi="Aptos"/>
        </w:rPr>
      </w:pPr>
    </w:p>
    <w:p w14:paraId="3FAEAF65" w14:textId="77777777" w:rsidR="00A31CA9" w:rsidRPr="00A31984" w:rsidRDefault="00A31CA9" w:rsidP="00A31CA9">
      <w:pPr>
        <w:rPr>
          <w:rFonts w:ascii="Aptos" w:hAnsi="Aptos"/>
          <w:b/>
        </w:rPr>
      </w:pPr>
      <w:r w:rsidRPr="00A31984">
        <w:rPr>
          <w:rFonts w:ascii="Aptos" w:hAnsi="Aptos"/>
          <w:b/>
        </w:rPr>
        <w:lastRenderedPageBreak/>
        <w:t xml:space="preserve">ICMA Group 5a: - HY Corporate bonds, Convertible bonds, and </w:t>
      </w:r>
      <w:proofErr w:type="gramStart"/>
      <w:r w:rsidRPr="00A31984">
        <w:rPr>
          <w:rFonts w:ascii="Aptos" w:hAnsi="Aptos"/>
          <w:b/>
        </w:rPr>
        <w:t>Other</w:t>
      </w:r>
      <w:proofErr w:type="gramEnd"/>
      <w:r w:rsidRPr="00A31984">
        <w:rPr>
          <w:rFonts w:ascii="Aptos" w:hAnsi="Aptos"/>
          <w:b/>
        </w:rPr>
        <w:t xml:space="preserve"> bonds Liquid</w:t>
      </w:r>
    </w:p>
    <w:tbl>
      <w:tblPr>
        <w:tblStyle w:val="TableGrid"/>
        <w:tblW w:w="0" w:type="auto"/>
        <w:tblLook w:val="04A0" w:firstRow="1" w:lastRow="0" w:firstColumn="1" w:lastColumn="0" w:noHBand="0" w:noVBand="1"/>
      </w:tblPr>
      <w:tblGrid>
        <w:gridCol w:w="1785"/>
        <w:gridCol w:w="1786"/>
        <w:gridCol w:w="1602"/>
        <w:gridCol w:w="1955"/>
        <w:gridCol w:w="1888"/>
      </w:tblGrid>
      <w:tr w:rsidR="00A31CA9" w:rsidRPr="00B46962" w14:paraId="72292450" w14:textId="77777777" w:rsidTr="00B24BC8">
        <w:tc>
          <w:tcPr>
            <w:tcW w:w="1785" w:type="dxa"/>
            <w:shd w:val="clear" w:color="auto" w:fill="D9D9D9" w:themeFill="background1" w:themeFillShade="D9"/>
          </w:tcPr>
          <w:p w14:paraId="2B8B95AD" w14:textId="77777777" w:rsidR="00A31CA9" w:rsidRPr="00A31984" w:rsidRDefault="00A31CA9" w:rsidP="00B24BC8">
            <w:pPr>
              <w:rPr>
                <w:rFonts w:ascii="Aptos" w:hAnsi="Aptos"/>
                <w:b/>
              </w:rPr>
            </w:pPr>
            <w:r w:rsidRPr="00A31984">
              <w:rPr>
                <w:rFonts w:ascii="Aptos" w:hAnsi="Aptos"/>
                <w:b/>
              </w:rPr>
              <w:t>Category</w:t>
            </w:r>
          </w:p>
        </w:tc>
        <w:tc>
          <w:tcPr>
            <w:tcW w:w="1786" w:type="dxa"/>
            <w:shd w:val="clear" w:color="auto" w:fill="D9D9D9" w:themeFill="background1" w:themeFillShade="D9"/>
          </w:tcPr>
          <w:p w14:paraId="24F9DB7A" w14:textId="77777777" w:rsidR="00A31CA9" w:rsidRPr="00A31984" w:rsidRDefault="00A31CA9" w:rsidP="00B24BC8">
            <w:pPr>
              <w:rPr>
                <w:rFonts w:ascii="Aptos" w:hAnsi="Aptos"/>
                <w:b/>
              </w:rPr>
            </w:pPr>
            <w:r w:rsidRPr="00A31984">
              <w:rPr>
                <w:rFonts w:ascii="Aptos" w:hAnsi="Aptos"/>
                <w:b/>
              </w:rPr>
              <w:t>Issuance size</w:t>
            </w:r>
          </w:p>
        </w:tc>
        <w:tc>
          <w:tcPr>
            <w:tcW w:w="1602" w:type="dxa"/>
            <w:shd w:val="clear" w:color="auto" w:fill="D9D9D9" w:themeFill="background1" w:themeFillShade="D9"/>
          </w:tcPr>
          <w:p w14:paraId="206591B1" w14:textId="77777777" w:rsidR="00A31CA9" w:rsidRPr="00A31984" w:rsidRDefault="00A31CA9" w:rsidP="00B24BC8">
            <w:pPr>
              <w:rPr>
                <w:rFonts w:ascii="Aptos" w:hAnsi="Aptos"/>
                <w:b/>
              </w:rPr>
            </w:pPr>
            <w:r w:rsidRPr="00A31984">
              <w:rPr>
                <w:rFonts w:ascii="Aptos" w:hAnsi="Aptos"/>
                <w:b/>
              </w:rPr>
              <w:t>Size</w:t>
            </w:r>
          </w:p>
        </w:tc>
        <w:tc>
          <w:tcPr>
            <w:tcW w:w="1955" w:type="dxa"/>
            <w:shd w:val="clear" w:color="auto" w:fill="D9D9D9" w:themeFill="background1" w:themeFillShade="D9"/>
          </w:tcPr>
          <w:p w14:paraId="7392F9E1" w14:textId="77777777" w:rsidR="00A31CA9" w:rsidRPr="00A31984" w:rsidRDefault="00A31CA9" w:rsidP="00B24BC8">
            <w:pPr>
              <w:rPr>
                <w:rFonts w:ascii="Aptos" w:hAnsi="Aptos"/>
                <w:b/>
              </w:rPr>
            </w:pPr>
            <w:r w:rsidRPr="00A31984">
              <w:rPr>
                <w:rFonts w:ascii="Aptos" w:hAnsi="Aptos"/>
                <w:b/>
              </w:rPr>
              <w:t>Price deferral</w:t>
            </w:r>
          </w:p>
        </w:tc>
        <w:tc>
          <w:tcPr>
            <w:tcW w:w="1888" w:type="dxa"/>
            <w:shd w:val="clear" w:color="auto" w:fill="D9D9D9" w:themeFill="background1" w:themeFillShade="D9"/>
          </w:tcPr>
          <w:p w14:paraId="688930FC"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79B81E07" w14:textId="77777777" w:rsidTr="00B24BC8">
        <w:tc>
          <w:tcPr>
            <w:tcW w:w="1785" w:type="dxa"/>
          </w:tcPr>
          <w:p w14:paraId="2F62F910" w14:textId="77777777" w:rsidR="00A31CA9" w:rsidRPr="00A31984" w:rsidRDefault="00A31CA9" w:rsidP="00B24BC8">
            <w:pPr>
              <w:rPr>
                <w:rFonts w:ascii="Aptos" w:hAnsi="Aptos"/>
              </w:rPr>
            </w:pPr>
            <w:r w:rsidRPr="00A31984">
              <w:rPr>
                <w:rFonts w:ascii="Aptos" w:hAnsi="Aptos"/>
              </w:rPr>
              <w:t>N/A Liquid</w:t>
            </w:r>
          </w:p>
        </w:tc>
        <w:tc>
          <w:tcPr>
            <w:tcW w:w="1786" w:type="dxa"/>
          </w:tcPr>
          <w:p w14:paraId="02F9B927" w14:textId="77777777" w:rsidR="00A31CA9" w:rsidRPr="00A31984" w:rsidRDefault="00A31CA9" w:rsidP="00B24BC8">
            <w:pPr>
              <w:rPr>
                <w:rFonts w:ascii="Aptos" w:hAnsi="Aptos"/>
              </w:rPr>
            </w:pPr>
            <w:r w:rsidRPr="00A31984">
              <w:rPr>
                <w:rFonts w:ascii="Aptos" w:hAnsi="Aptos"/>
              </w:rPr>
              <w:t>≥ 750mn</w:t>
            </w:r>
          </w:p>
        </w:tc>
        <w:tc>
          <w:tcPr>
            <w:tcW w:w="1602" w:type="dxa"/>
            <w:vAlign w:val="center"/>
          </w:tcPr>
          <w:p w14:paraId="4140B495" w14:textId="77777777" w:rsidR="00A31CA9" w:rsidRPr="00A31984" w:rsidRDefault="00A31CA9" w:rsidP="00B24BC8">
            <w:pPr>
              <w:rPr>
                <w:rFonts w:ascii="Aptos" w:hAnsi="Aptos"/>
              </w:rPr>
            </w:pPr>
            <w:r w:rsidRPr="00B46962">
              <w:rPr>
                <w:rFonts w:ascii="Aptos" w:hAnsi="Aptos"/>
                <w:color w:val="000000"/>
              </w:rPr>
              <w:t>&lt;</w:t>
            </w:r>
            <w:r>
              <w:rPr>
                <w:rFonts w:ascii="Aptos" w:hAnsi="Aptos"/>
                <w:color w:val="000000"/>
              </w:rPr>
              <w:t>0.5</w:t>
            </w:r>
            <w:r w:rsidRPr="00B46962">
              <w:rPr>
                <w:rFonts w:ascii="Aptos" w:hAnsi="Aptos"/>
                <w:color w:val="000000"/>
              </w:rPr>
              <w:t>mn</w:t>
            </w:r>
          </w:p>
        </w:tc>
        <w:tc>
          <w:tcPr>
            <w:tcW w:w="3843" w:type="dxa"/>
            <w:gridSpan w:val="2"/>
          </w:tcPr>
          <w:p w14:paraId="6A5C806F"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13920202" w14:textId="77777777" w:rsidTr="00B24BC8">
        <w:tc>
          <w:tcPr>
            <w:tcW w:w="1785" w:type="dxa"/>
          </w:tcPr>
          <w:p w14:paraId="2764EE7A" w14:textId="77777777" w:rsidR="00A31CA9" w:rsidRPr="00A31984" w:rsidRDefault="00A31CA9" w:rsidP="00B24BC8">
            <w:pPr>
              <w:rPr>
                <w:rFonts w:ascii="Aptos" w:hAnsi="Aptos"/>
              </w:rPr>
            </w:pPr>
            <w:r w:rsidRPr="00A31984">
              <w:rPr>
                <w:rFonts w:ascii="Aptos" w:hAnsi="Aptos"/>
              </w:rPr>
              <w:t>1</w:t>
            </w:r>
          </w:p>
        </w:tc>
        <w:tc>
          <w:tcPr>
            <w:tcW w:w="1786" w:type="dxa"/>
          </w:tcPr>
          <w:p w14:paraId="661D8294" w14:textId="77777777" w:rsidR="00A31CA9" w:rsidRPr="00A31984" w:rsidRDefault="00A31CA9" w:rsidP="00B24BC8">
            <w:pPr>
              <w:rPr>
                <w:rFonts w:ascii="Aptos" w:hAnsi="Aptos"/>
              </w:rPr>
            </w:pPr>
            <w:r w:rsidRPr="00A31984">
              <w:rPr>
                <w:rFonts w:ascii="Aptos" w:hAnsi="Aptos"/>
              </w:rPr>
              <w:t>≥ 750mn</w:t>
            </w:r>
          </w:p>
        </w:tc>
        <w:tc>
          <w:tcPr>
            <w:tcW w:w="1602" w:type="dxa"/>
            <w:vAlign w:val="center"/>
          </w:tcPr>
          <w:p w14:paraId="152753D1" w14:textId="77777777" w:rsidR="00A31CA9" w:rsidRPr="00A31984" w:rsidRDefault="00A31CA9" w:rsidP="00B24BC8">
            <w:pPr>
              <w:rPr>
                <w:rFonts w:ascii="Aptos" w:hAnsi="Aptos"/>
              </w:rPr>
            </w:pPr>
            <w:r>
              <w:rPr>
                <w:rFonts w:ascii="Aptos" w:hAnsi="Aptos"/>
                <w:color w:val="000000"/>
              </w:rPr>
              <w:t>0.5</w:t>
            </w:r>
            <w:r w:rsidRPr="00B46962">
              <w:rPr>
                <w:rFonts w:ascii="Aptos" w:hAnsi="Aptos"/>
                <w:color w:val="000000"/>
              </w:rPr>
              <w:t>-1mn</w:t>
            </w:r>
          </w:p>
        </w:tc>
        <w:tc>
          <w:tcPr>
            <w:tcW w:w="3843" w:type="dxa"/>
            <w:gridSpan w:val="2"/>
          </w:tcPr>
          <w:p w14:paraId="20C7298E" w14:textId="77777777" w:rsidR="00A31CA9" w:rsidRPr="00A31984" w:rsidRDefault="00A31CA9" w:rsidP="00B24BC8">
            <w:pPr>
              <w:jc w:val="center"/>
              <w:rPr>
                <w:rFonts w:ascii="Aptos" w:hAnsi="Aptos"/>
              </w:rPr>
            </w:pPr>
            <w:r w:rsidRPr="00A31984">
              <w:rPr>
                <w:rFonts w:ascii="Aptos" w:hAnsi="Aptos"/>
              </w:rPr>
              <w:t xml:space="preserve">15 mins </w:t>
            </w:r>
          </w:p>
        </w:tc>
      </w:tr>
      <w:tr w:rsidR="00A31CA9" w:rsidRPr="00B46962" w14:paraId="0F26EFC8" w14:textId="77777777" w:rsidTr="00B24BC8">
        <w:tc>
          <w:tcPr>
            <w:tcW w:w="1785" w:type="dxa"/>
          </w:tcPr>
          <w:p w14:paraId="6363BCE6" w14:textId="77777777" w:rsidR="00A31CA9" w:rsidRPr="00A31984" w:rsidRDefault="00A31CA9" w:rsidP="00B24BC8">
            <w:pPr>
              <w:rPr>
                <w:rFonts w:ascii="Aptos" w:hAnsi="Aptos"/>
              </w:rPr>
            </w:pPr>
            <w:r w:rsidRPr="00A31984">
              <w:rPr>
                <w:rFonts w:ascii="Aptos" w:hAnsi="Aptos"/>
              </w:rPr>
              <w:t>3</w:t>
            </w:r>
          </w:p>
        </w:tc>
        <w:tc>
          <w:tcPr>
            <w:tcW w:w="1786" w:type="dxa"/>
          </w:tcPr>
          <w:p w14:paraId="0452A9E9" w14:textId="77777777" w:rsidR="00A31CA9" w:rsidRPr="00A31984" w:rsidRDefault="00A31CA9" w:rsidP="00B24BC8">
            <w:pPr>
              <w:rPr>
                <w:rFonts w:ascii="Aptos" w:hAnsi="Aptos"/>
              </w:rPr>
            </w:pPr>
            <w:r w:rsidRPr="00A31984">
              <w:rPr>
                <w:rFonts w:ascii="Aptos" w:hAnsi="Aptos"/>
              </w:rPr>
              <w:t>≥ 750mn</w:t>
            </w:r>
          </w:p>
        </w:tc>
        <w:tc>
          <w:tcPr>
            <w:tcW w:w="1602" w:type="dxa"/>
            <w:vAlign w:val="center"/>
          </w:tcPr>
          <w:p w14:paraId="724D07C3" w14:textId="77777777" w:rsidR="00A31CA9" w:rsidRPr="00A31984" w:rsidRDefault="00A31CA9" w:rsidP="00B24BC8">
            <w:pPr>
              <w:rPr>
                <w:rFonts w:ascii="Aptos" w:hAnsi="Aptos"/>
              </w:rPr>
            </w:pPr>
            <w:r w:rsidRPr="00B46962">
              <w:rPr>
                <w:rFonts w:ascii="Aptos" w:hAnsi="Aptos"/>
                <w:color w:val="000000"/>
              </w:rPr>
              <w:t>1-3.5mn</w:t>
            </w:r>
          </w:p>
        </w:tc>
        <w:tc>
          <w:tcPr>
            <w:tcW w:w="1955" w:type="dxa"/>
          </w:tcPr>
          <w:p w14:paraId="102FC5EB" w14:textId="77777777" w:rsidR="00A31CA9" w:rsidRPr="00A31984" w:rsidRDefault="00A31CA9" w:rsidP="00B24BC8">
            <w:pPr>
              <w:jc w:val="center"/>
              <w:rPr>
                <w:rFonts w:ascii="Aptos" w:hAnsi="Aptos"/>
              </w:rPr>
            </w:pPr>
            <w:r w:rsidRPr="00A31984">
              <w:rPr>
                <w:rFonts w:ascii="Aptos" w:hAnsi="Aptos"/>
              </w:rPr>
              <w:t>T+1</w:t>
            </w:r>
          </w:p>
        </w:tc>
        <w:tc>
          <w:tcPr>
            <w:tcW w:w="1888" w:type="dxa"/>
          </w:tcPr>
          <w:p w14:paraId="13C88870" w14:textId="77777777" w:rsidR="00A31CA9" w:rsidRPr="00A31984" w:rsidRDefault="00A31CA9" w:rsidP="00B24BC8">
            <w:pPr>
              <w:jc w:val="center"/>
              <w:rPr>
                <w:rFonts w:ascii="Aptos" w:hAnsi="Aptos"/>
              </w:rPr>
            </w:pPr>
            <w:r w:rsidRPr="00A31984">
              <w:rPr>
                <w:rFonts w:ascii="Aptos" w:hAnsi="Aptos"/>
              </w:rPr>
              <w:t>1 week</w:t>
            </w:r>
          </w:p>
        </w:tc>
      </w:tr>
      <w:tr w:rsidR="00A31CA9" w:rsidRPr="00B46962" w14:paraId="08628A64" w14:textId="77777777" w:rsidTr="00B24BC8">
        <w:tc>
          <w:tcPr>
            <w:tcW w:w="1785" w:type="dxa"/>
          </w:tcPr>
          <w:p w14:paraId="63C97CE2" w14:textId="77777777" w:rsidR="00A31CA9" w:rsidRPr="00A31984" w:rsidRDefault="00A31CA9" w:rsidP="00B24BC8">
            <w:pPr>
              <w:rPr>
                <w:rFonts w:ascii="Aptos" w:hAnsi="Aptos"/>
              </w:rPr>
            </w:pPr>
            <w:r w:rsidRPr="00A31984">
              <w:rPr>
                <w:rFonts w:ascii="Aptos" w:hAnsi="Aptos"/>
              </w:rPr>
              <w:t>5</w:t>
            </w:r>
          </w:p>
        </w:tc>
        <w:tc>
          <w:tcPr>
            <w:tcW w:w="1786" w:type="dxa"/>
          </w:tcPr>
          <w:p w14:paraId="43C8D0E7" w14:textId="77777777" w:rsidR="00A31CA9" w:rsidRPr="00A31984" w:rsidRDefault="00A31CA9" w:rsidP="00B24BC8">
            <w:pPr>
              <w:rPr>
                <w:rFonts w:ascii="Aptos" w:hAnsi="Aptos"/>
              </w:rPr>
            </w:pPr>
            <w:r w:rsidRPr="00A31984">
              <w:rPr>
                <w:rFonts w:ascii="Aptos" w:hAnsi="Aptos"/>
              </w:rPr>
              <w:t>≥ 750mn</w:t>
            </w:r>
          </w:p>
        </w:tc>
        <w:tc>
          <w:tcPr>
            <w:tcW w:w="1602" w:type="dxa"/>
            <w:vAlign w:val="center"/>
          </w:tcPr>
          <w:p w14:paraId="0A030FDA" w14:textId="77777777" w:rsidR="00A31CA9" w:rsidRPr="00A31984" w:rsidRDefault="00A31CA9" w:rsidP="00B24BC8">
            <w:pPr>
              <w:rPr>
                <w:rFonts w:ascii="Aptos" w:hAnsi="Aptos"/>
              </w:rPr>
            </w:pPr>
            <w:r w:rsidRPr="00B46962">
              <w:rPr>
                <w:rFonts w:ascii="Aptos" w:hAnsi="Aptos"/>
                <w:color w:val="000000"/>
              </w:rPr>
              <w:t>≥ 3.5mn</w:t>
            </w:r>
          </w:p>
        </w:tc>
        <w:tc>
          <w:tcPr>
            <w:tcW w:w="3843" w:type="dxa"/>
            <w:gridSpan w:val="2"/>
          </w:tcPr>
          <w:p w14:paraId="3283E12F" w14:textId="77777777" w:rsidR="00A31CA9" w:rsidRPr="00A31984" w:rsidRDefault="00A31CA9" w:rsidP="00B24BC8">
            <w:pPr>
              <w:jc w:val="center"/>
              <w:rPr>
                <w:rFonts w:ascii="Aptos" w:hAnsi="Aptos"/>
              </w:rPr>
            </w:pPr>
            <w:r w:rsidRPr="00A31984">
              <w:rPr>
                <w:rFonts w:ascii="Aptos" w:hAnsi="Aptos"/>
              </w:rPr>
              <w:t>4 weeks</w:t>
            </w:r>
          </w:p>
        </w:tc>
      </w:tr>
    </w:tbl>
    <w:p w14:paraId="4763C84A" w14:textId="77777777" w:rsidR="00A31CA9" w:rsidRPr="00A31984" w:rsidRDefault="00A31CA9" w:rsidP="00A31CA9">
      <w:pPr>
        <w:rPr>
          <w:rFonts w:ascii="Aptos" w:hAnsi="Aptos"/>
          <w:b/>
        </w:rPr>
      </w:pPr>
    </w:p>
    <w:p w14:paraId="5A078DEE" w14:textId="77777777" w:rsidR="00A31CA9" w:rsidRPr="00A31984" w:rsidRDefault="00A31CA9" w:rsidP="00A31CA9">
      <w:pPr>
        <w:rPr>
          <w:rFonts w:ascii="Aptos" w:hAnsi="Aptos"/>
          <w:b/>
        </w:rPr>
      </w:pPr>
      <w:r w:rsidRPr="00A31984">
        <w:rPr>
          <w:rFonts w:ascii="Aptos" w:hAnsi="Aptos"/>
          <w:b/>
        </w:rPr>
        <w:t xml:space="preserve">ICMA Group 5b: - HY Corporate bonds, Convertible bonds, and </w:t>
      </w:r>
      <w:proofErr w:type="gramStart"/>
      <w:r w:rsidRPr="00A31984">
        <w:rPr>
          <w:rFonts w:ascii="Aptos" w:hAnsi="Aptos"/>
          <w:b/>
        </w:rPr>
        <w:t>Other</w:t>
      </w:r>
      <w:proofErr w:type="gramEnd"/>
      <w:r w:rsidRPr="00A31984">
        <w:rPr>
          <w:rFonts w:ascii="Aptos" w:hAnsi="Aptos"/>
          <w:b/>
        </w:rPr>
        <w:t xml:space="preserve"> bonds Illiquid</w:t>
      </w:r>
    </w:p>
    <w:tbl>
      <w:tblPr>
        <w:tblStyle w:val="TableGrid"/>
        <w:tblW w:w="0" w:type="auto"/>
        <w:tblLook w:val="04A0" w:firstRow="1" w:lastRow="0" w:firstColumn="1" w:lastColumn="0" w:noHBand="0" w:noVBand="1"/>
      </w:tblPr>
      <w:tblGrid>
        <w:gridCol w:w="1747"/>
        <w:gridCol w:w="1748"/>
        <w:gridCol w:w="1783"/>
        <w:gridCol w:w="1901"/>
        <w:gridCol w:w="1837"/>
      </w:tblGrid>
      <w:tr w:rsidR="00A31CA9" w:rsidRPr="00B46962" w14:paraId="2E647C46" w14:textId="77777777" w:rsidTr="00B24BC8">
        <w:tc>
          <w:tcPr>
            <w:tcW w:w="1747" w:type="dxa"/>
            <w:shd w:val="clear" w:color="auto" w:fill="D9D9D9" w:themeFill="background1" w:themeFillShade="D9"/>
          </w:tcPr>
          <w:p w14:paraId="6EDCD580" w14:textId="77777777" w:rsidR="00A31CA9" w:rsidRPr="00A31984" w:rsidRDefault="00A31CA9" w:rsidP="00B24BC8">
            <w:pPr>
              <w:rPr>
                <w:rFonts w:ascii="Aptos" w:hAnsi="Aptos"/>
                <w:b/>
              </w:rPr>
            </w:pPr>
            <w:r w:rsidRPr="00A31984">
              <w:rPr>
                <w:rFonts w:ascii="Aptos" w:hAnsi="Aptos"/>
                <w:b/>
              </w:rPr>
              <w:t>Category</w:t>
            </w:r>
          </w:p>
        </w:tc>
        <w:tc>
          <w:tcPr>
            <w:tcW w:w="1748" w:type="dxa"/>
            <w:shd w:val="clear" w:color="auto" w:fill="D9D9D9" w:themeFill="background1" w:themeFillShade="D9"/>
          </w:tcPr>
          <w:p w14:paraId="28F77AE0" w14:textId="77777777" w:rsidR="00A31CA9" w:rsidRPr="00A31984" w:rsidRDefault="00A31CA9" w:rsidP="00B24BC8">
            <w:pPr>
              <w:rPr>
                <w:rFonts w:ascii="Aptos" w:hAnsi="Aptos"/>
                <w:b/>
              </w:rPr>
            </w:pPr>
            <w:r w:rsidRPr="00A31984">
              <w:rPr>
                <w:rFonts w:ascii="Aptos" w:hAnsi="Aptos"/>
                <w:b/>
              </w:rPr>
              <w:t>Issuance size</w:t>
            </w:r>
          </w:p>
        </w:tc>
        <w:tc>
          <w:tcPr>
            <w:tcW w:w="1783" w:type="dxa"/>
            <w:shd w:val="clear" w:color="auto" w:fill="D9D9D9" w:themeFill="background1" w:themeFillShade="D9"/>
          </w:tcPr>
          <w:p w14:paraId="3931A217" w14:textId="77777777" w:rsidR="00A31CA9" w:rsidRPr="00A31984" w:rsidRDefault="00A31CA9" w:rsidP="00B24BC8">
            <w:pPr>
              <w:rPr>
                <w:rFonts w:ascii="Aptos" w:hAnsi="Aptos"/>
                <w:b/>
              </w:rPr>
            </w:pPr>
            <w:r w:rsidRPr="00A31984">
              <w:rPr>
                <w:rFonts w:ascii="Aptos" w:hAnsi="Aptos"/>
                <w:b/>
              </w:rPr>
              <w:t>Size</w:t>
            </w:r>
          </w:p>
        </w:tc>
        <w:tc>
          <w:tcPr>
            <w:tcW w:w="1901" w:type="dxa"/>
            <w:shd w:val="clear" w:color="auto" w:fill="D9D9D9" w:themeFill="background1" w:themeFillShade="D9"/>
          </w:tcPr>
          <w:p w14:paraId="40242778" w14:textId="77777777" w:rsidR="00A31CA9" w:rsidRPr="00A31984" w:rsidRDefault="00A31CA9" w:rsidP="00B24BC8">
            <w:pPr>
              <w:rPr>
                <w:rFonts w:ascii="Aptos" w:hAnsi="Aptos"/>
                <w:b/>
              </w:rPr>
            </w:pPr>
            <w:r w:rsidRPr="00A31984">
              <w:rPr>
                <w:rFonts w:ascii="Aptos" w:hAnsi="Aptos"/>
                <w:b/>
              </w:rPr>
              <w:t>Price deferral</w:t>
            </w:r>
          </w:p>
        </w:tc>
        <w:tc>
          <w:tcPr>
            <w:tcW w:w="1837" w:type="dxa"/>
            <w:shd w:val="clear" w:color="auto" w:fill="D9D9D9" w:themeFill="background1" w:themeFillShade="D9"/>
          </w:tcPr>
          <w:p w14:paraId="460AFBA3"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5BBB3933" w14:textId="77777777" w:rsidTr="00B24BC8">
        <w:tc>
          <w:tcPr>
            <w:tcW w:w="1747" w:type="dxa"/>
          </w:tcPr>
          <w:p w14:paraId="60005E06" w14:textId="77777777" w:rsidR="00A31CA9" w:rsidRPr="00A31984" w:rsidRDefault="00A31CA9" w:rsidP="00B24BC8">
            <w:pPr>
              <w:rPr>
                <w:rFonts w:ascii="Aptos" w:hAnsi="Aptos"/>
              </w:rPr>
            </w:pPr>
            <w:r w:rsidRPr="00A31984">
              <w:rPr>
                <w:rFonts w:ascii="Aptos" w:hAnsi="Aptos"/>
              </w:rPr>
              <w:t xml:space="preserve">N/A Illiquid </w:t>
            </w:r>
          </w:p>
        </w:tc>
        <w:tc>
          <w:tcPr>
            <w:tcW w:w="1748" w:type="dxa"/>
          </w:tcPr>
          <w:p w14:paraId="0923E8CB" w14:textId="77777777" w:rsidR="00A31CA9" w:rsidRPr="00A31984" w:rsidRDefault="00A31CA9" w:rsidP="00B24BC8">
            <w:pPr>
              <w:rPr>
                <w:rFonts w:ascii="Aptos" w:hAnsi="Aptos"/>
              </w:rPr>
            </w:pPr>
            <w:r w:rsidRPr="00A31984">
              <w:rPr>
                <w:rFonts w:ascii="Aptos" w:hAnsi="Aptos"/>
              </w:rPr>
              <w:t>&lt; 750mn</w:t>
            </w:r>
          </w:p>
        </w:tc>
        <w:tc>
          <w:tcPr>
            <w:tcW w:w="1783" w:type="dxa"/>
            <w:vAlign w:val="center"/>
          </w:tcPr>
          <w:p w14:paraId="41A67AB4" w14:textId="77777777" w:rsidR="00A31CA9" w:rsidRPr="00A31984" w:rsidRDefault="00A31CA9" w:rsidP="00B24BC8">
            <w:pPr>
              <w:rPr>
                <w:rFonts w:ascii="Aptos" w:hAnsi="Aptos"/>
                <w:highlight w:val="yellow"/>
              </w:rPr>
            </w:pPr>
            <w:r w:rsidRPr="00B46962">
              <w:rPr>
                <w:rFonts w:ascii="Aptos" w:hAnsi="Aptos"/>
                <w:color w:val="000000"/>
              </w:rPr>
              <w:t>&lt;0.25mn</w:t>
            </w:r>
          </w:p>
        </w:tc>
        <w:tc>
          <w:tcPr>
            <w:tcW w:w="3738" w:type="dxa"/>
            <w:gridSpan w:val="2"/>
          </w:tcPr>
          <w:p w14:paraId="2ABE25C1"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0FDCDC18" w14:textId="77777777" w:rsidTr="00B24BC8">
        <w:tc>
          <w:tcPr>
            <w:tcW w:w="1747" w:type="dxa"/>
          </w:tcPr>
          <w:p w14:paraId="388E3C6F" w14:textId="77777777" w:rsidR="00A31CA9" w:rsidRPr="00A31984" w:rsidRDefault="00A31CA9" w:rsidP="00B24BC8">
            <w:pPr>
              <w:rPr>
                <w:rFonts w:ascii="Aptos" w:hAnsi="Aptos"/>
              </w:rPr>
            </w:pPr>
            <w:r w:rsidRPr="00A31984">
              <w:rPr>
                <w:rFonts w:ascii="Aptos" w:hAnsi="Aptos"/>
              </w:rPr>
              <w:t>2</w:t>
            </w:r>
          </w:p>
        </w:tc>
        <w:tc>
          <w:tcPr>
            <w:tcW w:w="1748" w:type="dxa"/>
          </w:tcPr>
          <w:p w14:paraId="43B13F2C" w14:textId="77777777" w:rsidR="00A31CA9" w:rsidRPr="00A31984" w:rsidRDefault="00A31CA9" w:rsidP="00B24BC8">
            <w:pPr>
              <w:rPr>
                <w:rFonts w:ascii="Aptos" w:hAnsi="Aptos"/>
              </w:rPr>
            </w:pPr>
            <w:r w:rsidRPr="00A31984">
              <w:rPr>
                <w:rFonts w:ascii="Aptos" w:hAnsi="Aptos"/>
              </w:rPr>
              <w:t>&lt; 750mn</w:t>
            </w:r>
          </w:p>
        </w:tc>
        <w:tc>
          <w:tcPr>
            <w:tcW w:w="1783" w:type="dxa"/>
            <w:vAlign w:val="center"/>
          </w:tcPr>
          <w:p w14:paraId="01D15474" w14:textId="77777777" w:rsidR="00A31CA9" w:rsidRPr="00A31984" w:rsidRDefault="00A31CA9" w:rsidP="00B24BC8">
            <w:pPr>
              <w:rPr>
                <w:rFonts w:ascii="Aptos" w:hAnsi="Aptos"/>
                <w:highlight w:val="yellow"/>
              </w:rPr>
            </w:pPr>
            <w:r w:rsidRPr="00B46962">
              <w:rPr>
                <w:rFonts w:ascii="Aptos" w:hAnsi="Aptos"/>
                <w:color w:val="000000"/>
              </w:rPr>
              <w:t>0.25-0.75mn</w:t>
            </w:r>
          </w:p>
        </w:tc>
        <w:tc>
          <w:tcPr>
            <w:tcW w:w="3738" w:type="dxa"/>
            <w:gridSpan w:val="2"/>
          </w:tcPr>
          <w:p w14:paraId="56A194F8" w14:textId="77777777" w:rsidR="00A31CA9" w:rsidRPr="00A31984" w:rsidRDefault="00A31CA9" w:rsidP="00B24BC8">
            <w:pPr>
              <w:jc w:val="center"/>
              <w:rPr>
                <w:rFonts w:ascii="Aptos" w:hAnsi="Aptos"/>
              </w:rPr>
            </w:pPr>
            <w:r w:rsidRPr="00A31984">
              <w:rPr>
                <w:rFonts w:ascii="Aptos" w:hAnsi="Aptos"/>
              </w:rPr>
              <w:t>End of day</w:t>
            </w:r>
          </w:p>
        </w:tc>
      </w:tr>
      <w:tr w:rsidR="00A31CA9" w:rsidRPr="00B46962" w14:paraId="156FE46A" w14:textId="77777777" w:rsidTr="00B24BC8">
        <w:tc>
          <w:tcPr>
            <w:tcW w:w="1747" w:type="dxa"/>
          </w:tcPr>
          <w:p w14:paraId="26F441B6" w14:textId="77777777" w:rsidR="00A31CA9" w:rsidRPr="00A31984" w:rsidRDefault="00A31CA9" w:rsidP="00B24BC8">
            <w:pPr>
              <w:rPr>
                <w:rFonts w:ascii="Aptos" w:hAnsi="Aptos"/>
              </w:rPr>
            </w:pPr>
            <w:r w:rsidRPr="00A31984">
              <w:rPr>
                <w:rFonts w:ascii="Aptos" w:hAnsi="Aptos"/>
              </w:rPr>
              <w:t>4</w:t>
            </w:r>
          </w:p>
        </w:tc>
        <w:tc>
          <w:tcPr>
            <w:tcW w:w="1748" w:type="dxa"/>
          </w:tcPr>
          <w:p w14:paraId="0389B76A" w14:textId="77777777" w:rsidR="00A31CA9" w:rsidRPr="00A31984" w:rsidRDefault="00A31CA9" w:rsidP="00B24BC8">
            <w:pPr>
              <w:rPr>
                <w:rFonts w:ascii="Aptos" w:hAnsi="Aptos"/>
              </w:rPr>
            </w:pPr>
            <w:r w:rsidRPr="00A31984">
              <w:rPr>
                <w:rFonts w:ascii="Aptos" w:hAnsi="Aptos"/>
              </w:rPr>
              <w:t>&lt; 750mn</w:t>
            </w:r>
          </w:p>
        </w:tc>
        <w:tc>
          <w:tcPr>
            <w:tcW w:w="1783" w:type="dxa"/>
          </w:tcPr>
          <w:p w14:paraId="554E1E3F" w14:textId="77777777" w:rsidR="00A31CA9" w:rsidRPr="00A31984" w:rsidRDefault="00A31CA9" w:rsidP="00B24BC8">
            <w:pPr>
              <w:rPr>
                <w:rFonts w:ascii="Aptos" w:hAnsi="Aptos"/>
                <w:highlight w:val="yellow"/>
              </w:rPr>
            </w:pPr>
            <w:r w:rsidRPr="00A31984">
              <w:rPr>
                <w:rFonts w:ascii="Aptos" w:hAnsi="Aptos"/>
              </w:rPr>
              <w:t>0.75-1.5mn</w:t>
            </w:r>
          </w:p>
        </w:tc>
        <w:tc>
          <w:tcPr>
            <w:tcW w:w="1901" w:type="dxa"/>
          </w:tcPr>
          <w:p w14:paraId="30EB2E54" w14:textId="77777777" w:rsidR="00A31CA9" w:rsidRPr="00A31984" w:rsidRDefault="00A31CA9" w:rsidP="00B24BC8">
            <w:pPr>
              <w:jc w:val="center"/>
              <w:rPr>
                <w:rFonts w:ascii="Aptos" w:hAnsi="Aptos"/>
              </w:rPr>
            </w:pPr>
            <w:r w:rsidRPr="00A31984">
              <w:rPr>
                <w:rFonts w:ascii="Aptos" w:hAnsi="Aptos"/>
              </w:rPr>
              <w:t>T+2</w:t>
            </w:r>
          </w:p>
        </w:tc>
        <w:tc>
          <w:tcPr>
            <w:tcW w:w="1837" w:type="dxa"/>
          </w:tcPr>
          <w:p w14:paraId="495D2561" w14:textId="77777777" w:rsidR="00A31CA9" w:rsidRPr="00A31984" w:rsidRDefault="00A31CA9" w:rsidP="00B24BC8">
            <w:pPr>
              <w:jc w:val="center"/>
              <w:rPr>
                <w:rFonts w:ascii="Aptos" w:hAnsi="Aptos"/>
              </w:rPr>
            </w:pPr>
            <w:r w:rsidRPr="00A31984">
              <w:rPr>
                <w:rFonts w:ascii="Aptos" w:hAnsi="Aptos"/>
              </w:rPr>
              <w:t>2 weeks</w:t>
            </w:r>
          </w:p>
        </w:tc>
      </w:tr>
      <w:tr w:rsidR="00A31CA9" w:rsidRPr="00B46962" w14:paraId="3806C157" w14:textId="77777777" w:rsidTr="00B24BC8">
        <w:tc>
          <w:tcPr>
            <w:tcW w:w="1747" w:type="dxa"/>
          </w:tcPr>
          <w:p w14:paraId="009A78C0" w14:textId="77777777" w:rsidR="00A31CA9" w:rsidRPr="00A31984" w:rsidRDefault="00A31CA9" w:rsidP="00B24BC8">
            <w:pPr>
              <w:rPr>
                <w:rFonts w:ascii="Aptos" w:hAnsi="Aptos"/>
              </w:rPr>
            </w:pPr>
            <w:r w:rsidRPr="00A31984">
              <w:rPr>
                <w:rFonts w:ascii="Aptos" w:hAnsi="Aptos"/>
              </w:rPr>
              <w:t>6</w:t>
            </w:r>
          </w:p>
        </w:tc>
        <w:tc>
          <w:tcPr>
            <w:tcW w:w="1748" w:type="dxa"/>
          </w:tcPr>
          <w:p w14:paraId="411700BE" w14:textId="77777777" w:rsidR="00A31CA9" w:rsidRPr="00A31984" w:rsidRDefault="00A31CA9" w:rsidP="00B24BC8">
            <w:pPr>
              <w:rPr>
                <w:rFonts w:ascii="Aptos" w:hAnsi="Aptos"/>
              </w:rPr>
            </w:pPr>
            <w:r w:rsidRPr="00A31984">
              <w:rPr>
                <w:rFonts w:ascii="Aptos" w:hAnsi="Aptos"/>
              </w:rPr>
              <w:t>&lt; 750mn</w:t>
            </w:r>
          </w:p>
        </w:tc>
        <w:tc>
          <w:tcPr>
            <w:tcW w:w="1783" w:type="dxa"/>
            <w:vAlign w:val="center"/>
          </w:tcPr>
          <w:p w14:paraId="2A844C32" w14:textId="77777777" w:rsidR="00A31CA9" w:rsidRPr="00A31984" w:rsidRDefault="00A31CA9" w:rsidP="00B24BC8">
            <w:pPr>
              <w:rPr>
                <w:rFonts w:ascii="Aptos" w:hAnsi="Aptos"/>
                <w:highlight w:val="yellow"/>
              </w:rPr>
            </w:pPr>
            <w:r w:rsidRPr="00B46962">
              <w:rPr>
                <w:rFonts w:ascii="Aptos" w:hAnsi="Aptos"/>
                <w:color w:val="000000"/>
              </w:rPr>
              <w:t>≥ 1.5mn</w:t>
            </w:r>
          </w:p>
        </w:tc>
        <w:tc>
          <w:tcPr>
            <w:tcW w:w="3738" w:type="dxa"/>
            <w:gridSpan w:val="2"/>
          </w:tcPr>
          <w:p w14:paraId="306BF0EF" w14:textId="77777777" w:rsidR="00A31CA9" w:rsidRPr="00A31984" w:rsidRDefault="00A31CA9" w:rsidP="00B24BC8">
            <w:pPr>
              <w:jc w:val="center"/>
              <w:rPr>
                <w:rFonts w:ascii="Aptos" w:hAnsi="Aptos"/>
              </w:rPr>
            </w:pPr>
            <w:r w:rsidRPr="00A31984">
              <w:rPr>
                <w:rFonts w:ascii="Aptos" w:hAnsi="Aptos"/>
              </w:rPr>
              <w:t>4 weeks</w:t>
            </w:r>
          </w:p>
        </w:tc>
      </w:tr>
    </w:tbl>
    <w:p w14:paraId="4083EF4E" w14:textId="77777777" w:rsidR="00A31CA9" w:rsidRDefault="00A31CA9" w:rsidP="00A31CA9">
      <w:pPr>
        <w:rPr>
          <w:rFonts w:ascii="Aptos" w:hAnsi="Aptos"/>
          <w:b/>
          <w:bCs/>
        </w:rPr>
      </w:pPr>
    </w:p>
    <w:p w14:paraId="6A804098" w14:textId="77777777" w:rsidR="00A31CA9" w:rsidRPr="00A31984" w:rsidRDefault="00A31CA9" w:rsidP="00A31CA9">
      <w:pPr>
        <w:rPr>
          <w:rFonts w:ascii="Aptos" w:hAnsi="Aptos"/>
          <w:b/>
        </w:rPr>
      </w:pPr>
      <w:r w:rsidRPr="00A31984">
        <w:rPr>
          <w:rFonts w:ascii="Aptos" w:hAnsi="Aptos"/>
          <w:b/>
        </w:rPr>
        <w:t>ICMA Group 6a: Covered bonds Liquid</w:t>
      </w:r>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19998A7A" w14:textId="77777777" w:rsidTr="00B24BC8">
        <w:tc>
          <w:tcPr>
            <w:tcW w:w="1803" w:type="dxa"/>
            <w:shd w:val="clear" w:color="auto" w:fill="D9D9D9" w:themeFill="background1" w:themeFillShade="D9"/>
          </w:tcPr>
          <w:p w14:paraId="553AF49D"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51C70C5E"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5C324A1D"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10521DD2"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394EA841"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06AC9598" w14:textId="77777777" w:rsidTr="00B24BC8">
        <w:tc>
          <w:tcPr>
            <w:tcW w:w="1803" w:type="dxa"/>
          </w:tcPr>
          <w:p w14:paraId="32621B06" w14:textId="77777777" w:rsidR="00A31CA9" w:rsidRPr="00A31984" w:rsidRDefault="00A31CA9" w:rsidP="00B24BC8">
            <w:pPr>
              <w:rPr>
                <w:rFonts w:ascii="Aptos" w:hAnsi="Aptos"/>
              </w:rPr>
            </w:pPr>
            <w:r w:rsidRPr="00A31984">
              <w:rPr>
                <w:rFonts w:ascii="Aptos" w:hAnsi="Aptos"/>
              </w:rPr>
              <w:t xml:space="preserve">N/A Liquid </w:t>
            </w:r>
          </w:p>
        </w:tc>
        <w:tc>
          <w:tcPr>
            <w:tcW w:w="1803" w:type="dxa"/>
          </w:tcPr>
          <w:p w14:paraId="78B39190" w14:textId="77777777" w:rsidR="00A31CA9" w:rsidRPr="00A31984" w:rsidRDefault="00A31CA9" w:rsidP="00B24BC8">
            <w:pPr>
              <w:rPr>
                <w:rFonts w:ascii="Aptos" w:hAnsi="Aptos"/>
              </w:rPr>
            </w:pPr>
            <w:r w:rsidRPr="00A31984">
              <w:rPr>
                <w:rFonts w:ascii="Aptos" w:hAnsi="Aptos"/>
              </w:rPr>
              <w:t>≥ 1bn</w:t>
            </w:r>
          </w:p>
        </w:tc>
        <w:tc>
          <w:tcPr>
            <w:tcW w:w="1519" w:type="dxa"/>
          </w:tcPr>
          <w:p w14:paraId="1BE44018" w14:textId="77777777" w:rsidR="00A31CA9" w:rsidRPr="00A31984" w:rsidRDefault="00A31CA9" w:rsidP="00B24BC8">
            <w:pPr>
              <w:rPr>
                <w:rFonts w:ascii="Aptos" w:hAnsi="Aptos"/>
              </w:rPr>
            </w:pPr>
            <w:r w:rsidRPr="00A31984">
              <w:rPr>
                <w:rFonts w:ascii="Aptos" w:hAnsi="Aptos"/>
              </w:rPr>
              <w:t>&lt;1mn</w:t>
            </w:r>
          </w:p>
        </w:tc>
        <w:tc>
          <w:tcPr>
            <w:tcW w:w="3891" w:type="dxa"/>
            <w:gridSpan w:val="2"/>
          </w:tcPr>
          <w:p w14:paraId="1E7B9916"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67B773D8" w14:textId="77777777" w:rsidTr="00B24BC8">
        <w:tc>
          <w:tcPr>
            <w:tcW w:w="1803" w:type="dxa"/>
          </w:tcPr>
          <w:p w14:paraId="25F3AF54" w14:textId="77777777" w:rsidR="00A31CA9" w:rsidRPr="00A31984" w:rsidRDefault="00A31CA9" w:rsidP="00B24BC8">
            <w:pPr>
              <w:rPr>
                <w:rFonts w:ascii="Aptos" w:hAnsi="Aptos"/>
              </w:rPr>
            </w:pPr>
            <w:r w:rsidRPr="00A31984">
              <w:rPr>
                <w:rFonts w:ascii="Aptos" w:hAnsi="Aptos"/>
              </w:rPr>
              <w:t>1</w:t>
            </w:r>
          </w:p>
        </w:tc>
        <w:tc>
          <w:tcPr>
            <w:tcW w:w="1803" w:type="dxa"/>
          </w:tcPr>
          <w:p w14:paraId="1099EB75" w14:textId="77777777" w:rsidR="00A31CA9" w:rsidRPr="00A31984" w:rsidRDefault="00A31CA9" w:rsidP="00B24BC8">
            <w:pPr>
              <w:rPr>
                <w:rFonts w:ascii="Aptos" w:hAnsi="Aptos"/>
              </w:rPr>
            </w:pPr>
            <w:r w:rsidRPr="00A31984">
              <w:rPr>
                <w:rFonts w:ascii="Aptos" w:hAnsi="Aptos"/>
              </w:rPr>
              <w:t>≥ 1bn</w:t>
            </w:r>
          </w:p>
        </w:tc>
        <w:tc>
          <w:tcPr>
            <w:tcW w:w="1519" w:type="dxa"/>
          </w:tcPr>
          <w:p w14:paraId="7BEA94FB" w14:textId="77777777" w:rsidR="00A31CA9" w:rsidRPr="00A31984" w:rsidRDefault="00A31CA9" w:rsidP="00B24BC8">
            <w:pPr>
              <w:rPr>
                <w:rFonts w:ascii="Aptos" w:hAnsi="Aptos"/>
              </w:rPr>
            </w:pPr>
            <w:r w:rsidRPr="00A31984">
              <w:rPr>
                <w:rFonts w:ascii="Aptos" w:hAnsi="Aptos"/>
              </w:rPr>
              <w:t>1-2mn</w:t>
            </w:r>
          </w:p>
        </w:tc>
        <w:tc>
          <w:tcPr>
            <w:tcW w:w="3891" w:type="dxa"/>
            <w:gridSpan w:val="2"/>
          </w:tcPr>
          <w:p w14:paraId="71626B33" w14:textId="77777777" w:rsidR="00A31CA9" w:rsidRPr="00A31984" w:rsidRDefault="00A31CA9" w:rsidP="00B24BC8">
            <w:pPr>
              <w:jc w:val="center"/>
              <w:rPr>
                <w:rFonts w:ascii="Aptos" w:hAnsi="Aptos"/>
              </w:rPr>
            </w:pPr>
            <w:r w:rsidRPr="00A31984">
              <w:rPr>
                <w:rFonts w:ascii="Aptos" w:hAnsi="Aptos"/>
              </w:rPr>
              <w:t>15 mins</w:t>
            </w:r>
          </w:p>
        </w:tc>
      </w:tr>
      <w:tr w:rsidR="00A31CA9" w:rsidRPr="00B46962" w14:paraId="3724F7AB" w14:textId="77777777" w:rsidTr="00B24BC8">
        <w:tc>
          <w:tcPr>
            <w:tcW w:w="1803" w:type="dxa"/>
          </w:tcPr>
          <w:p w14:paraId="03E40A1A" w14:textId="77777777" w:rsidR="00A31CA9" w:rsidRPr="00A31984" w:rsidRDefault="00A31CA9" w:rsidP="00B24BC8">
            <w:pPr>
              <w:rPr>
                <w:rFonts w:ascii="Aptos" w:hAnsi="Aptos"/>
              </w:rPr>
            </w:pPr>
            <w:r w:rsidRPr="00A31984">
              <w:rPr>
                <w:rFonts w:ascii="Aptos" w:hAnsi="Aptos"/>
              </w:rPr>
              <w:t>3</w:t>
            </w:r>
          </w:p>
        </w:tc>
        <w:tc>
          <w:tcPr>
            <w:tcW w:w="1803" w:type="dxa"/>
          </w:tcPr>
          <w:p w14:paraId="5E6438BF" w14:textId="77777777" w:rsidR="00A31CA9" w:rsidRPr="00A31984" w:rsidRDefault="00A31CA9" w:rsidP="00B24BC8">
            <w:pPr>
              <w:rPr>
                <w:rFonts w:ascii="Aptos" w:hAnsi="Aptos"/>
              </w:rPr>
            </w:pPr>
            <w:r w:rsidRPr="00A31984">
              <w:rPr>
                <w:rFonts w:ascii="Aptos" w:hAnsi="Aptos"/>
              </w:rPr>
              <w:t>≥ 1bn</w:t>
            </w:r>
          </w:p>
        </w:tc>
        <w:tc>
          <w:tcPr>
            <w:tcW w:w="1519" w:type="dxa"/>
          </w:tcPr>
          <w:p w14:paraId="45E1E528" w14:textId="77777777" w:rsidR="00A31CA9" w:rsidRPr="00A31984" w:rsidRDefault="00A31CA9" w:rsidP="00B24BC8">
            <w:pPr>
              <w:rPr>
                <w:rFonts w:ascii="Aptos" w:hAnsi="Aptos"/>
              </w:rPr>
            </w:pPr>
            <w:r w:rsidRPr="00A31984">
              <w:rPr>
                <w:rFonts w:ascii="Aptos" w:hAnsi="Aptos"/>
              </w:rPr>
              <w:t>2-5mn</w:t>
            </w:r>
          </w:p>
        </w:tc>
        <w:tc>
          <w:tcPr>
            <w:tcW w:w="1980" w:type="dxa"/>
          </w:tcPr>
          <w:p w14:paraId="06210D58" w14:textId="77777777" w:rsidR="00A31CA9" w:rsidRPr="00A31984" w:rsidRDefault="00A31CA9" w:rsidP="00B24BC8">
            <w:pPr>
              <w:jc w:val="center"/>
              <w:rPr>
                <w:rFonts w:ascii="Aptos" w:hAnsi="Aptos"/>
              </w:rPr>
            </w:pPr>
            <w:r w:rsidRPr="00A31984">
              <w:rPr>
                <w:rFonts w:ascii="Aptos" w:hAnsi="Aptos"/>
              </w:rPr>
              <w:t>T+1</w:t>
            </w:r>
          </w:p>
        </w:tc>
        <w:tc>
          <w:tcPr>
            <w:tcW w:w="1911" w:type="dxa"/>
          </w:tcPr>
          <w:p w14:paraId="3D09AC54" w14:textId="77777777" w:rsidR="00A31CA9" w:rsidRPr="00A31984" w:rsidRDefault="00A31CA9" w:rsidP="00B24BC8">
            <w:pPr>
              <w:jc w:val="center"/>
              <w:rPr>
                <w:rFonts w:ascii="Aptos" w:hAnsi="Aptos"/>
              </w:rPr>
            </w:pPr>
            <w:r w:rsidRPr="00A31984">
              <w:rPr>
                <w:rFonts w:ascii="Aptos" w:hAnsi="Aptos"/>
              </w:rPr>
              <w:t>1 week</w:t>
            </w:r>
          </w:p>
        </w:tc>
      </w:tr>
      <w:tr w:rsidR="00A31CA9" w:rsidRPr="00B46962" w14:paraId="7D49101F" w14:textId="77777777" w:rsidTr="00B24BC8">
        <w:tc>
          <w:tcPr>
            <w:tcW w:w="1803" w:type="dxa"/>
          </w:tcPr>
          <w:p w14:paraId="203E3D34" w14:textId="77777777" w:rsidR="00A31CA9" w:rsidRPr="00A31984" w:rsidRDefault="00A31CA9" w:rsidP="00B24BC8">
            <w:pPr>
              <w:rPr>
                <w:rFonts w:ascii="Aptos" w:hAnsi="Aptos"/>
              </w:rPr>
            </w:pPr>
            <w:r w:rsidRPr="00A31984">
              <w:rPr>
                <w:rFonts w:ascii="Aptos" w:hAnsi="Aptos"/>
              </w:rPr>
              <w:t>5</w:t>
            </w:r>
          </w:p>
        </w:tc>
        <w:tc>
          <w:tcPr>
            <w:tcW w:w="1803" w:type="dxa"/>
          </w:tcPr>
          <w:p w14:paraId="0EBEC4D1" w14:textId="77777777" w:rsidR="00A31CA9" w:rsidRPr="00A31984" w:rsidRDefault="00A31CA9" w:rsidP="00B24BC8">
            <w:pPr>
              <w:rPr>
                <w:rFonts w:ascii="Aptos" w:hAnsi="Aptos"/>
              </w:rPr>
            </w:pPr>
            <w:r w:rsidRPr="00A31984">
              <w:rPr>
                <w:rFonts w:ascii="Aptos" w:hAnsi="Aptos"/>
              </w:rPr>
              <w:t>≥ 1bn</w:t>
            </w:r>
          </w:p>
        </w:tc>
        <w:tc>
          <w:tcPr>
            <w:tcW w:w="1519" w:type="dxa"/>
          </w:tcPr>
          <w:p w14:paraId="47913FFF" w14:textId="77777777" w:rsidR="00A31CA9" w:rsidRPr="00A31984" w:rsidRDefault="00A31CA9" w:rsidP="00B24BC8">
            <w:pPr>
              <w:rPr>
                <w:rFonts w:ascii="Aptos" w:hAnsi="Aptos"/>
              </w:rPr>
            </w:pPr>
            <w:r w:rsidRPr="00A31984">
              <w:rPr>
                <w:rFonts w:ascii="Aptos" w:hAnsi="Aptos"/>
              </w:rPr>
              <w:t>≥ 5mn</w:t>
            </w:r>
          </w:p>
        </w:tc>
        <w:tc>
          <w:tcPr>
            <w:tcW w:w="3891" w:type="dxa"/>
            <w:gridSpan w:val="2"/>
          </w:tcPr>
          <w:p w14:paraId="2A50EAB6" w14:textId="77777777" w:rsidR="00A31CA9" w:rsidRPr="00A31984" w:rsidRDefault="00A31CA9" w:rsidP="00B24BC8">
            <w:pPr>
              <w:jc w:val="center"/>
              <w:rPr>
                <w:rFonts w:ascii="Aptos" w:hAnsi="Aptos"/>
              </w:rPr>
            </w:pPr>
            <w:r w:rsidRPr="00A31984">
              <w:rPr>
                <w:rFonts w:ascii="Aptos" w:hAnsi="Aptos"/>
              </w:rPr>
              <w:t>4 weeks</w:t>
            </w:r>
          </w:p>
        </w:tc>
      </w:tr>
    </w:tbl>
    <w:p w14:paraId="02E9A3AF" w14:textId="77777777" w:rsidR="00A31CA9" w:rsidRDefault="00A31CA9" w:rsidP="00A31CA9">
      <w:pPr>
        <w:rPr>
          <w:rFonts w:ascii="Aptos" w:hAnsi="Aptos"/>
          <w:b/>
        </w:rPr>
      </w:pPr>
      <w:bookmarkStart w:id="17" w:name="_Toc173869067"/>
    </w:p>
    <w:p w14:paraId="4BA6A542" w14:textId="23EAD492" w:rsidR="00A31CA9" w:rsidRPr="00A31984" w:rsidRDefault="00A31CA9" w:rsidP="00A31CA9">
      <w:pPr>
        <w:rPr>
          <w:rFonts w:ascii="Aptos" w:hAnsi="Aptos"/>
          <w:b/>
        </w:rPr>
      </w:pPr>
      <w:r w:rsidRPr="00A31984">
        <w:rPr>
          <w:rFonts w:ascii="Aptos" w:hAnsi="Aptos"/>
          <w:b/>
        </w:rPr>
        <w:lastRenderedPageBreak/>
        <w:t>I</w:t>
      </w:r>
      <w:r>
        <w:rPr>
          <w:rFonts w:ascii="Aptos" w:hAnsi="Aptos"/>
          <w:b/>
        </w:rPr>
        <w:t>C</w:t>
      </w:r>
      <w:r w:rsidRPr="00A31984">
        <w:rPr>
          <w:rFonts w:ascii="Aptos" w:hAnsi="Aptos"/>
          <w:b/>
        </w:rPr>
        <w:t>MA Group 6b: Covered bonds Illiquid</w:t>
      </w:r>
      <w:bookmarkEnd w:id="17"/>
    </w:p>
    <w:tbl>
      <w:tblPr>
        <w:tblStyle w:val="TableGrid"/>
        <w:tblW w:w="0" w:type="auto"/>
        <w:tblLook w:val="04A0" w:firstRow="1" w:lastRow="0" w:firstColumn="1" w:lastColumn="0" w:noHBand="0" w:noVBand="1"/>
      </w:tblPr>
      <w:tblGrid>
        <w:gridCol w:w="1803"/>
        <w:gridCol w:w="1803"/>
        <w:gridCol w:w="1519"/>
        <w:gridCol w:w="1980"/>
        <w:gridCol w:w="1911"/>
      </w:tblGrid>
      <w:tr w:rsidR="00A31CA9" w:rsidRPr="00B46962" w14:paraId="08E57689" w14:textId="77777777" w:rsidTr="00B24BC8">
        <w:tc>
          <w:tcPr>
            <w:tcW w:w="1803" w:type="dxa"/>
            <w:shd w:val="clear" w:color="auto" w:fill="D9D9D9" w:themeFill="background1" w:themeFillShade="D9"/>
          </w:tcPr>
          <w:p w14:paraId="531EBD33" w14:textId="77777777" w:rsidR="00A31CA9" w:rsidRPr="00A31984" w:rsidRDefault="00A31CA9" w:rsidP="00B24BC8">
            <w:pPr>
              <w:rPr>
                <w:rFonts w:ascii="Aptos" w:hAnsi="Aptos"/>
                <w:b/>
              </w:rPr>
            </w:pPr>
            <w:r w:rsidRPr="00A31984">
              <w:rPr>
                <w:rFonts w:ascii="Aptos" w:hAnsi="Aptos"/>
                <w:b/>
              </w:rPr>
              <w:t>Category</w:t>
            </w:r>
          </w:p>
        </w:tc>
        <w:tc>
          <w:tcPr>
            <w:tcW w:w="1803" w:type="dxa"/>
            <w:shd w:val="clear" w:color="auto" w:fill="D9D9D9" w:themeFill="background1" w:themeFillShade="D9"/>
          </w:tcPr>
          <w:p w14:paraId="5D4D40C4" w14:textId="77777777" w:rsidR="00A31CA9" w:rsidRPr="00A31984" w:rsidRDefault="00A31CA9" w:rsidP="00B24BC8">
            <w:pPr>
              <w:rPr>
                <w:rFonts w:ascii="Aptos" w:hAnsi="Aptos"/>
                <w:b/>
              </w:rPr>
            </w:pPr>
            <w:r w:rsidRPr="00A31984">
              <w:rPr>
                <w:rFonts w:ascii="Aptos" w:hAnsi="Aptos"/>
                <w:b/>
              </w:rPr>
              <w:t>Issuance size</w:t>
            </w:r>
          </w:p>
        </w:tc>
        <w:tc>
          <w:tcPr>
            <w:tcW w:w="1519" w:type="dxa"/>
            <w:shd w:val="clear" w:color="auto" w:fill="D9D9D9" w:themeFill="background1" w:themeFillShade="D9"/>
          </w:tcPr>
          <w:p w14:paraId="77BA86FA" w14:textId="77777777" w:rsidR="00A31CA9" w:rsidRPr="00A31984" w:rsidRDefault="00A31CA9" w:rsidP="00B24BC8">
            <w:pPr>
              <w:rPr>
                <w:rFonts w:ascii="Aptos" w:hAnsi="Aptos"/>
                <w:b/>
              </w:rPr>
            </w:pPr>
            <w:r w:rsidRPr="00A31984">
              <w:rPr>
                <w:rFonts w:ascii="Aptos" w:hAnsi="Aptos"/>
                <w:b/>
              </w:rPr>
              <w:t>Size</w:t>
            </w:r>
          </w:p>
        </w:tc>
        <w:tc>
          <w:tcPr>
            <w:tcW w:w="1980" w:type="dxa"/>
            <w:shd w:val="clear" w:color="auto" w:fill="D9D9D9" w:themeFill="background1" w:themeFillShade="D9"/>
          </w:tcPr>
          <w:p w14:paraId="49D9149D" w14:textId="77777777" w:rsidR="00A31CA9" w:rsidRPr="00A31984" w:rsidRDefault="00A31CA9" w:rsidP="00B24BC8">
            <w:pPr>
              <w:rPr>
                <w:rFonts w:ascii="Aptos" w:hAnsi="Aptos"/>
                <w:b/>
              </w:rPr>
            </w:pPr>
            <w:r w:rsidRPr="00A31984">
              <w:rPr>
                <w:rFonts w:ascii="Aptos" w:hAnsi="Aptos"/>
                <w:b/>
              </w:rPr>
              <w:t>Price deferral</w:t>
            </w:r>
          </w:p>
        </w:tc>
        <w:tc>
          <w:tcPr>
            <w:tcW w:w="1911" w:type="dxa"/>
            <w:shd w:val="clear" w:color="auto" w:fill="D9D9D9" w:themeFill="background1" w:themeFillShade="D9"/>
          </w:tcPr>
          <w:p w14:paraId="27F8A52D" w14:textId="77777777" w:rsidR="00A31CA9" w:rsidRPr="00A31984" w:rsidRDefault="00A31CA9" w:rsidP="00B24BC8">
            <w:pPr>
              <w:rPr>
                <w:rFonts w:ascii="Aptos" w:hAnsi="Aptos"/>
                <w:b/>
              </w:rPr>
            </w:pPr>
            <w:r w:rsidRPr="00A31984">
              <w:rPr>
                <w:rFonts w:ascii="Aptos" w:hAnsi="Aptos"/>
                <w:b/>
              </w:rPr>
              <w:t>Volume deferral</w:t>
            </w:r>
          </w:p>
        </w:tc>
      </w:tr>
      <w:tr w:rsidR="00A31CA9" w:rsidRPr="00B46962" w14:paraId="2DC422E4" w14:textId="77777777" w:rsidTr="00B24BC8">
        <w:tc>
          <w:tcPr>
            <w:tcW w:w="1803" w:type="dxa"/>
          </w:tcPr>
          <w:p w14:paraId="6601084F" w14:textId="77777777" w:rsidR="00A31CA9" w:rsidRPr="00A31984" w:rsidRDefault="00A31CA9" w:rsidP="00B24BC8">
            <w:pPr>
              <w:rPr>
                <w:rFonts w:ascii="Aptos" w:hAnsi="Aptos"/>
              </w:rPr>
            </w:pPr>
            <w:r w:rsidRPr="00A31984">
              <w:rPr>
                <w:rFonts w:ascii="Aptos" w:hAnsi="Aptos"/>
              </w:rPr>
              <w:t>N/A Illiquid</w:t>
            </w:r>
          </w:p>
        </w:tc>
        <w:tc>
          <w:tcPr>
            <w:tcW w:w="1803" w:type="dxa"/>
          </w:tcPr>
          <w:p w14:paraId="50A8B4C9" w14:textId="77777777" w:rsidR="00A31CA9" w:rsidRPr="00A31984" w:rsidRDefault="00A31CA9" w:rsidP="00B24BC8">
            <w:pPr>
              <w:rPr>
                <w:rFonts w:ascii="Aptos" w:hAnsi="Aptos"/>
              </w:rPr>
            </w:pPr>
            <w:r w:rsidRPr="00A31984">
              <w:rPr>
                <w:rFonts w:ascii="Aptos" w:hAnsi="Aptos"/>
              </w:rPr>
              <w:t>&lt; 1bn</w:t>
            </w:r>
          </w:p>
        </w:tc>
        <w:tc>
          <w:tcPr>
            <w:tcW w:w="1519" w:type="dxa"/>
          </w:tcPr>
          <w:p w14:paraId="732C670C" w14:textId="77777777" w:rsidR="00A31CA9" w:rsidRPr="00A31984" w:rsidRDefault="00A31CA9" w:rsidP="00B24BC8">
            <w:pPr>
              <w:rPr>
                <w:rFonts w:ascii="Aptos" w:hAnsi="Aptos"/>
              </w:rPr>
            </w:pPr>
            <w:r w:rsidRPr="00A31984">
              <w:rPr>
                <w:rFonts w:ascii="Aptos" w:hAnsi="Aptos"/>
              </w:rPr>
              <w:t>&lt;0.5mn</w:t>
            </w:r>
          </w:p>
        </w:tc>
        <w:tc>
          <w:tcPr>
            <w:tcW w:w="3891" w:type="dxa"/>
            <w:gridSpan w:val="2"/>
          </w:tcPr>
          <w:p w14:paraId="097A2402" w14:textId="77777777" w:rsidR="00A31CA9" w:rsidRPr="00A31984" w:rsidRDefault="00A31CA9" w:rsidP="00B24BC8">
            <w:pPr>
              <w:jc w:val="center"/>
              <w:rPr>
                <w:rFonts w:ascii="Aptos" w:hAnsi="Aptos"/>
              </w:rPr>
            </w:pPr>
            <w:r w:rsidRPr="00A31984">
              <w:rPr>
                <w:rFonts w:ascii="Aptos" w:hAnsi="Aptos"/>
              </w:rPr>
              <w:t>Real Time</w:t>
            </w:r>
          </w:p>
        </w:tc>
      </w:tr>
      <w:tr w:rsidR="00A31CA9" w:rsidRPr="00B46962" w14:paraId="185C12CF" w14:textId="77777777" w:rsidTr="00B24BC8">
        <w:tc>
          <w:tcPr>
            <w:tcW w:w="1803" w:type="dxa"/>
          </w:tcPr>
          <w:p w14:paraId="587B4737" w14:textId="77777777" w:rsidR="00A31CA9" w:rsidRPr="00A31984" w:rsidRDefault="00A31CA9" w:rsidP="00B24BC8">
            <w:pPr>
              <w:rPr>
                <w:rFonts w:ascii="Aptos" w:hAnsi="Aptos"/>
              </w:rPr>
            </w:pPr>
            <w:r w:rsidRPr="00A31984">
              <w:rPr>
                <w:rFonts w:ascii="Aptos" w:hAnsi="Aptos"/>
              </w:rPr>
              <w:t>2</w:t>
            </w:r>
          </w:p>
        </w:tc>
        <w:tc>
          <w:tcPr>
            <w:tcW w:w="1803" w:type="dxa"/>
          </w:tcPr>
          <w:p w14:paraId="0C67E047" w14:textId="77777777" w:rsidR="00A31CA9" w:rsidRPr="00A31984" w:rsidRDefault="00A31CA9" w:rsidP="00B24BC8">
            <w:pPr>
              <w:rPr>
                <w:rFonts w:ascii="Aptos" w:hAnsi="Aptos"/>
              </w:rPr>
            </w:pPr>
            <w:r w:rsidRPr="00A31984">
              <w:rPr>
                <w:rFonts w:ascii="Aptos" w:hAnsi="Aptos"/>
              </w:rPr>
              <w:t>&lt; 1bn</w:t>
            </w:r>
          </w:p>
        </w:tc>
        <w:tc>
          <w:tcPr>
            <w:tcW w:w="1519" w:type="dxa"/>
          </w:tcPr>
          <w:p w14:paraId="0813A85D" w14:textId="77777777" w:rsidR="00A31CA9" w:rsidRPr="00A31984" w:rsidRDefault="00A31CA9" w:rsidP="00B24BC8">
            <w:pPr>
              <w:rPr>
                <w:rFonts w:ascii="Aptos" w:hAnsi="Aptos"/>
              </w:rPr>
            </w:pPr>
            <w:r w:rsidRPr="00A31984">
              <w:rPr>
                <w:rFonts w:ascii="Aptos" w:hAnsi="Aptos"/>
              </w:rPr>
              <w:t>0.5-1mn</w:t>
            </w:r>
          </w:p>
        </w:tc>
        <w:tc>
          <w:tcPr>
            <w:tcW w:w="3891" w:type="dxa"/>
            <w:gridSpan w:val="2"/>
          </w:tcPr>
          <w:p w14:paraId="752E9D79" w14:textId="77777777" w:rsidR="00A31CA9" w:rsidRPr="00A31984" w:rsidRDefault="00A31CA9" w:rsidP="00B24BC8">
            <w:pPr>
              <w:jc w:val="center"/>
              <w:rPr>
                <w:rFonts w:ascii="Aptos" w:hAnsi="Aptos"/>
              </w:rPr>
            </w:pPr>
            <w:r w:rsidRPr="00A31984">
              <w:rPr>
                <w:rFonts w:ascii="Aptos" w:hAnsi="Aptos"/>
              </w:rPr>
              <w:t>End of day</w:t>
            </w:r>
          </w:p>
        </w:tc>
      </w:tr>
      <w:tr w:rsidR="00A31CA9" w:rsidRPr="00B46962" w14:paraId="5B1B7B08" w14:textId="77777777" w:rsidTr="00B24BC8">
        <w:tc>
          <w:tcPr>
            <w:tcW w:w="1803" w:type="dxa"/>
          </w:tcPr>
          <w:p w14:paraId="1F4A5FC0" w14:textId="77777777" w:rsidR="00A31CA9" w:rsidRPr="00A31984" w:rsidRDefault="00A31CA9" w:rsidP="00B24BC8">
            <w:pPr>
              <w:rPr>
                <w:rFonts w:ascii="Aptos" w:hAnsi="Aptos"/>
              </w:rPr>
            </w:pPr>
            <w:r w:rsidRPr="00A31984">
              <w:rPr>
                <w:rFonts w:ascii="Aptos" w:hAnsi="Aptos"/>
              </w:rPr>
              <w:t>4</w:t>
            </w:r>
          </w:p>
        </w:tc>
        <w:tc>
          <w:tcPr>
            <w:tcW w:w="1803" w:type="dxa"/>
          </w:tcPr>
          <w:p w14:paraId="03480658" w14:textId="77777777" w:rsidR="00A31CA9" w:rsidRPr="00A31984" w:rsidRDefault="00A31CA9" w:rsidP="00B24BC8">
            <w:pPr>
              <w:rPr>
                <w:rFonts w:ascii="Aptos" w:hAnsi="Aptos"/>
              </w:rPr>
            </w:pPr>
            <w:r w:rsidRPr="00A31984">
              <w:rPr>
                <w:rFonts w:ascii="Aptos" w:hAnsi="Aptos"/>
              </w:rPr>
              <w:t>&lt; 1bn</w:t>
            </w:r>
          </w:p>
        </w:tc>
        <w:tc>
          <w:tcPr>
            <w:tcW w:w="1519" w:type="dxa"/>
          </w:tcPr>
          <w:p w14:paraId="7D281D48" w14:textId="77777777" w:rsidR="00A31CA9" w:rsidRPr="00A31984" w:rsidRDefault="00A31CA9" w:rsidP="00B24BC8">
            <w:pPr>
              <w:rPr>
                <w:rFonts w:ascii="Aptos" w:hAnsi="Aptos"/>
              </w:rPr>
            </w:pPr>
            <w:r w:rsidRPr="00A31984">
              <w:rPr>
                <w:rFonts w:ascii="Aptos" w:hAnsi="Aptos"/>
              </w:rPr>
              <w:t>1-2mn</w:t>
            </w:r>
          </w:p>
        </w:tc>
        <w:tc>
          <w:tcPr>
            <w:tcW w:w="1980" w:type="dxa"/>
          </w:tcPr>
          <w:p w14:paraId="06F83FA9" w14:textId="77777777" w:rsidR="00A31CA9" w:rsidRPr="00A31984" w:rsidRDefault="00A31CA9" w:rsidP="00B24BC8">
            <w:pPr>
              <w:jc w:val="center"/>
              <w:rPr>
                <w:rFonts w:ascii="Aptos" w:hAnsi="Aptos"/>
              </w:rPr>
            </w:pPr>
            <w:r w:rsidRPr="00A31984">
              <w:rPr>
                <w:rFonts w:ascii="Aptos" w:hAnsi="Aptos"/>
              </w:rPr>
              <w:t>T+2</w:t>
            </w:r>
          </w:p>
        </w:tc>
        <w:tc>
          <w:tcPr>
            <w:tcW w:w="1911" w:type="dxa"/>
          </w:tcPr>
          <w:p w14:paraId="7CAEDB2E" w14:textId="77777777" w:rsidR="00A31CA9" w:rsidRPr="00A31984" w:rsidRDefault="00A31CA9" w:rsidP="00B24BC8">
            <w:pPr>
              <w:jc w:val="center"/>
              <w:rPr>
                <w:rFonts w:ascii="Aptos" w:hAnsi="Aptos"/>
              </w:rPr>
            </w:pPr>
            <w:r w:rsidRPr="00A31984">
              <w:rPr>
                <w:rFonts w:ascii="Aptos" w:hAnsi="Aptos"/>
              </w:rPr>
              <w:t>2 weeks</w:t>
            </w:r>
          </w:p>
        </w:tc>
      </w:tr>
      <w:tr w:rsidR="00A31CA9" w:rsidRPr="00B46962" w14:paraId="7D269F7C" w14:textId="77777777" w:rsidTr="00B24BC8">
        <w:tc>
          <w:tcPr>
            <w:tcW w:w="1803" w:type="dxa"/>
          </w:tcPr>
          <w:p w14:paraId="484BBD8B" w14:textId="77777777" w:rsidR="00A31CA9" w:rsidRPr="00A31984" w:rsidRDefault="00A31CA9" w:rsidP="00B24BC8">
            <w:pPr>
              <w:rPr>
                <w:rFonts w:ascii="Aptos" w:hAnsi="Aptos"/>
              </w:rPr>
            </w:pPr>
            <w:r w:rsidRPr="00A31984">
              <w:rPr>
                <w:rFonts w:ascii="Aptos" w:hAnsi="Aptos"/>
              </w:rPr>
              <w:t>6</w:t>
            </w:r>
          </w:p>
        </w:tc>
        <w:tc>
          <w:tcPr>
            <w:tcW w:w="1803" w:type="dxa"/>
          </w:tcPr>
          <w:p w14:paraId="1CB35CF5" w14:textId="77777777" w:rsidR="00A31CA9" w:rsidRPr="00A31984" w:rsidRDefault="00A31CA9" w:rsidP="00B24BC8">
            <w:pPr>
              <w:rPr>
                <w:rFonts w:ascii="Aptos" w:hAnsi="Aptos"/>
              </w:rPr>
            </w:pPr>
            <w:r w:rsidRPr="00A31984">
              <w:rPr>
                <w:rFonts w:ascii="Aptos" w:hAnsi="Aptos"/>
              </w:rPr>
              <w:t>&lt; 1bn</w:t>
            </w:r>
          </w:p>
        </w:tc>
        <w:tc>
          <w:tcPr>
            <w:tcW w:w="1519" w:type="dxa"/>
          </w:tcPr>
          <w:p w14:paraId="2801E637" w14:textId="77777777" w:rsidR="00A31CA9" w:rsidRPr="00A31984" w:rsidRDefault="00A31CA9" w:rsidP="00B24BC8">
            <w:pPr>
              <w:rPr>
                <w:rFonts w:ascii="Aptos" w:hAnsi="Aptos"/>
              </w:rPr>
            </w:pPr>
            <w:r w:rsidRPr="00A31984">
              <w:rPr>
                <w:rFonts w:ascii="Aptos" w:hAnsi="Aptos"/>
              </w:rPr>
              <w:t>≥ 2mn</w:t>
            </w:r>
          </w:p>
        </w:tc>
        <w:tc>
          <w:tcPr>
            <w:tcW w:w="3891" w:type="dxa"/>
            <w:gridSpan w:val="2"/>
          </w:tcPr>
          <w:p w14:paraId="6BE9A332" w14:textId="77777777" w:rsidR="00A31CA9" w:rsidRPr="00A31984" w:rsidRDefault="00A31CA9" w:rsidP="00B24BC8">
            <w:pPr>
              <w:jc w:val="center"/>
              <w:rPr>
                <w:rFonts w:ascii="Aptos" w:hAnsi="Aptos"/>
              </w:rPr>
            </w:pPr>
            <w:r w:rsidRPr="00A31984">
              <w:rPr>
                <w:rFonts w:ascii="Aptos" w:hAnsi="Aptos"/>
              </w:rPr>
              <w:t>4 weeks</w:t>
            </w:r>
          </w:p>
        </w:tc>
      </w:tr>
    </w:tbl>
    <w:p w14:paraId="4DC14EA8" w14:textId="77777777" w:rsidR="00A31CA9" w:rsidRPr="00A31984" w:rsidRDefault="00A31CA9" w:rsidP="00A31CA9">
      <w:pPr>
        <w:rPr>
          <w:rFonts w:ascii="Aptos" w:hAnsi="Aptos"/>
        </w:rPr>
      </w:pPr>
    </w:p>
    <w:p w14:paraId="0BF3718E" w14:textId="77777777" w:rsidR="00A31CA9" w:rsidRPr="00A31984" w:rsidRDefault="00A31CA9" w:rsidP="00A31CA9">
      <w:pPr>
        <w:rPr>
          <w:rFonts w:ascii="Aptos" w:hAnsi="Aptos"/>
        </w:rPr>
      </w:pPr>
      <w:r w:rsidRPr="00A31984">
        <w:rPr>
          <w:rFonts w:ascii="Aptos" w:hAnsi="Aptos"/>
        </w:rPr>
        <w:t xml:space="preserve">As part of its analysis, ICMA also used its 2023 data set to “retrofit” the proposed matrices, based on the suggested thresholds above, in order to estimate the expected amount of real-time transparency (in terms of transactions and traded volumes) as well as that for deferred transactions. The results can be seen in </w:t>
      </w:r>
      <w:r w:rsidRPr="00B46962">
        <w:rPr>
          <w:rFonts w:ascii="Aptos" w:hAnsi="Aptos"/>
        </w:rPr>
        <w:fldChar w:fldCharType="begin"/>
      </w:r>
      <w:r w:rsidRPr="00B46962">
        <w:rPr>
          <w:rFonts w:ascii="Aptos" w:hAnsi="Aptos"/>
        </w:rPr>
        <w:instrText xml:space="preserve"> REF _Ref175136304 \h </w:instrText>
      </w:r>
      <w:r>
        <w:rPr>
          <w:rFonts w:ascii="Aptos" w:hAnsi="Aptos"/>
        </w:rPr>
        <w:instrText xml:space="preserve"> \* MERGEFORMAT </w:instrText>
      </w:r>
      <w:r w:rsidRPr="00B46962">
        <w:rPr>
          <w:rFonts w:ascii="Aptos" w:hAnsi="Aptos"/>
        </w:rPr>
      </w:r>
      <w:r w:rsidRPr="00B46962">
        <w:rPr>
          <w:rFonts w:ascii="Aptos" w:hAnsi="Aptos"/>
        </w:rPr>
        <w:fldChar w:fldCharType="separate"/>
      </w:r>
      <w:r w:rsidRPr="004D6E86">
        <w:rPr>
          <w:rFonts w:ascii="Aptos" w:hAnsi="Aptos"/>
        </w:rPr>
        <w:t>Annex II</w:t>
      </w:r>
      <w:r w:rsidRPr="00B46962">
        <w:rPr>
          <w:rFonts w:ascii="Aptos" w:hAnsi="Aptos"/>
        </w:rPr>
        <w:fldChar w:fldCharType="end"/>
      </w:r>
      <w:r w:rsidRPr="00B46962">
        <w:rPr>
          <w:rFonts w:ascii="Aptos" w:hAnsi="Aptos"/>
        </w:rPr>
        <w:t>.</w:t>
      </w:r>
      <w:r w:rsidRPr="00A31984">
        <w:rPr>
          <w:rFonts w:ascii="Aptos" w:hAnsi="Aptos"/>
        </w:rPr>
        <w:t xml:space="preserve"> </w:t>
      </w:r>
    </w:p>
    <w:p w14:paraId="155804FE" w14:textId="77777777" w:rsidR="00A31CA9" w:rsidRPr="00A31984" w:rsidRDefault="00A31CA9" w:rsidP="00A31CA9">
      <w:pPr>
        <w:rPr>
          <w:rFonts w:ascii="Aptos" w:hAnsi="Aptos"/>
        </w:rPr>
      </w:pPr>
      <w:r w:rsidRPr="00A31984">
        <w:rPr>
          <w:rFonts w:ascii="Aptos" w:hAnsi="Aptos"/>
        </w:rPr>
        <w:t xml:space="preserve">While the estimated percentage of real-time transactions varies depending on groupings (reflecting the relative underlying liquidity profile of each grouping), the overall proportion of real-time or near real-time transparency is extremely high (some 79% of all trades would be reported real time, encompassing 20% of total notional value) and not significantly lower than ESMA’s target. </w:t>
      </w:r>
    </w:p>
    <w:p w14:paraId="18009842" w14:textId="77777777" w:rsidR="00A31CA9" w:rsidRPr="00A31984" w:rsidRDefault="00A31CA9" w:rsidP="00A31CA9">
      <w:pPr>
        <w:rPr>
          <w:rFonts w:ascii="Aptos" w:hAnsi="Aptos"/>
          <w:b/>
          <w:i/>
        </w:rPr>
      </w:pPr>
      <w:r w:rsidRPr="00A31984">
        <w:rPr>
          <w:rFonts w:ascii="Aptos" w:hAnsi="Aptos"/>
          <w:b/>
          <w:i/>
        </w:rPr>
        <w:t>Distribution of all groups by category using 2023 data</w:t>
      </w:r>
    </w:p>
    <w:tbl>
      <w:tblPr>
        <w:tblW w:w="0" w:type="auto"/>
        <w:tblLook w:val="04A0" w:firstRow="1" w:lastRow="0" w:firstColumn="1" w:lastColumn="0" w:noHBand="0" w:noVBand="1"/>
      </w:tblPr>
      <w:tblGrid>
        <w:gridCol w:w="1223"/>
        <w:gridCol w:w="2014"/>
        <w:gridCol w:w="2895"/>
        <w:gridCol w:w="1513"/>
        <w:gridCol w:w="1757"/>
      </w:tblGrid>
      <w:tr w:rsidR="00A31CA9" w:rsidRPr="00B46962" w14:paraId="2C2F9B3B" w14:textId="77777777" w:rsidTr="00B24BC8">
        <w:trPr>
          <w:trHeight w:val="300"/>
        </w:trPr>
        <w:tc>
          <w:tcPr>
            <w:tcW w:w="127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DDD837" w14:textId="77777777" w:rsidR="00A31CA9" w:rsidRPr="00B46962" w:rsidRDefault="00A31CA9" w:rsidP="00B24BC8">
            <w:pPr>
              <w:spacing w:after="0" w:line="240" w:lineRule="auto"/>
              <w:jc w:val="center"/>
              <w:rPr>
                <w:rFonts w:ascii="Aptos" w:eastAsia="Times New Roman" w:hAnsi="Aptos" w:cs="Times New Roman"/>
                <w:b/>
                <w:bCs/>
                <w:color w:val="000000"/>
                <w:lang w:eastAsia="en-GB"/>
              </w:rPr>
            </w:pPr>
            <w:r w:rsidRPr="00B46962">
              <w:rPr>
                <w:rFonts w:ascii="Aptos" w:eastAsia="Times New Roman" w:hAnsi="Aptos" w:cs="Times New Roman"/>
                <w:b/>
                <w:bCs/>
                <w:color w:val="000000"/>
                <w:lang w:eastAsia="en-GB"/>
              </w:rPr>
              <w:t>Category</w:t>
            </w:r>
          </w:p>
        </w:tc>
        <w:tc>
          <w:tcPr>
            <w:tcW w:w="2099" w:type="dxa"/>
            <w:tcBorders>
              <w:top w:val="single" w:sz="4" w:space="0" w:color="auto"/>
              <w:left w:val="nil"/>
              <w:bottom w:val="single" w:sz="4" w:space="0" w:color="auto"/>
              <w:right w:val="single" w:sz="4" w:space="0" w:color="auto"/>
            </w:tcBorders>
            <w:shd w:val="clear" w:color="000000" w:fill="D9D9D9"/>
            <w:noWrap/>
            <w:vAlign w:val="center"/>
            <w:hideMark/>
          </w:tcPr>
          <w:p w14:paraId="7EBCB7AE" w14:textId="77777777" w:rsidR="00A31CA9" w:rsidRPr="00B46962" w:rsidRDefault="00A31CA9" w:rsidP="00B24BC8">
            <w:pPr>
              <w:spacing w:after="0" w:line="240" w:lineRule="auto"/>
              <w:jc w:val="center"/>
              <w:rPr>
                <w:rFonts w:ascii="Aptos" w:eastAsia="Times New Roman" w:hAnsi="Aptos" w:cs="Times New Roman"/>
                <w:b/>
                <w:bCs/>
                <w:color w:val="000000"/>
                <w:lang w:eastAsia="en-GB"/>
              </w:rPr>
            </w:pPr>
            <w:r w:rsidRPr="00B46962">
              <w:rPr>
                <w:rFonts w:ascii="Aptos" w:eastAsia="Times New Roman" w:hAnsi="Aptos" w:cs="Times New Roman"/>
                <w:b/>
                <w:bCs/>
                <w:color w:val="000000"/>
                <w:lang w:eastAsia="en-GB"/>
              </w:rPr>
              <w:t xml:space="preserve">Trade </w:t>
            </w:r>
            <w:proofErr w:type="gramStart"/>
            <w:r w:rsidRPr="00B46962">
              <w:rPr>
                <w:rFonts w:ascii="Aptos" w:eastAsia="Times New Roman" w:hAnsi="Aptos" w:cs="Times New Roman"/>
                <w:b/>
                <w:bCs/>
                <w:color w:val="000000"/>
                <w:lang w:eastAsia="en-GB"/>
              </w:rPr>
              <w:t>Count  (</w:t>
            </w:r>
            <w:proofErr w:type="gramEnd"/>
            <w:r w:rsidRPr="00B46962">
              <w:rPr>
                <w:rFonts w:ascii="Aptos" w:eastAsia="Times New Roman" w:hAnsi="Aptos" w:cs="Times New Roman"/>
                <w:b/>
                <w:bCs/>
                <w:color w:val="000000"/>
                <w:lang w:eastAsia="en-GB"/>
              </w:rPr>
              <w:t>all groups)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8DF7829" w14:textId="77777777" w:rsidR="00A31CA9" w:rsidRPr="00B46962" w:rsidRDefault="00A31CA9" w:rsidP="00B24BC8">
            <w:pPr>
              <w:spacing w:after="0" w:line="240" w:lineRule="auto"/>
              <w:jc w:val="center"/>
              <w:rPr>
                <w:rFonts w:ascii="Aptos" w:eastAsia="Times New Roman" w:hAnsi="Aptos" w:cs="Times New Roman"/>
                <w:b/>
                <w:bCs/>
                <w:color w:val="000000"/>
                <w:lang w:eastAsia="en-GB"/>
              </w:rPr>
            </w:pPr>
            <w:r w:rsidRPr="00B46962">
              <w:rPr>
                <w:rFonts w:ascii="Aptos" w:eastAsia="Times New Roman" w:hAnsi="Aptos" w:cs="Times New Roman"/>
                <w:b/>
                <w:bCs/>
                <w:color w:val="000000"/>
                <w:lang w:eastAsia="en-GB"/>
              </w:rPr>
              <w:t xml:space="preserve">Notional </w:t>
            </w:r>
            <w:proofErr w:type="gramStart"/>
            <w:r w:rsidRPr="00B46962">
              <w:rPr>
                <w:rFonts w:ascii="Aptos" w:eastAsia="Times New Roman" w:hAnsi="Aptos" w:cs="Times New Roman"/>
                <w:b/>
                <w:bCs/>
                <w:color w:val="000000"/>
                <w:lang w:eastAsia="en-GB"/>
              </w:rPr>
              <w:t>Traded  (</w:t>
            </w:r>
            <w:proofErr w:type="gramEnd"/>
            <w:r w:rsidRPr="00B46962">
              <w:rPr>
                <w:rFonts w:ascii="Aptos" w:eastAsia="Times New Roman" w:hAnsi="Aptos" w:cs="Times New Roman"/>
                <w:b/>
                <w:bCs/>
                <w:color w:val="000000"/>
                <w:lang w:eastAsia="en-GB"/>
              </w:rPr>
              <w:t>all groups)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01190BE" w14:textId="77777777" w:rsidR="00A31CA9" w:rsidRPr="00B46962" w:rsidRDefault="00A31CA9" w:rsidP="00B24BC8">
            <w:pPr>
              <w:spacing w:after="0" w:line="240" w:lineRule="auto"/>
              <w:jc w:val="center"/>
              <w:rPr>
                <w:rFonts w:ascii="Aptos" w:eastAsia="Times New Roman" w:hAnsi="Aptos" w:cs="Times New Roman"/>
                <w:b/>
                <w:bCs/>
                <w:color w:val="000000"/>
                <w:lang w:eastAsia="en-GB"/>
              </w:rPr>
            </w:pPr>
            <w:r w:rsidRPr="00B46962">
              <w:rPr>
                <w:rFonts w:ascii="Aptos" w:eastAsia="Times New Roman" w:hAnsi="Aptos" w:cs="Times New Roman"/>
                <w:b/>
                <w:bCs/>
                <w:lang w:eastAsia="en-GB"/>
              </w:rPr>
              <w:t>Price deferral</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CEA8650" w14:textId="77777777" w:rsidR="00A31CA9" w:rsidRPr="00B46962" w:rsidRDefault="00A31CA9" w:rsidP="00B24BC8">
            <w:pPr>
              <w:spacing w:after="0" w:line="240" w:lineRule="auto"/>
              <w:jc w:val="center"/>
              <w:rPr>
                <w:rFonts w:ascii="Aptos" w:eastAsia="Times New Roman" w:hAnsi="Aptos" w:cs="Times New Roman"/>
                <w:b/>
                <w:bCs/>
                <w:color w:val="000000"/>
                <w:lang w:eastAsia="en-GB"/>
              </w:rPr>
            </w:pPr>
            <w:r w:rsidRPr="00B46962">
              <w:rPr>
                <w:rFonts w:ascii="Aptos" w:eastAsia="Times New Roman" w:hAnsi="Aptos" w:cs="Times New Roman"/>
                <w:b/>
                <w:bCs/>
                <w:lang w:eastAsia="en-GB"/>
              </w:rPr>
              <w:t>Volume deferral</w:t>
            </w:r>
          </w:p>
        </w:tc>
      </w:tr>
      <w:tr w:rsidR="00A31CA9" w:rsidRPr="00B46962" w14:paraId="6DFF84FA" w14:textId="77777777" w:rsidTr="00B24BC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962FD0D"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N/A Liquid</w:t>
            </w:r>
          </w:p>
        </w:tc>
        <w:tc>
          <w:tcPr>
            <w:tcW w:w="2099" w:type="dxa"/>
            <w:tcBorders>
              <w:top w:val="nil"/>
              <w:left w:val="nil"/>
              <w:bottom w:val="single" w:sz="4" w:space="0" w:color="auto"/>
              <w:right w:val="single" w:sz="4" w:space="0" w:color="auto"/>
            </w:tcBorders>
            <w:shd w:val="clear" w:color="auto" w:fill="auto"/>
            <w:noWrap/>
            <w:vAlign w:val="center"/>
            <w:hideMark/>
          </w:tcPr>
          <w:p w14:paraId="2592B4AA"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64.0%</w:t>
            </w:r>
          </w:p>
        </w:tc>
        <w:tc>
          <w:tcPr>
            <w:tcW w:w="0" w:type="auto"/>
            <w:tcBorders>
              <w:top w:val="nil"/>
              <w:left w:val="nil"/>
              <w:bottom w:val="single" w:sz="4" w:space="0" w:color="auto"/>
              <w:right w:val="single" w:sz="4" w:space="0" w:color="auto"/>
            </w:tcBorders>
            <w:shd w:val="clear" w:color="auto" w:fill="auto"/>
            <w:noWrap/>
            <w:vAlign w:val="center"/>
            <w:hideMark/>
          </w:tcPr>
          <w:p w14:paraId="0829A88A"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19.2%</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1337440"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Real Time</w:t>
            </w:r>
          </w:p>
        </w:tc>
      </w:tr>
      <w:tr w:rsidR="00A31CA9" w:rsidRPr="00B46962" w14:paraId="34CB4861" w14:textId="77777777" w:rsidTr="00B24BC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9D60D4"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N/A Illiquid</w:t>
            </w:r>
          </w:p>
        </w:tc>
        <w:tc>
          <w:tcPr>
            <w:tcW w:w="2099" w:type="dxa"/>
            <w:tcBorders>
              <w:top w:val="nil"/>
              <w:left w:val="nil"/>
              <w:bottom w:val="single" w:sz="4" w:space="0" w:color="auto"/>
              <w:right w:val="single" w:sz="4" w:space="0" w:color="auto"/>
            </w:tcBorders>
            <w:shd w:val="clear" w:color="auto" w:fill="auto"/>
            <w:noWrap/>
            <w:vAlign w:val="center"/>
            <w:hideMark/>
          </w:tcPr>
          <w:p w14:paraId="7698A883"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14.8%</w:t>
            </w:r>
          </w:p>
        </w:tc>
        <w:tc>
          <w:tcPr>
            <w:tcW w:w="0" w:type="auto"/>
            <w:tcBorders>
              <w:top w:val="nil"/>
              <w:left w:val="nil"/>
              <w:bottom w:val="single" w:sz="4" w:space="0" w:color="auto"/>
              <w:right w:val="single" w:sz="4" w:space="0" w:color="auto"/>
            </w:tcBorders>
            <w:shd w:val="clear" w:color="auto" w:fill="auto"/>
            <w:noWrap/>
            <w:vAlign w:val="center"/>
            <w:hideMark/>
          </w:tcPr>
          <w:p w14:paraId="5985A166"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0.8%</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68DB0F9"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Real Time</w:t>
            </w:r>
          </w:p>
        </w:tc>
      </w:tr>
      <w:tr w:rsidR="00A31CA9" w:rsidRPr="00B46962" w14:paraId="67D45B58" w14:textId="77777777" w:rsidTr="00B24BC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5A477E5"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w:t>
            </w:r>
          </w:p>
        </w:tc>
        <w:tc>
          <w:tcPr>
            <w:tcW w:w="2099" w:type="dxa"/>
            <w:tcBorders>
              <w:top w:val="nil"/>
              <w:left w:val="nil"/>
              <w:bottom w:val="single" w:sz="4" w:space="0" w:color="auto"/>
              <w:right w:val="single" w:sz="4" w:space="0" w:color="auto"/>
            </w:tcBorders>
            <w:shd w:val="clear" w:color="auto" w:fill="auto"/>
            <w:noWrap/>
            <w:vAlign w:val="center"/>
            <w:hideMark/>
          </w:tcPr>
          <w:p w14:paraId="4198710C"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9.4%</w:t>
            </w:r>
          </w:p>
        </w:tc>
        <w:tc>
          <w:tcPr>
            <w:tcW w:w="0" w:type="auto"/>
            <w:tcBorders>
              <w:top w:val="nil"/>
              <w:left w:val="nil"/>
              <w:bottom w:val="single" w:sz="4" w:space="0" w:color="auto"/>
              <w:right w:val="single" w:sz="4" w:space="0" w:color="auto"/>
            </w:tcBorders>
            <w:shd w:val="clear" w:color="auto" w:fill="auto"/>
            <w:noWrap/>
            <w:vAlign w:val="center"/>
            <w:hideMark/>
          </w:tcPr>
          <w:p w14:paraId="10359FB8"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24.3%</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43D1ED2"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15 mins</w:t>
            </w:r>
          </w:p>
        </w:tc>
      </w:tr>
      <w:tr w:rsidR="00A31CA9" w:rsidRPr="00B46962" w14:paraId="4FD9D51A" w14:textId="77777777" w:rsidTr="00B24BC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8C11EF3"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2</w:t>
            </w:r>
          </w:p>
        </w:tc>
        <w:tc>
          <w:tcPr>
            <w:tcW w:w="2099" w:type="dxa"/>
            <w:tcBorders>
              <w:top w:val="nil"/>
              <w:left w:val="nil"/>
              <w:bottom w:val="single" w:sz="4" w:space="0" w:color="auto"/>
              <w:right w:val="single" w:sz="4" w:space="0" w:color="auto"/>
            </w:tcBorders>
            <w:shd w:val="clear" w:color="auto" w:fill="auto"/>
            <w:noWrap/>
            <w:vAlign w:val="center"/>
            <w:hideMark/>
          </w:tcPr>
          <w:p w14:paraId="03CD4445"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3.5%</w:t>
            </w:r>
          </w:p>
        </w:tc>
        <w:tc>
          <w:tcPr>
            <w:tcW w:w="0" w:type="auto"/>
            <w:tcBorders>
              <w:top w:val="nil"/>
              <w:left w:val="nil"/>
              <w:bottom w:val="single" w:sz="4" w:space="0" w:color="auto"/>
              <w:right w:val="single" w:sz="4" w:space="0" w:color="auto"/>
            </w:tcBorders>
            <w:shd w:val="clear" w:color="auto" w:fill="auto"/>
            <w:noWrap/>
            <w:vAlign w:val="center"/>
            <w:hideMark/>
          </w:tcPr>
          <w:p w14:paraId="74C0C56F"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1.6%</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2632046"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End of day</w:t>
            </w:r>
          </w:p>
        </w:tc>
      </w:tr>
      <w:tr w:rsidR="00A31CA9" w:rsidRPr="00B46962" w14:paraId="4A3347C1" w14:textId="77777777" w:rsidTr="00B24BC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2D11EB5"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3</w:t>
            </w:r>
          </w:p>
        </w:tc>
        <w:tc>
          <w:tcPr>
            <w:tcW w:w="2099" w:type="dxa"/>
            <w:tcBorders>
              <w:top w:val="nil"/>
              <w:left w:val="nil"/>
              <w:bottom w:val="single" w:sz="4" w:space="0" w:color="auto"/>
              <w:right w:val="single" w:sz="4" w:space="0" w:color="auto"/>
            </w:tcBorders>
            <w:shd w:val="clear" w:color="auto" w:fill="auto"/>
            <w:noWrap/>
            <w:vAlign w:val="center"/>
            <w:hideMark/>
          </w:tcPr>
          <w:p w14:paraId="5B9404E8"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4.1%</w:t>
            </w:r>
          </w:p>
        </w:tc>
        <w:tc>
          <w:tcPr>
            <w:tcW w:w="0" w:type="auto"/>
            <w:tcBorders>
              <w:top w:val="nil"/>
              <w:left w:val="nil"/>
              <w:bottom w:val="single" w:sz="4" w:space="0" w:color="auto"/>
              <w:right w:val="single" w:sz="4" w:space="0" w:color="auto"/>
            </w:tcBorders>
            <w:shd w:val="clear" w:color="auto" w:fill="auto"/>
            <w:noWrap/>
            <w:vAlign w:val="center"/>
            <w:hideMark/>
          </w:tcPr>
          <w:p w14:paraId="588D1B8F"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34.9%</w:t>
            </w:r>
          </w:p>
        </w:tc>
        <w:tc>
          <w:tcPr>
            <w:tcW w:w="0" w:type="auto"/>
            <w:tcBorders>
              <w:top w:val="nil"/>
              <w:left w:val="nil"/>
              <w:bottom w:val="single" w:sz="4" w:space="0" w:color="auto"/>
              <w:right w:val="single" w:sz="4" w:space="0" w:color="auto"/>
            </w:tcBorders>
            <w:shd w:val="clear" w:color="auto" w:fill="auto"/>
            <w:noWrap/>
            <w:vAlign w:val="center"/>
            <w:hideMark/>
          </w:tcPr>
          <w:p w14:paraId="386730A4"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T+1</w:t>
            </w:r>
          </w:p>
        </w:tc>
        <w:tc>
          <w:tcPr>
            <w:tcW w:w="0" w:type="auto"/>
            <w:tcBorders>
              <w:top w:val="nil"/>
              <w:left w:val="nil"/>
              <w:bottom w:val="single" w:sz="4" w:space="0" w:color="auto"/>
              <w:right w:val="single" w:sz="4" w:space="0" w:color="auto"/>
            </w:tcBorders>
            <w:shd w:val="clear" w:color="auto" w:fill="auto"/>
            <w:noWrap/>
            <w:vAlign w:val="center"/>
            <w:hideMark/>
          </w:tcPr>
          <w:p w14:paraId="69C1C86F"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 week</w:t>
            </w:r>
          </w:p>
        </w:tc>
      </w:tr>
      <w:tr w:rsidR="00A31CA9" w:rsidRPr="00B46962" w14:paraId="198639B8" w14:textId="77777777" w:rsidTr="00B24BC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C549380"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4</w:t>
            </w:r>
          </w:p>
        </w:tc>
        <w:tc>
          <w:tcPr>
            <w:tcW w:w="2099" w:type="dxa"/>
            <w:tcBorders>
              <w:top w:val="nil"/>
              <w:left w:val="nil"/>
              <w:bottom w:val="single" w:sz="4" w:space="0" w:color="auto"/>
              <w:right w:val="single" w:sz="4" w:space="0" w:color="auto"/>
            </w:tcBorders>
            <w:shd w:val="clear" w:color="auto" w:fill="auto"/>
            <w:noWrap/>
            <w:vAlign w:val="center"/>
            <w:hideMark/>
          </w:tcPr>
          <w:p w14:paraId="43AB6DEA"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1.5%</w:t>
            </w:r>
          </w:p>
        </w:tc>
        <w:tc>
          <w:tcPr>
            <w:tcW w:w="0" w:type="auto"/>
            <w:tcBorders>
              <w:top w:val="nil"/>
              <w:left w:val="nil"/>
              <w:bottom w:val="single" w:sz="4" w:space="0" w:color="auto"/>
              <w:right w:val="single" w:sz="4" w:space="0" w:color="auto"/>
            </w:tcBorders>
            <w:shd w:val="clear" w:color="auto" w:fill="auto"/>
            <w:noWrap/>
            <w:vAlign w:val="center"/>
            <w:hideMark/>
          </w:tcPr>
          <w:p w14:paraId="22A490BD"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1.7%</w:t>
            </w:r>
          </w:p>
        </w:tc>
        <w:tc>
          <w:tcPr>
            <w:tcW w:w="0" w:type="auto"/>
            <w:tcBorders>
              <w:top w:val="nil"/>
              <w:left w:val="nil"/>
              <w:bottom w:val="single" w:sz="4" w:space="0" w:color="auto"/>
              <w:right w:val="single" w:sz="4" w:space="0" w:color="auto"/>
            </w:tcBorders>
            <w:shd w:val="clear" w:color="auto" w:fill="auto"/>
            <w:noWrap/>
            <w:vAlign w:val="center"/>
            <w:hideMark/>
          </w:tcPr>
          <w:p w14:paraId="1E515743"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T+2</w:t>
            </w:r>
          </w:p>
        </w:tc>
        <w:tc>
          <w:tcPr>
            <w:tcW w:w="0" w:type="auto"/>
            <w:tcBorders>
              <w:top w:val="nil"/>
              <w:left w:val="nil"/>
              <w:bottom w:val="single" w:sz="4" w:space="0" w:color="auto"/>
              <w:right w:val="single" w:sz="4" w:space="0" w:color="auto"/>
            </w:tcBorders>
            <w:shd w:val="clear" w:color="auto" w:fill="auto"/>
            <w:noWrap/>
            <w:vAlign w:val="center"/>
            <w:hideMark/>
          </w:tcPr>
          <w:p w14:paraId="318D6C73"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2weeks</w:t>
            </w:r>
          </w:p>
        </w:tc>
      </w:tr>
      <w:tr w:rsidR="00A31CA9" w:rsidRPr="00B46962" w14:paraId="029C2D21" w14:textId="77777777" w:rsidTr="00B24BC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D60F553"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5</w:t>
            </w:r>
          </w:p>
        </w:tc>
        <w:tc>
          <w:tcPr>
            <w:tcW w:w="2099" w:type="dxa"/>
            <w:tcBorders>
              <w:top w:val="nil"/>
              <w:left w:val="nil"/>
              <w:bottom w:val="single" w:sz="4" w:space="0" w:color="auto"/>
              <w:right w:val="single" w:sz="4" w:space="0" w:color="auto"/>
            </w:tcBorders>
            <w:shd w:val="clear" w:color="auto" w:fill="auto"/>
            <w:noWrap/>
            <w:vAlign w:val="center"/>
            <w:hideMark/>
          </w:tcPr>
          <w:p w14:paraId="1BB054CF"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1.3%</w:t>
            </w:r>
          </w:p>
        </w:tc>
        <w:tc>
          <w:tcPr>
            <w:tcW w:w="0" w:type="auto"/>
            <w:tcBorders>
              <w:top w:val="nil"/>
              <w:left w:val="nil"/>
              <w:bottom w:val="single" w:sz="4" w:space="0" w:color="auto"/>
              <w:right w:val="single" w:sz="4" w:space="0" w:color="auto"/>
            </w:tcBorders>
            <w:shd w:val="clear" w:color="auto" w:fill="auto"/>
            <w:noWrap/>
            <w:vAlign w:val="center"/>
            <w:hideMark/>
          </w:tcPr>
          <w:p w14:paraId="56B25301"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13.8%</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22723FC"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4 weeks</w:t>
            </w:r>
          </w:p>
        </w:tc>
      </w:tr>
      <w:tr w:rsidR="00A31CA9" w:rsidRPr="00B46962" w14:paraId="217BB210" w14:textId="77777777" w:rsidTr="00B24BC8">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C7BEF67"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6</w:t>
            </w:r>
          </w:p>
        </w:tc>
        <w:tc>
          <w:tcPr>
            <w:tcW w:w="2099" w:type="dxa"/>
            <w:tcBorders>
              <w:top w:val="nil"/>
              <w:left w:val="nil"/>
              <w:bottom w:val="single" w:sz="4" w:space="0" w:color="auto"/>
              <w:right w:val="single" w:sz="4" w:space="0" w:color="auto"/>
            </w:tcBorders>
            <w:shd w:val="clear" w:color="auto" w:fill="auto"/>
            <w:noWrap/>
            <w:vAlign w:val="center"/>
            <w:hideMark/>
          </w:tcPr>
          <w:p w14:paraId="799C26E5"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14:paraId="768D2649"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3.7%</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002AB8B" w14:textId="77777777" w:rsidR="00A31CA9" w:rsidRPr="00A31984" w:rsidRDefault="00A31CA9" w:rsidP="00B24BC8">
            <w:pPr>
              <w:spacing w:after="0" w:line="240" w:lineRule="auto"/>
              <w:jc w:val="center"/>
              <w:rPr>
                <w:rFonts w:ascii="Aptos" w:hAnsi="Aptos"/>
                <w:color w:val="000000"/>
              </w:rPr>
            </w:pPr>
            <w:r w:rsidRPr="00A31984">
              <w:rPr>
                <w:rFonts w:ascii="Aptos" w:hAnsi="Aptos"/>
                <w:color w:val="000000"/>
              </w:rPr>
              <w:t>4 weeks</w:t>
            </w:r>
          </w:p>
        </w:tc>
      </w:tr>
    </w:tbl>
    <w:p w14:paraId="216ADCFE" w14:textId="77777777" w:rsidR="00A31CA9" w:rsidRPr="00A31984" w:rsidRDefault="00A31CA9" w:rsidP="00A31CA9">
      <w:pPr>
        <w:rPr>
          <w:rFonts w:ascii="Aptos" w:hAnsi="Aptos"/>
          <w:b/>
        </w:rPr>
      </w:pPr>
    </w:p>
    <w:p w14:paraId="09660EE7" w14:textId="08DA4C7B" w:rsidR="00CC59BB" w:rsidRDefault="006F6AC1" w:rsidP="00C54034">
      <w:pPr>
        <w:spacing w:after="0"/>
      </w:pPr>
      <w:r>
        <w:rPr>
          <w:rFonts w:ascii="Aptos" w:hAnsi="Aptos"/>
        </w:rPr>
        <w:t xml:space="preserve"> </w:t>
      </w:r>
      <w:r w:rsidRPr="00A31984">
        <w:rPr>
          <w:rFonts w:ascii="Aptos" w:hAnsi="Aptos"/>
        </w:rPr>
        <w:t xml:space="preserve"> </w:t>
      </w:r>
      <w:permEnd w:id="1550012690"/>
      <w:r w:rsidR="00CC59BB">
        <w:t>&lt;ESMA_QUESTION</w:t>
      </w:r>
      <w:r w:rsidR="00F93646">
        <w:t>_</w:t>
      </w:r>
      <w:r w:rsidR="00DD54B5">
        <w:t>CP1</w:t>
      </w:r>
      <w:r w:rsidR="00F93646">
        <w:t>_</w:t>
      </w:r>
      <w:r w:rsidR="00CC59BB">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lastRenderedPageBreak/>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68E558D5" w14:textId="77777777" w:rsidR="00D20179" w:rsidRPr="00A31984" w:rsidRDefault="00D20179" w:rsidP="00B24BC8">
      <w:pPr>
        <w:rPr>
          <w:rFonts w:ascii="Aptos" w:hAnsi="Aptos"/>
        </w:rPr>
      </w:pPr>
      <w:permStart w:id="1951602752" w:edGrp="everyone"/>
      <w:r w:rsidRPr="00A31984">
        <w:rPr>
          <w:rFonts w:ascii="Aptos" w:hAnsi="Aptos"/>
        </w:rPr>
        <w:t xml:space="preserve">While there are valid arguments for the need to defer the publication of price and volume for certain transactions for longer than 4 weeks, ICMA recognizes that the revised Level 1 does not allow for this (with the notable exception of the supplementary deferrals for sovereign bonds). </w:t>
      </w:r>
    </w:p>
    <w:p w14:paraId="418DD7E5" w14:textId="77777777" w:rsidR="00D20179" w:rsidRPr="00A31984" w:rsidRDefault="00D20179" w:rsidP="00B24BC8">
      <w:pPr>
        <w:rPr>
          <w:rFonts w:ascii="Aptos" w:hAnsi="Aptos"/>
        </w:rPr>
      </w:pPr>
      <w:r w:rsidRPr="00A31984">
        <w:rPr>
          <w:rFonts w:ascii="Aptos" w:hAnsi="Aptos"/>
        </w:rPr>
        <w:t>However, ICMA would strongly recommend that the RTS take advantage of the longer allowable deferrals for price publication with respect to categories 3 and 4 (</w:t>
      </w:r>
      <w:r w:rsidRPr="00A31984">
        <w:rPr>
          <w:rFonts w:ascii="Aptos" w:hAnsi="Aptos"/>
          <w:i/>
        </w:rPr>
        <w:t>T+1</w:t>
      </w:r>
      <w:r w:rsidRPr="00A31984">
        <w:rPr>
          <w:rFonts w:ascii="Aptos" w:hAnsi="Aptos"/>
        </w:rPr>
        <w:t xml:space="preserve"> and </w:t>
      </w:r>
      <w:r w:rsidRPr="00A31984">
        <w:rPr>
          <w:rFonts w:ascii="Aptos" w:hAnsi="Aptos"/>
          <w:i/>
        </w:rPr>
        <w:t>T+2</w:t>
      </w:r>
      <w:r w:rsidRPr="00A31984">
        <w:rPr>
          <w:rFonts w:ascii="Aptos" w:hAnsi="Aptos"/>
        </w:rPr>
        <w:t xml:space="preserve"> respectively). The reason for this is that in bond markets it is relatively easy to infer a lot of useful information from the publication of price alone. </w:t>
      </w:r>
    </w:p>
    <w:p w14:paraId="79A030F9" w14:textId="77777777" w:rsidR="00D20179" w:rsidRPr="00A31984" w:rsidRDefault="00D20179" w:rsidP="00B24BC8">
      <w:pPr>
        <w:rPr>
          <w:rFonts w:ascii="Aptos" w:hAnsi="Aptos"/>
          <w:i/>
        </w:rPr>
      </w:pPr>
      <w:r w:rsidRPr="00A31984">
        <w:rPr>
          <w:rFonts w:ascii="Aptos" w:hAnsi="Aptos"/>
        </w:rPr>
        <w:t xml:space="preserve">For example, by comparing the deferred published price of a trade where the bond was quoted (pre-trade) based on the timestamp, it is immediately obvious whether the trade was a “risk trade” (ie, did a liquidity provider take the position onto their own books) or not. This is based on whether the trade price is inside or outside of the quoted bid-ask spread. Furthermore, if it is a risk trade, based on whether it is below or above the spread it is clear whether the liquidity provider went long or short-sold the bonds. Depending on the distance from the spread, it is also possible to make a good estimate of the relative size of the trade. </w:t>
      </w:r>
    </w:p>
    <w:p w14:paraId="1183B6EC" w14:textId="77777777" w:rsidR="00D20179" w:rsidRPr="00A31984" w:rsidRDefault="00D20179" w:rsidP="00B24BC8">
      <w:pPr>
        <w:rPr>
          <w:rFonts w:ascii="Aptos" w:hAnsi="Aptos"/>
        </w:rPr>
      </w:pPr>
      <w:r w:rsidRPr="00A31984">
        <w:rPr>
          <w:rFonts w:ascii="Aptos" w:hAnsi="Aptos"/>
        </w:rPr>
        <w:t>This suggests two important considerations with respect to the deferral calibrations:</w:t>
      </w:r>
    </w:p>
    <w:p w14:paraId="050D35F5" w14:textId="77777777" w:rsidR="00D20179" w:rsidRPr="00A31984" w:rsidRDefault="00D20179" w:rsidP="00D20179">
      <w:pPr>
        <w:pStyle w:val="ListParagraph"/>
        <w:numPr>
          <w:ilvl w:val="0"/>
          <w:numId w:val="54"/>
        </w:numPr>
        <w:spacing w:after="160" w:line="259" w:lineRule="auto"/>
        <w:jc w:val="left"/>
        <w:rPr>
          <w:rFonts w:ascii="Aptos" w:hAnsi="Aptos"/>
        </w:rPr>
      </w:pPr>
      <w:r w:rsidRPr="00A31984">
        <w:rPr>
          <w:rFonts w:ascii="Aptos" w:hAnsi="Aptos"/>
        </w:rPr>
        <w:t xml:space="preserve">Applying the </w:t>
      </w:r>
      <w:r w:rsidRPr="00A31984">
        <w:rPr>
          <w:rFonts w:ascii="Aptos" w:hAnsi="Aptos"/>
          <w:i/>
        </w:rPr>
        <w:t>T+1</w:t>
      </w:r>
      <w:r w:rsidRPr="00A31984">
        <w:rPr>
          <w:rFonts w:ascii="Aptos" w:hAnsi="Aptos"/>
        </w:rPr>
        <w:t xml:space="preserve"> and </w:t>
      </w:r>
      <w:r w:rsidRPr="00A31984">
        <w:rPr>
          <w:rFonts w:ascii="Aptos" w:hAnsi="Aptos"/>
          <w:i/>
        </w:rPr>
        <w:t xml:space="preserve">T+2 </w:t>
      </w:r>
      <w:r w:rsidRPr="00A31984">
        <w:rPr>
          <w:rFonts w:ascii="Aptos" w:hAnsi="Aptos"/>
        </w:rPr>
        <w:t>price deferrals for categories 3 and 4 is highly relevant, since the corresponding size deferrals have less impact. In other words, applying an end-of-day price deferral would effectively make categories 3 and 4 redundant.</w:t>
      </w:r>
    </w:p>
    <w:p w14:paraId="66DBB0A6" w14:textId="77777777" w:rsidR="00D20179" w:rsidRPr="00A31984" w:rsidRDefault="00D20179" w:rsidP="00D20179">
      <w:pPr>
        <w:pStyle w:val="ListParagraph"/>
        <w:numPr>
          <w:ilvl w:val="0"/>
          <w:numId w:val="54"/>
        </w:numPr>
        <w:spacing w:after="160" w:line="259" w:lineRule="auto"/>
        <w:jc w:val="left"/>
        <w:rPr>
          <w:rFonts w:ascii="Aptos" w:hAnsi="Aptos"/>
        </w:rPr>
      </w:pPr>
      <w:r w:rsidRPr="00A31984">
        <w:rPr>
          <w:rFonts w:ascii="Aptos" w:hAnsi="Aptos"/>
        </w:rPr>
        <w:t xml:space="preserve">When determining the appropriate trade size thresholds for categories 3 and 4, this should be based on the price deferral and not the size deferral. </w:t>
      </w:r>
    </w:p>
    <w:p w14:paraId="5935F509" w14:textId="0E610CD3" w:rsidR="00CC59BB" w:rsidRDefault="00D20179" w:rsidP="00C54034">
      <w:pPr>
        <w:spacing w:after="0"/>
      </w:pPr>
      <w:r w:rsidRPr="00A31984">
        <w:rPr>
          <w:rFonts w:ascii="Aptos" w:hAnsi="Aptos"/>
        </w:rPr>
        <w:t>ICMA’s proposal and suggested trade size thresholds take both of these considerations into account.</w:t>
      </w:r>
      <w:r w:rsidRPr="00B46962">
        <w:rPr>
          <w:rFonts w:ascii="Aptos" w:hAnsi="Aptos"/>
          <w:b/>
        </w:rPr>
        <w:br w:type="page"/>
      </w:r>
      <w:permEnd w:id="1951602752"/>
      <w:r w:rsidR="00CC59BB">
        <w:lastRenderedPageBreak/>
        <w:t>&lt;ESMA_QUESTION</w:t>
      </w:r>
      <w:r w:rsidR="00F93646">
        <w:t>_</w:t>
      </w:r>
      <w:r w:rsidR="00DD54B5">
        <w:t>CP1</w:t>
      </w:r>
      <w:r w:rsidR="00F93646">
        <w:t>_</w:t>
      </w:r>
      <w:r w:rsidR="00CC59BB">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2BF11CB8" w14:textId="77777777" w:rsidR="00003427" w:rsidRPr="009052B2" w:rsidRDefault="00003427" w:rsidP="00003427">
      <w:pPr>
        <w:rPr>
          <w:rFonts w:ascii="Aptos" w:hAnsi="Aptos"/>
        </w:rPr>
      </w:pPr>
      <w:permStart w:id="871322226" w:edGrp="everyone"/>
      <w:r w:rsidRPr="009052B2">
        <w:rPr>
          <w:rFonts w:ascii="Aptos" w:hAnsi="Aptos"/>
        </w:rPr>
        <w:t>Structured Finance Products (SFPs) need adequate transparency deferral calibration</w:t>
      </w:r>
      <w:r w:rsidRPr="00B46962">
        <w:rPr>
          <w:rFonts w:ascii="Aptos" w:hAnsi="Aptos"/>
        </w:rPr>
        <w:t xml:space="preserve">. </w:t>
      </w:r>
      <w:r w:rsidRPr="009052B2">
        <w:rPr>
          <w:rFonts w:ascii="Aptos" w:hAnsi="Aptos"/>
        </w:rPr>
        <w:t>Regarding the transparency deferral regime for SFPs (ABS, RMBS, CMBS, CL</w:t>
      </w:r>
      <w:r w:rsidRPr="00B46962">
        <w:rPr>
          <w:rFonts w:ascii="Aptos" w:hAnsi="Aptos"/>
        </w:rPr>
        <w:t>Os, et al</w:t>
      </w:r>
      <w:r w:rsidRPr="009052B2">
        <w:rPr>
          <w:rFonts w:ascii="Aptos" w:hAnsi="Aptos"/>
        </w:rPr>
        <w:t>),</w:t>
      </w:r>
      <w:r w:rsidRPr="00B46962">
        <w:rPr>
          <w:rFonts w:ascii="Aptos" w:hAnsi="Aptos"/>
        </w:rPr>
        <w:t xml:space="preserve"> ICMA</w:t>
      </w:r>
      <w:r w:rsidRPr="009052B2">
        <w:rPr>
          <w:rFonts w:ascii="Aptos" w:hAnsi="Aptos"/>
        </w:rPr>
        <w:t xml:space="preserve"> recommend</w:t>
      </w:r>
      <w:r w:rsidRPr="00B46962">
        <w:rPr>
          <w:rFonts w:ascii="Aptos" w:hAnsi="Aptos"/>
        </w:rPr>
        <w:t>s</w:t>
      </w:r>
      <w:r w:rsidRPr="009052B2">
        <w:rPr>
          <w:rFonts w:ascii="Aptos" w:hAnsi="Aptos"/>
        </w:rPr>
        <w:t xml:space="preserve"> adopting a data-based approach </w:t>
      </w:r>
      <w:r w:rsidRPr="00B46962">
        <w:rPr>
          <w:rFonts w:ascii="Aptos" w:hAnsi="Aptos"/>
        </w:rPr>
        <w:t>focused on</w:t>
      </w:r>
      <w:r w:rsidRPr="009052B2">
        <w:rPr>
          <w:rFonts w:ascii="Aptos" w:hAnsi="Aptos"/>
        </w:rPr>
        <w:t xml:space="preserve"> liquidity provision (ADV and trade-out time) to calibrate </w:t>
      </w:r>
      <w:r w:rsidRPr="00B46962">
        <w:rPr>
          <w:rFonts w:ascii="Aptos" w:hAnsi="Aptos"/>
        </w:rPr>
        <w:t xml:space="preserve">the appropriate </w:t>
      </w:r>
      <w:r w:rsidRPr="009052B2">
        <w:rPr>
          <w:rFonts w:ascii="Aptos" w:hAnsi="Aptos"/>
        </w:rPr>
        <w:t>deferrals. Until such an analysis is done, we recommend (i) either keeping the existing supplementary deferrals of weekly aggregation and 4 weeks, (ii) or defaulting the regime to the longest deferrals available for bonds, i.e. 4 weeks – and this for all trade sizes (i.e. below and above LIS).</w:t>
      </w:r>
    </w:p>
    <w:p w14:paraId="5BE784AD" w14:textId="77777777" w:rsidR="00003427" w:rsidRPr="009052B2" w:rsidRDefault="00003427" w:rsidP="00003427">
      <w:pPr>
        <w:rPr>
          <w:rFonts w:ascii="Aptos" w:hAnsi="Aptos"/>
        </w:rPr>
      </w:pPr>
      <w:r w:rsidRPr="00B46962">
        <w:rPr>
          <w:rFonts w:ascii="Aptos" w:hAnsi="Aptos"/>
        </w:rPr>
        <w:t>It is important to consider the s</w:t>
      </w:r>
      <w:r w:rsidRPr="009052B2">
        <w:rPr>
          <w:rFonts w:ascii="Aptos" w:hAnsi="Aptos"/>
        </w:rPr>
        <w:t>pecificities of the SFPs market</w:t>
      </w:r>
      <w:r w:rsidRPr="00B46962">
        <w:rPr>
          <w:rFonts w:ascii="Aptos" w:hAnsi="Aptos"/>
        </w:rPr>
        <w:t>.</w:t>
      </w:r>
      <w:r w:rsidRPr="009052B2">
        <w:rPr>
          <w:rFonts w:ascii="Aptos" w:hAnsi="Aptos"/>
        </w:rPr>
        <w:t xml:space="preserve"> </w:t>
      </w:r>
      <w:r w:rsidRPr="00B46962">
        <w:rPr>
          <w:rFonts w:ascii="Aptos" w:hAnsi="Aptos"/>
        </w:rPr>
        <w:t xml:space="preserve"> </w:t>
      </w:r>
      <w:r w:rsidRPr="009052B2">
        <w:rPr>
          <w:rFonts w:ascii="Aptos" w:hAnsi="Aptos"/>
        </w:rPr>
        <w:t>SFPs are mostly traded OTC / outside of trading venues. Market conventions ensure transparency (volumes and cover prices) to market participants via the Bid Wanted in Competition (BWIC) process. The MiFIR post-trade transparency is mostly required because those instruments are listed on exchanges for notifications and documentation purposes.</w:t>
      </w:r>
    </w:p>
    <w:p w14:paraId="5BD9C5C6" w14:textId="77777777" w:rsidR="00003427" w:rsidRPr="009052B2" w:rsidRDefault="00003427" w:rsidP="00003427">
      <w:pPr>
        <w:rPr>
          <w:rFonts w:ascii="Aptos" w:hAnsi="Aptos"/>
        </w:rPr>
      </w:pPr>
      <w:r w:rsidRPr="009052B2">
        <w:rPr>
          <w:rFonts w:ascii="Aptos" w:hAnsi="Aptos"/>
        </w:rPr>
        <w:t xml:space="preserve">SFPs trade infrequently and are illiquid. Well-calibrated deferrals should support market liquidity by protecting liquidity providers from undue risk. Requiring real-time reporting and T+2 reporting (as per latest consultation) would be detrimental to this market. </w:t>
      </w:r>
      <w:r w:rsidRPr="00B46962">
        <w:rPr>
          <w:rFonts w:ascii="Aptos" w:hAnsi="Aptos"/>
        </w:rPr>
        <w:t>ICMA’s expectation</w:t>
      </w:r>
      <w:r w:rsidRPr="009052B2">
        <w:rPr>
          <w:rFonts w:ascii="Aptos" w:hAnsi="Aptos"/>
        </w:rPr>
        <w:t xml:space="preserve"> is that any liquidity analysis will demonstrate this. </w:t>
      </w:r>
      <w:r w:rsidRPr="00B46962">
        <w:rPr>
          <w:rFonts w:ascii="Aptos" w:hAnsi="Aptos"/>
        </w:rPr>
        <w:t>ICMA</w:t>
      </w:r>
      <w:r w:rsidRPr="009052B2">
        <w:rPr>
          <w:rFonts w:ascii="Aptos" w:hAnsi="Aptos"/>
        </w:rPr>
        <w:t xml:space="preserve"> also understand</w:t>
      </w:r>
      <w:r w:rsidRPr="00B46962">
        <w:rPr>
          <w:rFonts w:ascii="Aptos" w:hAnsi="Aptos"/>
        </w:rPr>
        <w:t>s</w:t>
      </w:r>
      <w:r w:rsidRPr="009052B2">
        <w:rPr>
          <w:rFonts w:ascii="Aptos" w:hAnsi="Aptos"/>
        </w:rPr>
        <w:t xml:space="preserve"> that, since the launch of MiFIR in 2018, no quantitative and qualitative analysis </w:t>
      </w:r>
      <w:r w:rsidRPr="00B46962">
        <w:rPr>
          <w:rFonts w:ascii="Aptos" w:hAnsi="Aptos"/>
        </w:rPr>
        <w:t>has</w:t>
      </w:r>
      <w:r w:rsidRPr="009052B2">
        <w:rPr>
          <w:rFonts w:ascii="Aptos" w:hAnsi="Aptos"/>
        </w:rPr>
        <w:t xml:space="preserve"> ever </w:t>
      </w:r>
      <w:r w:rsidRPr="00B46962">
        <w:rPr>
          <w:rFonts w:ascii="Aptos" w:hAnsi="Aptos"/>
        </w:rPr>
        <w:t>conducted</w:t>
      </w:r>
      <w:r w:rsidRPr="009052B2">
        <w:rPr>
          <w:rFonts w:ascii="Aptos" w:hAnsi="Aptos"/>
        </w:rPr>
        <w:t xml:space="preserve"> on </w:t>
      </w:r>
      <w:r w:rsidRPr="00B46962">
        <w:rPr>
          <w:rFonts w:ascii="Aptos" w:hAnsi="Aptos"/>
        </w:rPr>
        <w:t xml:space="preserve">the </w:t>
      </w:r>
      <w:r w:rsidRPr="009052B2">
        <w:rPr>
          <w:rFonts w:ascii="Aptos" w:hAnsi="Aptos"/>
        </w:rPr>
        <w:t xml:space="preserve">SFP </w:t>
      </w:r>
      <w:r w:rsidRPr="00B46962">
        <w:rPr>
          <w:rFonts w:ascii="Aptos" w:hAnsi="Aptos"/>
        </w:rPr>
        <w:t xml:space="preserve">market </w:t>
      </w:r>
      <w:r w:rsidRPr="009052B2">
        <w:rPr>
          <w:rFonts w:ascii="Aptos" w:hAnsi="Aptos"/>
        </w:rPr>
        <w:t xml:space="preserve">and </w:t>
      </w:r>
      <w:r w:rsidRPr="00B46962">
        <w:rPr>
          <w:rFonts w:ascii="Aptos" w:hAnsi="Aptos"/>
        </w:rPr>
        <w:t>accordingly</w:t>
      </w:r>
      <w:r w:rsidRPr="009052B2">
        <w:rPr>
          <w:rFonts w:ascii="Aptos" w:hAnsi="Aptos"/>
        </w:rPr>
        <w:t xml:space="preserve"> any such analysis will require more time than the target date of 29 December 2024.</w:t>
      </w:r>
    </w:p>
    <w:p w14:paraId="4C853078" w14:textId="77777777" w:rsidR="00003427" w:rsidRPr="00B46962" w:rsidRDefault="00003427" w:rsidP="00003427">
      <w:pPr>
        <w:rPr>
          <w:rFonts w:ascii="Aptos" w:hAnsi="Aptos"/>
        </w:rPr>
      </w:pPr>
      <w:r w:rsidRPr="00B46962">
        <w:rPr>
          <w:rFonts w:ascii="Aptos" w:hAnsi="Aptos"/>
        </w:rPr>
        <w:t>A further consideration is that developing</w:t>
      </w:r>
      <w:r w:rsidRPr="009052B2">
        <w:rPr>
          <w:rFonts w:ascii="Aptos" w:hAnsi="Aptos"/>
        </w:rPr>
        <w:t xml:space="preserve"> the EU securitisation market is a priority. Over the last few years, EU policy makers, supervisors</w:t>
      </w:r>
      <w:r w:rsidRPr="00B46962">
        <w:rPr>
          <w:rFonts w:ascii="Aptos" w:hAnsi="Aptos"/>
        </w:rPr>
        <w:t>,</w:t>
      </w:r>
      <w:r w:rsidRPr="009052B2">
        <w:rPr>
          <w:rFonts w:ascii="Aptos" w:hAnsi="Aptos"/>
        </w:rPr>
        <w:t xml:space="preserve"> and market participants have made a priority of growing the EU securitisation market for the purpose of allowing further financing of the economy, as exposed in most if not all position papers of authorities and industry associations this year. This reinforces the point that any change to the transparency deferral regime for the secondary market of SFPs should be carefully assessed.</w:t>
      </w:r>
    </w:p>
    <w:p w14:paraId="2CA148E2" w14:textId="77777777" w:rsidR="00003427" w:rsidRPr="00B46962" w:rsidRDefault="00003427" w:rsidP="00003427">
      <w:pPr>
        <w:rPr>
          <w:rFonts w:ascii="Aptos" w:hAnsi="Aptos"/>
        </w:rPr>
      </w:pPr>
      <w:r w:rsidRPr="00B46962">
        <w:rPr>
          <w:rFonts w:ascii="Aptos" w:hAnsi="Aptos"/>
        </w:rPr>
        <w:t xml:space="preserve">Finally, ICMA would point to the importance of international competitiveness. </w:t>
      </w:r>
      <w:r w:rsidRPr="009052B2">
        <w:rPr>
          <w:rFonts w:ascii="Aptos" w:hAnsi="Aptos"/>
        </w:rPr>
        <w:t xml:space="preserve">We </w:t>
      </w:r>
      <w:r w:rsidRPr="00B46962">
        <w:rPr>
          <w:rFonts w:ascii="Aptos" w:hAnsi="Aptos"/>
        </w:rPr>
        <w:t>therefore</w:t>
      </w:r>
      <w:r w:rsidRPr="009052B2">
        <w:rPr>
          <w:rFonts w:ascii="Aptos" w:hAnsi="Aptos"/>
        </w:rPr>
        <w:t xml:space="preserve"> recommend monitoring closely the evolution of the securitisation markets, both primary and secondary, across jurisdictions. In particular, as per the latest consultation, the UK should be removing SFPs executed OTC from the scope of post-trade transparency. It will be important to observe the potential impacts (i) on the flow of non-EEA investments into EEA and non-EEA markets and (ii) on competitiveness of EU market participants on EEA and non-EEA markets.</w:t>
      </w:r>
    </w:p>
    <w:permEnd w:id="871322226"/>
    <w:p w14:paraId="311B3E37" w14:textId="10F93C29" w:rsidR="00CC59BB" w:rsidRDefault="00CC59BB" w:rsidP="00C54034">
      <w:pPr>
        <w:spacing w:after="0"/>
      </w:pPr>
      <w:r>
        <w:lastRenderedPageBreak/>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798156F4" w14:textId="77777777" w:rsidR="006E25C7" w:rsidRDefault="006E25C7" w:rsidP="00C54034">
      <w:pPr>
        <w:spacing w:after="0"/>
        <w:rPr>
          <w:rFonts w:ascii="Aptos" w:hAnsi="Aptos"/>
        </w:rPr>
      </w:pPr>
      <w:permStart w:id="1530005966" w:edGrp="everyone"/>
      <w:r>
        <w:rPr>
          <w:rFonts w:ascii="Aptos" w:hAnsi="Aptos"/>
        </w:rPr>
        <w:t>ICMA</w:t>
      </w:r>
      <w:r w:rsidRPr="008114D1">
        <w:rPr>
          <w:rFonts w:ascii="Aptos" w:hAnsi="Aptos"/>
        </w:rPr>
        <w:t xml:space="preserve"> understand</w:t>
      </w:r>
      <w:r>
        <w:rPr>
          <w:rFonts w:ascii="Aptos" w:hAnsi="Aptos"/>
        </w:rPr>
        <w:t>s</w:t>
      </w:r>
      <w:r w:rsidRPr="008114D1">
        <w:rPr>
          <w:rFonts w:ascii="Aptos" w:hAnsi="Aptos"/>
        </w:rPr>
        <w:t xml:space="preserve"> that the RTS 2 Article 8 was modified and RTS 2 Articles 8a introduced for framing the deferrals of derivatives and bonds, SFPs and EAs respectively. </w:t>
      </w:r>
      <w:r>
        <w:rPr>
          <w:rFonts w:ascii="Aptos" w:hAnsi="Aptos"/>
        </w:rPr>
        <w:t>ICMA</w:t>
      </w:r>
      <w:r w:rsidRPr="008114D1">
        <w:rPr>
          <w:rFonts w:ascii="Aptos" w:hAnsi="Aptos"/>
        </w:rPr>
        <w:t xml:space="preserve"> believe</w:t>
      </w:r>
      <w:r>
        <w:rPr>
          <w:rFonts w:ascii="Aptos" w:hAnsi="Aptos"/>
        </w:rPr>
        <w:t>s</w:t>
      </w:r>
      <w:r w:rsidRPr="008114D1">
        <w:rPr>
          <w:rFonts w:ascii="Aptos" w:hAnsi="Aptos"/>
        </w:rPr>
        <w:t xml:space="preserve"> th</w:t>
      </w:r>
      <w:r>
        <w:rPr>
          <w:rFonts w:ascii="Aptos" w:hAnsi="Aptos"/>
        </w:rPr>
        <w:t xml:space="preserve">at </w:t>
      </w:r>
      <w:r w:rsidRPr="008114D1">
        <w:rPr>
          <w:rFonts w:ascii="Aptos" w:hAnsi="Aptos"/>
        </w:rPr>
        <w:t>Article 8a (1) should be re-worded to allow for deferrals to apply provided one of the conditions is satisfied: the transaction is large in scale or the class of financial instrument does not have a liquid market (as per previous Art 8). In other words, SFPs transactions should be allowed to be deferred because they do not have a liquid market and this for all trade sizes.</w:t>
      </w:r>
    </w:p>
    <w:p w14:paraId="24ACBE24" w14:textId="1D30F059" w:rsidR="00CC59BB" w:rsidRDefault="006E25C7" w:rsidP="00C54034">
      <w:pPr>
        <w:spacing w:after="0"/>
      </w:pPr>
      <w:r w:rsidRPr="008114D1">
        <w:rPr>
          <w:rFonts w:ascii="Aptos" w:hAnsi="Aptos"/>
        </w:rPr>
        <w:t xml:space="preserve"> </w:t>
      </w:r>
      <w:permEnd w:id="1530005966"/>
      <w:r w:rsidR="00CC59BB">
        <w:t>&lt;ESMA_QUESTION</w:t>
      </w:r>
      <w:r w:rsidR="00F93646">
        <w:t>_</w:t>
      </w:r>
      <w:r w:rsidR="00DD54B5">
        <w:t>CP1</w:t>
      </w:r>
      <w:r w:rsidR="00F93646">
        <w:t>_</w:t>
      </w:r>
      <w:r w:rsidR="00CC59BB">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189CF857" w14:textId="77777777" w:rsidR="003F070D" w:rsidRDefault="003F070D" w:rsidP="003F070D">
      <w:pPr>
        <w:rPr>
          <w:rFonts w:ascii="Aptos" w:hAnsi="Aptos"/>
        </w:rPr>
      </w:pPr>
      <w:permStart w:id="1731550419" w:edGrp="everyone"/>
      <w:r>
        <w:rPr>
          <w:rFonts w:ascii="Aptos" w:hAnsi="Aptos"/>
        </w:rPr>
        <w:t xml:space="preserve">ICMA </w:t>
      </w:r>
      <w:r w:rsidRPr="00B66ADD">
        <w:rPr>
          <w:rFonts w:ascii="Aptos" w:hAnsi="Aptos"/>
        </w:rPr>
        <w:t>believe</w:t>
      </w:r>
      <w:r>
        <w:rPr>
          <w:rFonts w:ascii="Aptos" w:hAnsi="Aptos"/>
        </w:rPr>
        <w:t>s</w:t>
      </w:r>
      <w:r w:rsidRPr="00B66ADD">
        <w:rPr>
          <w:rFonts w:ascii="Aptos" w:hAnsi="Aptos"/>
        </w:rPr>
        <w:t xml:space="preserve"> th</w:t>
      </w:r>
      <w:r>
        <w:rPr>
          <w:rFonts w:ascii="Aptos" w:hAnsi="Aptos"/>
        </w:rPr>
        <w:t>at</w:t>
      </w:r>
      <w:r w:rsidRPr="00B66ADD">
        <w:rPr>
          <w:rFonts w:ascii="Aptos" w:hAnsi="Aptos"/>
        </w:rPr>
        <w:t xml:space="preserve"> Article 8a (1) should be re-worded to allow for price and volume deferral not exceeding 4 weeks after the transaction date (as per previous Art 11). In other words, SFPs should be deferred by 4 week</w:t>
      </w:r>
      <w:r>
        <w:rPr>
          <w:rFonts w:ascii="Aptos" w:hAnsi="Aptos"/>
        </w:rPr>
        <w:t>s</w:t>
      </w:r>
      <w:r w:rsidRPr="00B66ADD">
        <w:rPr>
          <w:rFonts w:ascii="Aptos" w:hAnsi="Aptos"/>
        </w:rPr>
        <w:t xml:space="preserve"> because they do not have a liquid market and this for all trade sizes. Alternatively, Article 8a could also be re-worded to cover the weekly aggregation previously covered in Article 11.</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lastRenderedPageBreak/>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5241BBE6" w14:textId="77777777" w:rsidR="001D0971" w:rsidRPr="00F149A5" w:rsidRDefault="001D0971" w:rsidP="00B24BC8">
      <w:pPr>
        <w:rPr>
          <w:rFonts w:ascii="Aptos" w:hAnsi="Aptos"/>
          <w:u w:val="single"/>
        </w:rPr>
      </w:pPr>
      <w:permStart w:id="1310265670" w:edGrp="everyone"/>
      <w:r w:rsidRPr="00F149A5">
        <w:rPr>
          <w:rFonts w:ascii="Aptos" w:hAnsi="Aptos"/>
          <w:u w:val="single"/>
        </w:rPr>
        <w:t>Supplementary deferrals</w:t>
      </w:r>
    </w:p>
    <w:p w14:paraId="3ED24C9B" w14:textId="77777777" w:rsidR="001D0971" w:rsidRPr="00F149A5" w:rsidRDefault="001D0971" w:rsidP="00B24BC8">
      <w:pPr>
        <w:rPr>
          <w:rFonts w:ascii="Aptos" w:hAnsi="Aptos"/>
        </w:rPr>
      </w:pPr>
      <w:r w:rsidRPr="00F149A5">
        <w:rPr>
          <w:rFonts w:ascii="Aptos" w:hAnsi="Aptos"/>
        </w:rPr>
        <w:t xml:space="preserve">ICMA does not have any issues with the proposal for supplementary deferrals for sovereign bonds. ICMA would also agree that as much consistency between NCAs in the application of the deferrals would be helpful. </w:t>
      </w:r>
    </w:p>
    <w:p w14:paraId="24D1BF49" w14:textId="77777777" w:rsidR="001D0971" w:rsidRPr="00F149A5" w:rsidRDefault="001D0971" w:rsidP="00B24BC8">
      <w:pPr>
        <w:rPr>
          <w:rFonts w:ascii="Aptos" w:hAnsi="Aptos"/>
        </w:rPr>
      </w:pPr>
      <w:r w:rsidRPr="00F149A5">
        <w:rPr>
          <w:rFonts w:ascii="Aptos" w:hAnsi="Aptos"/>
        </w:rPr>
        <w:t>ICMA would also recommend consistency with the proposed deferral calibrations outlined in the answers to Q11 and Q12. Based on the ICMA proposals, in this case of supplementary volume deferrals, this would require revising the category 3 and 4 maximum price deferrals, as well as introducing category 6 (very large and illiquid).</w:t>
      </w:r>
    </w:p>
    <w:p w14:paraId="1DA4195B" w14:textId="77777777" w:rsidR="001D0971" w:rsidRPr="00F149A5" w:rsidRDefault="001D0971" w:rsidP="00B24BC8">
      <w:pPr>
        <w:rPr>
          <w:rFonts w:ascii="Aptos" w:hAnsi="Aptos"/>
        </w:rPr>
      </w:pPr>
      <w:r w:rsidRPr="00F149A5">
        <w:rPr>
          <w:rFonts w:ascii="Aptos" w:hAnsi="Aptos"/>
        </w:rPr>
        <w:t>With regards the proposal for the publication of aggregated trades, ICMA would again point to consistency with the standard post trade deferral matrices (see Q12). ICMA also finds the Table in paragraph 165 a little confusing and assumes that the final column (</w:t>
      </w:r>
      <w:r w:rsidRPr="00F149A5">
        <w:rPr>
          <w:rFonts w:ascii="Aptos" w:hAnsi="Aptos"/>
          <w:i/>
          <w:iCs/>
        </w:rPr>
        <w:t>Aggregated details publication</w:t>
      </w:r>
      <w:r w:rsidRPr="00F149A5">
        <w:rPr>
          <w:rFonts w:ascii="Aptos" w:hAnsi="Aptos"/>
        </w:rPr>
        <w:t xml:space="preserve">) is the pertinent timeline with respect to trade details being published. </w:t>
      </w:r>
    </w:p>
    <w:p w14:paraId="3B6D76A0" w14:textId="77777777" w:rsidR="001D0971" w:rsidRPr="00F149A5" w:rsidRDefault="001D0971" w:rsidP="00B24BC8">
      <w:pPr>
        <w:rPr>
          <w:rFonts w:ascii="Aptos" w:hAnsi="Aptos"/>
          <w:sz w:val="24"/>
          <w:szCs w:val="24"/>
          <w:u w:val="single"/>
        </w:rPr>
      </w:pPr>
    </w:p>
    <w:p w14:paraId="716CA54C" w14:textId="77777777" w:rsidR="001D0971" w:rsidRPr="00F149A5" w:rsidRDefault="001D0971" w:rsidP="00B24BC8">
      <w:pPr>
        <w:rPr>
          <w:rFonts w:ascii="Aptos" w:hAnsi="Aptos"/>
          <w:sz w:val="24"/>
          <w:szCs w:val="24"/>
          <w:u w:val="single"/>
        </w:rPr>
      </w:pPr>
      <w:r w:rsidRPr="00F149A5">
        <w:rPr>
          <w:rFonts w:ascii="Aptos" w:hAnsi="Aptos"/>
          <w:sz w:val="24"/>
          <w:szCs w:val="24"/>
          <w:u w:val="single"/>
        </w:rPr>
        <w:t>Sovereign bond hedges for new issuance</w:t>
      </w:r>
    </w:p>
    <w:p w14:paraId="700E5841" w14:textId="77777777" w:rsidR="001D0971" w:rsidRPr="00F149A5" w:rsidRDefault="001D0971" w:rsidP="00B24BC8">
      <w:pPr>
        <w:rPr>
          <w:rFonts w:ascii="Aptos" w:hAnsi="Aptos"/>
        </w:rPr>
      </w:pPr>
      <w:r w:rsidRPr="00F149A5">
        <w:rPr>
          <w:rFonts w:ascii="Aptos" w:hAnsi="Aptos"/>
        </w:rPr>
        <w:t>ICMA recognizes a need for some leeway in the post-trade real-time reporting obligation in the case of transactions in sovereign bonds related to the hedging element of new bond issuance.</w:t>
      </w:r>
    </w:p>
    <w:p w14:paraId="5EA827C8" w14:textId="77777777" w:rsidR="001D0971" w:rsidRPr="00F149A5" w:rsidRDefault="001D0971" w:rsidP="001D0971">
      <w:pPr>
        <w:rPr>
          <w:rFonts w:ascii="Aptos" w:hAnsi="Aptos"/>
        </w:rPr>
      </w:pPr>
      <w:r w:rsidRPr="00F149A5">
        <w:rPr>
          <w:rFonts w:ascii="Aptos" w:hAnsi="Aptos"/>
        </w:rPr>
        <w:t>A real time booking and reporting requirement cannot be met for certain hedge trades commonly transacted in the form of government bonds associated with new bond issues, in particular if this was strictly required to occur within 15 minutes. In such scenarios, switches are agreed before primary pricing but conditionally on (i) primary pricing occurring and (ii) availability of primary pricing data. These hedge trades are consequently time-stamped/booked as of primary pricing. As</w:t>
      </w:r>
      <w:r>
        <w:rPr>
          <w:rFonts w:ascii="Aptos" w:hAnsi="Aptos"/>
        </w:rPr>
        <w:t xml:space="preserve"> </w:t>
      </w:r>
      <w:r w:rsidRPr="00F149A5">
        <w:rPr>
          <w:rFonts w:ascii="Aptos" w:hAnsi="Aptos"/>
        </w:rPr>
        <w:t xml:space="preserve">the hedge price is part of the new issue package of pricing, the hedge price is communicated to the market once the overall pricing message has been prepared by the syndicate bank following the pricing call. The message is then checked and agreed by the rest of the syndicate banks before it is sent out to the banks’ sales teams. The time of execution is given on the message, but it is often more than 15 minutes before investors will receive that from their sales representative. </w:t>
      </w:r>
    </w:p>
    <w:p w14:paraId="740B06A2" w14:textId="77777777" w:rsidR="001D0971" w:rsidRPr="00F149A5" w:rsidRDefault="001D0971" w:rsidP="001D0971">
      <w:pPr>
        <w:rPr>
          <w:rFonts w:ascii="Aptos" w:hAnsi="Aptos"/>
        </w:rPr>
      </w:pPr>
      <w:r w:rsidRPr="00F149A5">
        <w:rPr>
          <w:rFonts w:ascii="Aptos" w:hAnsi="Aptos"/>
        </w:rPr>
        <w:t xml:space="preserve">Post-trade processing of what can potentially include hundreds of switches begins after primary pricing and can continue for some time (minutes/hours). Tying primary pricing to all pending bookings and banks reporting so many trades in such a short time is practically challenging. Hence, ICMA would welcome either a dedicated deferral for this specific scenario (as provided for in the US under TRACE) or acknowledgement from ESMA that this is another scenario where a requirement for reporting “as soon as practicably possible” can require longer than a 15-minute deferral. </w:t>
      </w:r>
    </w:p>
    <w:p w14:paraId="50486DF5" w14:textId="660A7307" w:rsidR="00CC59BB" w:rsidRDefault="001D0971" w:rsidP="00C54034">
      <w:pPr>
        <w:spacing w:after="0"/>
      </w:pPr>
      <w:r w:rsidRPr="00F149A5">
        <w:rPr>
          <w:rFonts w:ascii="Aptos" w:hAnsi="Aptos"/>
        </w:rPr>
        <w:t xml:space="preserve"> </w:t>
      </w:r>
      <w:permEnd w:id="1310265670"/>
      <w:r w:rsidR="00CC59BB">
        <w:t>&lt;ESMA_QUESTION</w:t>
      </w:r>
      <w:r w:rsidR="00F93646">
        <w:t>_</w:t>
      </w:r>
      <w:r w:rsidR="00DD54B5">
        <w:t>CP1</w:t>
      </w:r>
      <w:r w:rsidR="00F93646">
        <w:t>_</w:t>
      </w:r>
      <w:r w:rsidR="00CC59BB">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71EF3D82" w14:textId="77777777" w:rsidR="00E12BA2" w:rsidRDefault="00E12BA2" w:rsidP="00C54034">
      <w:pPr>
        <w:spacing w:after="0"/>
      </w:pPr>
      <w:permStart w:id="1711693936" w:edGrp="everyone"/>
      <w:r w:rsidRPr="00F149A5">
        <w:rPr>
          <w:rFonts w:ascii="Aptos" w:hAnsi="Aptos"/>
        </w:rPr>
        <w:t xml:space="preserve">ICMA agrees that that currently there is no need to make changes to the temporary suspension of transparency obligations </w:t>
      </w:r>
      <w:proofErr w:type="gramStart"/>
      <w:r w:rsidRPr="00F149A5">
        <w:rPr>
          <w:rFonts w:ascii="Aptos" w:hAnsi="Aptos"/>
        </w:rPr>
        <w:t>framework</w:t>
      </w:r>
      <w:r>
        <w:t xml:space="preserve"> .</w:t>
      </w:r>
      <w:proofErr w:type="gramEnd"/>
    </w:p>
    <w:permEnd w:id="1711693936"/>
    <w:p w14:paraId="0BFA64C6" w14:textId="643F7819"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2E4AEEE6" w14:textId="1E66C2F8" w:rsidR="00CC59BB" w:rsidRPr="00E12BA2" w:rsidRDefault="00E12BA2" w:rsidP="00E12BA2">
      <w:pPr>
        <w:rPr>
          <w:rFonts w:ascii="Aptos" w:hAnsi="Aptos"/>
        </w:rPr>
      </w:pPr>
      <w:permStart w:id="1126446852" w:edGrp="everyone"/>
      <w:r>
        <w:rPr>
          <w:rFonts w:ascii="Aptos" w:hAnsi="Aptos"/>
        </w:rPr>
        <w:lastRenderedPageBreak/>
        <w:t>ICMA</w:t>
      </w:r>
      <w:r w:rsidRPr="00BD0781">
        <w:rPr>
          <w:rFonts w:ascii="Aptos" w:hAnsi="Aptos"/>
        </w:rPr>
        <w:t xml:space="preserve"> not</w:t>
      </w:r>
      <w:r>
        <w:rPr>
          <w:rFonts w:ascii="Aptos" w:hAnsi="Aptos"/>
        </w:rPr>
        <w:t>es</w:t>
      </w:r>
      <w:r w:rsidRPr="00BD0781">
        <w:rPr>
          <w:rFonts w:ascii="Aptos" w:hAnsi="Aptos"/>
        </w:rPr>
        <w:t xml:space="preserve"> that ESMA currently has not yet decided </w:t>
      </w:r>
      <w:r>
        <w:rPr>
          <w:rFonts w:ascii="Aptos" w:hAnsi="Aptos"/>
        </w:rPr>
        <w:t xml:space="preserve">on </w:t>
      </w:r>
      <w:r w:rsidRPr="00BD0781">
        <w:rPr>
          <w:rFonts w:ascii="Aptos" w:hAnsi="Aptos"/>
        </w:rPr>
        <w:t xml:space="preserve">the </w:t>
      </w:r>
      <w:r>
        <w:rPr>
          <w:rFonts w:ascii="Aptos" w:hAnsi="Aptos"/>
        </w:rPr>
        <w:t>“</w:t>
      </w:r>
      <w:r w:rsidRPr="00BD0781">
        <w:rPr>
          <w:rFonts w:ascii="Aptos" w:hAnsi="Aptos"/>
        </w:rPr>
        <w:t>implementation period</w:t>
      </w:r>
      <w:r>
        <w:rPr>
          <w:rFonts w:ascii="Aptos" w:hAnsi="Aptos"/>
        </w:rPr>
        <w:t>”</w:t>
      </w:r>
      <w:r w:rsidRPr="00BD0781">
        <w:rPr>
          <w:rFonts w:ascii="Aptos" w:hAnsi="Aptos"/>
        </w:rPr>
        <w:t xml:space="preserve"> for the amended RTS 2 (it is shown as</w:t>
      </w:r>
      <w:r>
        <w:rPr>
          <w:rFonts w:ascii="Aptos" w:hAnsi="Aptos"/>
        </w:rPr>
        <w:t xml:space="preserve"> “</w:t>
      </w:r>
      <w:proofErr w:type="gramStart"/>
      <w:r w:rsidRPr="00BD0781">
        <w:rPr>
          <w:rFonts w:ascii="Aptos" w:hAnsi="Aptos"/>
        </w:rPr>
        <w:t>TBC</w:t>
      </w:r>
      <w:r>
        <w:rPr>
          <w:rFonts w:ascii="Aptos" w:hAnsi="Aptos"/>
        </w:rPr>
        <w:t>“ on</w:t>
      </w:r>
      <w:proofErr w:type="gramEnd"/>
      <w:r>
        <w:rPr>
          <w:rFonts w:ascii="Aptos" w:hAnsi="Aptos"/>
        </w:rPr>
        <w:t xml:space="preserve"> p.</w:t>
      </w:r>
      <w:r w:rsidRPr="00BD0781">
        <w:rPr>
          <w:rFonts w:ascii="Aptos" w:hAnsi="Aptos"/>
        </w:rPr>
        <w:t>177 of the CP). Considering the complexity of the changes and the connection between RTS 23 and RTS 2, we would like to propose the same implementation period as proposed by ESMA for the amended RTS 23 (i.e., 18 months after the date of entry into force). In addition, we would also like to highlight that the delegated act of OTC derivative identifier and the new derivative transparency regime have a</w:t>
      </w:r>
      <w:r>
        <w:rPr>
          <w:rFonts w:ascii="Aptos" w:hAnsi="Aptos"/>
        </w:rPr>
        <w:t>dditional</w:t>
      </w:r>
      <w:r w:rsidRPr="00BD0781">
        <w:rPr>
          <w:rFonts w:ascii="Aptos" w:hAnsi="Aptos"/>
        </w:rPr>
        <w:t xml:space="preserve"> impact</w:t>
      </w:r>
      <w:r>
        <w:rPr>
          <w:rFonts w:ascii="Aptos" w:hAnsi="Aptos"/>
        </w:rPr>
        <w:t>s</w:t>
      </w:r>
      <w:r w:rsidRPr="00BD0781">
        <w:rPr>
          <w:rFonts w:ascii="Aptos" w:hAnsi="Aptos"/>
        </w:rPr>
        <w:t xml:space="preserve"> on RTS 2 and RTS 23, so we urge ESMA further align all related changes in a broader time plan to prevent unnecessary costs </w:t>
      </w:r>
      <w:r>
        <w:rPr>
          <w:rFonts w:ascii="Aptos" w:hAnsi="Aptos"/>
        </w:rPr>
        <w:t>resulting from multiple</w:t>
      </w:r>
      <w:r w:rsidRPr="00BD0781">
        <w:rPr>
          <w:rFonts w:ascii="Aptos" w:hAnsi="Aptos"/>
        </w:rPr>
        <w:t xml:space="preserve"> </w:t>
      </w:r>
      <w:r>
        <w:rPr>
          <w:rFonts w:ascii="Aptos" w:hAnsi="Aptos"/>
        </w:rPr>
        <w:t xml:space="preserve">sequential </w:t>
      </w:r>
      <w:r w:rsidRPr="00BD0781">
        <w:rPr>
          <w:rFonts w:ascii="Aptos" w:hAnsi="Aptos"/>
        </w:rPr>
        <w:t>changes.</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5FCA3212" w14:textId="77777777" w:rsidR="008B6EE9" w:rsidRPr="00BF5F1D" w:rsidRDefault="008B6EE9" w:rsidP="008B6EE9">
      <w:pPr>
        <w:rPr>
          <w:b/>
          <w:bCs/>
        </w:rPr>
      </w:pPr>
      <w:permStart w:id="1672500431" w:edGrp="everyone"/>
      <w:r>
        <w:t xml:space="preserve">ICMA members welcome that ESMA in its proposals is seeking to put more structure in the cost calculation, however in Chapter II Article 2 (6) in the draft RTS (as mentioned on page 308 of this Consultation Paper) item e. “other </w:t>
      </w:r>
      <w:proofErr w:type="gramStart"/>
      <w:r>
        <w:t>costs,…</w:t>
      </w:r>
      <w:proofErr w:type="gramEnd"/>
      <w:r>
        <w:t xml:space="preserve">” should not give room for a wide interpretation of what such additional costs could constitute, which would be of concern to members from a data user perspective. </w:t>
      </w:r>
    </w:p>
    <w:p w14:paraId="6AEFC61C" w14:textId="77777777" w:rsidR="008B6EE9" w:rsidRPr="000A508F" w:rsidRDefault="008B6EE9" w:rsidP="008B6EE9">
      <w:pPr>
        <w:rPr>
          <w:b/>
          <w:bCs/>
        </w:rPr>
      </w:pPr>
      <w:r>
        <w:t>Members highlighted what some of such costs could consist of (such as a sharp increase in compliance costs, inflation for example) but ultimately it is for the regulator/ESMA to decide whether/which costs should be accepted to fall under this category and that this would be reviewed regularly by ESMA.</w:t>
      </w:r>
    </w:p>
    <w:p w14:paraId="0B901DC1" w14:textId="77777777" w:rsidR="008B6EE9" w:rsidRPr="000A508F" w:rsidRDefault="008B6EE9" w:rsidP="008B6EE9">
      <w:pPr>
        <w:rPr>
          <w:b/>
          <w:bCs/>
        </w:rPr>
      </w:pPr>
      <w:r>
        <w:t xml:space="preserve">ICMA would like to highlight that the data provider should not be allowed to charge users for multiple use of data (as is the case now, see also our response to Q31 for further details). </w:t>
      </w:r>
    </w:p>
    <w:p w14:paraId="32D23913" w14:textId="77777777" w:rsidR="008B6EE9" w:rsidRPr="00BF5F1D" w:rsidRDefault="008B6EE9" w:rsidP="008B6EE9">
      <w:pPr>
        <w:rPr>
          <w:b/>
          <w:bCs/>
        </w:rPr>
      </w:pPr>
      <w:r>
        <w:lastRenderedPageBreak/>
        <w:t>The RCB control element is very important also with respect to the upcoming Consolidated tape regime and with respect to the CTP business model, where ICMA would like to refer to the draft RTS on RCB Article 3 (3) on page 309 of this CP, specifically the aim to “enable data access to the maximum number of market data clients”.</w:t>
      </w:r>
    </w:p>
    <w:p w14:paraId="45E45E13" w14:textId="77777777" w:rsidR="008B6EE9" w:rsidRPr="004E799D" w:rsidRDefault="008B6EE9" w:rsidP="008B6EE9">
      <w:r w:rsidRPr="004E799D">
        <w:t>From a user perspective, ICMA members would also like to suggest that all market data could be licensed by customers at an enterprise level for their internal use in the ordinary course of business. This would enable customers to make use of market data within their organization, without the possibility of additional fees or reporting requirements.</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2E994A9E" w14:textId="77777777" w:rsidR="008B6EE9" w:rsidRPr="00BF5F1D" w:rsidRDefault="008B6EE9" w:rsidP="008B6EE9">
      <w:pPr>
        <w:rPr>
          <w:b/>
          <w:bCs/>
        </w:rPr>
      </w:pPr>
      <w:permStart w:id="1840853704" w:edGrp="everyone"/>
      <w:r>
        <w:t>ICMA members welcome the approach, which looks comprehensive and already very detailed. See also our response to question 26.</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1EE7CEF6" w14:textId="77777777" w:rsidR="008B6EE9" w:rsidRDefault="008B6EE9" w:rsidP="00FA4100">
      <w:pPr>
        <w:spacing w:after="0"/>
      </w:pPr>
      <w:permStart w:id="636686123" w:edGrp="everyone"/>
      <w:r>
        <w:t xml:space="preserve">ICMA members agree with the proposal. </w:t>
      </w:r>
    </w:p>
    <w:permEnd w:id="636686123"/>
    <w:p w14:paraId="1A641ECE" w14:textId="52AF01E0"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48A4AF0F" w14:textId="77777777" w:rsidR="00A030AB" w:rsidRDefault="00A030AB" w:rsidP="00A030AB">
      <w:permStart w:id="1539128939" w:edGrp="everyone"/>
      <w:r>
        <w:t>Members agree.</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7F7CE3CF" w14:textId="77777777" w:rsidR="00A030AB" w:rsidRDefault="00A030AB" w:rsidP="00A030AB">
      <w:permStart w:id="307052998" w:edGrp="everyone"/>
      <w:r>
        <w:t xml:space="preserve">ICMA agrees with the proposed template. </w:t>
      </w:r>
    </w:p>
    <w:p w14:paraId="753C80E5" w14:textId="77777777" w:rsidR="00A030AB" w:rsidRPr="00BF5F1D" w:rsidRDefault="00A030AB" w:rsidP="00A030AB">
      <w:pPr>
        <w:rPr>
          <w:b/>
          <w:bCs/>
        </w:rPr>
      </w:pPr>
      <w:r>
        <w:t>With that in mind, the proportionality principle should be applied, in order to protect smaller market players, who will be facing huge costs with the new regime, and so that the requirements do not become too cumbersome. Members understand it is not the main goal to target the smaller players.</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4FDAC7F6" w14:textId="77777777" w:rsidR="00A030AB" w:rsidRDefault="00A030AB" w:rsidP="00A030AB">
      <w:permStart w:id="884149456" w:edGrp="everyone"/>
      <w:r>
        <w:t xml:space="preserve">ICMA welcomes ESMA’s proposals in order to ensure non-discriminatory access. </w:t>
      </w:r>
    </w:p>
    <w:p w14:paraId="17361684" w14:textId="77777777" w:rsidR="00A030AB" w:rsidRDefault="00A030AB" w:rsidP="00A030AB">
      <w:r>
        <w:t>Furthermore, and in reference to the response to Q26, a situation should be avoided whereby multiple service users can be charged multiple times. This has also been highlighted in the ESMA proposal and hence members welcome the proposal.</w:t>
      </w:r>
    </w:p>
    <w:p w14:paraId="110A79E2" w14:textId="77777777" w:rsidR="00A030AB" w:rsidRDefault="00A030AB" w:rsidP="00A030AB">
      <w:r>
        <w:t>Aside from the non-discriminatory aspect, there is also a competition aspect as the new regime should not lead to unfair competition (SIs should not be put in a competitive disadvantage). ICMA therefore agrees with ESMA’s recommendation in paragraph 235 on page 75 that “the</w:t>
      </w:r>
      <w:r w:rsidRPr="00B755C1">
        <w:t xml:space="preserve"> European Commission should use its legislative power to create a level playing field between the market data providers subject to MiFIR and those entities that redistribute market data but are currently not subject to MiFIR.</w:t>
      </w:r>
      <w:r>
        <w:t>”</w:t>
      </w:r>
    </w:p>
    <w:p w14:paraId="59F281DB" w14:textId="77777777" w:rsidR="00A030AB" w:rsidRPr="004E799D" w:rsidRDefault="00A030AB" w:rsidP="00A030AB">
      <w:r w:rsidRPr="004E799D">
        <w:t xml:space="preserve">In addition to the above, ICMA would like to highlight that whilst ESMA’s proposals in Section 9 of the CP </w:t>
      </w:r>
      <w:r w:rsidRPr="004E799D">
        <w:rPr>
          <w:lang w:val="en"/>
        </w:rPr>
        <w:t xml:space="preserve">are useful and constructive, there could be some more concrete guidance to ensure that any question on interpretation can be rapidly answered, and that any abusive interpretation can be effectively challenged. As such, there could be value in putting in place a permanent dispute resolution mechanism </w:t>
      </w:r>
      <w:r w:rsidRPr="004E799D">
        <w:t xml:space="preserve">which could help solve issues that arise, for example around the duplication of fees, and other subjects of dispute. ESMA should be the key point of contact for this. A list of FAQs by ESMA on this topic would also be of interest, which could provide examples that can be </w:t>
      </w:r>
      <w:r w:rsidRPr="004E799D">
        <w:lastRenderedPageBreak/>
        <w:t xml:space="preserve">referenced. Stronger supervisory and enforcement mechanisms would also be welcome from a user perspective. </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234A9EE8" w14:textId="77777777" w:rsidR="00A030AB" w:rsidRDefault="00A030AB" w:rsidP="00A030AB">
      <w:permStart w:id="1310215157" w:edGrp="everyone"/>
      <w:r>
        <w:t>The provisions look valid in the ESMA proposal, and are valid across all asset classes. Members agree to paragraph 229 though with respect to HFT.</w:t>
      </w:r>
    </w:p>
    <w:p w14:paraId="00BEF849" w14:textId="77777777" w:rsidR="00A030AB" w:rsidRPr="00EC70BA" w:rsidRDefault="00A030AB" w:rsidP="00A030AB">
      <w:r>
        <w:t xml:space="preserve">ICMA agrees that different costs in the transmission protocols (such as API vs CSV) could affect fees. </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6B4EB994" w14:textId="77777777" w:rsidR="00A030AB" w:rsidRPr="00323613" w:rsidRDefault="00A030AB" w:rsidP="00A030AB">
      <w:pPr>
        <w:spacing w:after="12" w:line="247" w:lineRule="auto"/>
        <w:ind w:right="22"/>
        <w:rPr>
          <w:lang w:val="en-US"/>
        </w:rPr>
      </w:pPr>
      <w:permStart w:id="1461735347" w:edGrp="everyone"/>
      <w:r w:rsidRPr="00323613">
        <w:rPr>
          <w:lang w:val="en-US"/>
        </w:rPr>
        <w:t xml:space="preserve">In general, ICMA supports simple and standardized fee categories, and access to data on a non-discriminatory basis </w:t>
      </w:r>
    </w:p>
    <w:p w14:paraId="4632448C" w14:textId="77777777" w:rsidR="00A030AB" w:rsidRPr="00323613" w:rsidRDefault="00A030AB" w:rsidP="00A030AB">
      <w:pPr>
        <w:spacing w:after="12" w:line="247" w:lineRule="auto"/>
        <w:ind w:right="22"/>
        <w:rPr>
          <w:lang w:val="en-US"/>
        </w:rPr>
      </w:pPr>
    </w:p>
    <w:p w14:paraId="117C8A5A" w14:textId="77777777" w:rsidR="00A030AB" w:rsidRPr="007D7A61" w:rsidRDefault="00A030AB" w:rsidP="00A030AB">
      <w:pPr>
        <w:spacing w:after="12" w:line="247" w:lineRule="auto"/>
        <w:ind w:right="22"/>
        <w:rPr>
          <w:color w:val="4F81BD" w:themeColor="accent1"/>
          <w:lang w:val="en-US"/>
        </w:rPr>
      </w:pPr>
      <w:r w:rsidRPr="00323613">
        <w:rPr>
          <w:lang w:val="en-US"/>
        </w:rPr>
        <w:t xml:space="preserve">Under the draft RTS on RCB </w:t>
      </w:r>
      <w:r w:rsidRPr="00626C2C">
        <w:t xml:space="preserve">as outlined in the Annex of this CP in Chapter III Article </w:t>
      </w:r>
      <w:r>
        <w:t>5 (3) (page 310)</w:t>
      </w:r>
      <w:r w:rsidRPr="00626C2C">
        <w:t xml:space="preserve">, </w:t>
      </w:r>
      <w:r>
        <w:t xml:space="preserve">ICMA would suggest the following changes, in order to provide an example of how discounts could be given in the form of volume discounts, as follows: </w:t>
      </w:r>
    </w:p>
    <w:p w14:paraId="71D449DA" w14:textId="77777777" w:rsidR="00A030AB" w:rsidRPr="008D563B" w:rsidRDefault="00A030AB" w:rsidP="00A030AB">
      <w:pPr>
        <w:pStyle w:val="ListParagraph"/>
        <w:numPr>
          <w:ilvl w:val="2"/>
          <w:numId w:val="56"/>
        </w:numPr>
        <w:spacing w:after="0" w:line="240" w:lineRule="auto"/>
        <w:contextualSpacing w:val="0"/>
        <w:jc w:val="left"/>
        <w:rPr>
          <w:rFonts w:eastAsia="Times New Roman"/>
        </w:rPr>
      </w:pPr>
      <w:r w:rsidRPr="00076ADA">
        <w:rPr>
          <w:rFonts w:eastAsia="Times New Roman" w:cs="Calibri"/>
          <w:u w:val="single"/>
          <w:lang w:val="en-US"/>
        </w:rPr>
        <w:t>From</w:t>
      </w:r>
      <w:r w:rsidRPr="00BF5F1D">
        <w:rPr>
          <w:rFonts w:eastAsia="Times New Roman" w:cs="Calibri"/>
          <w:lang w:val="en-US"/>
        </w:rPr>
        <w:t xml:space="preserve">: “Discounts or any other temporary reduction of fees are allowed provided that they are based on factual elements, easily verifiable and sufficiently general to pertain to more than one client.”  </w:t>
      </w:r>
    </w:p>
    <w:p w14:paraId="78222202" w14:textId="77777777" w:rsidR="00A030AB" w:rsidRPr="004E799D" w:rsidRDefault="00A030AB" w:rsidP="00A030AB">
      <w:pPr>
        <w:pStyle w:val="ListParagraph"/>
        <w:numPr>
          <w:ilvl w:val="2"/>
          <w:numId w:val="56"/>
        </w:numPr>
        <w:spacing w:after="0" w:line="240" w:lineRule="auto"/>
        <w:contextualSpacing w:val="0"/>
        <w:jc w:val="left"/>
        <w:rPr>
          <w:rFonts w:eastAsia="Times New Roman"/>
        </w:rPr>
      </w:pPr>
      <w:r w:rsidRPr="004E799D">
        <w:rPr>
          <w:rFonts w:eastAsia="Times New Roman" w:cs="Calibri"/>
          <w:u w:val="single"/>
          <w:lang w:val="en-US"/>
        </w:rPr>
        <w:t>To:</w:t>
      </w:r>
      <w:r w:rsidRPr="004E799D">
        <w:rPr>
          <w:rFonts w:eastAsia="Times New Roman" w:cs="Calibri"/>
          <w:lang w:val="en-US"/>
        </w:rPr>
        <w:t xml:space="preserve"> “Discounts or any other temporary reduction of </w:t>
      </w:r>
      <w:proofErr w:type="gramStart"/>
      <w:r w:rsidRPr="004E799D">
        <w:rPr>
          <w:rFonts w:eastAsia="Times New Roman" w:cs="Calibri"/>
          <w:lang w:val="en-US"/>
        </w:rPr>
        <w:t xml:space="preserve">fees </w:t>
      </w:r>
      <w:r w:rsidRPr="004E799D">
        <w:rPr>
          <w:rFonts w:eastAsia="Times New Roman" w:cs="Calibri"/>
          <w:i/>
          <w:iCs/>
          <w:lang w:val="en-US"/>
        </w:rPr>
        <w:t xml:space="preserve"> (</w:t>
      </w:r>
      <w:proofErr w:type="gramEnd"/>
      <w:r w:rsidRPr="004E799D">
        <w:rPr>
          <w:rFonts w:eastAsia="Times New Roman" w:cs="Calibri"/>
          <w:i/>
          <w:iCs/>
          <w:lang w:val="en-US"/>
        </w:rPr>
        <w:t xml:space="preserve">such as for example as per the volume of data which is provided) </w:t>
      </w:r>
      <w:r w:rsidRPr="004E799D">
        <w:rPr>
          <w:rFonts w:eastAsia="Times New Roman" w:cs="Calibri"/>
          <w:lang w:val="en-US"/>
        </w:rPr>
        <w:t>are allowed provided that they are based on factual elements, easily verifiable and sufficiently general to pertain to more than one client</w:t>
      </w:r>
      <w:r w:rsidRPr="004E799D">
        <w:rPr>
          <w:rFonts w:eastAsia="Times New Roman" w:cs="Calibri"/>
          <w:i/>
          <w:iCs/>
          <w:lang w:val="en-US"/>
        </w:rPr>
        <w:t>,.”</w:t>
      </w:r>
    </w:p>
    <w:p w14:paraId="507FA3A2" w14:textId="77777777" w:rsidR="00A030AB" w:rsidRDefault="00A030AB" w:rsidP="00A030AB"/>
    <w:p w14:paraId="4BB54FE6" w14:textId="77777777" w:rsidR="00A030AB" w:rsidRPr="00626C2C" w:rsidRDefault="00A030AB" w:rsidP="00A030AB">
      <w:r w:rsidRPr="009A336E">
        <w:t xml:space="preserve">Furthermore, </w:t>
      </w:r>
      <w:r w:rsidRPr="00626C2C">
        <w:t>In the draft RTS on RCB (as outlined in the Annex of this CP in Chapter III Article 4</w:t>
      </w:r>
      <w:r>
        <w:t xml:space="preserve"> on page 309)</w:t>
      </w:r>
      <w:r w:rsidRPr="00626C2C">
        <w:t xml:space="preserve">, </w:t>
      </w:r>
      <w:r>
        <w:t>ICMA would like to propose a slight change as follows</w:t>
      </w:r>
      <w:r w:rsidRPr="00626C2C">
        <w:t>:</w:t>
      </w:r>
    </w:p>
    <w:p w14:paraId="05C7006D" w14:textId="77777777" w:rsidR="00A030AB" w:rsidRPr="00626C2C" w:rsidRDefault="00A030AB" w:rsidP="00A030AB">
      <w:pPr>
        <w:pStyle w:val="ListParagraph"/>
        <w:numPr>
          <w:ilvl w:val="2"/>
          <w:numId w:val="55"/>
        </w:numPr>
        <w:spacing w:after="160" w:line="259" w:lineRule="auto"/>
        <w:jc w:val="left"/>
      </w:pPr>
      <w:r w:rsidRPr="00076ADA">
        <w:rPr>
          <w:u w:val="single"/>
        </w:rPr>
        <w:t>From:</w:t>
      </w:r>
      <w:r>
        <w:t xml:space="preserve"> “</w:t>
      </w:r>
      <w:r w:rsidRPr="00626C2C">
        <w:t>Market data providers shall apply the same schedule of fees and the same terms and conditions to access market data to all clients requesting access to market data.</w:t>
      </w:r>
      <w:r>
        <w:t>”</w:t>
      </w:r>
    </w:p>
    <w:p w14:paraId="3E680F38" w14:textId="77777777" w:rsidR="00A030AB" w:rsidRPr="00626C2C" w:rsidRDefault="00A030AB" w:rsidP="00A030AB"/>
    <w:p w14:paraId="391CA4F8" w14:textId="77777777" w:rsidR="00A030AB" w:rsidRPr="00235470" w:rsidRDefault="00A030AB" w:rsidP="00A030AB">
      <w:pPr>
        <w:pStyle w:val="ListParagraph"/>
        <w:numPr>
          <w:ilvl w:val="2"/>
          <w:numId w:val="55"/>
        </w:numPr>
        <w:spacing w:after="160" w:line="259" w:lineRule="auto"/>
        <w:jc w:val="left"/>
        <w:rPr>
          <w:color w:val="4F81BD" w:themeColor="accent1"/>
        </w:rPr>
      </w:pPr>
      <w:r w:rsidRPr="00076ADA">
        <w:rPr>
          <w:rFonts w:eastAsia="Times New Roman" w:cs="Times New Roman"/>
          <w:u w:val="single"/>
          <w:lang w:val="en-US"/>
        </w:rPr>
        <w:t>To:</w:t>
      </w:r>
      <w:r>
        <w:rPr>
          <w:rFonts w:eastAsia="Times New Roman" w:cs="Times New Roman"/>
          <w:lang w:val="en-US"/>
        </w:rPr>
        <w:t xml:space="preserve"> “</w:t>
      </w:r>
      <w:r w:rsidRPr="00626C2C">
        <w:rPr>
          <w:rFonts w:eastAsia="Times New Roman" w:cs="Times New Roman"/>
          <w:lang w:val="en-US"/>
        </w:rPr>
        <w:t xml:space="preserve">Market data providers shall </w:t>
      </w:r>
      <w:r>
        <w:rPr>
          <w:rFonts w:eastAsia="Times New Roman" w:cs="Times New Roman"/>
          <w:lang w:val="en-US"/>
        </w:rPr>
        <w:t>offer</w:t>
      </w:r>
      <w:r w:rsidRPr="00626C2C">
        <w:rPr>
          <w:rFonts w:eastAsia="Times New Roman" w:cs="Times New Roman"/>
          <w:lang w:val="en-US"/>
        </w:rPr>
        <w:t xml:space="preserve"> the same</w:t>
      </w:r>
      <w:r>
        <w:rPr>
          <w:rFonts w:eastAsia="Times New Roman" w:cs="Times New Roman"/>
          <w:lang w:val="en-US"/>
        </w:rPr>
        <w:t xml:space="preserve"> </w:t>
      </w:r>
      <w:r w:rsidRPr="00235470">
        <w:rPr>
          <w:rFonts w:eastAsia="Times New Roman" w:cs="Times New Roman"/>
          <w:color w:val="4F81BD" w:themeColor="accent1"/>
          <w:lang w:val="en-US"/>
        </w:rPr>
        <w:t xml:space="preserve">standard </w:t>
      </w:r>
      <w:r w:rsidRPr="00626C2C">
        <w:rPr>
          <w:rFonts w:eastAsia="Times New Roman" w:cs="Times New Roman"/>
          <w:lang w:val="en-US"/>
        </w:rPr>
        <w:t>schedule of fees and the same</w:t>
      </w:r>
      <w:r>
        <w:rPr>
          <w:rFonts w:eastAsia="Times New Roman" w:cs="Times New Roman"/>
          <w:lang w:val="en-US"/>
        </w:rPr>
        <w:t xml:space="preserve"> </w:t>
      </w:r>
      <w:r w:rsidRPr="00235470">
        <w:rPr>
          <w:rFonts w:eastAsia="Times New Roman" w:cs="Times New Roman"/>
          <w:color w:val="4F81BD" w:themeColor="accent1"/>
          <w:lang w:val="en-US"/>
        </w:rPr>
        <w:t xml:space="preserve">standard </w:t>
      </w:r>
      <w:r w:rsidRPr="00626C2C">
        <w:rPr>
          <w:rFonts w:eastAsia="Times New Roman" w:cs="Times New Roman"/>
          <w:lang w:val="en-US"/>
        </w:rPr>
        <w:t>terms and conditions to access market data to all clients requesting access to market data</w:t>
      </w:r>
      <w:r>
        <w:rPr>
          <w:rFonts w:eastAsia="Times New Roman" w:cs="Times New Roman"/>
          <w:lang w:val="en-US"/>
        </w:rPr>
        <w:t>.”</w:t>
      </w:r>
    </w:p>
    <w:p w14:paraId="1AF19ED4" w14:textId="77777777" w:rsidR="00A030AB" w:rsidRPr="00626C2C" w:rsidRDefault="00A030AB" w:rsidP="00A030AB">
      <w:r>
        <w:t>Finally, i</w:t>
      </w:r>
      <w:r w:rsidRPr="00626C2C">
        <w:t>n Chapter III Article 4</w:t>
      </w:r>
      <w:r>
        <w:t xml:space="preserve"> (5), ICMA would like to propose to change the wording as follows:</w:t>
      </w:r>
      <w:r w:rsidRPr="00626C2C">
        <w:t xml:space="preserve"> </w:t>
      </w:r>
    </w:p>
    <w:p w14:paraId="4266F199" w14:textId="77777777" w:rsidR="00A030AB" w:rsidRPr="00626C2C" w:rsidRDefault="00A030AB" w:rsidP="00A030AB">
      <w:pPr>
        <w:pStyle w:val="ListParagraph"/>
        <w:numPr>
          <w:ilvl w:val="2"/>
          <w:numId w:val="55"/>
        </w:numPr>
        <w:spacing w:after="160" w:line="259" w:lineRule="auto"/>
        <w:jc w:val="left"/>
      </w:pPr>
      <w:r w:rsidRPr="00076ADA">
        <w:rPr>
          <w:u w:val="single"/>
        </w:rPr>
        <w:t>From:</w:t>
      </w:r>
      <w:r>
        <w:t xml:space="preserve"> “</w:t>
      </w:r>
      <w:r w:rsidRPr="00626C2C">
        <w:t>Market data providers shall be able to justify any divergence in the final solution arrangement adopted on the basis of valid technical constraints.</w:t>
      </w:r>
      <w:r>
        <w:t>”</w:t>
      </w:r>
    </w:p>
    <w:p w14:paraId="024F5879" w14:textId="77777777" w:rsidR="00A030AB" w:rsidRPr="00626C2C" w:rsidRDefault="00A030AB" w:rsidP="00A030AB">
      <w:pPr>
        <w:pStyle w:val="ListParagraph"/>
        <w:ind w:left="2160"/>
      </w:pPr>
    </w:p>
    <w:p w14:paraId="3901BDEC" w14:textId="77777777" w:rsidR="00A030AB" w:rsidRPr="00626C2C" w:rsidRDefault="00A030AB" w:rsidP="00A030AB">
      <w:pPr>
        <w:pStyle w:val="ListParagraph"/>
        <w:numPr>
          <w:ilvl w:val="2"/>
          <w:numId w:val="55"/>
        </w:numPr>
        <w:spacing w:after="12" w:line="247" w:lineRule="auto"/>
        <w:ind w:right="22"/>
        <w:rPr>
          <w:lang w:val="en-US"/>
        </w:rPr>
      </w:pPr>
      <w:r w:rsidRPr="00076ADA">
        <w:rPr>
          <w:rFonts w:eastAsia="Times New Roman" w:cs="Times New Roman"/>
          <w:u w:val="single"/>
          <w:lang w:val="en-US"/>
        </w:rPr>
        <w:t>To:</w:t>
      </w:r>
      <w:r>
        <w:rPr>
          <w:rFonts w:eastAsia="Times New Roman" w:cs="Times New Roman"/>
          <w:lang w:val="en-US"/>
        </w:rPr>
        <w:t xml:space="preserve"> “</w:t>
      </w:r>
      <w:r w:rsidRPr="00626C2C">
        <w:rPr>
          <w:rFonts w:eastAsia="Times New Roman" w:cs="Times New Roman"/>
          <w:lang w:val="en-US"/>
        </w:rPr>
        <w:t xml:space="preserve">Market data providers shall be able to justify </w:t>
      </w:r>
      <w:r w:rsidRPr="00BF5F1D">
        <w:rPr>
          <w:rFonts w:eastAsia="Times New Roman" w:cs="Times New Roman"/>
          <w:i/>
          <w:iCs/>
          <w:color w:val="4F81BD" w:themeColor="accent1"/>
          <w:lang w:val="en-US"/>
        </w:rPr>
        <w:t>to regulators</w:t>
      </w:r>
      <w:r w:rsidRPr="00235470">
        <w:rPr>
          <w:rFonts w:eastAsia="Times New Roman" w:cs="Times New Roman"/>
          <w:color w:val="4F81BD" w:themeColor="accent1"/>
          <w:lang w:val="en-US"/>
        </w:rPr>
        <w:t xml:space="preserve"> </w:t>
      </w:r>
      <w:r w:rsidRPr="00626C2C">
        <w:rPr>
          <w:rFonts w:eastAsia="Times New Roman" w:cs="Times New Roman"/>
          <w:lang w:val="en-US"/>
        </w:rPr>
        <w:t>any divergence in the final solution arrangement adopted on the basis of valid technical constraints.</w:t>
      </w:r>
      <w:r>
        <w:rPr>
          <w:rFonts w:eastAsia="Times New Roman" w:cs="Times New Roman"/>
          <w:lang w:val="en-US"/>
        </w:rPr>
        <w:t>”</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126DC15D" w14:textId="77777777" w:rsidR="00A030AB" w:rsidRDefault="00A030AB" w:rsidP="00A030AB">
      <w:permStart w:id="526140180" w:edGrp="everyone"/>
      <w:r>
        <w:t>Please see our response to Question 31 where we have responded in parts to this question already.</w:t>
      </w:r>
    </w:p>
    <w:p w14:paraId="179FC549" w14:textId="77777777" w:rsidR="00A030AB" w:rsidRDefault="00A030AB" w:rsidP="00A030AB">
      <w:r>
        <w:t xml:space="preserve">With respect to the ESMA </w:t>
      </w:r>
      <w:r w:rsidRPr="007D7A61">
        <w:rPr>
          <w:u w:val="single"/>
        </w:rPr>
        <w:t>analysis</w:t>
      </w:r>
      <w:r>
        <w:t xml:space="preserve"> around redistribution, further differentiation between types of redistribution and re-selling seems necessary.</w:t>
      </w:r>
    </w:p>
    <w:p w14:paraId="67603358" w14:textId="77777777" w:rsidR="00A030AB" w:rsidRDefault="00A030AB" w:rsidP="00A030AB">
      <w:r>
        <w:t xml:space="preserve">Furthermore, and in relation to the current </w:t>
      </w:r>
      <w:hyperlink r:id="rId26" w:history="1">
        <w:r w:rsidRPr="00893187">
          <w:rPr>
            <w:rStyle w:val="Hyperlink"/>
            <w:rFonts w:asciiTheme="minorHAnsi" w:hAnsiTheme="minorHAnsi" w:cstheme="minorBidi"/>
          </w:rPr>
          <w:t>ESMA Consultation Package on the RTS on CTPs and DRSPs</w:t>
        </w:r>
      </w:hyperlink>
      <w:r>
        <w:t>, it will also be of interest for data users to see what the redistribution model will look like for the CTP.</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464AD810" w14:textId="77777777" w:rsidR="00A030AB" w:rsidRDefault="00A030AB" w:rsidP="00A030AB">
      <w:permStart w:id="657797640" w:edGrp="everyone"/>
      <w:r w:rsidRPr="004E799D">
        <w:t xml:space="preserve">Given that with respect to future price changes there is currently a </w:t>
      </w:r>
      <w:proofErr w:type="gramStart"/>
      <w:r w:rsidRPr="004E799D">
        <w:t>90 day</w:t>
      </w:r>
      <w:proofErr w:type="gramEnd"/>
      <w:r w:rsidRPr="004E799D">
        <w:t xml:space="preserve"> notice period (as per Article 89(2)(b) of Delegated Regulation (EU) No 2017/565 &amp; Article 11(2)(b) of Delegated Regulation (EU) No 2017/567), ICMA would like to propose that the notice period in the case of change </w:t>
      </w:r>
      <w:r w:rsidRPr="004E799D">
        <w:lastRenderedPageBreak/>
        <w:t xml:space="preserve">of terms of conditions of the market data could be 90 days here again (or 3 months) instead of 2 months. </w:t>
      </w:r>
      <w:r w:rsidRPr="009C521B">
        <w:t>I</w:t>
      </w:r>
      <w:r>
        <w:t xml:space="preserve">n this sense, ICMA would like to propose to amend the draft RTS on RCB Chapter IV Article 16 (page 314 in this CP) in the first paragraph as follows: </w:t>
      </w:r>
    </w:p>
    <w:p w14:paraId="404FB781" w14:textId="77777777" w:rsidR="00A030AB" w:rsidRDefault="00A030AB" w:rsidP="00A030AB">
      <w:pPr>
        <w:pStyle w:val="ListParagraph"/>
        <w:numPr>
          <w:ilvl w:val="2"/>
          <w:numId w:val="55"/>
        </w:numPr>
        <w:spacing w:after="160" w:line="259" w:lineRule="auto"/>
        <w:jc w:val="left"/>
      </w:pPr>
      <w:r w:rsidRPr="00076ADA">
        <w:rPr>
          <w:u w:val="single"/>
        </w:rPr>
        <w:t>From:</w:t>
      </w:r>
      <w:r>
        <w:t xml:space="preserve"> “The market data provider shall give notice to the market data client of any unilateral change to the terms and conditions of the market data agreement, including terms and conditions relating to fees, at least two months in advance of the relevant amendment entering into force. Where the amendment results in a change of the fees, the market data agreement shall foresee the right of withdrawal for the client.”</w:t>
      </w:r>
    </w:p>
    <w:p w14:paraId="4D3F9399" w14:textId="77777777" w:rsidR="00A030AB" w:rsidRDefault="00A030AB" w:rsidP="00A030AB">
      <w:pPr>
        <w:pStyle w:val="ListParagraph"/>
        <w:ind w:left="1080"/>
      </w:pPr>
    </w:p>
    <w:p w14:paraId="1B0E3637" w14:textId="77777777" w:rsidR="00A030AB" w:rsidRPr="00BF5F1D" w:rsidRDefault="00A030AB" w:rsidP="00A030AB">
      <w:pPr>
        <w:pStyle w:val="ListParagraph"/>
        <w:numPr>
          <w:ilvl w:val="2"/>
          <w:numId w:val="55"/>
        </w:numPr>
        <w:spacing w:after="275" w:line="259" w:lineRule="auto"/>
        <w:ind w:right="26"/>
        <w:jc w:val="left"/>
        <w:rPr>
          <w:i/>
          <w:iCs/>
          <w:lang w:val="en-US"/>
        </w:rPr>
      </w:pPr>
      <w:r w:rsidRPr="00076ADA">
        <w:rPr>
          <w:u w:val="single"/>
          <w:lang w:val="en-US"/>
        </w:rPr>
        <w:t>To:</w:t>
      </w:r>
      <w:r>
        <w:rPr>
          <w:lang w:val="en-US"/>
        </w:rPr>
        <w:t xml:space="preserve"> “</w:t>
      </w:r>
      <w:r w:rsidRPr="007F79F5">
        <w:rPr>
          <w:lang w:val="en-US"/>
        </w:rPr>
        <w:t xml:space="preserve">The market data provider shall give notice to the market data client of any unilateral change to the terms and conditions of the market data agreement, including terms and conditions relating to fees, </w:t>
      </w:r>
      <w:r>
        <w:t xml:space="preserve">at least </w:t>
      </w:r>
      <w:r w:rsidRPr="00323613">
        <w:rPr>
          <w:i/>
          <w:iCs/>
          <w:color w:val="4F81BD" w:themeColor="accent1"/>
        </w:rPr>
        <w:t>three</w:t>
      </w:r>
      <w:r w:rsidRPr="00323613">
        <w:rPr>
          <w:color w:val="4F81BD" w:themeColor="accent1"/>
        </w:rPr>
        <w:t xml:space="preserve"> </w:t>
      </w:r>
      <w:r>
        <w:t xml:space="preserve">months in </w:t>
      </w:r>
      <w:r w:rsidRPr="007F79F5">
        <w:rPr>
          <w:lang w:val="en-US"/>
        </w:rPr>
        <w:t xml:space="preserve">advance of the relevant amendment entering into force. Where the amendment results in a change of the fees </w:t>
      </w:r>
      <w:r w:rsidRPr="00BF5F1D">
        <w:rPr>
          <w:i/>
          <w:iCs/>
          <w:color w:val="4F81BD" w:themeColor="accent1"/>
          <w:lang w:val="en-US"/>
        </w:rPr>
        <w:t>or may have significant impacts on the client</w:t>
      </w:r>
      <w:r w:rsidRPr="007F79F5">
        <w:rPr>
          <w:lang w:val="en-US"/>
        </w:rPr>
        <w:t xml:space="preserve">, the market data agreement shall foresee the right of withdrawal for the client </w:t>
      </w:r>
      <w:r w:rsidRPr="00BF5F1D">
        <w:rPr>
          <w:i/>
          <w:iCs/>
          <w:color w:val="4F81BD" w:themeColor="accent1"/>
          <w:lang w:val="en-US"/>
        </w:rPr>
        <w:t>without additional fees or penalties</w:t>
      </w:r>
      <w:r w:rsidRPr="00BF5F1D">
        <w:rPr>
          <w:i/>
          <w:iCs/>
          <w:lang w:val="en-US"/>
        </w:rPr>
        <w:t>.</w:t>
      </w:r>
      <w:r>
        <w:rPr>
          <w:i/>
          <w:iCs/>
          <w:lang w:val="en-US"/>
        </w:rPr>
        <w:t>”</w:t>
      </w:r>
      <w:r w:rsidRPr="00BF5F1D">
        <w:rPr>
          <w:i/>
          <w:iCs/>
          <w:lang w:val="en-US"/>
        </w:rPr>
        <w:t xml:space="preserve"> </w:t>
      </w:r>
    </w:p>
    <w:p w14:paraId="0B42A976" w14:textId="77777777" w:rsidR="00A030AB" w:rsidRDefault="00A030AB" w:rsidP="00A030AB">
      <w:pPr>
        <w:pStyle w:val="ListParagraph"/>
        <w:ind w:left="1440"/>
      </w:pP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56672CC" w14:textId="77777777" w:rsidR="00FA4100" w:rsidRDefault="00FA4100" w:rsidP="00FA4100">
      <w:pPr>
        <w:spacing w:after="0"/>
      </w:pPr>
      <w:permStart w:id="1477078338" w:edGrp="everyone"/>
      <w:r>
        <w:t>TYPE YOUR TEXT HERE</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179E543D" w14:textId="77777777" w:rsidR="00FA4100" w:rsidRDefault="00FA4100" w:rsidP="00FA4100">
      <w:pPr>
        <w:spacing w:after="0"/>
      </w:pPr>
      <w:permStart w:id="1201633413" w:edGrp="everyone"/>
      <w:r>
        <w:t>TYPE YOUR TEXT HERE</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lastRenderedPageBreak/>
        <w:t>&lt;ESMA_QUESTION</w:t>
      </w:r>
      <w:r w:rsidR="00F93646">
        <w:t>_</w:t>
      </w:r>
      <w:r w:rsidR="00DD54B5">
        <w:t>CP1</w:t>
      </w:r>
      <w:r w:rsidR="00F93646">
        <w:t>_</w:t>
      </w:r>
      <w:r w:rsidR="00737DD9">
        <w:t>38</w:t>
      </w:r>
      <w:r>
        <w:t>&gt;</w:t>
      </w:r>
    </w:p>
    <w:p w14:paraId="18E5B88B" w14:textId="77777777" w:rsidR="00A030AB" w:rsidRDefault="00A030AB" w:rsidP="00A030AB">
      <w:permStart w:id="1252924652" w:edGrp="everyone"/>
      <w:r>
        <w:t>ICMA members are of the view that the maximum timeline on penalties should be two years instead of three years (as was proposed by ESMA in this consultation).  Three years is considered a too long period in terms of risk exposure to possible penalties.</w:t>
      </w:r>
    </w:p>
    <w:p w14:paraId="3FE565D1" w14:textId="77777777" w:rsidR="00A030AB" w:rsidRDefault="00A030AB" w:rsidP="00A030AB">
      <w:r>
        <w:t xml:space="preserve">Therefore, we would like to propose to amend the draft RTS Article 14.3 (page 313) to: </w:t>
      </w:r>
    </w:p>
    <w:p w14:paraId="5E7FDB0A" w14:textId="77777777" w:rsidR="00A030AB" w:rsidRPr="00113002" w:rsidRDefault="00A030AB" w:rsidP="00A030AB">
      <w:pPr>
        <w:pStyle w:val="ListParagraph"/>
        <w:numPr>
          <w:ilvl w:val="0"/>
          <w:numId w:val="55"/>
        </w:numPr>
        <w:spacing w:after="0" w:line="240" w:lineRule="auto"/>
        <w:jc w:val="left"/>
        <w:rPr>
          <w:rFonts w:cs="Times New Roman"/>
          <w:lang w:eastAsia="en-GB"/>
        </w:rPr>
      </w:pPr>
      <w:r w:rsidRPr="00113002">
        <w:rPr>
          <w:rFonts w:eastAsia="Times New Roman" w:cs="Times New Roman"/>
          <w:lang w:val="en-US"/>
        </w:rPr>
        <w:t xml:space="preserve">A penalty payment request shall be made only within a reasonable time, </w:t>
      </w:r>
      <w:r w:rsidRPr="00BF5F1D">
        <w:rPr>
          <w:rFonts w:eastAsia="Times New Roman" w:cs="Times New Roman"/>
          <w:i/>
          <w:iCs/>
          <w:color w:val="4F81BD" w:themeColor="accent1"/>
          <w:lang w:val="en-US"/>
        </w:rPr>
        <w:t>not exceeding two years</w:t>
      </w:r>
      <w:r w:rsidRPr="00235470">
        <w:rPr>
          <w:rFonts w:eastAsia="Times New Roman" w:cs="Times New Roman"/>
          <w:color w:val="4F81BD" w:themeColor="accent1"/>
          <w:lang w:val="en-US"/>
        </w:rPr>
        <w:t>,</w:t>
      </w:r>
      <w:r w:rsidRPr="00113002">
        <w:rPr>
          <w:rFonts w:eastAsia="Times New Roman" w:cs="Times New Roman"/>
          <w:lang w:val="en-US"/>
        </w:rPr>
        <w:t xml:space="preserve"> from the infringement occurrence, and shall be based on clear evidence of the infringement occurrence</w:t>
      </w:r>
      <w:r w:rsidRPr="00113002">
        <w:rPr>
          <w:rFonts w:cs="Times New Roman"/>
          <w:lang w:eastAsia="en-GB"/>
        </w:rPr>
        <w:t xml:space="preserve"> </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7B09FA18" w14:textId="77777777" w:rsidR="00A030AB" w:rsidRDefault="00A030AB" w:rsidP="00A030AB">
      <w:permStart w:id="2034649205" w:edGrp="everyone"/>
      <w:r>
        <w:t xml:space="preserve">Similar to our response to question 38, the maximum timeline for audits should be two years instead of three years (as was proposed by ESMA in this consultation). Three years renders the process still too onerous, as providing the material for audits entails a huge operational cost to data users. </w:t>
      </w:r>
    </w:p>
    <w:p w14:paraId="48CC51D2" w14:textId="77777777" w:rsidR="00A030AB" w:rsidRDefault="00A030AB" w:rsidP="00A030AB">
      <w:r>
        <w:t>Moreover, there should be a time limit to how long after a contract has been terminated the audit can take place. This time limit should be six months.</w:t>
      </w:r>
    </w:p>
    <w:p w14:paraId="616BBCBB" w14:textId="77777777" w:rsidR="00A030AB" w:rsidRDefault="00A030AB" w:rsidP="00A030AB">
      <w:r>
        <w:t xml:space="preserve">Therefore we would like to propose to amend the draft RTS Chapter IV Article </w:t>
      </w:r>
      <w:proofErr w:type="gramStart"/>
      <w:r>
        <w:t>15.6  (</w:t>
      </w:r>
      <w:proofErr w:type="gramEnd"/>
      <w:r>
        <w:t xml:space="preserve">and add a point 15.7) as follows: </w:t>
      </w:r>
    </w:p>
    <w:p w14:paraId="7D342ACC" w14:textId="77777777" w:rsidR="00A030AB" w:rsidRPr="00AB70D4" w:rsidRDefault="00A030AB" w:rsidP="00A030AB">
      <w:pPr>
        <w:spacing w:after="128" w:line="247" w:lineRule="auto"/>
        <w:ind w:left="720" w:right="22"/>
        <w:rPr>
          <w:color w:val="4F81BD" w:themeColor="accent1"/>
          <w:lang w:val="en-US"/>
        </w:rPr>
      </w:pPr>
      <w:r w:rsidRPr="00AB70D4">
        <w:rPr>
          <w:rFonts w:eastAsia="Times New Roman" w:cs="Times New Roman"/>
          <w:lang w:val="en-US"/>
        </w:rPr>
        <w:t xml:space="preserve">6. An audit shall cover a reasonable period of time, </w:t>
      </w:r>
      <w:r w:rsidRPr="00BF5F1D">
        <w:rPr>
          <w:rFonts w:eastAsia="Times New Roman" w:cs="Times New Roman"/>
          <w:i/>
          <w:iCs/>
          <w:color w:val="4F81BD" w:themeColor="accent1"/>
          <w:lang w:val="en-US"/>
        </w:rPr>
        <w:t>not exceeding two years.</w:t>
      </w:r>
    </w:p>
    <w:p w14:paraId="555ABE48" w14:textId="77777777" w:rsidR="00A030AB" w:rsidRPr="00AB70D4" w:rsidRDefault="00A030AB" w:rsidP="00A030AB">
      <w:pPr>
        <w:spacing w:after="128" w:line="247" w:lineRule="auto"/>
        <w:ind w:left="720" w:right="22"/>
        <w:rPr>
          <w:lang w:val="en-US"/>
        </w:rPr>
      </w:pPr>
      <w:r w:rsidRPr="00AB70D4">
        <w:rPr>
          <w:rFonts w:eastAsia="Times New Roman" w:cs="Times New Roman"/>
          <w:lang w:val="en-US"/>
        </w:rPr>
        <w:t xml:space="preserve">7. </w:t>
      </w:r>
      <w:r w:rsidRPr="00BF5F1D">
        <w:rPr>
          <w:rFonts w:eastAsia="Times New Roman" w:cs="Times New Roman"/>
          <w:i/>
          <w:iCs/>
          <w:color w:val="4F81BD" w:themeColor="accent1"/>
          <w:lang w:val="en-US"/>
        </w:rPr>
        <w:t>An audit shall not take place later than six months after the termination date of the agreement.</w:t>
      </w:r>
      <w:r w:rsidRPr="00AB70D4">
        <w:rPr>
          <w:rFonts w:eastAsia="Times New Roman" w:cs="Times New Roman"/>
          <w:color w:val="4F81BD" w:themeColor="accent1"/>
          <w:lang w:val="en-US"/>
        </w:rPr>
        <w:t xml:space="preserve"> </w:t>
      </w:r>
    </w:p>
    <w:p w14:paraId="1542B8D6" w14:textId="77777777" w:rsidR="00A030AB" w:rsidRDefault="00A030AB" w:rsidP="00A030AB">
      <w:pPr>
        <w:pStyle w:val="ListParagraph"/>
        <w:ind w:left="1080"/>
      </w:pP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18BB7F98" w14:textId="77777777" w:rsidR="00FA4100" w:rsidRDefault="00FA4100" w:rsidP="00FA4100">
      <w:pPr>
        <w:spacing w:after="0"/>
      </w:pPr>
      <w:permStart w:id="1583374814" w:edGrp="everyone"/>
      <w:r>
        <w:t>TYPE YOUR TEXT HERE</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lastRenderedPageBreak/>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77777777" w:rsidR="00FA4100" w:rsidRDefault="00FA4100" w:rsidP="00FA4100">
      <w:pPr>
        <w:spacing w:after="0"/>
      </w:pPr>
      <w:permStart w:id="1168114055" w:edGrp="everyone"/>
      <w:r>
        <w:t>TYPE YOUR TEXT HERE</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0C4E6849" w14:textId="77777777" w:rsidR="00FA4100" w:rsidRDefault="00FA4100" w:rsidP="00FA4100">
      <w:pPr>
        <w:spacing w:after="0"/>
      </w:pPr>
      <w:permStart w:id="658192178" w:edGrp="everyone"/>
      <w:r>
        <w:t>TYPE YOUR TEXT HERE</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4B858D35" w14:textId="77777777" w:rsidR="00A030AB" w:rsidRDefault="00A030AB" w:rsidP="00A030AB">
      <w:pPr>
        <w:spacing w:after="160" w:line="259" w:lineRule="auto"/>
        <w:jc w:val="left"/>
      </w:pPr>
      <w:permStart w:id="1196837781" w:edGrp="everyone"/>
      <w:r>
        <w:t>See ICMA response to question 44.</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983A2D2" w14:textId="77777777" w:rsidR="00A030AB" w:rsidRDefault="00A030AB" w:rsidP="00A030AB">
      <w:permStart w:id="1482058120" w:edGrp="everyone"/>
      <w:r>
        <w:t>Aside from “physical connection”, there should be a distinction made between trading protocols that are session-based, point-to-point protocols, where the session needs to be kept actively open, and other protocols that are cheaper to support.</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lastRenderedPageBreak/>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4E3CB65A" w14:textId="77777777" w:rsidR="00FA4100" w:rsidRDefault="00FA4100" w:rsidP="00FA4100">
      <w:pPr>
        <w:spacing w:after="0"/>
      </w:pPr>
      <w:permStart w:id="1375092011" w:edGrp="everyone"/>
      <w:r>
        <w:t>TYPE YOUR TEXT HERE</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2A1CFDB8" w14:textId="77777777" w:rsidR="00A030AB" w:rsidRDefault="00A030AB" w:rsidP="00A030AB">
      <w:permStart w:id="1647450555" w:edGrp="everyone"/>
      <w:r>
        <w:t xml:space="preserve">ICMA agrees with the approach on delayed data proposed by ESMA. </w:t>
      </w:r>
    </w:p>
    <w:p w14:paraId="353E432D" w14:textId="77777777" w:rsidR="00A030AB" w:rsidRDefault="00A030AB" w:rsidP="00A030AB">
      <w:r>
        <w:t xml:space="preserve">ICMA would like to note that there is a distinction to be made between equity and bond markets when it comes to latency, as also highlighted in ICMA’s response to the </w:t>
      </w:r>
      <w:hyperlink r:id="rId27" w:history="1">
        <w:r w:rsidRPr="00854674">
          <w:rPr>
            <w:rStyle w:val="Hyperlink"/>
            <w:rFonts w:asciiTheme="minorHAnsi" w:hAnsiTheme="minorHAnsi" w:cstheme="minorBidi"/>
          </w:rPr>
          <w:t>ESMA Consultation on the RTS on CTPs and DRSPs</w:t>
        </w:r>
      </w:hyperlink>
      <w:r>
        <w:t xml:space="preserve">. 15 minutes in equity markets is a lifetime, whereas in bond markets, 15 minutes are more similar to real-time, due to the fact that bonds trade on an irregular basis. Therefore, in the equity markets, it is expected that data users will still have to connect to data providers directly to obtain the real-time data, whereas on the bond side, it will be possible to wait 15 minutes for the data to become available for free. It is therefore particularly important in the bond markets to improve the accessibility of delayed data for market participants.  </w:t>
      </w:r>
    </w:p>
    <w:p w14:paraId="30A3EC31" w14:textId="77777777" w:rsidR="00A030AB" w:rsidRDefault="00A030AB" w:rsidP="00A030AB">
      <w:r>
        <w:t>In addition to the above, ICMA members would like to see a clearer definition of what is machine-readable, given that at present, it is noted that the data is often presented in a non-machine-readable way. The RTS should clarify this further so that it is guaranteed it can be used for automation.</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2E40D751" w14:textId="77777777" w:rsidR="00A030AB" w:rsidRDefault="00A030AB" w:rsidP="00A030AB">
      <w:pPr>
        <w:spacing w:after="160" w:line="259" w:lineRule="auto"/>
        <w:jc w:val="left"/>
      </w:pPr>
      <w:permStart w:id="738273573" w:edGrp="everyone"/>
      <w:r>
        <w:t>ICMA agrees.</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lastRenderedPageBreak/>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0B7DE41B" w14:textId="77777777" w:rsidR="00A030AB" w:rsidRPr="00645532" w:rsidRDefault="00A030AB" w:rsidP="00A030AB">
      <w:pPr>
        <w:rPr>
          <w:i/>
          <w:iCs/>
        </w:rPr>
      </w:pPr>
      <w:permStart w:id="213343087" w:edGrp="everyone"/>
      <w:r>
        <w:t xml:space="preserve">Concerns were raised that three months could potentially be quite short, given that data providers would need to come up with new contracts (for existing relationships) and in case there was a two month notice period for clients to cancel the contract. Assuming the contract would need to be drafted </w:t>
      </w:r>
      <w:r w:rsidRPr="003B2AE9">
        <w:rPr>
          <w:u w:val="single"/>
        </w:rPr>
        <w:t>after</w:t>
      </w:r>
      <w:r>
        <w:t xml:space="preserve"> publication in the OJ, this would only give data providers one month to come up with a new contract. Also, Annex I) on page 320 of this CP refers to the data set of the (past) calendar year, which according to ICMA members will not be achievable for this initial past calendar year, once the RTS enters into force. </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1B295687" w14:textId="77777777" w:rsidR="00A030AB" w:rsidRDefault="00A030AB" w:rsidP="00A030AB">
      <w:permStart w:id="1472730622" w:edGrp="everyone"/>
      <w:r>
        <w:t>As mentioned previously under question 46 and also in ICMA’s response to the CP on RTS on CTPs and DRSPs, ICMA does not agree with the “one size fits all” approach, as there is a distinction to be made between bond and equity markets, especially when it comes to latency. What works for the equity tape will be very different from what can work for the bond markets.</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57ED1871" w14:textId="77777777" w:rsidR="00A030AB" w:rsidRPr="00645532" w:rsidRDefault="00A030AB" w:rsidP="00A030AB">
      <w:pPr>
        <w:rPr>
          <w:i/>
          <w:iCs/>
          <w:color w:val="4F81BD" w:themeColor="accent1"/>
        </w:rPr>
      </w:pPr>
      <w:permStart w:id="104619003" w:edGrp="everyone"/>
      <w:r w:rsidRPr="00BF5F1D">
        <w:t>Some ICMA members suggested that there could be a high cost expected for implementation of new RTS</w:t>
      </w:r>
      <w:r>
        <w:t>.</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lastRenderedPageBreak/>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8575488" w14:textId="77777777" w:rsidR="00237775" w:rsidRDefault="00237775" w:rsidP="00237775">
      <w:pPr>
        <w:spacing w:after="0"/>
      </w:pPr>
      <w:permStart w:id="130159860" w:edGrp="everyone"/>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lastRenderedPageBreak/>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4384DC5" w14:textId="77777777" w:rsidR="00237775" w:rsidRDefault="00237775" w:rsidP="00237775">
      <w:pPr>
        <w:spacing w:after="0"/>
      </w:pPr>
      <w:permStart w:id="838951323" w:edGrp="everyone"/>
      <w:r>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9668347" w14:textId="77777777" w:rsidR="0015061C" w:rsidRDefault="0015061C" w:rsidP="0015061C">
      <w:pPr>
        <w:spacing w:after="0"/>
      </w:pPr>
      <w:permStart w:id="1261776209" w:edGrp="everyone"/>
      <w:r>
        <w:t>TYPE YOUR TEXT HERE</w:t>
      </w:r>
    </w:p>
    <w:permEnd w:id="1261776209"/>
    <w:p w14:paraId="2CC71190" w14:textId="7FD4271D" w:rsidR="0015061C" w:rsidRDefault="0015061C" w:rsidP="0015061C">
      <w:pPr>
        <w:spacing w:after="0"/>
      </w:pPr>
      <w:r>
        <w:lastRenderedPageBreak/>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D1C51AA" w14:textId="77777777" w:rsidR="0015061C" w:rsidRDefault="0015061C" w:rsidP="0015061C">
      <w:pPr>
        <w:spacing w:after="0"/>
      </w:pPr>
      <w:permStart w:id="1885042034" w:edGrp="everyone"/>
      <w:r>
        <w:t>TYPE YOUR TEXT HERE</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lastRenderedPageBreak/>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1C72504" w14:textId="77777777" w:rsidR="0015061C" w:rsidRDefault="0015061C" w:rsidP="0015061C">
      <w:pPr>
        <w:spacing w:after="0"/>
      </w:pPr>
      <w:permStart w:id="1904763643" w:edGrp="everyone"/>
      <w:r>
        <w:t>TYPE YOUR TEXT HERE</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4E220" w14:textId="77777777" w:rsidR="002F1806" w:rsidRDefault="002F1806" w:rsidP="00F716D4">
      <w:r>
        <w:separator/>
      </w:r>
    </w:p>
    <w:p w14:paraId="67F3B3EC" w14:textId="77777777" w:rsidR="002F1806" w:rsidRDefault="002F1806" w:rsidP="00F716D4"/>
  </w:endnote>
  <w:endnote w:type="continuationSeparator" w:id="0">
    <w:p w14:paraId="3EFE0925" w14:textId="77777777" w:rsidR="002F1806" w:rsidRDefault="002F1806" w:rsidP="00F716D4">
      <w:r>
        <w:continuationSeparator/>
      </w:r>
    </w:p>
    <w:p w14:paraId="32B1B1B3" w14:textId="77777777" w:rsidR="002F1806" w:rsidRDefault="002F1806" w:rsidP="00F716D4"/>
  </w:endnote>
  <w:endnote w:type="continuationNotice" w:id="1">
    <w:p w14:paraId="66FD5A94" w14:textId="77777777" w:rsidR="002F1806" w:rsidRDefault="002F180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67BC0" w14:textId="77777777" w:rsidR="002F1806" w:rsidRDefault="002F1806" w:rsidP="00F716D4">
      <w:r>
        <w:separator/>
      </w:r>
    </w:p>
    <w:p w14:paraId="0DB66F30" w14:textId="77777777" w:rsidR="002F1806" w:rsidRDefault="002F1806" w:rsidP="00F716D4"/>
  </w:footnote>
  <w:footnote w:type="continuationSeparator" w:id="0">
    <w:p w14:paraId="294CAADF" w14:textId="77777777" w:rsidR="002F1806" w:rsidRDefault="002F1806" w:rsidP="00F716D4">
      <w:r>
        <w:continuationSeparator/>
      </w:r>
    </w:p>
    <w:p w14:paraId="7D4404C0" w14:textId="77777777" w:rsidR="002F1806" w:rsidRDefault="002F1806" w:rsidP="00F716D4"/>
  </w:footnote>
  <w:footnote w:type="continuationNotice" w:id="1">
    <w:p w14:paraId="383F4B40" w14:textId="77777777" w:rsidR="002F1806" w:rsidRDefault="002F1806" w:rsidP="00F716D4"/>
  </w:footnote>
  <w:footnote w:id="2">
    <w:p w14:paraId="056E5B7A" w14:textId="77777777" w:rsidR="004E675A" w:rsidRPr="00E73447" w:rsidRDefault="004E675A" w:rsidP="004E675A">
      <w:pPr>
        <w:pStyle w:val="FootnoteText"/>
      </w:pPr>
      <w:r>
        <w:rPr>
          <w:rStyle w:val="FootnoteReference"/>
        </w:rPr>
        <w:footnoteRef/>
      </w:r>
      <w:r>
        <w:t xml:space="preserve"> Source: Propellant.digital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70155B"/>
    <w:multiLevelType w:val="hybridMultilevel"/>
    <w:tmpl w:val="7ACC55B0"/>
    <w:lvl w:ilvl="0" w:tplc="E10C41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4464105"/>
    <w:multiLevelType w:val="hybridMultilevel"/>
    <w:tmpl w:val="65225D3C"/>
    <w:lvl w:ilvl="0" w:tplc="0809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F04002"/>
    <w:multiLevelType w:val="hybridMultilevel"/>
    <w:tmpl w:val="B6C2AB62"/>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59A177D"/>
    <w:multiLevelType w:val="hybridMultilevel"/>
    <w:tmpl w:val="0FB88638"/>
    <w:lvl w:ilvl="0" w:tplc="1BAE4B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25F74DB"/>
    <w:multiLevelType w:val="hybridMultilevel"/>
    <w:tmpl w:val="027C91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AF6A04"/>
    <w:multiLevelType w:val="hybridMultilevel"/>
    <w:tmpl w:val="831C434E"/>
    <w:lvl w:ilvl="0" w:tplc="62F4BC02">
      <w:start w:val="10"/>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8"/>
  </w:num>
  <w:num w:numId="2" w16cid:durableId="1769932826">
    <w:abstractNumId w:val="21"/>
  </w:num>
  <w:num w:numId="3" w16cid:durableId="550074866">
    <w:abstractNumId w:val="13"/>
  </w:num>
  <w:num w:numId="4" w16cid:durableId="1881627233">
    <w:abstractNumId w:val="26"/>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3"/>
  </w:num>
  <w:num w:numId="9" w16cid:durableId="1008846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9"/>
  </w:num>
  <w:num w:numId="12" w16cid:durableId="1500659627">
    <w:abstractNumId w:val="32"/>
  </w:num>
  <w:num w:numId="13" w16cid:durableId="1879658227">
    <w:abstractNumId w:val="25"/>
  </w:num>
  <w:num w:numId="14" w16cid:durableId="1495758855">
    <w:abstractNumId w:val="10"/>
  </w:num>
  <w:num w:numId="15" w16cid:durableId="1186556611">
    <w:abstractNumId w:val="1"/>
  </w:num>
  <w:num w:numId="16" w16cid:durableId="679087124">
    <w:abstractNumId w:val="16"/>
  </w:num>
  <w:num w:numId="17" w16cid:durableId="1695498691">
    <w:abstractNumId w:val="17"/>
  </w:num>
  <w:num w:numId="18" w16cid:durableId="1042363640">
    <w:abstractNumId w:val="19"/>
  </w:num>
  <w:num w:numId="19" w16cid:durableId="820345968">
    <w:abstractNumId w:val="28"/>
  </w:num>
  <w:num w:numId="20" w16cid:durableId="1805388212">
    <w:abstractNumId w:val="37"/>
  </w:num>
  <w:num w:numId="21" w16cid:durableId="538709007">
    <w:abstractNumId w:val="27"/>
  </w:num>
  <w:num w:numId="22" w16cid:durableId="104540172">
    <w:abstractNumId w:val="9"/>
  </w:num>
  <w:num w:numId="23" w16cid:durableId="1824349076">
    <w:abstractNumId w:val="31"/>
  </w:num>
  <w:num w:numId="24" w16cid:durableId="672032853">
    <w:abstractNumId w:val="30"/>
  </w:num>
  <w:num w:numId="25" w16cid:durableId="48917541">
    <w:abstractNumId w:val="22"/>
  </w:num>
  <w:num w:numId="26" w16cid:durableId="978925443">
    <w:abstractNumId w:val="34"/>
  </w:num>
  <w:num w:numId="27" w16cid:durableId="1036613928">
    <w:abstractNumId w:val="41"/>
  </w:num>
  <w:num w:numId="28" w16cid:durableId="872039349">
    <w:abstractNumId w:val="7"/>
  </w:num>
  <w:num w:numId="29" w16cid:durableId="924530660">
    <w:abstractNumId w:val="3"/>
  </w:num>
  <w:num w:numId="30" w16cid:durableId="419180233">
    <w:abstractNumId w:val="24"/>
  </w:num>
  <w:num w:numId="31" w16cid:durableId="276761337">
    <w:abstractNumId w:val="23"/>
  </w:num>
  <w:num w:numId="32" w16cid:durableId="1166238383">
    <w:abstractNumId w:val="36"/>
  </w:num>
  <w:num w:numId="33" w16cid:durableId="2076850202">
    <w:abstractNumId w:val="35"/>
  </w:num>
  <w:num w:numId="34" w16cid:durableId="469176496">
    <w:abstractNumId w:val="14"/>
  </w:num>
  <w:num w:numId="35" w16cid:durableId="674843309">
    <w:abstractNumId w:val="20"/>
  </w:num>
  <w:num w:numId="36" w16cid:durableId="1954971501">
    <w:abstractNumId w:val="42"/>
  </w:num>
  <w:num w:numId="37" w16cid:durableId="1819835511">
    <w:abstractNumId w:val="14"/>
  </w:num>
  <w:num w:numId="38" w16cid:durableId="1204094006">
    <w:abstractNumId w:val="14"/>
  </w:num>
  <w:num w:numId="39" w16cid:durableId="1717659379">
    <w:abstractNumId w:val="14"/>
  </w:num>
  <w:num w:numId="40" w16cid:durableId="1353989290">
    <w:abstractNumId w:val="14"/>
  </w:num>
  <w:num w:numId="41" w16cid:durableId="1579946960">
    <w:abstractNumId w:val="14"/>
  </w:num>
  <w:num w:numId="42" w16cid:durableId="1235777839">
    <w:abstractNumId w:val="14"/>
  </w:num>
  <w:num w:numId="43" w16cid:durableId="1125153549">
    <w:abstractNumId w:val="14"/>
  </w:num>
  <w:num w:numId="44" w16cid:durableId="755521582">
    <w:abstractNumId w:val="14"/>
  </w:num>
  <w:num w:numId="45" w16cid:durableId="1361205528">
    <w:abstractNumId w:val="14"/>
  </w:num>
  <w:num w:numId="46" w16cid:durableId="1003556738">
    <w:abstractNumId w:val="14"/>
  </w:num>
  <w:num w:numId="47" w16cid:durableId="635260301">
    <w:abstractNumId w:val="14"/>
  </w:num>
  <w:num w:numId="48" w16cid:durableId="1458374981">
    <w:abstractNumId w:val="14"/>
  </w:num>
  <w:num w:numId="49" w16cid:durableId="1460300743">
    <w:abstractNumId w:val="14"/>
  </w:num>
  <w:num w:numId="50" w16cid:durableId="1709180681">
    <w:abstractNumId w:val="14"/>
  </w:num>
  <w:num w:numId="51" w16cid:durableId="438263535">
    <w:abstractNumId w:val="6"/>
  </w:num>
  <w:num w:numId="52" w16cid:durableId="1603876126">
    <w:abstractNumId w:val="2"/>
  </w:num>
  <w:num w:numId="53" w16cid:durableId="1546210409">
    <w:abstractNumId w:val="12"/>
  </w:num>
  <w:num w:numId="54" w16cid:durableId="876310645">
    <w:abstractNumId w:val="38"/>
  </w:num>
  <w:num w:numId="55" w16cid:durableId="1268390097">
    <w:abstractNumId w:val="39"/>
  </w:num>
  <w:num w:numId="56" w16cid:durableId="1184129342">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427"/>
    <w:rsid w:val="0000378E"/>
    <w:rsid w:val="00003AEB"/>
    <w:rsid w:val="00005BBA"/>
    <w:rsid w:val="00005D8C"/>
    <w:rsid w:val="00006C2B"/>
    <w:rsid w:val="00007014"/>
    <w:rsid w:val="00007968"/>
    <w:rsid w:val="0001067A"/>
    <w:rsid w:val="00013974"/>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083"/>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D8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48C6"/>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0971"/>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3378"/>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806"/>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43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21F"/>
    <w:rsid w:val="003E0F84"/>
    <w:rsid w:val="003E1FF3"/>
    <w:rsid w:val="003E3ACA"/>
    <w:rsid w:val="003E50EA"/>
    <w:rsid w:val="003E68C7"/>
    <w:rsid w:val="003E79B0"/>
    <w:rsid w:val="003F0403"/>
    <w:rsid w:val="003F070D"/>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75A"/>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2F1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106"/>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3FC"/>
    <w:rsid w:val="006D399F"/>
    <w:rsid w:val="006D4F0C"/>
    <w:rsid w:val="006D5645"/>
    <w:rsid w:val="006D7A15"/>
    <w:rsid w:val="006E0C8A"/>
    <w:rsid w:val="006E25C7"/>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6AC1"/>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119"/>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6A12"/>
    <w:rsid w:val="008B0DC6"/>
    <w:rsid w:val="008B164D"/>
    <w:rsid w:val="008B2B9E"/>
    <w:rsid w:val="008B31F5"/>
    <w:rsid w:val="008B4C79"/>
    <w:rsid w:val="008B5D2D"/>
    <w:rsid w:val="008B6361"/>
    <w:rsid w:val="008B6EE9"/>
    <w:rsid w:val="008C0320"/>
    <w:rsid w:val="008C2A81"/>
    <w:rsid w:val="008C3863"/>
    <w:rsid w:val="008C3B6B"/>
    <w:rsid w:val="008C4396"/>
    <w:rsid w:val="008C4BDC"/>
    <w:rsid w:val="008C50FF"/>
    <w:rsid w:val="008C5435"/>
    <w:rsid w:val="008C6BD1"/>
    <w:rsid w:val="008D0172"/>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0442"/>
    <w:rsid w:val="009123CD"/>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0AB"/>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CA9"/>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4C86"/>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DC"/>
    <w:rsid w:val="00D17FDE"/>
    <w:rsid w:val="00D20179"/>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475BA"/>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491"/>
    <w:rsid w:val="00D71B45"/>
    <w:rsid w:val="00D71F8A"/>
    <w:rsid w:val="00D75603"/>
    <w:rsid w:val="00D75FEE"/>
    <w:rsid w:val="00D76933"/>
    <w:rsid w:val="00D76D88"/>
    <w:rsid w:val="00D77CC9"/>
    <w:rsid w:val="00D82F4F"/>
    <w:rsid w:val="00D83D4B"/>
    <w:rsid w:val="00D871C6"/>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2BA2"/>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3CD"/>
    <w:rsid w:val="00E5199F"/>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DefaultParagraphFon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hyperlink" Target="https://www.esma.europa.eu/sites/default/files/2024-05/ESMA74-2134169708-7225_-_MiFIR_MiFID_Review_-_CP_on_CTPs_and_DRSPs.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eur-lex.europa.eu/search.html?&amp;statSubType=MONETARY_POLICY&amp;type=statistics&amp;statType=ECB&amp;sortOne=DD&amp;sortOneOrder=desc&amp;sortOneOrder=desc?skey=ECB/2014/6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finra.org/rules-guidance/rulebooks/finra-rules/6710"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https://www.esma.europa.eu/sites/default/files/2024-05/ESMA74-2134169708-7225_-_MiFIR_MiFID_Review_-_CP_on_CTPs_and_DRSP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10721</Words>
  <Characters>61112</Characters>
  <Application>Microsoft Office Word</Application>
  <DocSecurity>8</DocSecurity>
  <Lines>509</Lines>
  <Paragraphs>143</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71690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Andy Hill</cp:lastModifiedBy>
  <cp:revision>2</cp:revision>
  <cp:lastPrinted>2015-02-18T11:01:00Z</cp:lastPrinted>
  <dcterms:created xsi:type="dcterms:W3CDTF">2024-08-28T14:30:00Z</dcterms:created>
  <dcterms:modified xsi:type="dcterms:W3CDTF">2024-08-28T14:30:00Z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