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Untertitel"/>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enabsatz"/>
        <w:numPr>
          <w:ilvl w:val="0"/>
          <w:numId w:val="35"/>
        </w:numPr>
        <w:contextualSpacing w:val="0"/>
      </w:pPr>
      <w:r w:rsidRPr="005B6B12">
        <w:t>respond to the question stated;</w:t>
      </w:r>
    </w:p>
    <w:p w14:paraId="73161343" w14:textId="77777777" w:rsidR="00E70E2E" w:rsidRPr="005B6B12" w:rsidRDefault="00E70E2E" w:rsidP="008F14FF">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enabsatz"/>
        <w:numPr>
          <w:ilvl w:val="0"/>
          <w:numId w:val="35"/>
        </w:numPr>
        <w:contextualSpacing w:val="0"/>
      </w:pPr>
      <w:r w:rsidRPr="005B6B12">
        <w:t>contain a clear rationale; and</w:t>
      </w:r>
    </w:p>
    <w:p w14:paraId="30D73002" w14:textId="77777777" w:rsidR="00E70E2E" w:rsidRPr="005B6B12" w:rsidRDefault="00E70E2E" w:rsidP="008F14FF">
      <w:pPr>
        <w:pStyle w:val="Listenabsatz"/>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enabsatz"/>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color w:val="808080"/>
            </w:rPr>
            <w:id w:val="651570699"/>
            <w:text/>
          </w:sdtPr>
          <w:sdtEndPr/>
          <w:sdtContent>
            <w:tc>
              <w:tcPr>
                <w:tcW w:w="5595" w:type="dxa"/>
                <w:shd w:val="clear" w:color="auto" w:fill="auto"/>
                <w:vAlign w:val="center"/>
              </w:tcPr>
              <w:p w14:paraId="633DB1B6" w14:textId="0971E856" w:rsidR="00C2682A" w:rsidRPr="00104E00" w:rsidRDefault="00777D19" w:rsidP="00104E00">
                <w:pPr>
                  <w:jc w:val="left"/>
                  <w:rPr>
                    <w:rStyle w:val="Platzhaltertext"/>
                  </w:rPr>
                </w:pPr>
                <w:r w:rsidRPr="00777D19">
                  <w:rPr>
                    <w:color w:val="808080"/>
                  </w:rPr>
                  <w:t>Bundesverband der Wertpapierfirmen (bwf)</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3CA58F8" w:rsidR="00C2682A" w:rsidRPr="00104E00" w:rsidRDefault="00567015"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77D19">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6AB8C8F8" w:rsidR="00C2682A" w:rsidRPr="00104E00" w:rsidRDefault="00777D1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E1D9A9B" w:rsidR="00C2682A" w:rsidRPr="00104E00" w:rsidRDefault="00777D19"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054B2B">
      <w:pPr>
        <w:pStyle w:val="berschrift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4E881AD1" w14:textId="77777777" w:rsidR="00777D19" w:rsidRDefault="00777D19" w:rsidP="00C54034">
      <w:pPr>
        <w:spacing w:after="0"/>
      </w:pPr>
      <w:permStart w:id="124340805" w:edGrp="everyone"/>
    </w:p>
    <w:p w14:paraId="2ACE9A13" w14:textId="52F9A6FD" w:rsidR="00777D19" w:rsidRDefault="00777D19" w:rsidP="00C54034">
      <w:pPr>
        <w:spacing w:after="0"/>
      </w:pPr>
      <w:r w:rsidRPr="00777D19">
        <w:t>We concur with the definitions in principle. The condition “without human intervention” is the most relevant to discriminate CLOBs which are able to provide pre-trade transparency within the given time frame in contrast to different market models where human intervention might significantly delay any updates. Consequently, a market model which enables “human intervention” (whereby it is expressly not necessary that “human intervention” is exercised in every or in the majority of transactions) should not be classified as a “CLOB”.</w:t>
      </w:r>
    </w:p>
    <w:p w14:paraId="114D4966" w14:textId="77777777" w:rsidR="00777D19" w:rsidRDefault="00777D19" w:rsidP="00C54034">
      <w:pPr>
        <w:spacing w:after="0"/>
      </w:pPr>
    </w:p>
    <w:permEnd w:id="124340805"/>
    <w:p w14:paraId="059016CF" w14:textId="57E2972E"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0C90E455" w14:textId="77777777" w:rsidR="00777D19" w:rsidRDefault="00777D19" w:rsidP="00C54034">
      <w:pPr>
        <w:spacing w:after="0"/>
      </w:pPr>
      <w:permStart w:id="1947404220" w:edGrp="everyone"/>
    </w:p>
    <w:p w14:paraId="59A0405A" w14:textId="173CA4F4" w:rsidR="00CC59BB" w:rsidRDefault="00777D19" w:rsidP="00C54034">
      <w:pPr>
        <w:spacing w:after="0"/>
      </w:pPr>
      <w:r>
        <w:t>No</w:t>
      </w:r>
    </w:p>
    <w:p w14:paraId="2E53CE9C" w14:textId="77777777" w:rsidR="00777D19" w:rsidRDefault="00777D19" w:rsidP="00C54034">
      <w:pPr>
        <w:spacing w:after="0"/>
      </w:pP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lastRenderedPageBreak/>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53105056" w14:textId="77777777" w:rsidR="00777D19" w:rsidRDefault="00777D19" w:rsidP="00C54034">
      <w:pPr>
        <w:spacing w:after="0"/>
      </w:pPr>
      <w:permStart w:id="2005885194" w:edGrp="everyone"/>
    </w:p>
    <w:p w14:paraId="33E6DCD1" w14:textId="77777777" w:rsidR="00777D19" w:rsidRPr="00AE7E19" w:rsidRDefault="00777D19" w:rsidP="00777D19">
      <w:pPr>
        <w:spacing w:before="120" w:after="0" w:line="240" w:lineRule="auto"/>
      </w:pPr>
      <w:r>
        <w:t>Cf.</w:t>
      </w:r>
      <w:r w:rsidRPr="00AE7E19">
        <w:t xml:space="preserve"> see </w:t>
      </w:r>
      <w:r>
        <w:t xml:space="preserve">our </w:t>
      </w:r>
      <w:r w:rsidRPr="00AE7E19">
        <w:t>answer to Q1</w:t>
      </w:r>
    </w:p>
    <w:p w14:paraId="49F56AD9" w14:textId="77777777" w:rsidR="00777D19" w:rsidRDefault="00777D19" w:rsidP="00C54034">
      <w:pPr>
        <w:spacing w:after="0"/>
      </w:pPr>
    </w:p>
    <w:permEnd w:id="2005885194"/>
    <w:p w14:paraId="677D639B" w14:textId="40F9CB34"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0EB0FB34" w14:textId="77777777" w:rsidR="00777D19" w:rsidRDefault="00777D19" w:rsidP="00777D19">
      <w:pPr>
        <w:spacing w:before="120" w:after="0" w:line="240" w:lineRule="auto"/>
      </w:pPr>
      <w:permStart w:id="864513806" w:edGrp="everyone"/>
    </w:p>
    <w:p w14:paraId="0DC73550" w14:textId="7CDB935B" w:rsidR="00777D19" w:rsidRDefault="00777D19" w:rsidP="00777D19">
      <w:pPr>
        <w:spacing w:before="120" w:after="0" w:line="240" w:lineRule="auto"/>
      </w:pPr>
      <w:r w:rsidRPr="00AE7E19">
        <w:t xml:space="preserve">The main objective is to find the right balance between transparency and liquidity. Deferrals are mainly dependent on the first threshold of a fixed EUR value. They also define liquidity as depending on the notional amount issued. </w:t>
      </w:r>
      <w:r>
        <w:t>In our view, t</w:t>
      </w:r>
      <w:r w:rsidRPr="00AE7E19">
        <w:t xml:space="preserve">hese are </w:t>
      </w:r>
      <w:r>
        <w:t>rather</w:t>
      </w:r>
      <w:r w:rsidRPr="00AE7E19">
        <w:t xml:space="preserve"> crude proxies for what is actually intended. In the hearing, it was already proposed </w:t>
      </w:r>
      <w:r>
        <w:t>that</w:t>
      </w:r>
      <w:r w:rsidRPr="00AE7E19">
        <w:t xml:space="preserve"> the ability of the market to absorb transactions (on average and also during periods of market stress) could be used as an alternative proxy. This concept would relate to market depth and breadth. </w:t>
      </w:r>
      <w:r>
        <w:t>Other a</w:t>
      </w:r>
      <w:r w:rsidRPr="00AE7E19">
        <w:t xml:space="preserve">lternatives </w:t>
      </w:r>
      <w:r>
        <w:t>c</w:t>
      </w:r>
      <w:r w:rsidRPr="00AE7E19">
        <w:t xml:space="preserve">ould be bid-ask spreads and turnover volumes not only in absolute terms but also relative to the notional amount issued. Especially for bonds, which are very often buy-and-hold instruments, this is an important factor to consider. Furthermore, </w:t>
      </w:r>
      <w:r>
        <w:t>t</w:t>
      </w:r>
      <w:r w:rsidRPr="00AE7E19">
        <w:t xml:space="preserve">he analysis in section 4.2.1 looks </w:t>
      </w:r>
      <w:r>
        <w:t xml:space="preserve">actually </w:t>
      </w:r>
      <w:r w:rsidRPr="00AE7E19">
        <w:t>very “reverse engineered”</w:t>
      </w:r>
      <w:r>
        <w:t xml:space="preserve"> with a “desirable” outcome in mind</w:t>
      </w:r>
      <w:r w:rsidRPr="00AE7E19">
        <w:t xml:space="preserve">. </w:t>
      </w:r>
      <w:r>
        <w:t>Here, it should be taken into account</w:t>
      </w:r>
      <w:r w:rsidRPr="00AE7E19">
        <w:t xml:space="preserve"> that the balance between transparency and liquidity is </w:t>
      </w:r>
      <w:r>
        <w:t xml:space="preserve">usually </w:t>
      </w:r>
      <w:r w:rsidRPr="00AE7E19">
        <w:t>proportional to the degree of asymmetric information inherent in a given instrument. This would allow the LiS threshold for covered bonds to be higher than for corporate bonds, but not at the same level as for government bonds. To this end, we propose to keep the LiS threshold for covered bonds (for the first bucket at EUR 2.5 million) as in the current regime. In reverse we would assume it to b</w:t>
      </w:r>
      <w:r>
        <w:t>e</w:t>
      </w:r>
      <w:r w:rsidRPr="00AE7E19">
        <w:t xml:space="preserve"> inappropriate to apply the same threshold of EUR 5 million to covered bonds as to sovereign bonds. </w:t>
      </w:r>
    </w:p>
    <w:p w14:paraId="7522AE32" w14:textId="77777777" w:rsidR="00777D19" w:rsidRPr="00AE7E19" w:rsidRDefault="00777D19" w:rsidP="00777D19">
      <w:pPr>
        <w:spacing w:before="120" w:after="0" w:line="240" w:lineRule="auto"/>
      </w:pP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lastRenderedPageBreak/>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24FCB3E6" w14:textId="77777777" w:rsidR="00546840" w:rsidRPr="00AE7E19" w:rsidRDefault="00546840" w:rsidP="00546840">
      <w:pPr>
        <w:spacing w:after="0"/>
      </w:pPr>
      <w:permStart w:id="869493798" w:edGrp="everyone"/>
    </w:p>
    <w:p w14:paraId="0D8E3422" w14:textId="77777777" w:rsidR="00546840" w:rsidRPr="00AE7E19" w:rsidRDefault="00546840" w:rsidP="00546840">
      <w:pPr>
        <w:spacing w:after="0"/>
      </w:pPr>
      <w:r w:rsidRPr="00AE7E19">
        <w:t>We agree with the definition. In addition to "fully automated processes only", we suggest emphasising that a process is only able to meet the real-time maximum delays "without human intervention". Even CLOB</w:t>
      </w:r>
      <w:r>
        <w:t>s by</w:t>
      </w:r>
      <w:r w:rsidRPr="00AE7E19">
        <w:t xml:space="preserve"> definition</w:t>
      </w:r>
      <w:r>
        <w:t xml:space="preserve"> operate without human intervention</w:t>
      </w:r>
      <w:r w:rsidRPr="00AE7E19">
        <w:t>, it is worth mentioning</w:t>
      </w:r>
      <w:r>
        <w:t xml:space="preserve"> that also the real-time maximum can be achieved in an environment without human intervention only</w:t>
      </w:r>
      <w:r w:rsidRPr="00AE7E19">
        <w:t>.</w:t>
      </w:r>
    </w:p>
    <w:p w14:paraId="2372AAF6" w14:textId="77777777" w:rsidR="00546840" w:rsidRPr="00AE7E19" w:rsidRDefault="00546840" w:rsidP="00546840">
      <w:pPr>
        <w:spacing w:after="0"/>
      </w:pP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0852CE01" w14:textId="77777777" w:rsidR="00546840" w:rsidRPr="00546840" w:rsidRDefault="00546840" w:rsidP="00546840">
      <w:pPr>
        <w:spacing w:before="120" w:after="0" w:line="240" w:lineRule="auto"/>
      </w:pPr>
      <w:permStart w:id="1628839836" w:edGrp="everyone"/>
    </w:p>
    <w:p w14:paraId="6BB5C292" w14:textId="77777777" w:rsidR="00546840" w:rsidRPr="00AE7E19" w:rsidRDefault="00546840" w:rsidP="00546840">
      <w:pPr>
        <w:spacing w:before="120" w:after="0" w:line="240" w:lineRule="auto"/>
      </w:pPr>
      <w:r>
        <w:t>Cf. our</w:t>
      </w:r>
      <w:r w:rsidRPr="00AE7E19">
        <w:t xml:space="preserve"> response to Q5. Tables 7 and 8 give the impression of being “reverse-engineered” to end up with a 90% share of liquid instruments overall and in each category. </w:t>
      </w:r>
      <w:r>
        <w:t>Actually,</w:t>
      </w:r>
      <w:r w:rsidRPr="00AE7E19">
        <w:t xml:space="preserve"> the opposite </w:t>
      </w:r>
      <w:r>
        <w:t>is</w:t>
      </w:r>
      <w:r w:rsidRPr="00AE7E19">
        <w:t xml:space="preserve"> the case in the current regime for corporate bonds and covered bonds. </w:t>
      </w:r>
      <w:r>
        <w:t>In addition, t</w:t>
      </w:r>
      <w:r w:rsidRPr="00AE7E19">
        <w:t xml:space="preserve">he static approach based on issue size for bonds </w:t>
      </w:r>
      <w:r>
        <w:t>appears</w:t>
      </w:r>
      <w:r w:rsidRPr="00AE7E19">
        <w:t xml:space="preserve"> </w:t>
      </w:r>
      <w:r>
        <w:t xml:space="preserve">somewhat </w:t>
      </w:r>
      <w:r w:rsidRPr="00AE7E19">
        <w:t>questionable as these are typically "buy and hold" instruments. For non-sovereign bonds, these are not used as cash and liquidity deposits, but have high asymmetric information, resulting in higher bid-ask spreads.</w:t>
      </w:r>
    </w:p>
    <w:p w14:paraId="36F63C72" w14:textId="77777777" w:rsidR="00546840" w:rsidRPr="00AE7E19" w:rsidRDefault="00546840" w:rsidP="00546840">
      <w:pPr>
        <w:spacing w:before="120" w:after="0" w:line="240" w:lineRule="auto"/>
      </w:pP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1BA7476F" w14:textId="77777777" w:rsidR="00C54E92" w:rsidRDefault="00C54E92" w:rsidP="00C54E92">
      <w:pPr>
        <w:spacing w:before="120" w:after="0" w:line="240" w:lineRule="auto"/>
      </w:pPr>
      <w:permStart w:id="1550012690" w:edGrp="everyone"/>
    </w:p>
    <w:p w14:paraId="7B6C2704" w14:textId="77777777" w:rsidR="00C54E92" w:rsidRPr="00AE7E19" w:rsidRDefault="00C54E92" w:rsidP="00C54E92">
      <w:pPr>
        <w:spacing w:before="120" w:after="0" w:line="240" w:lineRule="auto"/>
      </w:pPr>
      <w:r>
        <w:t>Cf. our</w:t>
      </w:r>
      <w:r w:rsidRPr="00AE7E19">
        <w:t xml:space="preserve"> response to Q5. </w:t>
      </w:r>
      <w:r>
        <w:t>We agree to k</w:t>
      </w:r>
      <w:r w:rsidRPr="00AE7E19">
        <w:t>eep the threshold for covered bonds at 2.5 million for the real-time series.</w:t>
      </w:r>
    </w:p>
    <w:p w14:paraId="7F21BF68" w14:textId="77777777" w:rsidR="00C54E92" w:rsidRPr="00AE7E19" w:rsidRDefault="00C54E92" w:rsidP="00C54E92">
      <w:pPr>
        <w:spacing w:before="120" w:after="0" w:line="240" w:lineRule="auto"/>
      </w:pP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1AA5C783" w14:textId="77777777" w:rsidR="00C54E92" w:rsidRPr="00AE7E19" w:rsidRDefault="00C54E92" w:rsidP="00C54E92">
      <w:pPr>
        <w:spacing w:before="120" w:after="0" w:line="240" w:lineRule="auto"/>
      </w:pPr>
      <w:permStart w:id="871322226" w:edGrp="everyone"/>
    </w:p>
    <w:p w14:paraId="64E3A48F" w14:textId="77777777" w:rsidR="00C54E92" w:rsidRPr="00AE7E19" w:rsidRDefault="00C54E92" w:rsidP="00C54E92">
      <w:pPr>
        <w:spacing w:before="120" w:after="0" w:line="240" w:lineRule="auto"/>
      </w:pPr>
      <w:r w:rsidRPr="00AE7E19">
        <w:lastRenderedPageBreak/>
        <w:t xml:space="preserve">SFPs are highly dependent on liquidity provided by the issuer or a dedicated liquidity provider. An ongoing analysis of the depth and breadth of liquidity would be unduly burdensome. We therefore agree that </w:t>
      </w:r>
      <w:r>
        <w:t xml:space="preserve">– for reasons a practicability – </w:t>
      </w:r>
      <w:r w:rsidRPr="00AE7E19">
        <w:t>all SFPs should be classified as illiquid.</w:t>
      </w:r>
    </w:p>
    <w:p w14:paraId="0C2CF617" w14:textId="77777777" w:rsidR="00C54E92" w:rsidRPr="00AE7E19" w:rsidRDefault="00C54E92" w:rsidP="00C54E92">
      <w:pPr>
        <w:spacing w:before="120" w:after="0" w:line="240" w:lineRule="auto"/>
      </w:pP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6FBB7E" w14:textId="77777777" w:rsidR="00C54E92" w:rsidRDefault="00C54E92" w:rsidP="00C54E92">
      <w:pPr>
        <w:spacing w:before="120" w:after="0" w:line="240" w:lineRule="auto"/>
        <w:rPr>
          <w:rFonts w:ascii="TheSansLight-Plain" w:hAnsi="TheSansLight-Plain"/>
        </w:rPr>
      </w:pPr>
      <w:permStart w:id="356003362" w:edGrp="everyone"/>
    </w:p>
    <w:p w14:paraId="3F78A585" w14:textId="77777777" w:rsidR="00C54E92" w:rsidRPr="00AE7E19" w:rsidRDefault="00C54E92" w:rsidP="00C54E92">
      <w:pPr>
        <w:spacing w:before="120" w:after="0" w:line="240" w:lineRule="auto"/>
      </w:pPr>
      <w:r w:rsidRPr="00AE7E19">
        <w:t xml:space="preserve">We agree that ETCs and ETNs should be considered illiquid because the daily turnover assessment is burdensome, but more so because of the mismatch between the current (rather low) liquidity threshold of only EUR 500,000 average daily turnover and the pre- LiS threshold of EUR 1 million and </w:t>
      </w:r>
      <w:r>
        <w:t xml:space="preserve">the </w:t>
      </w:r>
      <w:r w:rsidRPr="00AE7E19">
        <w:t xml:space="preserve">post-trade size threshold EUR 50 million. </w:t>
      </w:r>
    </w:p>
    <w:p w14:paraId="1272A381" w14:textId="77777777" w:rsidR="00C54E92" w:rsidRPr="00AE7E19" w:rsidRDefault="00C54E92" w:rsidP="00C54E92">
      <w:pPr>
        <w:spacing w:before="120" w:after="0" w:line="240" w:lineRule="auto"/>
      </w:pP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45F75238" w14:textId="77777777" w:rsidR="00C54E92" w:rsidRPr="00AE7E19" w:rsidRDefault="00C54E92" w:rsidP="00C54E92">
      <w:pPr>
        <w:spacing w:before="120" w:after="0" w:line="240" w:lineRule="auto"/>
      </w:pPr>
      <w:permStart w:id="780153713" w:edGrp="everyone"/>
    </w:p>
    <w:p w14:paraId="3C19FF6B" w14:textId="77777777" w:rsidR="00C54E92" w:rsidRPr="00AE7E19" w:rsidRDefault="00C54E92" w:rsidP="00C54E92">
      <w:pPr>
        <w:spacing w:before="120" w:after="0" w:line="240" w:lineRule="auto"/>
      </w:pPr>
      <w:r>
        <w:t>Cf.</w:t>
      </w:r>
      <w:r w:rsidRPr="00AE7E19">
        <w:t xml:space="preserve"> </w:t>
      </w:r>
      <w:r>
        <w:t xml:space="preserve">our </w:t>
      </w:r>
      <w:r w:rsidRPr="00AE7E19">
        <w:t xml:space="preserve">answer to Q20: EUR 1 million pre- LiS threshold and EUR 50 million post-trade size </w:t>
      </w:r>
      <w:proofErr w:type="gramStart"/>
      <w:r w:rsidRPr="00AE7E19">
        <w:t>threshold</w:t>
      </w:r>
      <w:proofErr w:type="gramEnd"/>
      <w:r w:rsidRPr="00AE7E19">
        <w:t xml:space="preserve"> are rather small volumes for OTC commodity trades but seem relatively high for exchange-traded products. It would be </w:t>
      </w:r>
      <w:r>
        <w:t>desirable</w:t>
      </w:r>
      <w:r w:rsidRPr="00AE7E19">
        <w:t xml:space="preserve"> to have further evidence to calibrate these figures. </w:t>
      </w:r>
    </w:p>
    <w:p w14:paraId="4C6873E0" w14:textId="77777777" w:rsidR="00C54E92" w:rsidRPr="00AE7E19" w:rsidRDefault="00C54E92" w:rsidP="00C54E92">
      <w:pPr>
        <w:spacing w:before="120" w:after="0" w:line="240" w:lineRule="auto"/>
      </w:pP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lastRenderedPageBreak/>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713B396B" w14:textId="77777777" w:rsidR="00C54E92" w:rsidRDefault="00C54E92" w:rsidP="00C54E92">
      <w:pPr>
        <w:spacing w:before="120" w:after="0" w:line="240" w:lineRule="auto"/>
        <w:rPr>
          <w:color w:val="000000"/>
          <w:szCs w:val="22"/>
        </w:rPr>
      </w:pPr>
      <w:permStart w:id="1672500431" w:edGrp="everyone"/>
    </w:p>
    <w:p w14:paraId="0816BCE1" w14:textId="77777777" w:rsidR="00C54E92" w:rsidRPr="00AE7E19" w:rsidRDefault="00C54E92" w:rsidP="00C54E92">
      <w:pPr>
        <w:spacing w:before="120" w:after="0" w:line="240" w:lineRule="auto"/>
        <w:rPr>
          <w:color w:val="000000"/>
          <w:szCs w:val="22"/>
        </w:rPr>
      </w:pPr>
      <w:r>
        <w:rPr>
          <w:color w:val="000000"/>
          <w:szCs w:val="22"/>
        </w:rPr>
        <w:t>In the beginning</w:t>
      </w:r>
      <w:r w:rsidRPr="00AE7E19">
        <w:rPr>
          <w:color w:val="000000"/>
          <w:szCs w:val="22"/>
        </w:rPr>
        <w:t xml:space="preserve">, we would like to point out some basic thoughts that are essential for </w:t>
      </w:r>
      <w:r>
        <w:rPr>
          <w:color w:val="000000"/>
          <w:szCs w:val="22"/>
        </w:rPr>
        <w:t xml:space="preserve">understanding </w:t>
      </w:r>
      <w:r w:rsidRPr="00AE7E19">
        <w:rPr>
          <w:color w:val="000000"/>
          <w:szCs w:val="22"/>
        </w:rPr>
        <w:t xml:space="preserve">the terms and categorisations used in </w:t>
      </w:r>
      <w:r>
        <w:rPr>
          <w:color w:val="000000"/>
          <w:szCs w:val="22"/>
        </w:rPr>
        <w:t>the context of the discussion</w:t>
      </w:r>
      <w:r w:rsidRPr="00AE7E19">
        <w:rPr>
          <w:color w:val="000000"/>
          <w:szCs w:val="22"/>
        </w:rPr>
        <w:t xml:space="preserve">. </w:t>
      </w:r>
    </w:p>
    <w:p w14:paraId="6B58B2B7" w14:textId="77777777" w:rsidR="00C54E92" w:rsidRPr="00AE7E19" w:rsidRDefault="00C54E92" w:rsidP="00C54E92">
      <w:pPr>
        <w:spacing w:before="120" w:after="0" w:line="240" w:lineRule="auto"/>
        <w:rPr>
          <w:color w:val="000000"/>
          <w:szCs w:val="22"/>
        </w:rPr>
      </w:pPr>
      <w:r w:rsidRPr="00AE7E19">
        <w:rPr>
          <w:color w:val="000000"/>
          <w:szCs w:val="22"/>
        </w:rPr>
        <w:t xml:space="preserve">The first question to address is what is meant by the term 'market data' or 'market prices'? In essence, market data and market prices are simply “facts” derived from a price aggregation mechanism. </w:t>
      </w:r>
      <w:r>
        <w:rPr>
          <w:color w:val="000000"/>
          <w:szCs w:val="22"/>
        </w:rPr>
        <w:t>Based on this assumption</w:t>
      </w:r>
      <w:r w:rsidRPr="00AE7E19">
        <w:rPr>
          <w:color w:val="000000"/>
          <w:szCs w:val="22"/>
        </w:rPr>
        <w:t xml:space="preserve">, there are strong arguments to conclude that market data cannot be protected by copyright or ownership. Copyright requires </w:t>
      </w:r>
      <w:r>
        <w:rPr>
          <w:color w:val="000000"/>
          <w:szCs w:val="22"/>
        </w:rPr>
        <w:t xml:space="preserve">a level of </w:t>
      </w:r>
      <w:r w:rsidRPr="00AE7E19">
        <w:rPr>
          <w:color w:val="000000"/>
          <w:szCs w:val="22"/>
        </w:rPr>
        <w:t>originality</w:t>
      </w:r>
      <w:r>
        <w:rPr>
          <w:color w:val="000000"/>
          <w:szCs w:val="22"/>
        </w:rPr>
        <w:t xml:space="preserve"> in the creational process</w:t>
      </w:r>
      <w:r w:rsidRPr="00AE7E19">
        <w:rPr>
          <w:color w:val="000000"/>
          <w:szCs w:val="22"/>
        </w:rPr>
        <w:t xml:space="preserve">, which </w:t>
      </w:r>
      <w:r>
        <w:rPr>
          <w:color w:val="000000"/>
          <w:szCs w:val="22"/>
        </w:rPr>
        <w:t>seems to be</w:t>
      </w:r>
      <w:r w:rsidRPr="00AE7E19">
        <w:rPr>
          <w:color w:val="000000"/>
          <w:szCs w:val="22"/>
        </w:rPr>
        <w:t xml:space="preserve"> not applicable to market data and prices. Prices are essentially "facts" and are computed </w:t>
      </w:r>
      <w:r>
        <w:rPr>
          <w:color w:val="000000"/>
          <w:szCs w:val="22"/>
        </w:rPr>
        <w:t xml:space="preserve">by trading venues </w:t>
      </w:r>
      <w:r w:rsidRPr="00AE7E19">
        <w:rPr>
          <w:color w:val="000000"/>
          <w:szCs w:val="22"/>
        </w:rPr>
        <w:t xml:space="preserve">without </w:t>
      </w:r>
      <w:r>
        <w:rPr>
          <w:color w:val="000000"/>
          <w:szCs w:val="22"/>
        </w:rPr>
        <w:t xml:space="preserve">their own </w:t>
      </w:r>
      <w:r w:rsidRPr="00AE7E19">
        <w:rPr>
          <w:color w:val="000000"/>
          <w:szCs w:val="22"/>
        </w:rPr>
        <w:t>ideas, skill</w:t>
      </w:r>
      <w:r>
        <w:rPr>
          <w:color w:val="000000"/>
          <w:szCs w:val="22"/>
        </w:rPr>
        <w:t>s</w:t>
      </w:r>
      <w:r w:rsidRPr="00AE7E19">
        <w:rPr>
          <w:color w:val="000000"/>
          <w:szCs w:val="22"/>
        </w:rPr>
        <w:t>, or independent intellectual effort</w:t>
      </w:r>
      <w:r>
        <w:rPr>
          <w:color w:val="000000"/>
          <w:szCs w:val="22"/>
        </w:rPr>
        <w:t xml:space="preserve"> (at best, it could be contemplated, which intellectual substance can be attributed to the market participants economic valuations which are reflected in the orders placed which then result in prices if buy and sell orders match)</w:t>
      </w:r>
      <w:r w:rsidRPr="00AE7E19">
        <w:rPr>
          <w:color w:val="000000"/>
          <w:szCs w:val="22"/>
        </w:rPr>
        <w:t xml:space="preserve">. </w:t>
      </w:r>
    </w:p>
    <w:p w14:paraId="44CD1269" w14:textId="77777777" w:rsidR="00C54E92" w:rsidRPr="00AE7E19" w:rsidRDefault="00C54E92" w:rsidP="00C54E92">
      <w:pPr>
        <w:spacing w:before="120" w:after="0" w:line="240" w:lineRule="auto"/>
        <w:rPr>
          <w:color w:val="000000"/>
          <w:szCs w:val="22"/>
        </w:rPr>
      </w:pPr>
      <w:r w:rsidRPr="00AE7E19">
        <w:rPr>
          <w:color w:val="000000"/>
          <w:szCs w:val="22"/>
        </w:rPr>
        <w:t>For a deeper legal analysis please see EDI: “Closing Prices and Other Stock Exchange Data: Copyright and Competition Law Issues” (</w:t>
      </w:r>
      <w:hyperlink r:id="rId24" w:history="1">
        <w:r w:rsidRPr="00AE7E19">
          <w:rPr>
            <w:rStyle w:val="Hyperlink"/>
            <w:szCs w:val="22"/>
          </w:rPr>
          <w:t>https://www.exchange-data.com/closing-prices-and-other-stock-exchange-data-copyright-and-competition-law-issues/</w:t>
        </w:r>
      </w:hyperlink>
      <w:r w:rsidRPr="00AE7E19">
        <w:rPr>
          <w:color w:val="000000"/>
          <w:szCs w:val="22"/>
        </w:rPr>
        <w:t xml:space="preserve">) </w:t>
      </w:r>
    </w:p>
    <w:p w14:paraId="0A4830C5" w14:textId="77777777" w:rsidR="00C54E92" w:rsidRPr="00AE7E19" w:rsidRDefault="00C54E92" w:rsidP="00C54E92">
      <w:pPr>
        <w:spacing w:before="120" w:after="0" w:line="240" w:lineRule="auto"/>
        <w:rPr>
          <w:color w:val="000000"/>
          <w:szCs w:val="22"/>
        </w:rPr>
      </w:pPr>
      <w:r w:rsidRPr="00AE7E19">
        <w:rPr>
          <w:color w:val="000000"/>
          <w:szCs w:val="22"/>
        </w:rPr>
        <w:t xml:space="preserve">EDI concludes the following: </w:t>
      </w:r>
    </w:p>
    <w:p w14:paraId="0E83BB41" w14:textId="77777777" w:rsidR="00C54E92" w:rsidRPr="00AE7E19" w:rsidRDefault="00C54E92" w:rsidP="00C54E92">
      <w:pPr>
        <w:pStyle w:val="Listenabsatz"/>
        <w:numPr>
          <w:ilvl w:val="0"/>
          <w:numId w:val="38"/>
        </w:numPr>
        <w:spacing w:before="120" w:after="0" w:line="240" w:lineRule="auto"/>
        <w:rPr>
          <w:b/>
          <w:bCs/>
          <w:color w:val="000000"/>
          <w:szCs w:val="22"/>
        </w:rPr>
      </w:pPr>
      <w:r w:rsidRPr="00AE7E19">
        <w:rPr>
          <w:color w:val="000000"/>
          <w:szCs w:val="22"/>
        </w:rPr>
        <w:t xml:space="preserve">“There is no credible basis for any stock exchange in the EU (or the US) to claim copyright in closing prices or indices. Even by the most indulgent standards, closing prices are below </w:t>
      </w:r>
      <w:r w:rsidRPr="00AE7E19">
        <w:rPr>
          <w:color w:val="000000"/>
          <w:szCs w:val="22"/>
        </w:rPr>
        <w:lastRenderedPageBreak/>
        <w:t>the standards of originality and substantiality required under copyright legislation, regardless of whether they are the product of algorithms or the actual final trading price of the day.”</w:t>
      </w:r>
    </w:p>
    <w:p w14:paraId="6EB35D3D" w14:textId="77777777" w:rsidR="00C54E92" w:rsidRPr="00AE7E19" w:rsidRDefault="00C54E92" w:rsidP="00C54E92">
      <w:pPr>
        <w:pStyle w:val="Listenabsatz"/>
        <w:numPr>
          <w:ilvl w:val="0"/>
          <w:numId w:val="38"/>
        </w:numPr>
        <w:spacing w:before="120" w:after="0" w:line="240" w:lineRule="auto"/>
        <w:rPr>
          <w:b/>
          <w:bCs/>
          <w:color w:val="000000"/>
          <w:szCs w:val="22"/>
        </w:rPr>
      </w:pPr>
      <w:r w:rsidRPr="00AE7E19">
        <w:rPr>
          <w:color w:val="000000"/>
          <w:szCs w:val="22"/>
        </w:rPr>
        <w:t xml:space="preserve">“A database of closing prices does </w:t>
      </w:r>
      <w:r>
        <w:rPr>
          <w:color w:val="000000"/>
          <w:szCs w:val="22"/>
        </w:rPr>
        <w:t xml:space="preserve">also </w:t>
      </w:r>
      <w:r w:rsidRPr="00AE7E19">
        <w:rPr>
          <w:color w:val="000000"/>
          <w:szCs w:val="22"/>
        </w:rPr>
        <w:t>not meet the standards for database protection under the EU directive, because the data is acquired without significant investment in their sourcing and identification.”</w:t>
      </w:r>
    </w:p>
    <w:p w14:paraId="720CE8F0" w14:textId="77777777" w:rsidR="00C54E92" w:rsidRPr="00AE7E19" w:rsidRDefault="00C54E92" w:rsidP="00C54E92">
      <w:pPr>
        <w:pStyle w:val="Listenabsatz"/>
        <w:numPr>
          <w:ilvl w:val="0"/>
          <w:numId w:val="38"/>
        </w:numPr>
        <w:spacing w:before="120" w:after="0" w:line="240" w:lineRule="auto"/>
        <w:rPr>
          <w:b/>
          <w:bCs/>
          <w:color w:val="000000"/>
          <w:szCs w:val="22"/>
        </w:rPr>
      </w:pPr>
      <w:r w:rsidRPr="00AE7E19">
        <w:rPr>
          <w:color w:val="000000"/>
          <w:szCs w:val="22"/>
        </w:rPr>
        <w:t>“Where exchanges cross a line is when the external pricing of the data is intended to exploit a monopoly, near-monopoly, or to limit competition with an exchange’s own licensing</w:t>
      </w:r>
      <w:r>
        <w:rPr>
          <w:color w:val="000000"/>
          <w:szCs w:val="22"/>
        </w:rPr>
        <w:t>-</w:t>
      </w:r>
      <w:proofErr w:type="gramStart"/>
      <w:r w:rsidRPr="00AE7E19">
        <w:rPr>
          <w:color w:val="000000"/>
          <w:szCs w:val="22"/>
        </w:rPr>
        <w:t>business.“</w:t>
      </w:r>
      <w:proofErr w:type="gramEnd"/>
    </w:p>
    <w:p w14:paraId="74514216" w14:textId="77777777" w:rsidR="00C54E92" w:rsidRPr="00AE7E19" w:rsidRDefault="00C54E92" w:rsidP="00C54E92">
      <w:pPr>
        <w:pStyle w:val="Listenabsatz"/>
        <w:numPr>
          <w:ilvl w:val="0"/>
          <w:numId w:val="38"/>
        </w:numPr>
        <w:spacing w:before="120" w:after="0" w:line="240" w:lineRule="auto"/>
        <w:rPr>
          <w:b/>
          <w:bCs/>
          <w:color w:val="000000"/>
          <w:szCs w:val="22"/>
        </w:rPr>
      </w:pPr>
      <w:r w:rsidRPr="00AE7E19">
        <w:rPr>
          <w:color w:val="000000"/>
          <w:szCs w:val="22"/>
        </w:rPr>
        <w:t>“Exchanges play a vital role in collecting and managing market data, which is intrinsic to their core functions where associated costs are paid for by market participants. Whether through legislation or regulation, most exchanges control the market data produced as a by-product. They do not own them, though, and they cannot assert copyright for the reasons discussed above. While not settled, there may be limited database rights accruing to the exchanges, and to the extent that there are costs incurred in external licensing, these and reasonable overheads can be recovered. What they cannot do is subsidize their primary operations or impose prices and restrictions on third-party users.”</w:t>
      </w:r>
    </w:p>
    <w:p w14:paraId="6C612C6B" w14:textId="77777777" w:rsidR="00C54E92" w:rsidRPr="00AE7E19" w:rsidRDefault="00C54E92" w:rsidP="00C54E92">
      <w:pPr>
        <w:spacing w:before="120" w:after="0" w:line="240" w:lineRule="auto"/>
        <w:rPr>
          <w:color w:val="000000"/>
          <w:szCs w:val="22"/>
        </w:rPr>
      </w:pPr>
    </w:p>
    <w:p w14:paraId="66F1EA66" w14:textId="77777777" w:rsidR="00C54E92" w:rsidRPr="00AE7E19" w:rsidRDefault="00C54E92" w:rsidP="00C54E92">
      <w:pPr>
        <w:spacing w:before="120" w:after="0" w:line="240" w:lineRule="auto"/>
        <w:rPr>
          <w:color w:val="000000"/>
          <w:szCs w:val="22"/>
        </w:rPr>
      </w:pPr>
      <w:r w:rsidRPr="00AE7E19">
        <w:rPr>
          <w:color w:val="000000"/>
          <w:szCs w:val="22"/>
        </w:rPr>
        <w:t>While the argument that prices are not copyrightable and databases of prices rarely are</w:t>
      </w:r>
      <w:r>
        <w:rPr>
          <w:color w:val="000000"/>
          <w:szCs w:val="22"/>
        </w:rPr>
        <w:t xml:space="preserve"> </w:t>
      </w:r>
      <w:r w:rsidRPr="00AE7E19">
        <w:rPr>
          <w:color w:val="000000"/>
          <w:szCs w:val="22"/>
        </w:rPr>
        <w:t xml:space="preserve">protected by database rights is not new and has been discussed for a long time, this has not prevented the majority of trading venues from leveraging their </w:t>
      </w:r>
      <w:r>
        <w:rPr>
          <w:color w:val="000000"/>
          <w:szCs w:val="22"/>
        </w:rPr>
        <w:t xml:space="preserve">(natural) </w:t>
      </w:r>
      <w:r w:rsidRPr="00AE7E19">
        <w:rPr>
          <w:color w:val="000000"/>
          <w:szCs w:val="22"/>
        </w:rPr>
        <w:t xml:space="preserve">monopoly status as vendors to impose restrictive contractual terms for the receipt, use, and redistribution of market data. </w:t>
      </w:r>
    </w:p>
    <w:p w14:paraId="69BA29B0" w14:textId="77777777" w:rsidR="00C54E92" w:rsidRPr="00AE7E19" w:rsidRDefault="00C54E92" w:rsidP="00C54E92">
      <w:pPr>
        <w:spacing w:before="120" w:after="0" w:line="240" w:lineRule="auto"/>
        <w:rPr>
          <w:color w:val="000000"/>
          <w:szCs w:val="22"/>
        </w:rPr>
      </w:pPr>
      <w:r w:rsidRPr="00AE7E19">
        <w:rPr>
          <w:color w:val="000000"/>
          <w:szCs w:val="22"/>
        </w:rPr>
        <w:t xml:space="preserve">In this context we would like to </w:t>
      </w:r>
      <w:r>
        <w:rPr>
          <w:color w:val="000000"/>
          <w:szCs w:val="22"/>
        </w:rPr>
        <w:t>further elaborate</w:t>
      </w:r>
      <w:r w:rsidRPr="00AE7E19">
        <w:rPr>
          <w:color w:val="000000"/>
          <w:szCs w:val="22"/>
        </w:rPr>
        <w:t xml:space="preserve"> another </w:t>
      </w:r>
      <w:r>
        <w:rPr>
          <w:color w:val="000000"/>
          <w:szCs w:val="22"/>
        </w:rPr>
        <w:t xml:space="preserve">important </w:t>
      </w:r>
      <w:r w:rsidRPr="00AE7E19">
        <w:rPr>
          <w:color w:val="000000"/>
          <w:szCs w:val="22"/>
        </w:rPr>
        <w:t>aspect: In essence, market participants are the driving force behind market growth. They collect and analyse information, evaluate traded instruments and provide liquidity through supply and demand</w:t>
      </w:r>
      <w:r>
        <w:rPr>
          <w:color w:val="000000"/>
          <w:szCs w:val="22"/>
        </w:rPr>
        <w:t xml:space="preserve"> (and by doing so, putting their own capital at risk by taking positions, respectively by making investments)</w:t>
      </w:r>
      <w:r w:rsidRPr="00AE7E19">
        <w:rPr>
          <w:color w:val="000000"/>
          <w:szCs w:val="22"/>
        </w:rPr>
        <w:t xml:space="preserve">. The market operator's role is to oversee this negotiation and aggregation process. The main contribution of trading venues in this process is mainly of technical nature by providing IT, infrastructure and connectivity. </w:t>
      </w:r>
    </w:p>
    <w:p w14:paraId="25DE2E97" w14:textId="77777777" w:rsidR="00C54E92" w:rsidRPr="00AE7E19" w:rsidRDefault="00C54E92" w:rsidP="00C54E92">
      <w:pPr>
        <w:spacing w:before="120" w:after="0" w:line="240" w:lineRule="auto"/>
      </w:pPr>
      <w:r w:rsidRPr="00AE7E19">
        <w:t xml:space="preserve">Thus, it is important to remember that price/market data does not result from the activities of the trading venue that later sells it, but from the actions and interactions of the market participants that are active on a particular trading venue. In this respect trading venues are rather “recording” than “producing” the market data they sell. </w:t>
      </w:r>
      <w:r>
        <w:t xml:space="preserve">Thus, market data is just a “by-product” of the trading activity. </w:t>
      </w:r>
      <w:r w:rsidRPr="00AE7E19">
        <w:t xml:space="preserve">That is why in the following we put “production” of market data into quotation marks. </w:t>
      </w:r>
    </w:p>
    <w:p w14:paraId="57AE0EAD" w14:textId="77777777" w:rsidR="00C54E92" w:rsidRPr="00AE7E19" w:rsidRDefault="00C54E92" w:rsidP="00C54E92">
      <w:pPr>
        <w:spacing w:before="120" w:after="0" w:line="240" w:lineRule="auto"/>
      </w:pPr>
      <w:r w:rsidRPr="00AE7E19">
        <w:t>While the value contribution of market participants in generating market data is more than obvious, they are - in most cases - not economically compensated for their significant contribution to the production function, but ironically may find themselves in a situation where they even "buy back" their own price data as part of the datasets they purchase from a trading venue or another data vendor.</w:t>
      </w:r>
    </w:p>
    <w:p w14:paraId="4B75E90D" w14:textId="77777777" w:rsidR="00C54E92" w:rsidRPr="00AE7E19" w:rsidRDefault="00C54E92" w:rsidP="00C54E92">
      <w:pPr>
        <w:spacing w:before="120" w:after="0" w:line="240" w:lineRule="auto"/>
      </w:pPr>
      <w:r w:rsidRPr="00AE7E19">
        <w:t xml:space="preserve">To further illustrate this, please allow us to draw the following analogy: </w:t>
      </w:r>
    </w:p>
    <w:p w14:paraId="057A6846" w14:textId="77777777" w:rsidR="00C54E92" w:rsidRPr="00AE7E19" w:rsidRDefault="00C54E92" w:rsidP="00C54E92">
      <w:pPr>
        <w:spacing w:before="120" w:after="0" w:line="240" w:lineRule="auto"/>
      </w:pPr>
      <w:r w:rsidRPr="00AE7E19">
        <w:t xml:space="preserve">The role of a trading venue in the market data ecosystem can be </w:t>
      </w:r>
      <w:r>
        <w:t>compared</w:t>
      </w:r>
      <w:r w:rsidRPr="00AE7E19">
        <w:t xml:space="preserve"> to that of a concert hall operator in the music industry. While the concert hall is an indispensable “venue” for the performance and distribution of music, it is not the creator of the music nor does it possess the intellectual property rights to it.</w:t>
      </w:r>
    </w:p>
    <w:p w14:paraId="43FF0305" w14:textId="77777777" w:rsidR="00C54E92" w:rsidRPr="00AE7E19" w:rsidRDefault="00C54E92" w:rsidP="00C54E92">
      <w:pPr>
        <w:numPr>
          <w:ilvl w:val="0"/>
          <w:numId w:val="39"/>
        </w:numPr>
        <w:spacing w:before="120" w:after="0" w:line="240" w:lineRule="auto"/>
      </w:pPr>
      <w:r w:rsidRPr="00AE7E19">
        <w:lastRenderedPageBreak/>
        <w:t>Concert hall as trading venue: A concert hall provides the physical infrastructure, technology (microphones, sound systems), and logistical support necessary for a concert to take place. Similarly, a trading venue offers the technological platform and regulatory framework for buyers and sellers to interact and trade securities.</w:t>
      </w:r>
    </w:p>
    <w:p w14:paraId="2923BC7F" w14:textId="77777777" w:rsidR="00C54E92" w:rsidRPr="00AE7E19" w:rsidRDefault="00C54E92" w:rsidP="00C54E92">
      <w:pPr>
        <w:numPr>
          <w:ilvl w:val="0"/>
          <w:numId w:val="39"/>
        </w:numPr>
        <w:spacing w:before="120" w:after="0" w:line="240" w:lineRule="auto"/>
      </w:pPr>
      <w:r w:rsidRPr="00AE7E19">
        <w:t xml:space="preserve">Musicians as market participants: The musicians, who create the music, are analogous to market participants (investors, traders, issuers) who </w:t>
      </w:r>
      <w:r>
        <w:t>“</w:t>
      </w:r>
      <w:r w:rsidRPr="00AE7E19">
        <w:t>generate</w:t>
      </w:r>
      <w:r>
        <w:t>”</w:t>
      </w:r>
      <w:r w:rsidRPr="00AE7E19">
        <w:t xml:space="preserve"> market data through their trading activities and order flow.</w:t>
      </w:r>
    </w:p>
    <w:p w14:paraId="5B031A45" w14:textId="7C386DE8" w:rsidR="00C54E92" w:rsidRPr="00AE7E19" w:rsidRDefault="00C54E92" w:rsidP="00C54E92">
      <w:pPr>
        <w:spacing w:before="120" w:after="0" w:line="240" w:lineRule="auto"/>
        <w:rPr>
          <w:lang w:val="de-DE"/>
        </w:rPr>
      </w:pPr>
      <w:r w:rsidRPr="00AE7E19">
        <w:rPr>
          <w:lang w:val="de-DE"/>
        </w:rPr>
        <w:t xml:space="preserve">Key </w:t>
      </w:r>
      <w:r w:rsidR="00E33F5E" w:rsidRPr="00AE7E19">
        <w:rPr>
          <w:lang w:val="de-DE"/>
        </w:rPr>
        <w:t>Points</w:t>
      </w:r>
      <w:r w:rsidRPr="00AE7E19">
        <w:rPr>
          <w:lang w:val="de-DE"/>
        </w:rPr>
        <w:t>:</w:t>
      </w:r>
    </w:p>
    <w:p w14:paraId="2113A382" w14:textId="77777777" w:rsidR="00C54E92" w:rsidRPr="00AE7E19" w:rsidRDefault="00C54E92" w:rsidP="00C54E92">
      <w:pPr>
        <w:numPr>
          <w:ilvl w:val="0"/>
          <w:numId w:val="40"/>
        </w:numPr>
        <w:spacing w:before="120" w:after="0" w:line="240" w:lineRule="auto"/>
      </w:pPr>
      <w:r w:rsidRPr="00AE7E19">
        <w:t>Infrastructure is just a facilitator: Trading venues provide the technological environment for market data to be generated and disseminated, but they do not create the data themselves.</w:t>
      </w:r>
    </w:p>
    <w:p w14:paraId="09746EEC" w14:textId="77777777" w:rsidR="00C54E92" w:rsidRPr="00AE7E19" w:rsidRDefault="00C54E92" w:rsidP="00C54E92">
      <w:pPr>
        <w:numPr>
          <w:ilvl w:val="0"/>
          <w:numId w:val="40"/>
        </w:numPr>
        <w:spacing w:before="120" w:after="0" w:line="240" w:lineRule="auto"/>
      </w:pPr>
      <w:r w:rsidRPr="00AE7E19">
        <w:t xml:space="preserve">No intellectual property rights: Just as a concert hall does not own the copyright of the music performed, a trading venue does not own the intellectual property rights to the market data generated on its platform. (However, in contrast to market data which as demonstrated </w:t>
      </w:r>
      <w:r>
        <w:t>can be seen as</w:t>
      </w:r>
      <w:r w:rsidRPr="00AE7E19">
        <w:t xml:space="preserve"> merely “factual” </w:t>
      </w:r>
      <w:r>
        <w:t xml:space="preserve">in </w:t>
      </w:r>
      <w:r w:rsidRPr="00AE7E19">
        <w:t>nature, it is undisputed that musical performance as a work of art constitutes intellectual property.)</w:t>
      </w:r>
    </w:p>
    <w:p w14:paraId="52D00C28" w14:textId="77777777" w:rsidR="00C54E92" w:rsidRPr="00AE7E19" w:rsidRDefault="00C54E92" w:rsidP="00C54E92">
      <w:pPr>
        <w:numPr>
          <w:ilvl w:val="0"/>
          <w:numId w:val="40"/>
        </w:numPr>
        <w:spacing w:before="120" w:after="0" w:line="240" w:lineRule="auto"/>
      </w:pPr>
      <w:r w:rsidRPr="00AE7E19">
        <w:t xml:space="preserve">Value-added information: Even if one rejects the conclusion that market data is not copyrightable, any value-added information it carries “belongs” to the market participants resulting from their economic analysis, bids and offers posted and liquidity provided. </w:t>
      </w:r>
    </w:p>
    <w:p w14:paraId="126F2BC2" w14:textId="77777777" w:rsidR="00C54E92" w:rsidRPr="00AE7E19" w:rsidRDefault="00C54E92" w:rsidP="00C54E92">
      <w:pPr>
        <w:spacing w:before="120" w:after="0" w:line="240" w:lineRule="auto"/>
      </w:pPr>
      <w:r w:rsidRPr="00AE7E19">
        <w:t xml:space="preserve">In conclusion, while trading venues play a critical role in the market ecosystem, their function is primarily to facilitate the exchange of securities and the generation of market data, not to create or own the data itself. The analogy to a concert hall highlights this distinction clearly. </w:t>
      </w:r>
    </w:p>
    <w:p w14:paraId="4DEE610E" w14:textId="77777777" w:rsidR="00C54E92" w:rsidRPr="00AE7E19" w:rsidRDefault="00C54E92" w:rsidP="00C54E92">
      <w:pPr>
        <w:spacing w:before="120" w:after="0" w:line="240" w:lineRule="auto"/>
      </w:pPr>
    </w:p>
    <w:p w14:paraId="4D0E3D09" w14:textId="77777777" w:rsidR="00C54E92" w:rsidRPr="00AE7E19" w:rsidRDefault="00C54E92" w:rsidP="00C54E92">
      <w:pPr>
        <w:spacing w:before="120" w:after="0" w:line="240" w:lineRule="auto"/>
        <w:rPr>
          <w:color w:val="000000"/>
          <w:szCs w:val="22"/>
        </w:rPr>
      </w:pPr>
      <w:r w:rsidRPr="00AE7E19">
        <w:t>Against this background, w</w:t>
      </w:r>
      <w:r w:rsidRPr="00AE7E19">
        <w:rPr>
          <w:color w:val="000000"/>
          <w:szCs w:val="22"/>
        </w:rPr>
        <w:t>e highly appreciate that ESMA fully recognises the strong stance taken by the revised Level 1 text in clarifying (in its clarity and unambiguity of expression, it can also be described as a "paradigm shift" - or "new principle" using the Commission's wording) that pricing of market data should be solely and strictly "cost-based" (as opposed to "value-based" from a client/user perspective). In our view, the cost based-approach reflects that the “production” of market data does not constitute an intellectual achievement by trading venues which could justify a chargeable added value in itself.</w:t>
      </w:r>
      <w:r>
        <w:rPr>
          <w:color w:val="000000"/>
          <w:szCs w:val="22"/>
        </w:rPr>
        <w:t xml:space="preserve"> </w:t>
      </w:r>
      <w:r w:rsidRPr="00127743">
        <w:rPr>
          <w:color w:val="000000"/>
          <w:szCs w:val="22"/>
        </w:rPr>
        <w:t xml:space="preserve">It is important to note </w:t>
      </w:r>
      <w:r>
        <w:rPr>
          <w:color w:val="000000"/>
          <w:szCs w:val="22"/>
        </w:rPr>
        <w:t xml:space="preserve">again </w:t>
      </w:r>
      <w:r w:rsidRPr="00127743">
        <w:rPr>
          <w:color w:val="000000"/>
          <w:szCs w:val="22"/>
        </w:rPr>
        <w:t xml:space="preserve">that market data is merely a </w:t>
      </w:r>
      <w:r>
        <w:rPr>
          <w:color w:val="000000"/>
          <w:szCs w:val="22"/>
        </w:rPr>
        <w:t>“</w:t>
      </w:r>
      <w:r w:rsidRPr="00127743">
        <w:rPr>
          <w:color w:val="000000"/>
          <w:szCs w:val="22"/>
        </w:rPr>
        <w:t>by-product</w:t>
      </w:r>
      <w:r>
        <w:rPr>
          <w:color w:val="000000"/>
          <w:szCs w:val="22"/>
        </w:rPr>
        <w:t>”</w:t>
      </w:r>
      <w:r w:rsidRPr="00127743">
        <w:rPr>
          <w:color w:val="000000"/>
          <w:szCs w:val="22"/>
        </w:rPr>
        <w:t xml:space="preserve"> of the trading process. Consequently, the costs associated with running the trading infrastructure cannot be incorporated into the cost basis for market data. </w:t>
      </w:r>
      <w:r>
        <w:rPr>
          <w:color w:val="000000"/>
          <w:szCs w:val="22"/>
        </w:rPr>
        <w:t>Unfortunately, t</w:t>
      </w:r>
      <w:r w:rsidRPr="00127743">
        <w:rPr>
          <w:color w:val="000000"/>
          <w:szCs w:val="22"/>
        </w:rPr>
        <w:t xml:space="preserve">he </w:t>
      </w:r>
      <w:r>
        <w:rPr>
          <w:color w:val="000000"/>
          <w:szCs w:val="22"/>
        </w:rPr>
        <w:t xml:space="preserve">draft </w:t>
      </w:r>
      <w:r w:rsidRPr="00127743">
        <w:rPr>
          <w:color w:val="000000"/>
          <w:szCs w:val="22"/>
        </w:rPr>
        <w:t xml:space="preserve">RTS is </w:t>
      </w:r>
      <w:r>
        <w:rPr>
          <w:color w:val="000000"/>
          <w:szCs w:val="22"/>
        </w:rPr>
        <w:t xml:space="preserve">still </w:t>
      </w:r>
      <w:r w:rsidRPr="00127743">
        <w:rPr>
          <w:color w:val="000000"/>
          <w:szCs w:val="22"/>
        </w:rPr>
        <w:t xml:space="preserve">somewhat vague </w:t>
      </w:r>
      <w:r>
        <w:rPr>
          <w:color w:val="000000"/>
          <w:szCs w:val="22"/>
        </w:rPr>
        <w:t xml:space="preserve">in this respect </w:t>
      </w:r>
      <w:r w:rsidRPr="00127743">
        <w:rPr>
          <w:color w:val="000000"/>
          <w:szCs w:val="22"/>
        </w:rPr>
        <w:t xml:space="preserve">and allows for a broad interpretation of appropriately apportioned costs. This could potentially include the cost of matching trades, which could </w:t>
      </w:r>
      <w:r>
        <w:rPr>
          <w:color w:val="000000"/>
          <w:szCs w:val="22"/>
        </w:rPr>
        <w:t xml:space="preserve">– incorrectly – </w:t>
      </w:r>
      <w:r w:rsidRPr="00127743">
        <w:rPr>
          <w:color w:val="000000"/>
          <w:szCs w:val="22"/>
        </w:rPr>
        <w:t>also be considered a cost of market data "production".</w:t>
      </w:r>
      <w:r>
        <w:rPr>
          <w:color w:val="000000"/>
          <w:szCs w:val="22"/>
        </w:rPr>
        <w:t xml:space="preserve"> Furthermore, </w:t>
      </w:r>
      <w:r w:rsidRPr="0098596D">
        <w:rPr>
          <w:color w:val="000000"/>
          <w:szCs w:val="22"/>
        </w:rPr>
        <w:t xml:space="preserve">it is </w:t>
      </w:r>
      <w:r>
        <w:rPr>
          <w:color w:val="000000"/>
          <w:szCs w:val="22"/>
        </w:rPr>
        <w:t xml:space="preserve">important to understand </w:t>
      </w:r>
      <w:r w:rsidRPr="0098596D">
        <w:rPr>
          <w:color w:val="000000"/>
          <w:szCs w:val="22"/>
        </w:rPr>
        <w:t xml:space="preserve">the structural characteristics of the market for market data, where market data vendors are typically classified as </w:t>
      </w:r>
      <w:r>
        <w:rPr>
          <w:color w:val="000000"/>
          <w:szCs w:val="22"/>
        </w:rPr>
        <w:t xml:space="preserve">born </w:t>
      </w:r>
      <w:r w:rsidRPr="0098596D">
        <w:rPr>
          <w:color w:val="000000"/>
          <w:szCs w:val="22"/>
        </w:rPr>
        <w:t xml:space="preserve">"natural monopolies". </w:t>
      </w:r>
      <w:r w:rsidRPr="00AE7E19">
        <w:rPr>
          <w:color w:val="000000"/>
          <w:szCs w:val="22"/>
        </w:rPr>
        <w:t xml:space="preserve">In other words, data streams from one venue cannot be substituted by streams from other venues, even if they relate to prices in the same security. </w:t>
      </w:r>
      <w:r w:rsidRPr="0098596D">
        <w:rPr>
          <w:color w:val="000000"/>
          <w:szCs w:val="22"/>
        </w:rPr>
        <w:t>Consequently</w:t>
      </w:r>
      <w:r w:rsidRPr="00AE7E19">
        <w:rPr>
          <w:color w:val="000000"/>
          <w:szCs w:val="22"/>
        </w:rPr>
        <w:t>, while venues compete intensely to attract liquidity, there is no efficient price competition for market data. Furthermore, the market for second-level distribution of market data by vendors and aggregators can be described as oligopolistic, as it has long been dominated globally by a very small number of large vendors</w:t>
      </w:r>
      <w:r>
        <w:rPr>
          <w:color w:val="000000"/>
          <w:szCs w:val="22"/>
        </w:rPr>
        <w:t>/aggregators</w:t>
      </w:r>
      <w:r w:rsidRPr="00AE7E19">
        <w:rPr>
          <w:color w:val="000000"/>
          <w:szCs w:val="22"/>
        </w:rPr>
        <w:t xml:space="preserve">. </w:t>
      </w:r>
    </w:p>
    <w:p w14:paraId="36487223" w14:textId="77777777" w:rsidR="00C54E92" w:rsidRPr="00AE7E19" w:rsidRDefault="00C54E92" w:rsidP="00C54E92">
      <w:pPr>
        <w:spacing w:before="120" w:after="0" w:line="240" w:lineRule="auto"/>
        <w:rPr>
          <w:color w:val="000000"/>
          <w:szCs w:val="22"/>
        </w:rPr>
      </w:pPr>
      <w:r>
        <w:rPr>
          <w:color w:val="000000"/>
          <w:szCs w:val="22"/>
        </w:rPr>
        <w:t>On top of this, t</w:t>
      </w:r>
      <w:r w:rsidRPr="00AE7E19">
        <w:rPr>
          <w:color w:val="000000"/>
          <w:szCs w:val="22"/>
        </w:rPr>
        <w:t>hese structural imbalances with strong market power on the supply side meet an economically highly "inelastic" and therefore price-insensitive demand</w:t>
      </w:r>
      <w:r>
        <w:rPr>
          <w:color w:val="000000"/>
          <w:szCs w:val="22"/>
        </w:rPr>
        <w:t xml:space="preserve">, a structure </w:t>
      </w:r>
      <w:proofErr w:type="spellStart"/>
      <w:r>
        <w:rPr>
          <w:color w:val="000000"/>
          <w:szCs w:val="22"/>
        </w:rPr>
        <w:t>which</w:t>
      </w:r>
      <w:r w:rsidRPr="00AE7E19">
        <w:rPr>
          <w:color w:val="000000"/>
          <w:szCs w:val="22"/>
        </w:rPr>
        <w:t>deserves</w:t>
      </w:r>
      <w:proofErr w:type="spellEnd"/>
      <w:r w:rsidRPr="00AE7E19">
        <w:rPr>
          <w:color w:val="000000"/>
          <w:szCs w:val="22"/>
        </w:rPr>
        <w:t xml:space="preserve"> increased regulatory attention. Here it is important to understand that the lack of price sensitivity </w:t>
      </w:r>
      <w:r w:rsidRPr="00AE7E19">
        <w:rPr>
          <w:color w:val="000000"/>
          <w:szCs w:val="22"/>
        </w:rPr>
        <w:lastRenderedPageBreak/>
        <w:t xml:space="preserve">is also stemming to a significant extent from regulatory requirements. In other words, the demand for market data is highly price inelastic, not only because of the economic value that the data represents, but also because banks and investment firms need to purchase data in order to comply with regulatory requirements, in particular MiFID II / </w:t>
      </w:r>
      <w:proofErr w:type="spellStart"/>
      <w:r w:rsidRPr="00AE7E19">
        <w:rPr>
          <w:color w:val="000000"/>
          <w:szCs w:val="22"/>
        </w:rPr>
        <w:t>MiFIR</w:t>
      </w:r>
      <w:proofErr w:type="spellEnd"/>
      <w:r w:rsidRPr="00AE7E19">
        <w:rPr>
          <w:color w:val="000000"/>
          <w:szCs w:val="22"/>
        </w:rPr>
        <w:t>, or trade surveillance obligations to prevent or detect market abuse under MAR.</w:t>
      </w:r>
    </w:p>
    <w:p w14:paraId="144F89D3" w14:textId="77777777" w:rsidR="00C54E92" w:rsidRPr="00AE7E19" w:rsidRDefault="00C54E92" w:rsidP="00C54E92">
      <w:pPr>
        <w:spacing w:before="120" w:after="0" w:line="240" w:lineRule="auto"/>
        <w:rPr>
          <w:color w:val="000000"/>
          <w:szCs w:val="22"/>
        </w:rPr>
      </w:pPr>
      <w:r w:rsidRPr="00AE7E19">
        <w:rPr>
          <w:color w:val="000000"/>
          <w:szCs w:val="22"/>
        </w:rPr>
        <w:t xml:space="preserve">In addition, the vast majority of today's trading venues are "for-profit" businesses, often in the form of a listed company. Like any other commercial enterprise, their shareholders </w:t>
      </w:r>
      <w:r>
        <w:rPr>
          <w:color w:val="000000"/>
          <w:szCs w:val="22"/>
        </w:rPr>
        <w:t xml:space="preserve">– very naturally and understandable - </w:t>
      </w:r>
      <w:r w:rsidRPr="00AE7E19">
        <w:rPr>
          <w:color w:val="000000"/>
          <w:szCs w:val="22"/>
        </w:rPr>
        <w:t>expect management to maximise profits and shareholder value. They are constrained only by their competitors</w:t>
      </w:r>
      <w:r>
        <w:rPr>
          <w:color w:val="000000"/>
          <w:szCs w:val="22"/>
        </w:rPr>
        <w:t xml:space="preserve"> (a</w:t>
      </w:r>
      <w:r w:rsidRPr="00AE7E19">
        <w:rPr>
          <w:color w:val="000000"/>
          <w:szCs w:val="22"/>
        </w:rPr>
        <w:t xml:space="preserve"> mechanism which has </w:t>
      </w:r>
      <w:r>
        <w:rPr>
          <w:color w:val="000000"/>
          <w:szCs w:val="22"/>
        </w:rPr>
        <w:t xml:space="preserve">admittedly </w:t>
      </w:r>
      <w:r w:rsidRPr="00AE7E19">
        <w:rPr>
          <w:color w:val="000000"/>
          <w:szCs w:val="22"/>
        </w:rPr>
        <w:t>worked very effectively on the trading side</w:t>
      </w:r>
      <w:r>
        <w:rPr>
          <w:color w:val="000000"/>
          <w:szCs w:val="22"/>
        </w:rPr>
        <w:t>)</w:t>
      </w:r>
      <w:r w:rsidRPr="00AE7E19">
        <w:rPr>
          <w:color w:val="000000"/>
          <w:szCs w:val="22"/>
        </w:rPr>
        <w:t xml:space="preserve">. Not surprisingly, venues have sought to increase their revenues from other services, such as market data to compensate for the margin squeeze on the trading side. As ESMA itself states correctly: "competitive pressure on venues' prices is low" for market data, market data has become an important alternative source of revenue, especially for larger venues. </w:t>
      </w:r>
    </w:p>
    <w:p w14:paraId="4A6726B6" w14:textId="77777777" w:rsidR="00C54E92" w:rsidRPr="00AE7E19" w:rsidRDefault="00C54E92" w:rsidP="00C54E92">
      <w:pPr>
        <w:spacing w:before="120" w:after="0" w:line="240" w:lineRule="auto"/>
        <w:rPr>
          <w:color w:val="000000"/>
          <w:szCs w:val="22"/>
        </w:rPr>
      </w:pPr>
      <w:r w:rsidRPr="00AE7E19">
        <w:rPr>
          <w:color w:val="000000"/>
          <w:szCs w:val="22"/>
        </w:rPr>
        <w:t xml:space="preserve">Accordingly, it is completely unrealistic and 'outside the system' to expect effective self-moderation in form of a “reasonable” commercial basis. We therefore believe that ESMA contrary to its </w:t>
      </w:r>
      <w:proofErr w:type="spellStart"/>
      <w:r w:rsidRPr="00AE7E19">
        <w:rPr>
          <w:color w:val="000000"/>
          <w:szCs w:val="22"/>
        </w:rPr>
        <w:t>self assessment</w:t>
      </w:r>
      <w:proofErr w:type="spellEnd"/>
      <w:r w:rsidRPr="00AE7E19">
        <w:rPr>
          <w:color w:val="000000"/>
          <w:szCs w:val="22"/>
        </w:rPr>
        <w:t>, is indeed endowed with a “price competition mandate”</w:t>
      </w:r>
      <w:r>
        <w:rPr>
          <w:color w:val="000000"/>
          <w:szCs w:val="22"/>
        </w:rPr>
        <w:t xml:space="preserve"> since the question what is “reasonable” cannot expected to be answered by the trading venues themselves, even more when taking the described </w:t>
      </w:r>
      <w:proofErr w:type="spellStart"/>
      <w:r>
        <w:rPr>
          <w:color w:val="000000"/>
          <w:szCs w:val="22"/>
        </w:rPr>
        <w:t>inbalances</w:t>
      </w:r>
      <w:proofErr w:type="spellEnd"/>
      <w:r>
        <w:rPr>
          <w:color w:val="000000"/>
          <w:szCs w:val="22"/>
        </w:rPr>
        <w:t xml:space="preserve"> between (de facto monopolistic) supply and (highly inelastic) demand into account</w:t>
      </w:r>
      <w:r w:rsidRPr="00AE7E19">
        <w:rPr>
          <w:color w:val="000000"/>
          <w:szCs w:val="22"/>
        </w:rPr>
        <w:t xml:space="preserve">. </w:t>
      </w:r>
    </w:p>
    <w:p w14:paraId="724503C2" w14:textId="77777777" w:rsidR="00C54E92" w:rsidRPr="00AE7E19" w:rsidRDefault="00C54E92" w:rsidP="00C54E92">
      <w:pPr>
        <w:spacing w:before="120" w:after="0" w:line="240" w:lineRule="auto"/>
        <w:rPr>
          <w:color w:val="000000"/>
          <w:szCs w:val="22"/>
        </w:rPr>
      </w:pPr>
      <w:r w:rsidRPr="00AE7E19">
        <w:rPr>
          <w:color w:val="000000"/>
          <w:szCs w:val="22"/>
        </w:rPr>
        <w:t xml:space="preserve">Even if ESMA does not consider itself capable or authorized to set specific margins, it cannot escape the clear responsibility to develop a workable concept which effectively allows to judge whether an observed margin is still “reasonable” or not. It is not sufficient for ESMA to approve </w:t>
      </w:r>
      <w:r>
        <w:rPr>
          <w:color w:val="000000"/>
          <w:szCs w:val="22"/>
        </w:rPr>
        <w:t xml:space="preserve">rather </w:t>
      </w:r>
      <w:r w:rsidRPr="00AE7E19">
        <w:rPr>
          <w:color w:val="000000"/>
          <w:szCs w:val="22"/>
        </w:rPr>
        <w:t>abstract ex ante principles without evaluating their ex-post efficiency.</w:t>
      </w:r>
    </w:p>
    <w:p w14:paraId="5CAE1C0A" w14:textId="77777777" w:rsidR="00C54E92" w:rsidRDefault="00C54E92" w:rsidP="00C54E92">
      <w:pPr>
        <w:spacing w:before="120" w:after="0" w:line="240" w:lineRule="auto"/>
        <w:rPr>
          <w:color w:val="000000"/>
          <w:szCs w:val="22"/>
        </w:rPr>
      </w:pPr>
      <w:r w:rsidRPr="00AE7E19">
        <w:rPr>
          <w:color w:val="000000"/>
          <w:szCs w:val="22"/>
        </w:rPr>
        <w:t xml:space="preserve">Regarding the question which costs are attributable to the “production” and distribution of market data, we are in particular concerned that an overly generous and unspecified allocation of "joint costs" could lead to a dilution or circumvention of the "cost-based" principle, which must be effectively prevented. </w:t>
      </w:r>
      <w:r w:rsidRPr="005F6989">
        <w:rPr>
          <w:color w:val="000000"/>
          <w:szCs w:val="22"/>
        </w:rPr>
        <w:t>It should be made clear in the draft RTS (Article 2) that the costs taken into account explicitly exclude any costs associated with the operation of a trading platform (matching of buy and sell orders). The attribution of costs for the "production" of market data should be limited to the aggregation and formatting of the data, but not to the costs associated with receiving and executing orders.</w:t>
      </w:r>
    </w:p>
    <w:p w14:paraId="1E76A17F" w14:textId="77777777" w:rsidR="00C54E92" w:rsidRPr="00AE7E19" w:rsidRDefault="00C54E92" w:rsidP="00C54E92">
      <w:pPr>
        <w:spacing w:before="120" w:after="0" w:line="240" w:lineRule="auto"/>
        <w:rPr>
          <w:color w:val="000000"/>
          <w:szCs w:val="22"/>
        </w:rPr>
      </w:pPr>
      <w:r w:rsidRPr="00AE7E19">
        <w:rPr>
          <w:color w:val="000000"/>
          <w:szCs w:val="22"/>
        </w:rPr>
        <w:t>Furthermore, in its efforts to implement the Level 1 requirements, ESMA still seems to refer too often to "old world" concepts</w:t>
      </w:r>
      <w:r>
        <w:rPr>
          <w:color w:val="000000"/>
          <w:szCs w:val="22"/>
        </w:rPr>
        <w:t>, originating from a “value based” perspective</w:t>
      </w:r>
      <w:r w:rsidRPr="00AE7E19">
        <w:rPr>
          <w:color w:val="000000"/>
          <w:szCs w:val="22"/>
        </w:rPr>
        <w:t xml:space="preserve">. In this context, we would urge ESMA to avoid any wording or categorisation that would allow the reintroduction of de facto 'value-based' pricing, and it should be made clear that transparency of pricing alone does not ensure compliance with the 'cost-based' pricing principle. </w:t>
      </w:r>
    </w:p>
    <w:p w14:paraId="481E5443" w14:textId="77777777" w:rsidR="00C54E92" w:rsidRPr="00AE7E19" w:rsidRDefault="00C54E92" w:rsidP="00C54E92">
      <w:pPr>
        <w:spacing w:before="120" w:after="0" w:line="240" w:lineRule="auto"/>
        <w:rPr>
          <w:color w:val="000000"/>
          <w:szCs w:val="22"/>
        </w:rPr>
      </w:pPr>
      <w:r w:rsidRPr="00AE7E19">
        <w:rPr>
          <w:color w:val="000000"/>
          <w:szCs w:val="22"/>
        </w:rPr>
        <w:t xml:space="preserve">The costs of producing and disseminating market data do not differ between customers. They are the same and </w:t>
      </w:r>
      <w:r>
        <w:rPr>
          <w:color w:val="000000"/>
          <w:szCs w:val="22"/>
        </w:rPr>
        <w:t xml:space="preserve">reasonably expected to be comparably </w:t>
      </w:r>
      <w:r w:rsidRPr="00AE7E19">
        <w:rPr>
          <w:color w:val="000000"/>
          <w:szCs w:val="22"/>
        </w:rPr>
        <w:t>low. Any "user" based (as opposed to "client"</w:t>
      </w:r>
      <w:proofErr w:type="gramStart"/>
      <w:r w:rsidRPr="00AE7E19">
        <w:rPr>
          <w:color w:val="000000"/>
          <w:szCs w:val="22"/>
        </w:rPr>
        <w:t>/”customer</w:t>
      </w:r>
      <w:proofErr w:type="gramEnd"/>
      <w:r w:rsidRPr="00AE7E19">
        <w:rPr>
          <w:color w:val="000000"/>
          <w:szCs w:val="22"/>
        </w:rPr>
        <w:t xml:space="preserve">” based) approach runs the risk of reintroducing a value-based approach (Article 12, which is fully welcome in its legislative intent to avoid any double pricing, should therefore ensure that each piece of data is charged only once in relation to each client (the natural or legal person signing the data use agreement) and not to the "user" who may be a person working for the client). Furthermore, under the cost-based approach it is generally irrelevant how a customer uses the data purchased. </w:t>
      </w:r>
    </w:p>
    <w:p w14:paraId="4E9360FC" w14:textId="77777777" w:rsidR="00C54E92" w:rsidRPr="00AE7E19" w:rsidRDefault="00C54E92" w:rsidP="00C54E92">
      <w:pPr>
        <w:spacing w:before="120" w:after="0" w:line="240" w:lineRule="auto"/>
      </w:pPr>
      <w:r w:rsidRPr="00AE7E19">
        <w:lastRenderedPageBreak/>
        <w:t xml:space="preserve">In particular, the distinction between "displayed" and "non-displayed" data must become irrelevant (except perhaps for the charge for a piece of software to "display" the data - and the pricing of that software as part of the distribution costs will most likely follow the same RCB principle), and the ability to display data based on customer-developed software must not be prohibited. The removal of value-based pricing should not lead to higher costs for any type of data user - on the contrary - and i.e. smaller firms should not even face relatively higher costs, as the current level of fees is already unjustified and unreasonable and bears no relation to the costs of producing and disseminating the market data. </w:t>
      </w:r>
    </w:p>
    <w:p w14:paraId="06FC8ACD" w14:textId="77777777" w:rsidR="00C54E92" w:rsidRPr="00AE7E19" w:rsidRDefault="00C54E92" w:rsidP="00C54E92">
      <w:pPr>
        <w:spacing w:before="120" w:after="0" w:line="240" w:lineRule="auto"/>
      </w:pPr>
      <w:r w:rsidRPr="00AE7E19">
        <w:t xml:space="preserve">These user and usage-based elements are also contrary to the "obligation to provide market data on a non-discriminatory basis" as discussed in Chapter 9 of the CP (see also answer to Q31). </w:t>
      </w:r>
    </w:p>
    <w:p w14:paraId="2165997D" w14:textId="77777777" w:rsidR="00C54E92" w:rsidRPr="00AE7E19" w:rsidRDefault="00C54E92" w:rsidP="00C54E92">
      <w:pPr>
        <w:spacing w:before="120" w:after="0" w:line="240" w:lineRule="auto"/>
        <w:rPr>
          <w:color w:val="000000"/>
          <w:szCs w:val="22"/>
        </w:rPr>
      </w:pPr>
      <w:r w:rsidRPr="00AE7E19">
        <w:rPr>
          <w:color w:val="000000"/>
          <w:szCs w:val="22"/>
        </w:rPr>
        <w:t xml:space="preserve">Some additional elements are needed to achieve non-discriminatory and fair data provision, as </w:t>
      </w:r>
    </w:p>
    <w:p w14:paraId="51BE2108" w14:textId="77777777" w:rsidR="00C54E92" w:rsidRPr="00AE7E19" w:rsidRDefault="00C54E92" w:rsidP="00C54E92">
      <w:pPr>
        <w:pStyle w:val="Listenabsatz"/>
        <w:numPr>
          <w:ilvl w:val="0"/>
          <w:numId w:val="37"/>
        </w:numPr>
        <w:spacing w:before="120" w:after="0" w:line="240" w:lineRule="auto"/>
        <w:rPr>
          <w:color w:val="000000"/>
          <w:szCs w:val="22"/>
        </w:rPr>
      </w:pPr>
      <w:r w:rsidRPr="00AE7E19">
        <w:rPr>
          <w:color w:val="000000"/>
          <w:szCs w:val="22"/>
        </w:rPr>
        <w:t xml:space="preserve">- Art. 13 1. refers to the publication of data policies: "The data policies of those market operators and investment firms, APAs, CTPs and systematic internalisers shall be made available to the public free of charge in an easily accessible and understandable manner". </w:t>
      </w:r>
    </w:p>
    <w:p w14:paraId="06061AD5" w14:textId="77777777" w:rsidR="00C54E92" w:rsidRPr="00AE7E19" w:rsidRDefault="00C54E92" w:rsidP="00C54E92">
      <w:pPr>
        <w:pStyle w:val="Listenabsatz"/>
        <w:numPr>
          <w:ilvl w:val="0"/>
          <w:numId w:val="37"/>
        </w:numPr>
        <w:spacing w:before="120" w:after="0" w:line="240" w:lineRule="auto"/>
        <w:rPr>
          <w:color w:val="000000"/>
          <w:szCs w:val="22"/>
        </w:rPr>
      </w:pPr>
      <w:r w:rsidRPr="00AE7E19">
        <w:rPr>
          <w:color w:val="000000"/>
          <w:szCs w:val="22"/>
        </w:rPr>
        <w:t>Art. 13 4. Refers to the auditing via the NCA: “Market operators and investment firms operating a trading venue, APAs, CTPs and Systematic-Internalisers shall, upon request, provide their competent authority with information on the actual costs of producing and disseminating the information referred to in paragraph 1, including a reasonable margin.”</w:t>
      </w:r>
    </w:p>
    <w:p w14:paraId="33401893" w14:textId="77777777" w:rsidR="00C54E92" w:rsidRPr="00AE7E19" w:rsidRDefault="00C54E92" w:rsidP="00C54E92">
      <w:pPr>
        <w:spacing w:before="120" w:after="0" w:line="240" w:lineRule="auto"/>
        <w:rPr>
          <w:color w:val="000000"/>
          <w:szCs w:val="22"/>
        </w:rPr>
      </w:pPr>
      <w:r w:rsidRPr="00AE7E19">
        <w:rPr>
          <w:color w:val="000000"/>
          <w:szCs w:val="22"/>
        </w:rPr>
        <w:t>Given the intention of the Level 1 text, we conclude that the publication of data policies cannot just be a very high-level documentation, but needs to be quite granular as to what costs are included in pricing. Annex I of the RTS only mentions a "high-level summary", which is not sufficient for market participants to assess the fairness of the cost basis</w:t>
      </w:r>
      <w:r>
        <w:rPr>
          <w:color w:val="000000"/>
          <w:szCs w:val="22"/>
        </w:rPr>
        <w:t xml:space="preserve"> and therefore would contradict the “spirit” of the Level 1 text.</w:t>
      </w:r>
      <w:r w:rsidRPr="00AE7E19">
        <w:rPr>
          <w:color w:val="000000"/>
          <w:szCs w:val="22"/>
        </w:rPr>
        <w:t xml:space="preserve"> </w:t>
      </w:r>
    </w:p>
    <w:p w14:paraId="3CFB85E9" w14:textId="77777777" w:rsidR="00C54E92" w:rsidRPr="00AE7E19" w:rsidRDefault="00C54E92" w:rsidP="00C54E92">
      <w:pPr>
        <w:spacing w:before="120" w:after="0" w:line="240" w:lineRule="auto"/>
        <w:rPr>
          <w:color w:val="000000"/>
          <w:szCs w:val="22"/>
        </w:rPr>
      </w:pPr>
      <w:r w:rsidRPr="00AE7E19">
        <w:rPr>
          <w:color w:val="000000"/>
          <w:szCs w:val="22"/>
        </w:rPr>
        <w:t xml:space="preserve">Furthermore, as NCAs are typically not in a position to </w:t>
      </w:r>
      <w:r>
        <w:rPr>
          <w:color w:val="000000"/>
          <w:szCs w:val="22"/>
        </w:rPr>
        <w:t xml:space="preserve">effectively </w:t>
      </w:r>
      <w:r w:rsidRPr="00AE7E19">
        <w:rPr>
          <w:color w:val="000000"/>
          <w:szCs w:val="22"/>
        </w:rPr>
        <w:t>assess whether actual costs are reasonable, we would expect the NCA to have an active dialogue with the clients/users of the data</w:t>
      </w:r>
      <w:r>
        <w:rPr>
          <w:color w:val="000000"/>
          <w:szCs w:val="22"/>
        </w:rPr>
        <w:t xml:space="preserve"> on the cost information received from trading venues</w:t>
      </w:r>
      <w:r w:rsidRPr="00AE7E19">
        <w:rPr>
          <w:color w:val="000000"/>
          <w:szCs w:val="22"/>
        </w:rPr>
        <w:t xml:space="preserve">. This would include publishing an aggregated version of the actual costs of these audits with reference to Art. 13 1. The information provided should be as detailed as possible. Aggregation may be acceptable where confidential business and accounting information of the data provider needs to be protected from other market participants. However, in such a case the burden of proof should be with the vendor and business confidentiality may not be used as a general excuse to avoid transparency. </w:t>
      </w:r>
    </w:p>
    <w:p w14:paraId="184D1290" w14:textId="77777777" w:rsidR="00C54E92" w:rsidRPr="00AE7E19" w:rsidRDefault="00C54E92" w:rsidP="00C54E92">
      <w:pPr>
        <w:spacing w:before="120" w:after="0" w:line="240" w:lineRule="auto"/>
        <w:rPr>
          <w:color w:val="000000"/>
          <w:szCs w:val="22"/>
        </w:rPr>
      </w:pP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07EE79EE" w14:textId="77777777" w:rsidR="00586E99" w:rsidRPr="00AE7E19" w:rsidRDefault="00586E99" w:rsidP="00586E99">
      <w:pPr>
        <w:spacing w:before="120" w:after="0" w:line="240" w:lineRule="auto"/>
      </w:pPr>
      <w:permStart w:id="1840853704" w:edGrp="everyone"/>
    </w:p>
    <w:p w14:paraId="62C842D3" w14:textId="77777777" w:rsidR="00586E99" w:rsidRPr="00AE7E19" w:rsidRDefault="00586E99" w:rsidP="00586E99">
      <w:pPr>
        <w:spacing w:before="120" w:after="0" w:line="240" w:lineRule="auto"/>
      </w:pPr>
      <w:r w:rsidRPr="00AE7E19">
        <w:lastRenderedPageBreak/>
        <w:t>As mentioned in Q26 before</w:t>
      </w:r>
      <w:r>
        <w:t>,</w:t>
      </w:r>
      <w:r w:rsidRPr="00AE7E19">
        <w:t xml:space="preserve"> </w:t>
      </w:r>
      <w:r w:rsidRPr="00AE7E19">
        <w:rPr>
          <w:color w:val="000000"/>
          <w:szCs w:val="22"/>
        </w:rPr>
        <w:t>we are in strongly concerned that</w:t>
      </w:r>
      <w:r w:rsidRPr="00AE7E19">
        <w:t xml:space="preserve"> the imputation of "joint costs" in an unspecified manner could lead to a dilution or circumvention of the "cost-based" principle, which needs to be effectively prevented. Therefore, “joint costs” should only be recognised to the extent that they are materially attributable and necessary for the „</w:t>
      </w:r>
      <w:proofErr w:type="gramStart"/>
      <w:r w:rsidRPr="00AE7E19">
        <w:t>production“ and</w:t>
      </w:r>
      <w:proofErr w:type="gramEnd"/>
      <w:r w:rsidRPr="00AE7E19">
        <w:t xml:space="preserve"> dissemination of market data. General administrative costs and any other costs that would be incurred even without the „</w:t>
      </w:r>
      <w:proofErr w:type="gramStart"/>
      <w:r w:rsidRPr="00AE7E19">
        <w:t>production“ and</w:t>
      </w:r>
      <w:proofErr w:type="gramEnd"/>
      <w:r w:rsidRPr="00AE7E19">
        <w:t xml:space="preserve"> dissemination of market data (e.g. a "matching engine" in </w:t>
      </w:r>
      <w:r>
        <w:t>a</w:t>
      </w:r>
      <w:r w:rsidRPr="00AE7E19">
        <w:t xml:space="preserve"> data/computer centre, which is necessary anyway to facilitate trading) are not considered to meet these requirements.</w:t>
      </w:r>
    </w:p>
    <w:p w14:paraId="37B88EAA" w14:textId="77777777" w:rsidR="00586E99" w:rsidRPr="00AE7E19" w:rsidRDefault="00586E99" w:rsidP="00586E99">
      <w:pPr>
        <w:spacing w:before="120" w:after="0" w:line="240" w:lineRule="auto"/>
      </w:pPr>
      <w:r>
        <w:t>Within the narrow possibility to include “joint-costs”, t</w:t>
      </w:r>
      <w:r w:rsidRPr="00AE7E19">
        <w:t xml:space="preserve">he cost allocation mechanism shall be plausible, transparent and comprehensible (e.g. pro rata of individual attributable costs or pro rata of revenues from market data sales compared to total revenues from all business activities) and shall be publicly available. (See also response to Q26). </w:t>
      </w:r>
    </w:p>
    <w:p w14:paraId="3E45ECD2" w14:textId="77777777" w:rsidR="00586E99" w:rsidRPr="00AE7E19" w:rsidRDefault="00586E99" w:rsidP="00586E99">
      <w:pPr>
        <w:spacing w:before="120" w:after="0" w:line="240" w:lineRule="auto"/>
      </w:pPr>
      <w:bookmarkStart w:id="11" w:name="_Hlk175587199"/>
      <w:r w:rsidRPr="00AE7E19">
        <w:t>In general, the calculation of infrastructure or personal costs which are directly attributable (including amorti</w:t>
      </w:r>
      <w:r>
        <w:t>s</w:t>
      </w:r>
      <w:r w:rsidRPr="00AE7E19">
        <w:t>ations) does not give raise to controversy. While we agree that amorti</w:t>
      </w:r>
      <w:r>
        <w:t>s</w:t>
      </w:r>
      <w:r w:rsidRPr="00AE7E19">
        <w:t xml:space="preserve">ations clearly should be part of the allocated costs, we are </w:t>
      </w:r>
      <w:r>
        <w:t xml:space="preserve">very </w:t>
      </w:r>
      <w:r w:rsidRPr="00AE7E19">
        <w:t xml:space="preserve">sceptical with respect whether </w:t>
      </w:r>
      <w:r>
        <w:t xml:space="preserve">(other) </w:t>
      </w:r>
      <w:r w:rsidRPr="00AE7E19">
        <w:t xml:space="preserve">financial costs shall be included because of differences in taxes, business models, capital structures etc. </w:t>
      </w:r>
    </w:p>
    <w:bookmarkEnd w:id="11"/>
    <w:p w14:paraId="1B9AFEB2" w14:textId="7033F630" w:rsidR="00586E99" w:rsidRPr="00AE7E19" w:rsidRDefault="00586E99" w:rsidP="00586E99">
      <w:pPr>
        <w:spacing w:before="120" w:after="0" w:line="240" w:lineRule="auto"/>
      </w:pPr>
      <w:r>
        <w:t>Furthermore, i</w:t>
      </w:r>
      <w:r w:rsidRPr="00AE7E19">
        <w:t xml:space="preserve">n terms of connectivity costs, there must be a basic service for the non-discriminatory provision of the relevant data that is sufficiently adequate for the majority of clients. Any </w:t>
      </w:r>
      <w:r>
        <w:t>price-</w:t>
      </w:r>
      <w:r w:rsidRPr="00AE7E19">
        <w:t>differentiation must be limited to the manner in which the data is provided. Assuming that downloadable market data with a 15-minute delay (including historical data) is "free of charge" anyway</w:t>
      </w:r>
      <w:r>
        <w:t xml:space="preserve"> (and shall remain free of charge, once it has been published)</w:t>
      </w:r>
      <w:r w:rsidRPr="00AE7E19">
        <w:t xml:space="preserve">, the basis must be real-time market data with a data feed that can be used with an API connection. In addition, there may be additional charges for special requirements such as HFT with co-location or other </w:t>
      </w:r>
      <w:r w:rsidR="00E33F5E">
        <w:t>high-performance</w:t>
      </w:r>
      <w:r w:rsidRPr="00AE7E19">
        <w:t xml:space="preserve"> connections</w:t>
      </w:r>
      <w:r>
        <w:t>, which clearly exceed the requirements of an average (professional) client</w:t>
      </w:r>
      <w:r w:rsidRPr="00AE7E19">
        <w:t xml:space="preserve">. </w:t>
      </w:r>
    </w:p>
    <w:p w14:paraId="2429B44E" w14:textId="77777777" w:rsidR="00586E99" w:rsidRPr="00AE7E19" w:rsidRDefault="00586E99" w:rsidP="00586E99">
      <w:pPr>
        <w:spacing w:before="120" w:after="0" w:line="240" w:lineRule="auto"/>
      </w:pPr>
      <w:r w:rsidRPr="00AE7E19">
        <w:t xml:space="preserve">As an example, consider the online configuration of a car. You choose the basic model and possible extras. The final price is </w:t>
      </w:r>
      <w:r>
        <w:t>determined by the features you choose</w:t>
      </w:r>
      <w:r w:rsidRPr="00AE7E19">
        <w:t xml:space="preserve">. </w:t>
      </w:r>
      <w:r>
        <w:t>However, t</w:t>
      </w:r>
      <w:r w:rsidRPr="00AE7E19">
        <w:t xml:space="preserve">he price </w:t>
      </w:r>
      <w:r>
        <w:t>remains</w:t>
      </w:r>
      <w:r w:rsidRPr="00AE7E19">
        <w:t xml:space="preserve"> the same </w:t>
      </w:r>
      <w:r>
        <w:t xml:space="preserve">no matter </w:t>
      </w:r>
      <w:r w:rsidRPr="00AE7E19">
        <w:t>whether you use the car in your backyard, on a public road or motorway, or on a race track.</w:t>
      </w:r>
    </w:p>
    <w:p w14:paraId="6EF6CC4E" w14:textId="77777777" w:rsidR="00586E99" w:rsidRPr="00AE7E19" w:rsidRDefault="00586E99" w:rsidP="00586E99">
      <w:pPr>
        <w:spacing w:before="120" w:after="0" w:line="240" w:lineRule="auto"/>
      </w:pP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15BC088D" w14:textId="77777777" w:rsidR="00586E99" w:rsidRPr="00AE7E19" w:rsidRDefault="00586E99" w:rsidP="00586E99">
      <w:pPr>
        <w:spacing w:after="0"/>
      </w:pPr>
      <w:permStart w:id="636686123" w:edGrp="everyone"/>
    </w:p>
    <w:p w14:paraId="69A0C90F" w14:textId="77777777" w:rsidR="00586E99" w:rsidRPr="00AE7E19" w:rsidRDefault="00586E99" w:rsidP="00586E99">
      <w:pPr>
        <w:spacing w:before="120" w:after="0" w:line="240" w:lineRule="auto"/>
      </w:pPr>
      <w:r w:rsidRPr="00AE7E19">
        <w:t xml:space="preserve">We agree with ESMA's expectation that TVs will consider and appropriately allocate the costs associated with resources used to provide multiple services, whereas APAs and CTPs are likely to use all of their resources for the purpose of data dissemination. </w:t>
      </w:r>
    </w:p>
    <w:p w14:paraId="584E3B5C" w14:textId="77777777" w:rsidR="00586E99" w:rsidRPr="00AE7E19" w:rsidRDefault="00586E99" w:rsidP="00586E99">
      <w:pPr>
        <w:spacing w:before="120" w:after="0" w:line="240" w:lineRule="auto"/>
      </w:pPr>
      <w:r w:rsidRPr="00AE7E19">
        <w:t xml:space="preserve">For TVs, it has to be established that operating the market for a TV is the main business activity. Market data is a necessary by-product of the operation of the market. From an economic point of </w:t>
      </w:r>
      <w:r w:rsidRPr="00AE7E19">
        <w:lastRenderedPageBreak/>
        <w:t>view, it is understandable that trading venues would seek to offset the erosion of margins from trading fees due to increased competition by generating additional revenue from the sale (or 'licensing') of market data. Moreover, the provision of trading infrastructure and the supply of market data generated by trading are obviously linked products. It should also be borne in mind that the better a venue succeeds in attracting trading volume, not least by foregoing margins on the trading side, the more valuable its own market data becomes as a reference price. Therefore, the provision of trading infrastructure and the production of market data cannot be viewed in isolation, either from an economic or a regulatory perspective.</w:t>
      </w:r>
    </w:p>
    <w:p w14:paraId="4C481C60" w14:textId="77777777" w:rsidR="00586E99" w:rsidRPr="00AE7E19" w:rsidRDefault="00586E99" w:rsidP="00586E99">
      <w:pPr>
        <w:spacing w:before="120" w:after="0" w:line="240" w:lineRule="auto"/>
      </w:pPr>
      <w:r w:rsidRPr="00AE7E19">
        <w:t>Differentiation becomes particularly important when the market speed to enable HFT and potentially other services is very high</w:t>
      </w:r>
      <w:r>
        <w:t xml:space="preserve">. </w:t>
      </w:r>
      <w:r w:rsidRPr="00AE7E19">
        <w:t>The necessary IT costs to enable a fast market (low latency environment) cannot be seen as a cost component of the data as such. It must be ensured that special requirements are only paid for by those who demand them. Market data costs must be limited to the relevant dissemination of the data</w:t>
      </w:r>
      <w:r>
        <w:t xml:space="preserve"> (cf. our answer to Q28)</w:t>
      </w:r>
      <w:r w:rsidRPr="00AE7E19">
        <w:t>.</w:t>
      </w:r>
    </w:p>
    <w:p w14:paraId="0575748E" w14:textId="77777777" w:rsidR="00586E99" w:rsidRPr="00AE7E19" w:rsidRDefault="00586E99" w:rsidP="00586E99">
      <w:pPr>
        <w:spacing w:before="120" w:after="0" w:line="240" w:lineRule="auto"/>
      </w:pP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775A8E7C" w14:textId="77777777" w:rsidR="00586E99" w:rsidRPr="00AE7E19" w:rsidRDefault="00586E99" w:rsidP="00586E99">
      <w:pPr>
        <w:spacing w:before="120" w:after="0" w:line="240" w:lineRule="auto"/>
      </w:pPr>
      <w:permStart w:id="1539128939" w:edGrp="everyone"/>
    </w:p>
    <w:p w14:paraId="68191CB6" w14:textId="77777777" w:rsidR="00586E99" w:rsidRPr="00AE7E19" w:rsidRDefault="00586E99" w:rsidP="00586E99">
      <w:pPr>
        <w:spacing w:before="120" w:after="0" w:line="240" w:lineRule="auto"/>
      </w:pPr>
      <w:r>
        <w:t>In our view, t</w:t>
      </w:r>
      <w:r w:rsidRPr="00AE7E19">
        <w:t xml:space="preserve">he definition in Art. 3 of the RTS is not ideal as a proxy. We believe that operating profit, defined as gross profit </w:t>
      </w:r>
      <w:r>
        <w:t>minus</w:t>
      </w:r>
      <w:r w:rsidRPr="00AE7E19">
        <w:t xml:space="preserve"> operating expenses, is a better measure than net profit. Therefore, the adoption of net profit and related net profit margins could lead to complications, including comparability problems. We suggest changing Article 3 from net profit to operating profit. </w:t>
      </w:r>
    </w:p>
    <w:p w14:paraId="266F6116" w14:textId="77777777" w:rsidR="00586E99" w:rsidRPr="00AE7E19" w:rsidRDefault="00586E99" w:rsidP="00586E99">
      <w:pPr>
        <w:spacing w:before="120" w:after="0" w:line="240" w:lineRule="auto"/>
      </w:pPr>
      <w:r w:rsidRPr="00AE7E19">
        <w:t>If the definition of "net profit" in Art. 3 of the RTS as a proxy</w:t>
      </w:r>
      <w:r>
        <w:t xml:space="preserve"> would be implemented</w:t>
      </w:r>
      <w:r w:rsidRPr="00AE7E19">
        <w:t xml:space="preserve">, several conditions would have to be met: </w:t>
      </w:r>
      <w:r>
        <w:t>In particular, it should be insured</w:t>
      </w:r>
      <w:r w:rsidRPr="00AE7E19">
        <w:t xml:space="preserve"> that one-off start-up costs are excluded from the cost base for calculating profits. </w:t>
      </w:r>
      <w:r>
        <w:t>S</w:t>
      </w:r>
      <w:r w:rsidRPr="00AE7E19">
        <w:t>tart-up costs would significantly distort this assessment and open up an opaque discretionary scope for data providers.</w:t>
      </w:r>
      <w:r>
        <w:t xml:space="preserve"> (However, the problem would be eased, if start-up costs would be amortized over time according to generally agreed accounting principles.)</w:t>
      </w:r>
    </w:p>
    <w:p w14:paraId="19EC6335" w14:textId="77777777" w:rsidR="00586E99" w:rsidRPr="00AE7E19" w:rsidRDefault="00586E99" w:rsidP="00586E99">
      <w:pPr>
        <w:spacing w:before="120" w:after="0" w:line="240" w:lineRule="auto"/>
      </w:pPr>
      <w:r w:rsidRPr="00AE7E19">
        <w:t xml:space="preserve">When considering </w:t>
      </w:r>
      <w:r>
        <w:t>if</w:t>
      </w:r>
      <w:r w:rsidRPr="00AE7E19">
        <w:t xml:space="preserve"> a margin can be considered reasonable, it should be borne in mind that ensuring broad access to market data for market participants is key to promoting competition in financial markets and enhancing the price-formation process. Margins should be set in a way that promotes market data fees that allow data access to the maximum number of customers. </w:t>
      </w:r>
    </w:p>
    <w:p w14:paraId="1CA6B668" w14:textId="1BB33686" w:rsidR="00586E99" w:rsidRPr="00AE7E19" w:rsidRDefault="00586E99" w:rsidP="00586E99">
      <w:pPr>
        <w:spacing w:before="120" w:after="0" w:line="240" w:lineRule="auto"/>
        <w:rPr>
          <w:color w:val="auto"/>
          <w:szCs w:val="22"/>
        </w:rPr>
      </w:pPr>
      <w:r w:rsidRPr="00AE7E19">
        <w:rPr>
          <w:color w:val="auto"/>
        </w:rPr>
        <w:t xml:space="preserve">We agree that it </w:t>
      </w:r>
      <w:r>
        <w:rPr>
          <w:color w:val="auto"/>
        </w:rPr>
        <w:t>would be</w:t>
      </w:r>
      <w:r w:rsidRPr="00AE7E19">
        <w:rPr>
          <w:color w:val="auto"/>
        </w:rPr>
        <w:t xml:space="preserve"> a complex exercise to set a single margin applicable to all market data vendors. Therefore, a principle-based approach may be </w:t>
      </w:r>
      <w:r>
        <w:rPr>
          <w:color w:val="auto"/>
        </w:rPr>
        <w:t>acceptable</w:t>
      </w:r>
      <w:r w:rsidRPr="00AE7E19">
        <w:rPr>
          <w:color w:val="auto"/>
        </w:rPr>
        <w:t xml:space="preserve">. </w:t>
      </w:r>
      <w:bookmarkStart w:id="12" w:name="_Hlk175311994"/>
      <w:r w:rsidRPr="00AE7E19">
        <w:rPr>
          <w:color w:val="auto"/>
        </w:rPr>
        <w:t xml:space="preserve">However, we believe </w:t>
      </w:r>
      <w:r w:rsidRPr="00AE7E19">
        <w:rPr>
          <w:color w:val="auto"/>
          <w:szCs w:val="22"/>
        </w:rPr>
        <w:t xml:space="preserve">that ESMA contrary to its </w:t>
      </w:r>
      <w:r w:rsidR="00D15D0D" w:rsidRPr="00AE7E19">
        <w:rPr>
          <w:color w:val="auto"/>
          <w:szCs w:val="22"/>
        </w:rPr>
        <w:t>self-assessment</w:t>
      </w:r>
      <w:r w:rsidRPr="00AE7E19">
        <w:rPr>
          <w:color w:val="auto"/>
          <w:szCs w:val="22"/>
        </w:rPr>
        <w:t>, is indeed endowed with a “price competition mandate”</w:t>
      </w:r>
      <w:r>
        <w:rPr>
          <w:color w:val="auto"/>
          <w:szCs w:val="22"/>
        </w:rPr>
        <w:t>.</w:t>
      </w:r>
      <w:r w:rsidRPr="00AE7E19">
        <w:rPr>
          <w:color w:val="auto"/>
          <w:szCs w:val="22"/>
        </w:rPr>
        <w:t xml:space="preserve"> Even if ESMA does not consider itself capable or authorized to set specific margins, it cannot escape the clear responsibility to develop a workable concept which effectively allows to judge whether an observed margin is still “reasonable” or not (</w:t>
      </w:r>
      <w:r>
        <w:rPr>
          <w:color w:val="auto"/>
          <w:szCs w:val="22"/>
        </w:rPr>
        <w:t>cf.</w:t>
      </w:r>
      <w:r w:rsidRPr="00AE7E19">
        <w:rPr>
          <w:color w:val="auto"/>
          <w:szCs w:val="22"/>
        </w:rPr>
        <w:t xml:space="preserve"> our answer to Q26).</w:t>
      </w:r>
    </w:p>
    <w:bookmarkEnd w:id="12"/>
    <w:p w14:paraId="42B07891" w14:textId="77777777" w:rsidR="00586E99" w:rsidRPr="00AE7E19" w:rsidRDefault="00586E99" w:rsidP="00586E99">
      <w:pPr>
        <w:spacing w:before="120" w:after="0" w:line="240" w:lineRule="auto"/>
      </w:pPr>
      <w:r w:rsidRPr="00AE7E19">
        <w:lastRenderedPageBreak/>
        <w:t>Therefore, we suggest that ESMA should carefully examine the various margins and cost levels and compare them with the average in other segments of the financial industry that do not have the pricing power that trading venues as natural monopolists with respect to their market data business have.</w:t>
      </w:r>
    </w:p>
    <w:p w14:paraId="070E22C7" w14:textId="77777777" w:rsidR="00586E99" w:rsidRPr="00AE7E19" w:rsidRDefault="00586E99" w:rsidP="00586E99">
      <w:pPr>
        <w:spacing w:before="120" w:after="0" w:line="240" w:lineRule="auto"/>
      </w:pPr>
      <w:r w:rsidRPr="00AE7E19">
        <w:t>The following analysis by OPIMAS</w:t>
      </w:r>
      <w:r>
        <w:t xml:space="preserve"> (</w:t>
      </w:r>
      <w:r w:rsidRPr="00E00076">
        <w:t>https://www.opimas.com/research/538/detail/</w:t>
      </w:r>
      <w:r>
        <w:t>)</w:t>
      </w:r>
      <w:r w:rsidRPr="00AE7E19">
        <w:t xml:space="preserve"> shows that trading venues generate profit margins up to three times higher than other financial sectors. </w:t>
      </w:r>
    </w:p>
    <w:p w14:paraId="4458E670" w14:textId="77777777" w:rsidR="00586E99" w:rsidRPr="00AE7E19" w:rsidRDefault="00586E99" w:rsidP="00586E99">
      <w:pPr>
        <w:spacing w:before="120" w:after="0" w:line="240" w:lineRule="auto"/>
      </w:pPr>
    </w:p>
    <w:p w14:paraId="218D2EBB" w14:textId="77777777" w:rsidR="00586E99" w:rsidRPr="00AE7E19" w:rsidRDefault="00586E99" w:rsidP="00586E99">
      <w:pPr>
        <w:spacing w:before="120" w:after="0" w:line="240" w:lineRule="auto"/>
      </w:pPr>
      <w:r w:rsidRPr="00AE7E19">
        <w:rPr>
          <w:noProof/>
        </w:rPr>
        <w:drawing>
          <wp:inline distT="0" distB="0" distL="0" distR="0" wp14:anchorId="5B847902" wp14:editId="04231FB1">
            <wp:extent cx="4932321" cy="4370544"/>
            <wp:effectExtent l="0" t="0" r="1905" b="0"/>
            <wp:docPr id="156509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9342" name=""/>
                    <pic:cNvPicPr/>
                  </pic:nvPicPr>
                  <pic:blipFill>
                    <a:blip r:embed="rId25"/>
                    <a:stretch>
                      <a:fillRect/>
                    </a:stretch>
                  </pic:blipFill>
                  <pic:spPr>
                    <a:xfrm>
                      <a:off x="0" y="0"/>
                      <a:ext cx="4937437" cy="4375077"/>
                    </a:xfrm>
                    <a:prstGeom prst="rect">
                      <a:avLst/>
                    </a:prstGeom>
                  </pic:spPr>
                </pic:pic>
              </a:graphicData>
            </a:graphic>
          </wp:inline>
        </w:drawing>
      </w:r>
    </w:p>
    <w:p w14:paraId="40467FD2" w14:textId="77777777" w:rsidR="00586E99" w:rsidRPr="00AE7E19" w:rsidRDefault="00586E99" w:rsidP="00586E99">
      <w:pPr>
        <w:spacing w:before="120" w:after="0" w:line="240" w:lineRule="auto"/>
      </w:pPr>
    </w:p>
    <w:p w14:paraId="6BA2647E" w14:textId="77777777" w:rsidR="00586E99" w:rsidRPr="00AE7E19" w:rsidRDefault="00586E99" w:rsidP="00586E99">
      <w:pPr>
        <w:spacing w:before="120" w:after="0" w:line="240" w:lineRule="auto"/>
      </w:pPr>
      <w:r w:rsidRPr="00AE7E19">
        <w:t xml:space="preserve">Moreover, in order to </w:t>
      </w:r>
      <w:r>
        <w:t>enable</w:t>
      </w:r>
      <w:r w:rsidRPr="00AE7E19">
        <w:t xml:space="preserve"> a </w:t>
      </w:r>
      <w:r>
        <w:t xml:space="preserve">meaningful </w:t>
      </w:r>
      <w:r w:rsidRPr="00AE7E19">
        <w:t xml:space="preserve">comparison, profits need to be calculated over different time periods. </w:t>
      </w:r>
    </w:p>
    <w:p w14:paraId="4FF6215F" w14:textId="77777777" w:rsidR="00586E99" w:rsidRPr="00AE7E19" w:rsidRDefault="00586E99" w:rsidP="00586E99">
      <w:pPr>
        <w:spacing w:before="120" w:after="0" w:line="240" w:lineRule="auto"/>
      </w:pPr>
      <w:r w:rsidRPr="00AE7E19">
        <w:t xml:space="preserve">The question of the time or periods to be included in the calculation of costs and the calibration of fees and margins is another important issue </w:t>
      </w:r>
      <w:r>
        <w:t xml:space="preserve">which is </w:t>
      </w:r>
      <w:r w:rsidRPr="00AE7E19">
        <w:t xml:space="preserve">not yet addressed in the CP or </w:t>
      </w:r>
      <w:r>
        <w:t xml:space="preserve">in </w:t>
      </w:r>
      <w:r w:rsidRPr="00AE7E19">
        <w:t xml:space="preserve">the draft RTS. </w:t>
      </w:r>
    </w:p>
    <w:p w14:paraId="306B0D0F" w14:textId="77777777" w:rsidR="00586E99" w:rsidRPr="00AE7E19" w:rsidRDefault="00586E99" w:rsidP="00586E99">
      <w:pPr>
        <w:spacing w:before="120" w:after="0" w:line="240" w:lineRule="auto"/>
      </w:pPr>
      <w:r w:rsidRPr="00AE7E19">
        <w:t xml:space="preserve">Several questions arise </w:t>
      </w:r>
      <w:r>
        <w:t xml:space="preserve">in this context </w:t>
      </w:r>
      <w:r w:rsidRPr="00AE7E19">
        <w:t>and should be further discussed:</w:t>
      </w:r>
    </w:p>
    <w:p w14:paraId="15E0C03C" w14:textId="77777777" w:rsidR="00586E99" w:rsidRPr="00AE7E19" w:rsidRDefault="00586E99" w:rsidP="00586E99">
      <w:pPr>
        <w:pStyle w:val="Listenabsatz"/>
        <w:numPr>
          <w:ilvl w:val="0"/>
          <w:numId w:val="41"/>
        </w:numPr>
        <w:spacing w:before="120" w:after="0" w:line="240" w:lineRule="auto"/>
        <w:rPr>
          <w:color w:val="auto"/>
        </w:rPr>
      </w:pPr>
      <w:r w:rsidRPr="00AE7E19">
        <w:rPr>
          <w:color w:val="auto"/>
        </w:rPr>
        <w:t>Will the calibration be a one-time exercise with future price adoption</w:t>
      </w:r>
      <w:r>
        <w:rPr>
          <w:color w:val="auto"/>
        </w:rPr>
        <w:t>, e.g.</w:t>
      </w:r>
      <w:r w:rsidRPr="00AE7E19">
        <w:rPr>
          <w:color w:val="auto"/>
        </w:rPr>
        <w:t xml:space="preserve"> </w:t>
      </w:r>
      <w:r>
        <w:rPr>
          <w:color w:val="auto"/>
        </w:rPr>
        <w:t>based on official inflation statistics, or</w:t>
      </w:r>
    </w:p>
    <w:p w14:paraId="6A3B71B8" w14:textId="77777777" w:rsidR="00586E99" w:rsidRPr="00AE7E19" w:rsidRDefault="00586E99" w:rsidP="00586E99">
      <w:pPr>
        <w:pStyle w:val="Listenabsatz"/>
        <w:numPr>
          <w:ilvl w:val="0"/>
          <w:numId w:val="41"/>
        </w:numPr>
        <w:spacing w:before="120" w:after="0" w:line="240" w:lineRule="auto"/>
        <w:rPr>
          <w:color w:val="auto"/>
        </w:rPr>
      </w:pPr>
      <w:r>
        <w:rPr>
          <w:color w:val="auto"/>
        </w:rPr>
        <w:lastRenderedPageBreak/>
        <w:t>a</w:t>
      </w:r>
      <w:r w:rsidRPr="00AE7E19">
        <w:rPr>
          <w:color w:val="auto"/>
        </w:rPr>
        <w:t>lternatively, should cost be calibrated frequently (e.g. on annual basis) with proof of cost adjustments by data providers. In this case:</w:t>
      </w:r>
    </w:p>
    <w:p w14:paraId="05869B54" w14:textId="77777777" w:rsidR="00586E99" w:rsidRPr="00AE7E19" w:rsidRDefault="00586E99" w:rsidP="00586E99">
      <w:pPr>
        <w:pStyle w:val="Listenabsatz"/>
        <w:numPr>
          <w:ilvl w:val="1"/>
          <w:numId w:val="41"/>
        </w:numPr>
        <w:spacing w:before="120" w:after="0" w:line="240" w:lineRule="auto"/>
      </w:pPr>
      <w:r w:rsidRPr="00AE7E19">
        <w:t>Will data fees be calibrated against the costs of the current or a previous financial/accounting year?</w:t>
      </w:r>
    </w:p>
    <w:p w14:paraId="1801A62E" w14:textId="77777777" w:rsidR="00586E99" w:rsidRPr="00AE7E19" w:rsidRDefault="00586E99" w:rsidP="00586E99">
      <w:pPr>
        <w:pStyle w:val="Listenabsatz"/>
        <w:numPr>
          <w:ilvl w:val="1"/>
          <w:numId w:val="41"/>
        </w:numPr>
        <w:spacing w:before="120" w:after="0" w:line="240" w:lineRule="auto"/>
      </w:pPr>
      <w:r w:rsidRPr="00AE7E19">
        <w:t>Will clients have to pay fees in advance or after proof of costs?</w:t>
      </w:r>
    </w:p>
    <w:p w14:paraId="12510330" w14:textId="77777777" w:rsidR="00586E99" w:rsidRPr="00AE7E19" w:rsidRDefault="00586E99" w:rsidP="00586E99">
      <w:pPr>
        <w:pStyle w:val="Listenabsatz"/>
        <w:numPr>
          <w:ilvl w:val="1"/>
          <w:numId w:val="41"/>
        </w:numPr>
        <w:spacing w:before="120" w:after="0" w:line="240" w:lineRule="auto"/>
      </w:pPr>
      <w:r w:rsidRPr="00AE7E19">
        <w:t>Will clients be refunded if ex-ante fees prove to be too high ex-post?</w:t>
      </w:r>
    </w:p>
    <w:p w14:paraId="48F3FF0F" w14:textId="77777777" w:rsidR="00586E99" w:rsidRDefault="00586E99" w:rsidP="00586E99">
      <w:pPr>
        <w:spacing w:before="120" w:after="0" w:line="240" w:lineRule="auto"/>
      </w:pPr>
      <w:r>
        <w:t>While an annual cost assessment seems to be desirable in principle, it should also be taken into account that the costs for such an audit will be finally born by the data clients since they will be priced into the fees. We think that further evidence is needed to decide about a practical and balanced way forward.</w:t>
      </w:r>
    </w:p>
    <w:p w14:paraId="538CCC3F" w14:textId="77777777" w:rsidR="00586E99" w:rsidRPr="00AE7E19" w:rsidRDefault="00586E99" w:rsidP="00586E99">
      <w:pPr>
        <w:spacing w:before="120" w:after="0" w:line="240" w:lineRule="auto"/>
      </w:pP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71DA61B7" w14:textId="77777777" w:rsidR="00B60BEB" w:rsidRPr="00AE7E19" w:rsidRDefault="00B60BEB" w:rsidP="00B60BEB">
      <w:pPr>
        <w:spacing w:before="120" w:after="0" w:line="240" w:lineRule="auto"/>
      </w:pPr>
      <w:permStart w:id="307052998" w:edGrp="everyone"/>
    </w:p>
    <w:p w14:paraId="61E39B5F" w14:textId="77777777" w:rsidR="00B60BEB" w:rsidRPr="00AE7E19" w:rsidRDefault="00B60BEB" w:rsidP="00B60BEB">
      <w:pPr>
        <w:spacing w:before="120" w:after="0" w:line="240" w:lineRule="auto"/>
      </w:pPr>
      <w:r w:rsidRPr="00AE7E19">
        <w:t>The template contains most of the elements that we would expect to be included in the data policy template (Annex I). This might only exclude actual accounting data that would reveal sensitive information about the actual business of the data provider. At a minimum, the information in Annex II must be provided to data clients or made public (in a condensed or aggregated form) to allow for a qualified assessment. Potential audits must be able to be triggered by the client</w:t>
      </w:r>
      <w:r>
        <w:t>s if concerns regarding the reliability and comprehensiveness of the cost data provided arise</w:t>
      </w:r>
      <w:r w:rsidRPr="00AE7E19">
        <w:t xml:space="preserve">. Furthermore, the template does not contain any reference to the relevant time period from which the data should be derived (time period, </w:t>
      </w:r>
      <w:r>
        <w:t>cf.</w:t>
      </w:r>
      <w:r w:rsidRPr="00AE7E19">
        <w:t xml:space="preserve"> also </w:t>
      </w:r>
      <w:r>
        <w:t xml:space="preserve">our </w:t>
      </w:r>
      <w:r w:rsidRPr="00AE7E19">
        <w:t xml:space="preserve">answer to Q29). </w:t>
      </w:r>
    </w:p>
    <w:p w14:paraId="73CC68F2" w14:textId="77777777" w:rsidR="00B60BEB" w:rsidRPr="00AE7E19" w:rsidRDefault="00B60BEB" w:rsidP="00B60BEB">
      <w:pPr>
        <w:spacing w:before="120" w:after="0" w:line="240" w:lineRule="auto"/>
      </w:pPr>
      <w:r w:rsidRPr="00AE7E19">
        <w:t>In detail:</w:t>
      </w:r>
    </w:p>
    <w:p w14:paraId="03E2F92A" w14:textId="77777777" w:rsidR="00B60BEB" w:rsidRPr="00AE7E19" w:rsidRDefault="00B60BEB" w:rsidP="00B60BEB">
      <w:pPr>
        <w:pStyle w:val="Listenabsatz"/>
        <w:numPr>
          <w:ilvl w:val="0"/>
          <w:numId w:val="43"/>
        </w:numPr>
        <w:spacing w:before="120" w:after="0" w:line="240" w:lineRule="auto"/>
        <w:contextualSpacing w:val="0"/>
      </w:pPr>
      <w:r w:rsidRPr="00AE7E19">
        <w:t>Section 1: It should be stated whether the trading venue is private or listed.</w:t>
      </w:r>
    </w:p>
    <w:p w14:paraId="357D6D71" w14:textId="77777777" w:rsidR="00B60BEB" w:rsidRPr="00AE7E19" w:rsidRDefault="00B60BEB" w:rsidP="00B60BEB">
      <w:pPr>
        <w:pStyle w:val="Listenabsatz"/>
        <w:numPr>
          <w:ilvl w:val="0"/>
          <w:numId w:val="42"/>
        </w:numPr>
        <w:spacing w:before="120" w:after="0" w:line="240" w:lineRule="auto"/>
        <w:contextualSpacing w:val="0"/>
      </w:pPr>
      <w:r w:rsidRPr="00AE7E19">
        <w:t>Section 2: There should be a requirement to provide information broken down by asset class.</w:t>
      </w:r>
    </w:p>
    <w:p w14:paraId="27DC4FD5" w14:textId="77777777" w:rsidR="00B60BEB" w:rsidRPr="00AE7E19" w:rsidRDefault="00B60BEB" w:rsidP="00B60BEB">
      <w:pPr>
        <w:pStyle w:val="Listenabsatz"/>
        <w:numPr>
          <w:ilvl w:val="0"/>
          <w:numId w:val="42"/>
        </w:numPr>
        <w:spacing w:before="120" w:after="0" w:line="240" w:lineRule="auto"/>
        <w:contextualSpacing w:val="0"/>
      </w:pPr>
      <w:r w:rsidRPr="00AE7E19">
        <w:t xml:space="preserve"> Section 3: </w:t>
      </w:r>
    </w:p>
    <w:p w14:paraId="49EF78AB" w14:textId="77777777" w:rsidR="00B60BEB" w:rsidRPr="00AE7E19" w:rsidRDefault="00B60BEB" w:rsidP="00B60BEB">
      <w:pPr>
        <w:pStyle w:val="Listenabsatz"/>
        <w:numPr>
          <w:ilvl w:val="1"/>
          <w:numId w:val="42"/>
        </w:numPr>
        <w:spacing w:before="120" w:after="0" w:line="240" w:lineRule="auto"/>
        <w:contextualSpacing w:val="0"/>
      </w:pPr>
      <w:r w:rsidRPr="00AE7E19">
        <w:t>3 A: ESMA requires a "brief illustration" of the infrastructure involved. We encourage ESMA to require a detailed and documented explanation of the infrastructure so that NCAs can understand the business model.</w:t>
      </w:r>
    </w:p>
    <w:p w14:paraId="02F50D3E" w14:textId="77777777" w:rsidR="00B60BEB" w:rsidRPr="00AE7E19" w:rsidRDefault="00B60BEB" w:rsidP="00B60BEB">
      <w:pPr>
        <w:pStyle w:val="Listenabsatz"/>
        <w:numPr>
          <w:ilvl w:val="1"/>
          <w:numId w:val="42"/>
        </w:numPr>
        <w:spacing w:before="120" w:after="0" w:line="240" w:lineRule="auto"/>
        <w:contextualSpacing w:val="0"/>
      </w:pPr>
      <w:r w:rsidRPr="00AE7E19">
        <w:t xml:space="preserve">3B and 3C (parts: shared costs, financial costs, other) asks for the percentages of costs allocated, but does not include the other business or how the remaining percentage is allocated. This is necessary information to check the plausibility of these figures. In addition, ESMA requires an "indication" of the components taken into account to determine the cost of the data and the criteria used to identify this part. </w:t>
      </w:r>
      <w:r w:rsidRPr="00AE7E19">
        <w:lastRenderedPageBreak/>
        <w:t>We encourage ESMA to require a detailed and reasoned explanation. As mentioned under "General Comments" and in our response to Q26, we do not support the inclusion of "shared costs". If ESMA decides to proceed with this approach, we encourage ESMA to require a detailed and documented explanation, including documentation of how the included components contribute to the „</w:t>
      </w:r>
      <w:proofErr w:type="gramStart"/>
      <w:r w:rsidRPr="00AE7E19">
        <w:t>production“ and</w:t>
      </w:r>
      <w:proofErr w:type="gramEnd"/>
      <w:r w:rsidRPr="00AE7E19">
        <w:t xml:space="preserve"> dissemination of market data. The scheme must document the 'reason for inclusion' and the rationale for the percentage allocated. However, as mentioned before, we do not consider it useful to include financial costs due to different capital structures, national tax particularities, different business models etc. This is also the reason for focusing on operating profit rather than net profit. We suggest a much more detailed and justified requirement for the assessment.</w:t>
      </w:r>
    </w:p>
    <w:p w14:paraId="0E09C431" w14:textId="77777777" w:rsidR="00B60BEB" w:rsidRPr="00AE7E19" w:rsidRDefault="00B60BEB" w:rsidP="00B60BEB">
      <w:pPr>
        <w:pStyle w:val="Listenabsatz"/>
        <w:numPr>
          <w:ilvl w:val="0"/>
          <w:numId w:val="42"/>
        </w:numPr>
        <w:spacing w:before="120" w:after="0" w:line="240" w:lineRule="auto"/>
        <w:contextualSpacing w:val="0"/>
      </w:pPr>
      <w:r w:rsidRPr="00AE7E19">
        <w:t xml:space="preserve">Section 4 asks about margin differentiation. We don't see why margin differentiation can be based on cost. Margin differentiation would imply a value-based approach to the client, which </w:t>
      </w:r>
      <w:r>
        <w:t>would contradict</w:t>
      </w:r>
      <w:r w:rsidRPr="00AE7E19">
        <w:t xml:space="preserve"> the intention of Level 1 of the Regulation. Where providers are required to "state the criteria", we encourage ESMA to require a detailed explanation and documentation. As for the </w:t>
      </w:r>
      <w:r>
        <w:t xml:space="preserve">sake of </w:t>
      </w:r>
      <w:r w:rsidRPr="00AE7E19">
        <w:t xml:space="preserve">numerical evidence, this should also be documented. As stated in our proposal, we suggest adding a column to include changes from the previous year. Increases in margin, costs and fees should not exceed </w:t>
      </w:r>
      <w:r>
        <w:t xml:space="preserve">official inflation records as </w:t>
      </w:r>
      <w:r w:rsidRPr="00AE7E19">
        <w:t>the Consumer Price Index (CPI)</w:t>
      </w:r>
      <w:r>
        <w:t>, unless clearly documented and substantiated</w:t>
      </w:r>
      <w:r w:rsidRPr="00AE7E19">
        <w:t>.</w:t>
      </w:r>
    </w:p>
    <w:p w14:paraId="27B835EA" w14:textId="77777777" w:rsidR="00B60BEB" w:rsidRPr="00AE7E19" w:rsidRDefault="00B60BEB" w:rsidP="00B60BEB">
      <w:pPr>
        <w:pStyle w:val="Listenabsatz"/>
        <w:numPr>
          <w:ilvl w:val="0"/>
          <w:numId w:val="42"/>
        </w:numPr>
        <w:spacing w:before="120" w:after="0" w:line="240" w:lineRule="auto"/>
        <w:contextualSpacing w:val="0"/>
      </w:pPr>
      <w:r w:rsidRPr="00AE7E19">
        <w:t>Section 5 leaves it completely open which year can be filled in this form. What matters is the chronological order of cost calculation, invoicing of the relevant fees and payment obligations (including possible refunds). At the very least, there needs to be some principle-based rules that cannot be applied purely on a discretionary basis. It must be clear which calculation period (or which year) is relevant for which year's fee calculation. If it is the current year, what is the order of invoicing and reimbursement. In addition, "changes from the previous calculation period" are needed for further explanation.</w:t>
      </w:r>
    </w:p>
    <w:p w14:paraId="60F91FA2" w14:textId="77777777" w:rsidR="00B60BEB" w:rsidRPr="00AE7E19" w:rsidRDefault="00B60BEB" w:rsidP="00B60BEB">
      <w:pPr>
        <w:pStyle w:val="Listenabsatz"/>
        <w:numPr>
          <w:ilvl w:val="0"/>
          <w:numId w:val="42"/>
        </w:numPr>
        <w:spacing w:before="120" w:after="0" w:line="240" w:lineRule="auto"/>
        <w:contextualSpacing w:val="0"/>
      </w:pPr>
      <w:r w:rsidRPr="00AE7E19">
        <w:t xml:space="preserve">Section 6 only asks for differentiation of fees as a general comment. This is not sufficient, transparent or comprehensible information. The relevant calculations need to be complete and granular for each fee calculation, including all allocated costs that allow where and why the fees are differentiated. This means that the additional costs must be explicitly identified. We would like to remind that the allocation of "joint costs" would typically not justify differentiations. </w:t>
      </w:r>
      <w:r>
        <w:t>As mentioned before, the only</w:t>
      </w:r>
      <w:r w:rsidRPr="00AE7E19">
        <w:t xml:space="preserve"> correct </w:t>
      </w:r>
      <w:r>
        <w:t>approach which is in line with the “cost based” pricing-principle</w:t>
      </w:r>
      <w:r w:rsidRPr="00AE7E19">
        <w:t xml:space="preserve"> would be to allow data </w:t>
      </w:r>
      <w:r>
        <w:t>clients</w:t>
      </w:r>
      <w:r w:rsidRPr="00AE7E19">
        <w:t xml:space="preserve"> to purchase the data from the trading venues</w:t>
      </w:r>
      <w:r>
        <w:t xml:space="preserve"> and to use such data for whichever purposes they like afterwards</w:t>
      </w:r>
      <w:r w:rsidRPr="00AE7E19">
        <w:t xml:space="preserve">. Under no circumstances </w:t>
      </w:r>
      <w:r>
        <w:t xml:space="preserve">should </w:t>
      </w:r>
      <w:r w:rsidRPr="00AE7E19">
        <w:t>price differentiations be allowed without a clear nexus to cost-components which are clearly attributable to the “production” and dissemination of the market data.</w:t>
      </w:r>
    </w:p>
    <w:p w14:paraId="503F6A95" w14:textId="77777777" w:rsidR="00B60BEB" w:rsidRPr="00AE7E19" w:rsidRDefault="00B60BEB" w:rsidP="00B60BEB">
      <w:pPr>
        <w:spacing w:before="120" w:after="0" w:line="240" w:lineRule="auto"/>
      </w:pP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47E344ED" w14:textId="77777777" w:rsidR="00B60BEB" w:rsidRPr="00E33F5E" w:rsidRDefault="00B60BEB" w:rsidP="00B60BEB">
      <w:pPr>
        <w:spacing w:before="120" w:after="2" w:line="240" w:lineRule="auto"/>
        <w:rPr>
          <w:color w:val="000000"/>
          <w:szCs w:val="22"/>
        </w:rPr>
      </w:pPr>
      <w:permStart w:id="884149456" w:edGrp="everyone"/>
    </w:p>
    <w:p w14:paraId="74D81D49" w14:textId="77777777" w:rsidR="00B60BEB" w:rsidRPr="00E33F5E" w:rsidRDefault="00B60BEB" w:rsidP="00B60BEB">
      <w:pPr>
        <w:spacing w:before="120" w:after="2" w:line="240" w:lineRule="auto"/>
        <w:rPr>
          <w:color w:val="000000"/>
          <w:szCs w:val="22"/>
        </w:rPr>
      </w:pPr>
      <w:r w:rsidRPr="00E33F5E">
        <w:rPr>
          <w:color w:val="000000"/>
          <w:szCs w:val="22"/>
        </w:rPr>
        <w:t>Here, we think that an editorial error might have occurred in Q31. We assume that the question should read “What are in your view the obstacles to non-discriminatory access to data taking into consideration the current market data policies and agreements?”</w:t>
      </w:r>
    </w:p>
    <w:p w14:paraId="21E8724E" w14:textId="77777777" w:rsidR="00B60BEB" w:rsidRPr="00E33F5E" w:rsidRDefault="00B60BEB" w:rsidP="00B60BEB">
      <w:pPr>
        <w:spacing w:before="120" w:after="2" w:line="240" w:lineRule="auto"/>
        <w:rPr>
          <w:color w:val="000000"/>
          <w:szCs w:val="22"/>
        </w:rPr>
      </w:pPr>
      <w:r w:rsidRPr="00E33F5E">
        <w:rPr>
          <w:color w:val="000000"/>
          <w:szCs w:val="22"/>
        </w:rPr>
        <w:t>For a general discussion including the monopolistic market structure, please see also our answer to Q26. Regarding particular obstacles and unfair market practices as they can be frequently observed today, we would like to emphasise the following aspects:</w:t>
      </w:r>
    </w:p>
    <w:p w14:paraId="6D75ECAE" w14:textId="77777777" w:rsidR="00B60BEB" w:rsidRPr="00E33F5E" w:rsidRDefault="00B60BEB" w:rsidP="00B60BEB">
      <w:pPr>
        <w:pStyle w:val="Listenabsatz"/>
        <w:numPr>
          <w:ilvl w:val="0"/>
          <w:numId w:val="44"/>
        </w:numPr>
        <w:spacing w:before="120" w:line="240" w:lineRule="auto"/>
        <w:ind w:left="714" w:hanging="357"/>
        <w:rPr>
          <w:color w:val="000000"/>
          <w:szCs w:val="22"/>
        </w:rPr>
      </w:pPr>
      <w:r w:rsidRPr="00E33F5E">
        <w:rPr>
          <w:color w:val="000000"/>
          <w:szCs w:val="22"/>
        </w:rPr>
        <w:t>Market power: The cost burden of buying data from large and dominant venues is much higher than buying data from smaller or regional venues. While small venues are also "natural monopolists" for their data, the overall demand for such data may be too low to effectively exercise monopolistic power. Trading venues have imposed abusive conditions in licence agreements. The terms and conditions in the market data licence agreements are highly biased in favour of the trading venues, while their clients (investment firms, banks, portfolio- and asset managers to name only the most relevant groups) have basically no bargaining power in the agreement negotiations. Furthermore, clients are forced to sign non-disclosure agreements (NDAs) which effectively prohibit market transparency. Trading venues are able to impose such conditions because of their position as unavoidable trading partners who hold the key to the market through an essential facility. In essence, these are contractual terms that would never be accepted in a market with effective competition. The behaviour of the trading venues leads to discrimination, as dissimilar conditions are applied to similar contracts.</w:t>
      </w:r>
    </w:p>
    <w:p w14:paraId="6005C0F3" w14:textId="77777777" w:rsidR="00B60BEB" w:rsidRPr="00E33F5E" w:rsidRDefault="00B60BEB" w:rsidP="00B60BEB">
      <w:pPr>
        <w:pStyle w:val="Listenabsatz"/>
        <w:numPr>
          <w:ilvl w:val="0"/>
          <w:numId w:val="44"/>
        </w:numPr>
        <w:spacing w:before="120" w:after="2" w:line="240" w:lineRule="auto"/>
        <w:ind w:left="714" w:hanging="357"/>
        <w:rPr>
          <w:color w:val="010302"/>
          <w:szCs w:val="22"/>
        </w:rPr>
      </w:pPr>
      <w:r w:rsidRPr="00E33F5E">
        <w:rPr>
          <w:color w:val="010302"/>
          <w:szCs w:val="22"/>
        </w:rPr>
        <w:t>Degression of fixed costs: The implementation of any price regulation mechanism (including the comparably very “light-touch” RCB-approach) in itself involves both one-off and ongoing costs that do not grow linearly with the amount of data sold. In other words, like most forms of regulation, this poses a certain problem of fixed cost degression - costs that can obviously be more easily absorbed (and priced in) by larger trading venues</w:t>
      </w:r>
      <w:r w:rsidRPr="00E33F5E">
        <w:rPr>
          <w:color w:val="000000"/>
          <w:szCs w:val="22"/>
        </w:rPr>
        <w:t xml:space="preserve">. </w:t>
      </w:r>
    </w:p>
    <w:p w14:paraId="57C8204A" w14:textId="77777777" w:rsidR="00B60BEB" w:rsidRPr="00E33F5E" w:rsidRDefault="00B60BEB" w:rsidP="00B60BEB">
      <w:pPr>
        <w:pStyle w:val="Listenabsatz"/>
        <w:numPr>
          <w:ilvl w:val="0"/>
          <w:numId w:val="44"/>
        </w:numPr>
        <w:spacing w:before="120" w:after="0" w:line="240" w:lineRule="auto"/>
        <w:rPr>
          <w:color w:val="000000"/>
          <w:szCs w:val="22"/>
        </w:rPr>
      </w:pPr>
      <w:r w:rsidRPr="00E33F5E">
        <w:rPr>
          <w:color w:val="000000"/>
          <w:szCs w:val="22"/>
        </w:rPr>
        <w:t>Complexity of licence agreements/fragmentation of licensing: Feedback from member companies indicates that there are multiple and overlapping types of fees, varying and unclear definitions, and restrictive and opaque market data policies. Abusive contractual terms, including lack of transparency and requirements to sign far reaching NDAs. In addition, the increasing complexity of market data licensing agreements themselves has become a serious problem due to the resulting legal uncertainty regarding different uses of data. Changing licensing models and the tendency to charge different fees for different uses of sometimes the same data (e.g. pricing of display vs. non-display data). Members report that data licensing agreements, especially with second level vendors and aggregators, are becoming more and more detailed and complicated. One effect may be that the more complex an agreement becomes, the more difficult it is to replace it with an offer from another supplier. As the administrative costs of managing a contract increase with its complexity, there is also a tendency, particularly for smaller market-data-clients, to minimise the number of suppliers. However, even for larger firms, 'switching costs' may increase with the complexity of data licensing agreements. Therefore, our impression is that the increasing complexity of data licensing agreements, driven by suppliers, may further inhibit competition between suppliers and aggregators. These complex, overly detailed and opaque market data policies and price lists with unreasonable terms and conditions that discriminate between user categories are onerous in every respect.</w:t>
      </w:r>
    </w:p>
    <w:p w14:paraId="338B93F2" w14:textId="77777777" w:rsidR="00B60BEB" w:rsidRPr="00E33F5E" w:rsidRDefault="00B60BEB" w:rsidP="00B60BEB">
      <w:pPr>
        <w:spacing w:before="120" w:after="2" w:line="240" w:lineRule="auto"/>
        <w:ind w:left="709"/>
        <w:rPr>
          <w:color w:val="000000"/>
          <w:szCs w:val="22"/>
        </w:rPr>
      </w:pPr>
      <w:r w:rsidRPr="00E33F5E">
        <w:rPr>
          <w:color w:val="000000"/>
          <w:szCs w:val="22"/>
        </w:rPr>
        <w:lastRenderedPageBreak/>
        <w:t>For example, fragmentation of market data licences occurs when a market data usage area covered by one licence in one year requires two or more licences in the following year. Licence overlap also occurs where users pay for the same data more than once. I.e. a non-display data licence used for trading and a non-display data licence used for risk management purposes. In addition, when a new licence is introduced for a market data use that previously did not require a licence at all. In both cases, licence fragmentation allows data vendors to increase the total cost of market data usage for investment firms without necessarily increasing an existing licence fee, either by splitting an existing licence fee into two or more licence fees, or by introducing new licence fees altogether. In effect, data vendors are fragmenting licences by ensuring that each use case requires multiple new licences. Fragmentation becomes undeniable when looking at the evolution of data providers' licensing regimes over time. It can be seen that over time the same “use case” requires many additional licences at significantly increased cost. Furthermore, the restrictions on the use of different types of licences are designed to make it impossible for data users to do without overlapping data licences offered by data providers.</w:t>
      </w:r>
    </w:p>
    <w:p w14:paraId="0CB77552" w14:textId="77777777" w:rsidR="00B60BEB" w:rsidRPr="00E33F5E" w:rsidRDefault="00B60BEB" w:rsidP="00B60BEB">
      <w:pPr>
        <w:spacing w:before="120" w:after="2" w:line="240" w:lineRule="auto"/>
        <w:ind w:left="709"/>
        <w:rPr>
          <w:color w:val="000000"/>
          <w:szCs w:val="22"/>
        </w:rPr>
      </w:pPr>
      <w:r w:rsidRPr="00E33F5E">
        <w:rPr>
          <w:color w:val="000000"/>
          <w:szCs w:val="22"/>
        </w:rPr>
        <w:t>In the past, the differentiation of licences for the use of market data was articulated around display and redistribution licences. A few years ago, non-display licences were added. The various licences are defined in different ways at different venues, highlighting the lack of standardisation in the industry. However, display data can generally be described as data that is consumed on a screen by a human user, whereas non-display data is fed directly into applications, i.e. is not displayed. However, the number of licences in each of these two categories has now increased significantly as a result of new fees introduced by trading venues.</w:t>
      </w:r>
    </w:p>
    <w:p w14:paraId="751C8C6C" w14:textId="77777777" w:rsidR="00B60BEB" w:rsidRPr="00E33F5E" w:rsidRDefault="00B60BEB" w:rsidP="00B60BEB">
      <w:pPr>
        <w:pStyle w:val="Listenabsatz"/>
        <w:numPr>
          <w:ilvl w:val="0"/>
          <w:numId w:val="46"/>
        </w:numPr>
        <w:spacing w:before="120" w:after="2" w:line="240" w:lineRule="auto"/>
        <w:rPr>
          <w:color w:val="000000"/>
          <w:szCs w:val="22"/>
        </w:rPr>
      </w:pPr>
      <w:r w:rsidRPr="00E33F5E">
        <w:rPr>
          <w:color w:val="000000"/>
          <w:szCs w:val="22"/>
        </w:rPr>
        <w:t xml:space="preserve">Usage-based pricing: The underlying product sold by trading venues, i.e. access to the use of market data, is practically similar regardless of who buys access to the product and what the product is used for. This means that transactions with different investment firms or other buyers of market data, but involving the same packages of market data, are indeed similar from the perspective of the trading venues. However, the trading venues apply different and often arbitrary conditions to such similar contracts. The different conditions arise from special licences for different usage of the market data. Overall, the different and often arbitrary treatment of similar contracts leads to discrimination between market-data clients who need the market data for different purposes. In other words, this would be akin to charge different prices for eggs depending on whether the customer wanted scrambled or boiled eggs for breakfast. </w:t>
      </w:r>
    </w:p>
    <w:p w14:paraId="63440FEE" w14:textId="77777777" w:rsidR="00B60BEB" w:rsidRPr="00E33F5E" w:rsidRDefault="00B60BEB" w:rsidP="00B60BEB">
      <w:pPr>
        <w:pStyle w:val="Listenabsatz"/>
        <w:numPr>
          <w:ilvl w:val="0"/>
          <w:numId w:val="45"/>
        </w:numPr>
        <w:spacing w:before="120" w:after="2" w:line="240" w:lineRule="auto"/>
        <w:ind w:left="709"/>
        <w:rPr>
          <w:color w:val="000000"/>
          <w:szCs w:val="22"/>
        </w:rPr>
      </w:pPr>
      <w:r w:rsidRPr="00E33F5E">
        <w:rPr>
          <w:color w:val="000000"/>
          <w:szCs w:val="22"/>
        </w:rPr>
        <w:t>(Second level) Vendors and dual licensing/agreements: Dual agreements are common for data users receiving data from data vendors. Typically, data users still have to enter into the standard agreements with the trading venue, e.g. a data distribution agreement and perhaps specific agreements for particular types of data, and an agreement with the data vendor, e.g. a master agreement with schedules. This results in a situation where all the terms and conditions set by the trading venues that would apply if the market-data-client obtained data directly from the trading venue still apply and remain enforceable, for example through audits, even though the data is obtained through a (second level) data vendor. In addition, the market-data-client must comply with any additional terms and conditions imposed by the data vendor. In summary, obtaining data via a data vendor does not result in more flexible terms and conditions for the use of market data.</w:t>
      </w:r>
    </w:p>
    <w:p w14:paraId="452411AD" w14:textId="77777777" w:rsidR="00B60BEB" w:rsidRPr="00E33F5E" w:rsidRDefault="00B60BEB" w:rsidP="00B60BEB">
      <w:pPr>
        <w:spacing w:before="120" w:after="2" w:line="240" w:lineRule="auto"/>
        <w:ind w:left="709"/>
        <w:rPr>
          <w:color w:val="000000"/>
          <w:szCs w:val="22"/>
        </w:rPr>
      </w:pPr>
      <w:r w:rsidRPr="00E33F5E">
        <w:rPr>
          <w:color w:val="000000"/>
          <w:szCs w:val="22"/>
        </w:rPr>
        <w:lastRenderedPageBreak/>
        <w:t>We strongly encourage ESMA to ensure that the new regulatory framework stops such behaviour. However, we are concerned that (second level) vendors, benchmark providers, CRAs and ESG providers are not in the scope of the regulation because 1st we see that these data providers are exploiting the fact that they are not in the scope and 2nd if they are not in the scope, it would create an incentive for data providers within the scope of the regulation to direct their data business to data providers within their group that are not in the scope of the regulation. This is already happening at an accelerating pace due to vertical and horizontal consolidation in the capital markets infrastructure.</w:t>
      </w:r>
    </w:p>
    <w:p w14:paraId="13C6E920" w14:textId="77777777" w:rsidR="00B60BEB" w:rsidRPr="00E33F5E" w:rsidRDefault="00B60BEB" w:rsidP="00B60BEB">
      <w:pPr>
        <w:spacing w:before="120" w:after="2" w:line="240" w:lineRule="auto"/>
        <w:ind w:left="709"/>
        <w:rPr>
          <w:color w:val="000000"/>
          <w:szCs w:val="22"/>
        </w:rPr>
      </w:pPr>
      <w:r w:rsidRPr="00E33F5E">
        <w:rPr>
          <w:color w:val="000000"/>
          <w:szCs w:val="22"/>
        </w:rPr>
        <w:t>Market data vendors (including CRAs and ESG providers) play a key role in the distribution of trade data and other sources of market data. Data vendors typically provide desktop or web-based products with content sets such as order, trade and reference data from multiple trading venues, research, analysis, GDP, CRA, benchmarks and statistical data, and news. Data vendors may be able to source data from third parties, while other content is developed or owned by the data vendor. There are only a few vendors and the continued and significant market share is concentrated around companies like Bloomberg and Refinitiv (now LSEG), limiting effective competition. Vertical integration also reinforces this effect, limiting competition and choice.</w:t>
      </w:r>
    </w:p>
    <w:p w14:paraId="50EA2AD8" w14:textId="77777777" w:rsidR="00B60BEB" w:rsidRPr="00E33F5E" w:rsidRDefault="00B60BEB" w:rsidP="00B60BEB">
      <w:pPr>
        <w:pStyle w:val="Listenabsatz"/>
        <w:numPr>
          <w:ilvl w:val="0"/>
          <w:numId w:val="45"/>
        </w:numPr>
        <w:spacing w:before="120" w:after="2" w:line="240" w:lineRule="auto"/>
        <w:ind w:left="709"/>
        <w:rPr>
          <w:color w:val="000000"/>
          <w:szCs w:val="22"/>
        </w:rPr>
      </w:pPr>
      <w:r w:rsidRPr="00E33F5E">
        <w:rPr>
          <w:color w:val="000000"/>
          <w:szCs w:val="22"/>
        </w:rPr>
        <w:t xml:space="preserve">Bundling of services: Challenges include providers bundling market data services with additional services, which makes it difficult for users to switch to alternative data products/services, and potentially maintain higher levels of market power for data providers. Vendors impose complex and restrictive terms and conditions on the use of data, such as higher costs for users for minor changes in terms of use, and do not publish price lists or methodologies. There are high barriers to entry, making it difficult to enter the data vendor market, and there are high fees for renewing contracts. In addition, where trading venue offers include both aggregated and non-aggregated data due to </w:t>
      </w:r>
      <w:proofErr w:type="spellStart"/>
      <w:r w:rsidRPr="00E33F5E">
        <w:rPr>
          <w:color w:val="000000"/>
          <w:szCs w:val="22"/>
        </w:rPr>
        <w:t>MiFIR</w:t>
      </w:r>
      <w:proofErr w:type="spellEnd"/>
      <w:r w:rsidRPr="00E33F5E">
        <w:rPr>
          <w:color w:val="000000"/>
          <w:szCs w:val="22"/>
        </w:rPr>
        <w:t xml:space="preserve"> requirements, other data vendors only offer aggregated data as they are not obliged to disaggregate. Furthermore, in order to access trading venue market data through a vendor, users need to contract directly with both the market data producer (the trading venue) and the vendor. As mentioned above, there is very limited switching between vendors. This is at least partly due to the switching costs, the requirement of clients to use certain vendors (network effect), the limited number of "relevant" vendors, etc. On the supply side, smaller players face a “sticky” customer base, which prevents them from expanding their activities and gaining significant market share.</w:t>
      </w:r>
    </w:p>
    <w:p w14:paraId="427A7F7A" w14:textId="77777777" w:rsidR="00B60BEB" w:rsidRPr="00E33F5E" w:rsidRDefault="00B60BEB" w:rsidP="00B60BEB">
      <w:pPr>
        <w:pStyle w:val="Listenabsatz"/>
        <w:numPr>
          <w:ilvl w:val="0"/>
          <w:numId w:val="45"/>
        </w:numPr>
        <w:spacing w:before="120" w:after="2" w:line="240" w:lineRule="auto"/>
        <w:ind w:left="709"/>
        <w:rPr>
          <w:color w:val="000000"/>
          <w:szCs w:val="22"/>
        </w:rPr>
      </w:pPr>
      <w:r w:rsidRPr="00E33F5E">
        <w:rPr>
          <w:color w:val="000000"/>
          <w:szCs w:val="22"/>
        </w:rPr>
        <w:t xml:space="preserve">Dependence on other proprietary products: Indices and benchmarks are provided by index providers or benchmark administrators. These benchmark and index providers develop, calculate and maintain a range of indices and generate revenue by licensing the use of the benchmark/index to clients. A benchmark provider that holds trading data has an incentive to raise prices or restrict access to the data for firms that could use it to construct alternative benchmarks. This could create barriers to entry or expansion and reduce overall market choice. This market power to "nudge" development is not the only market power that benchmark providers have: On the demand side, there is a significant preference for established benchmarks and indices ("must-haves"): If end-clients tend to prefer products linked to established benchmarks and indices, and brand recognition is key to success, strong market positions may tend to be reinforced. These preferences may also limit new entrants. </w:t>
      </w:r>
    </w:p>
    <w:p w14:paraId="70795172" w14:textId="77777777" w:rsidR="00B60BEB" w:rsidRPr="00E33F5E" w:rsidRDefault="00B60BEB" w:rsidP="00B60BEB">
      <w:pPr>
        <w:pStyle w:val="Listenabsatz"/>
        <w:numPr>
          <w:ilvl w:val="0"/>
          <w:numId w:val="44"/>
        </w:numPr>
        <w:spacing w:before="120" w:after="2" w:line="240" w:lineRule="auto"/>
        <w:ind w:left="714" w:hanging="357"/>
        <w:rPr>
          <w:color w:val="000000"/>
          <w:szCs w:val="22"/>
        </w:rPr>
      </w:pPr>
      <w:r w:rsidRPr="00E33F5E">
        <w:rPr>
          <w:color w:val="000000"/>
          <w:szCs w:val="22"/>
        </w:rPr>
        <w:lastRenderedPageBreak/>
        <w:t>Issues relating to access to the fastest data via proximity hosting, as "the nearest co-location" cannot be offered to all. Consideration could be given to defining what the fastest available access is and then making it available to all customers who wish to purchase it.</w:t>
      </w:r>
    </w:p>
    <w:p w14:paraId="7936725B" w14:textId="40FB6B35" w:rsidR="00B60BEB" w:rsidRPr="00E33F5E" w:rsidRDefault="00B60BEB" w:rsidP="00B60BEB">
      <w:pPr>
        <w:spacing w:before="120" w:after="2" w:line="240" w:lineRule="auto"/>
        <w:rPr>
          <w:color w:val="000000"/>
          <w:szCs w:val="22"/>
        </w:rPr>
      </w:pPr>
      <w:r w:rsidRPr="00E33F5E">
        <w:rPr>
          <w:color w:val="000000"/>
          <w:szCs w:val="22"/>
        </w:rPr>
        <w:t xml:space="preserve">With this in mind, we welcome ESMA's proposal to recommend the European Commission to use its legislative powers to create a level playing field between market data providers that are subject to MiFIR2 and those that are not in scope of MiFIR2, as suggested in paragraph 235. However, we strongly recommend that the scope should cover all data providers and not just vendors, but also benchmark providers, CRAs, ESG providers, as all these data providers exploit the fact that they are currently not in scope. We suggest that the regulatory framework should be future-proofed so that the description of data providers is sufficiently flexible to include new types of data providers - a recent example of a "newcomer" </w:t>
      </w:r>
      <w:proofErr w:type="gramStart"/>
      <w:r w:rsidRPr="00E33F5E">
        <w:rPr>
          <w:color w:val="000000"/>
          <w:szCs w:val="22"/>
        </w:rPr>
        <w:t>are</w:t>
      </w:r>
      <w:proofErr w:type="gramEnd"/>
      <w:r w:rsidRPr="00E33F5E">
        <w:rPr>
          <w:color w:val="000000"/>
          <w:szCs w:val="22"/>
        </w:rPr>
        <w:t xml:space="preserve"> ESG data providers. </w:t>
      </w:r>
    </w:p>
    <w:p w14:paraId="38CDF549" w14:textId="77777777" w:rsidR="00B60BEB" w:rsidRPr="00E33F5E" w:rsidRDefault="00B60BEB" w:rsidP="00B60BEB">
      <w:pPr>
        <w:spacing w:before="120" w:after="2" w:line="240" w:lineRule="auto"/>
        <w:rPr>
          <w:rFonts w:ascii="TheSansLight-Plain" w:hAnsi="TheSansLight-Plain"/>
          <w:color w:val="000000" w:themeColor="text1"/>
          <w:szCs w:val="22"/>
        </w:rPr>
      </w:pP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2D120B60" w14:textId="77777777" w:rsidR="004C1529" w:rsidRDefault="004C1529" w:rsidP="004C1529">
      <w:pPr>
        <w:spacing w:before="120" w:after="0" w:line="240" w:lineRule="auto"/>
      </w:pPr>
      <w:permStart w:id="1310215157" w:edGrp="everyone"/>
    </w:p>
    <w:p w14:paraId="284B1ABF" w14:textId="77777777" w:rsidR="004C1529" w:rsidRPr="00AE7E19" w:rsidRDefault="004C1529" w:rsidP="004C1529">
      <w:pPr>
        <w:spacing w:before="120" w:after="0" w:line="240" w:lineRule="auto"/>
      </w:pPr>
      <w:r>
        <w:t>Cf.</w:t>
      </w:r>
      <w:r w:rsidRPr="00AE7E19">
        <w:t xml:space="preserve"> also our answer to Q26. </w:t>
      </w:r>
    </w:p>
    <w:p w14:paraId="644DE60E" w14:textId="77777777" w:rsidR="004C1529" w:rsidRPr="00AE7E19" w:rsidRDefault="004C1529" w:rsidP="004C1529">
      <w:pPr>
        <w:spacing w:before="120" w:after="0" w:line="240" w:lineRule="auto"/>
      </w:pPr>
      <w:r w:rsidRPr="00AE7E19">
        <w:t xml:space="preserve">The costs of </w:t>
      </w:r>
      <w:r>
        <w:t>“</w:t>
      </w:r>
      <w:r w:rsidRPr="00AE7E19">
        <w:t>producing</w:t>
      </w:r>
      <w:r>
        <w:t>”</w:t>
      </w:r>
      <w:r w:rsidRPr="00AE7E19">
        <w:t xml:space="preserve"> and distributing market data do not </w:t>
      </w:r>
      <w:r>
        <w:t xml:space="preserve">significantly </w:t>
      </w:r>
      <w:r w:rsidRPr="00AE7E19">
        <w:t xml:space="preserve">differ between clients. They are the same and </w:t>
      </w:r>
      <w:r>
        <w:t xml:space="preserve">can reasonably assumed to be comparably </w:t>
      </w:r>
      <w:r w:rsidRPr="00AE7E19">
        <w:t xml:space="preserve">low, unless very low-latency and/or high-volume data is required, in which case distribution costs increase. </w:t>
      </w:r>
      <w:r>
        <w:t xml:space="preserve">Unless very high technical performance requirements are to be taken into </w:t>
      </w:r>
      <w:proofErr w:type="spellStart"/>
      <w:proofErr w:type="gramStart"/>
      <w:r>
        <w:t>account,any</w:t>
      </w:r>
      <w:proofErr w:type="spellEnd"/>
      <w:proofErr w:type="gramEnd"/>
      <w:r>
        <w:t xml:space="preserve"> differentiation in </w:t>
      </w:r>
      <w:r w:rsidRPr="00AE7E19">
        <w:t>margins between categories</w:t>
      </w:r>
      <w:r>
        <w:t xml:space="preserve"> of clients</w:t>
      </w:r>
      <w:r w:rsidRPr="00AE7E19">
        <w:t xml:space="preserve"> - </w:t>
      </w:r>
      <w:r>
        <w:t>would necessarily be</w:t>
      </w:r>
      <w:r w:rsidRPr="00AE7E19">
        <w:t xml:space="preserve"> related to </w:t>
      </w:r>
      <w:r>
        <w:t>“</w:t>
      </w:r>
      <w:r w:rsidRPr="00AE7E19">
        <w:t>use cases</w:t>
      </w:r>
      <w:r>
        <w:t>”</w:t>
      </w:r>
      <w:r w:rsidRPr="00AE7E19">
        <w:t xml:space="preserve"> and therefore, by definition, </w:t>
      </w:r>
      <w:r>
        <w:t>“</w:t>
      </w:r>
      <w:r w:rsidRPr="00AE7E19">
        <w:t>value-based</w:t>
      </w:r>
      <w:r>
        <w:t>”</w:t>
      </w:r>
      <w:r w:rsidRPr="00AE7E19">
        <w:t xml:space="preserve">. </w:t>
      </w:r>
    </w:p>
    <w:p w14:paraId="1B7F8AAB" w14:textId="77777777" w:rsidR="004C1529" w:rsidRPr="00AE7E19" w:rsidRDefault="004C1529" w:rsidP="004C1529">
      <w:pPr>
        <w:spacing w:before="120" w:after="0" w:line="240" w:lineRule="auto"/>
      </w:pPr>
      <w:r w:rsidRPr="00AE7E19">
        <w:t xml:space="preserve">As already mentioned, a cost-based approach cannot and must not be based on any type of usage or value </w:t>
      </w:r>
      <w:r>
        <w:t>for</w:t>
      </w:r>
      <w:r w:rsidRPr="00AE7E19">
        <w:t xml:space="preserve"> the client/user. Purely incremental costs, such as special requirements that exceed the majority of customers' data delivery needs, such as connectivity/speed, may allow differentiation and allocation of incremental costs. Delayed data is “free of charge”, so the baseline is the </w:t>
      </w:r>
      <w:r>
        <w:t>“</w:t>
      </w:r>
      <w:r w:rsidRPr="00AE7E19">
        <w:t>real-time</w:t>
      </w:r>
      <w:r>
        <w:t xml:space="preserve">” (based on the current state of technological </w:t>
      </w:r>
      <w:proofErr w:type="spellStart"/>
      <w:r>
        <w:t>devlopement</w:t>
      </w:r>
      <w:proofErr w:type="spellEnd"/>
      <w:r>
        <w:t>)</w:t>
      </w:r>
      <w:r w:rsidRPr="00AE7E19">
        <w:t xml:space="preserve"> feed, which is how the majority of customers will need the data. Only very specific needs such as HFT and co-location could then </w:t>
      </w:r>
      <w:r>
        <w:t>justify</w:t>
      </w:r>
      <w:r w:rsidRPr="00AE7E19">
        <w:t xml:space="preserve"> additional dissemination costs.</w:t>
      </w:r>
    </w:p>
    <w:p w14:paraId="06F784F6" w14:textId="77777777" w:rsidR="004C1529" w:rsidRPr="00AE7E19" w:rsidRDefault="004C1529" w:rsidP="004C1529">
      <w:pPr>
        <w:spacing w:before="120" w:after="0" w:line="240" w:lineRule="auto"/>
      </w:pPr>
      <w:r w:rsidRPr="00AE7E19">
        <w:t xml:space="preserve">There may also be a link to the amount of data that clients purchase access to, but not to the value of the data to the client. If ESMA decides to go ahead with the differentiation, we strongly encourage ESMA to differentiate only on the basis of the amount of data that the data user receives. </w:t>
      </w:r>
    </w:p>
    <w:p w14:paraId="60B485BE" w14:textId="77777777" w:rsidR="004C1529" w:rsidRPr="00AE7E19" w:rsidRDefault="004C1529" w:rsidP="004C1529">
      <w:pPr>
        <w:spacing w:before="120" w:after="0" w:line="240" w:lineRule="auto"/>
      </w:pPr>
      <w:r w:rsidRPr="00AE7E19">
        <w:t xml:space="preserve">Whether or not there is a need for access to low latency data, access to low latency data should be charged separately to the data user requesting such access, as this may involve additional costs due to co-location and special connectivity. However, collocation in </w:t>
      </w:r>
      <w:proofErr w:type="gramStart"/>
      <w:r w:rsidRPr="00AE7E19">
        <w:t xml:space="preserve">itself </w:t>
      </w:r>
      <w:r>
        <w:t xml:space="preserve"> may</w:t>
      </w:r>
      <w:proofErr w:type="gramEnd"/>
      <w:r>
        <w:t xml:space="preserve"> raise concerns</w:t>
      </w:r>
      <w:r w:rsidRPr="00AE7E19">
        <w:t xml:space="preserve"> from a </w:t>
      </w:r>
      <w:r>
        <w:t>“</w:t>
      </w:r>
      <w:r w:rsidRPr="00AE7E19">
        <w:t>non-discriminatory</w:t>
      </w:r>
      <w:r>
        <w:t>”</w:t>
      </w:r>
      <w:r w:rsidRPr="00AE7E19">
        <w:t xml:space="preserve"> perspective.</w:t>
      </w:r>
    </w:p>
    <w:p w14:paraId="087BA298" w14:textId="77777777" w:rsidR="004C1529" w:rsidRPr="00AE7E19" w:rsidRDefault="004C1529" w:rsidP="004C1529">
      <w:pPr>
        <w:spacing w:before="120" w:after="0" w:line="240" w:lineRule="auto"/>
      </w:pP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7B4ACE0E" w14:textId="77777777" w:rsidR="004C1529" w:rsidRDefault="004C1529" w:rsidP="004C1529">
      <w:pPr>
        <w:spacing w:before="120" w:after="0" w:line="240" w:lineRule="auto"/>
      </w:pPr>
      <w:permStart w:id="1461735347" w:edGrp="everyone"/>
    </w:p>
    <w:p w14:paraId="7FCFF162" w14:textId="77777777" w:rsidR="004C1529" w:rsidRDefault="004C1529" w:rsidP="004C1529">
      <w:pPr>
        <w:spacing w:before="120" w:after="0" w:line="240" w:lineRule="auto"/>
      </w:pPr>
      <w:r>
        <w:t>Cf.</w:t>
      </w:r>
      <w:r w:rsidRPr="00AE7E19">
        <w:t xml:space="preserve"> also answer to Q32.</w:t>
      </w:r>
    </w:p>
    <w:p w14:paraId="676C3802" w14:textId="6AE8DFDB" w:rsidR="004C1529" w:rsidRDefault="004C1529" w:rsidP="004C1529">
      <w:pPr>
        <w:spacing w:before="120" w:after="0" w:line="240" w:lineRule="auto"/>
      </w:pPr>
      <w:r>
        <w:t>Here, we expressly welcome that ESMA clarifies in an unambiguous way that it will “not be possible for trading venues, APAs, CTPs and SIs to charge for market data in line with the value that the market data represents to individual users” (</w:t>
      </w:r>
      <w:r w:rsidR="00567015">
        <w:t>CP paragraph</w:t>
      </w:r>
      <w:r>
        <w:t xml:space="preserve"> 224). We also acknowledge – as we already did in our answer to previous questions – that “different arrangements in terms of data provision in terms of connectivity, transmission channels, volume of data” (</w:t>
      </w:r>
      <w:r w:rsidR="00567015">
        <w:t>CP paragraph</w:t>
      </w:r>
      <w:r>
        <w:t xml:space="preserve"> 229) and similar factors which lead to verifiably higher distribution costs may justify a price differentiation. However, we find it at least misleading to attribute such differentiation to different “users”. To get back to the analogy of buying a car: if you want to buy a race car, it is the car which determines the prices, not who buys it and what he or she wants to do with it. Therefore, we would like to encourage ESMA to give up the “user” perspective completely, since it should be the product itself (in terms of “type or format of data delivered, data volume, the latency, distribution channels – cf. </w:t>
      </w:r>
      <w:r w:rsidR="00567015">
        <w:t>CP paragraph</w:t>
      </w:r>
      <w:r>
        <w:t xml:space="preserve"> 230/Recital 10 draft RTS) the latency which determines the price).</w:t>
      </w:r>
    </w:p>
    <w:p w14:paraId="3DAD84DC" w14:textId="77777777" w:rsidR="004C1529" w:rsidRDefault="004C1529" w:rsidP="004C1529">
      <w:pPr>
        <w:spacing w:before="120" w:after="0" w:line="240" w:lineRule="auto"/>
      </w:pPr>
    </w:p>
    <w:p w14:paraId="44CEC77C" w14:textId="2D1E6A6A" w:rsidR="004C1529" w:rsidRDefault="004C1529" w:rsidP="004C1529">
      <w:pPr>
        <w:spacing w:before="120" w:after="0" w:line="240" w:lineRule="auto"/>
      </w:pPr>
      <w:r>
        <w:t xml:space="preserve">We therefore clearly object that market data providers should be allowed to set “separate reasonable margins” for the same products, depending on the category of users (cf. </w:t>
      </w:r>
      <w:r w:rsidR="00567015">
        <w:t>CP paragraph</w:t>
      </w:r>
      <w:r>
        <w:t xml:space="preserve"> 232). In a fully cost based approach it would be simply inconsistent to define “a reasonable margin, expressed as a percentage of costs” only within a “homogenous” group of users (cf. </w:t>
      </w:r>
      <w:r w:rsidR="00567015">
        <w:t>CP paragraph</w:t>
      </w:r>
      <w:r>
        <w:t xml:space="preserve"> 233). To make it clear, if the costs are the same, the “reasonable margin” must be the same for everyone, otherwise we are inevitably back in the world of “value based” pricing, which ESMA rightly states will be prohibited in the future.</w:t>
      </w:r>
    </w:p>
    <w:p w14:paraId="4BC7B889" w14:textId="77777777" w:rsidR="004C1529" w:rsidRDefault="004C1529" w:rsidP="004C1529">
      <w:pPr>
        <w:spacing w:before="120" w:after="0" w:line="240" w:lineRule="auto"/>
      </w:pPr>
    </w:p>
    <w:p w14:paraId="47FF4D77" w14:textId="77777777" w:rsidR="004C1529" w:rsidRPr="00AE7E19" w:rsidRDefault="004C1529" w:rsidP="004C1529">
      <w:pPr>
        <w:spacing w:before="120" w:after="0" w:line="240" w:lineRule="auto"/>
      </w:pPr>
      <w:r w:rsidRPr="00AE7E19">
        <w:t>Therefore, we suggest to delete the following articles from the draft RTS:</w:t>
      </w:r>
    </w:p>
    <w:p w14:paraId="284BA513" w14:textId="77777777" w:rsidR="004C1529" w:rsidRPr="00AE7E19" w:rsidRDefault="004C1529" w:rsidP="004C1529">
      <w:pPr>
        <w:pStyle w:val="Listenabsatz"/>
        <w:numPr>
          <w:ilvl w:val="0"/>
          <w:numId w:val="44"/>
        </w:numPr>
        <w:spacing w:before="120" w:after="0" w:line="240" w:lineRule="auto"/>
      </w:pPr>
      <w:r w:rsidRPr="00AE7E19">
        <w:t xml:space="preserve">Art. 5 (2) - because it provides a loophole to include additional costs. As demonstrated above, there are no additional costs unless there is a need for very low latency data, </w:t>
      </w:r>
      <w:r>
        <w:t>cf.</w:t>
      </w:r>
      <w:r w:rsidRPr="00AE7E19">
        <w:t xml:space="preserve"> our responses to Q26, which should then be charged separately.</w:t>
      </w:r>
    </w:p>
    <w:p w14:paraId="79089161" w14:textId="77777777" w:rsidR="004C1529" w:rsidRPr="00AE7E19" w:rsidRDefault="004C1529" w:rsidP="004C1529">
      <w:pPr>
        <w:pStyle w:val="Listenabsatz"/>
        <w:numPr>
          <w:ilvl w:val="0"/>
          <w:numId w:val="44"/>
        </w:numPr>
        <w:spacing w:before="120" w:after="0" w:line="240" w:lineRule="auto"/>
      </w:pPr>
      <w:r w:rsidRPr="00AE7E19">
        <w:t xml:space="preserve">Art. 5 (3) - discounts shall not be applicable. Discounts contradict the non-discriminatory access to market data in one way or the other. </w:t>
      </w:r>
    </w:p>
    <w:p w14:paraId="58BE4161" w14:textId="77777777" w:rsidR="004C1529" w:rsidRDefault="004C1529" w:rsidP="004C1529">
      <w:pPr>
        <w:spacing w:before="120" w:after="0" w:line="240" w:lineRule="auto"/>
      </w:pPr>
    </w:p>
    <w:p w14:paraId="15DF0BEB" w14:textId="2E9B9942" w:rsidR="004C1529" w:rsidRDefault="004C1529" w:rsidP="004C1529">
      <w:pPr>
        <w:spacing w:before="120" w:after="0" w:line="240" w:lineRule="auto"/>
      </w:pPr>
      <w:r>
        <w:t xml:space="preserve">This said, we fully share ESMA’s concerns resulting from the fact that redistributors of market data are not covered by the revised regime and that “the unregulated practice of redistribution may distort the fair distribution of market data costs over the market data clients” (cf. </w:t>
      </w:r>
      <w:r w:rsidR="00567015">
        <w:t>CP paragraph</w:t>
      </w:r>
      <w:r>
        <w:t xml:space="preserve">s </w:t>
      </w:r>
      <w:r>
        <w:lastRenderedPageBreak/>
        <w:t xml:space="preserve">235 &amp; 236). We therefore strongly support ESMA’s endeavours to encourage the “European Commission (…) (to) use its legislative power to create a level field between the market data providers subject to </w:t>
      </w:r>
      <w:proofErr w:type="spellStart"/>
      <w:r>
        <w:t>MiFIR</w:t>
      </w:r>
      <w:proofErr w:type="spellEnd"/>
      <w:r>
        <w:t xml:space="preserve"> and those entities that redistribute Market data but are currently not subject to </w:t>
      </w:r>
      <w:proofErr w:type="spellStart"/>
      <w:r>
        <w:t>MiFIR</w:t>
      </w:r>
      <w:proofErr w:type="spellEnd"/>
      <w:r>
        <w:t>” (</w:t>
      </w:r>
      <w:proofErr w:type="spellStart"/>
      <w:r>
        <w:t>ibit</w:t>
      </w:r>
      <w:proofErr w:type="spellEnd"/>
      <w:r>
        <w:t>).</w:t>
      </w:r>
    </w:p>
    <w:p w14:paraId="28D8FC81" w14:textId="77777777" w:rsidR="004C1529" w:rsidRPr="00AE7E19" w:rsidRDefault="004C1529" w:rsidP="004C1529">
      <w:pPr>
        <w:spacing w:before="120" w:after="0" w:line="240" w:lineRule="auto"/>
      </w:pP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36F1201A" w14:textId="77777777" w:rsidR="004C1529" w:rsidRPr="00AE7E19" w:rsidRDefault="004C1529" w:rsidP="004C1529">
      <w:pPr>
        <w:spacing w:before="120" w:after="0" w:line="240" w:lineRule="auto"/>
      </w:pPr>
      <w:permStart w:id="526140180" w:edGrp="everyone"/>
    </w:p>
    <w:p w14:paraId="5B696487" w14:textId="77777777" w:rsidR="004C1529" w:rsidRPr="00AE7E19" w:rsidRDefault="004C1529" w:rsidP="004C1529">
      <w:pPr>
        <w:spacing w:before="120" w:after="0" w:line="240" w:lineRule="auto"/>
      </w:pPr>
      <w:r w:rsidRPr="00AE7E19">
        <w:t xml:space="preserve">Here we do not agree with ESMA’s conclusion that clients of redistributors (end-users) do not contribute to the cost recovery of the trading venues (data providers) at the same level as direct market data clients since redistributors will always pass through all costs charged by the original vendor on a client-by-client basis. </w:t>
      </w:r>
    </w:p>
    <w:p w14:paraId="75427C23" w14:textId="77777777" w:rsidR="004C1529" w:rsidRPr="00AE7E19" w:rsidRDefault="004C1529" w:rsidP="004C1529">
      <w:pPr>
        <w:spacing w:before="120" w:after="0" w:line="240" w:lineRule="auto"/>
      </w:pPr>
      <w:r>
        <w:t>As mentioned already, w</w:t>
      </w:r>
      <w:r w:rsidRPr="00AE7E19">
        <w:t xml:space="preserve">e strongly agree with ESMA’s analysis that the circumstance that such second level vendors (redistributors) are not yet clearly within the scope of MiFIR2 remains one of the main structural problems of the revised regulatory approach for market data pricing. </w:t>
      </w:r>
    </w:p>
    <w:p w14:paraId="12A1368A" w14:textId="77777777" w:rsidR="004C1529" w:rsidRPr="00AE7E19" w:rsidRDefault="004C1529" w:rsidP="004C1529">
      <w:pPr>
        <w:spacing w:before="120" w:after="0" w:line="240" w:lineRule="auto"/>
      </w:pPr>
      <w:r w:rsidRPr="00AE7E19">
        <w:t>In our opinion this results in an undue competitive advantage of redistributors. However, similar concerns apply to benchmark providers, CRAs and ESG providers. Therefore, we emphatically welcome ESMA's proposal to recommend the European Commission to use its legislative powers to create a level playing field between market data vendors that are subject to MiFIR2 and those that are not in scope of MiFIR2, as suggested in paragraph 235.</w:t>
      </w:r>
    </w:p>
    <w:p w14:paraId="4DB60E4B" w14:textId="77777777" w:rsidR="004C1529" w:rsidRPr="00AE7E19" w:rsidRDefault="004C1529" w:rsidP="004C1529">
      <w:pPr>
        <w:spacing w:before="120" w:after="0" w:line="240" w:lineRule="auto"/>
      </w:pPr>
      <w:r w:rsidRPr="00AE7E19">
        <w:t xml:space="preserve">The behaviour of (second level) vendors, benchmark providers and CRAs is also described in the UK FCA's reports, where some of the key findings in relation to the business cases of these providers reaffirm such issues related to market data. All these providers are endowed with similar asymmetric market power. </w:t>
      </w:r>
    </w:p>
    <w:p w14:paraId="5C4F3BFF" w14:textId="77777777" w:rsidR="004C1529" w:rsidRPr="00AE7E19" w:rsidRDefault="004C1529" w:rsidP="004C1529">
      <w:pPr>
        <w:spacing w:before="120" w:after="0" w:line="240" w:lineRule="auto"/>
      </w:pPr>
      <w:r w:rsidRPr="00AE7E19">
        <w:t>Market data vendors (including credit rating agencies and ESG providers) play a key role in the distribution of trading data and other sources of market data. Data vendors typically provide desktop or web-based products with content sets such as order, trade and reference data from multiple trading venues, research, analysis, GDP, CRA, benchmark and statistical data and news. Data vendors may be able to source data from third parties, while other content is developed or owned by the data vendor. There are only a few vendors with significant market share concentrated like Bloomberg and LSEG, limiting effective competition within an oligopolistic environment.</w:t>
      </w:r>
    </w:p>
    <w:p w14:paraId="66BD7CED" w14:textId="77777777" w:rsidR="004C1529" w:rsidRPr="00AE7E19" w:rsidRDefault="004C1529" w:rsidP="004C1529">
      <w:pPr>
        <w:spacing w:before="120" w:after="0" w:line="240" w:lineRule="auto"/>
      </w:pPr>
      <w:r w:rsidRPr="00AE7E19">
        <w:t xml:space="preserve">The challenges are that providers bundle additional services with data services, which can make it difficult for users to switch to alternative data products/services, and potentially maintain higher levels of market power for data providers. Vendors impose complex and restrictive terms and conditions on the use of data, such as higher costs for users for minor changes in terms of use, and do not publish price lists or methodologies. There are high barriers to entry, making it difficult to enter the data vendor market, and there are high fees for renewing contracts. In addition, where </w:t>
      </w:r>
      <w:r w:rsidRPr="00AE7E19">
        <w:lastRenderedPageBreak/>
        <w:t xml:space="preserve">trading venue offers include both aggregated and non-aggregated data due to </w:t>
      </w:r>
      <w:proofErr w:type="spellStart"/>
      <w:r w:rsidRPr="00AE7E19">
        <w:t>MiFIR</w:t>
      </w:r>
      <w:proofErr w:type="spellEnd"/>
      <w:r w:rsidRPr="00AE7E19">
        <w:t xml:space="preserve"> requirements, other data vendors only offer aggregated data as they are not obliged to disaggregate.</w:t>
      </w:r>
    </w:p>
    <w:p w14:paraId="0E6E8165" w14:textId="77777777" w:rsidR="004C1529" w:rsidRPr="00AE7E19" w:rsidRDefault="004C1529" w:rsidP="004C1529">
      <w:pPr>
        <w:spacing w:before="120" w:after="0" w:line="240" w:lineRule="auto"/>
      </w:pPr>
      <w:r w:rsidRPr="00AE7E19">
        <w:t xml:space="preserve">Furthermore, in order to access trading venue market data through a vendor, users need to contract directly with both the market data “producer” (the trading venue) and the vendor (redistributor). </w:t>
      </w:r>
    </w:p>
    <w:p w14:paraId="4066A561" w14:textId="77777777" w:rsidR="004C1529" w:rsidRPr="00AE7E19" w:rsidRDefault="004C1529" w:rsidP="004C1529">
      <w:pPr>
        <w:spacing w:before="120" w:after="0" w:line="240" w:lineRule="auto"/>
      </w:pPr>
      <w:r w:rsidRPr="00AE7E19">
        <w:t>As mentioned above, there is very limited switching between vendors. This is at least partly due to the switching costs, the desire of clients to use certain vendors (network effect), the limited number of "relevant" vendors, etc. On the supply side, smaller suppliers are faced with a "sticky" customer base, which prevents them from expanding their activities and gaining significant market share.</w:t>
      </w:r>
    </w:p>
    <w:p w14:paraId="3CE36217" w14:textId="77777777" w:rsidR="004C1529" w:rsidRPr="00AE7E19" w:rsidRDefault="004C1529" w:rsidP="004C1529">
      <w:pPr>
        <w:spacing w:before="120" w:after="0" w:line="240" w:lineRule="auto"/>
      </w:pPr>
      <w:r w:rsidRPr="00AE7E19">
        <w:t xml:space="preserve">Benchmarks are used by a wide range of market participants, typically as a reference for index-tracking funds, to evaluate the performance of an active manager (where the performance of the fund is measured against a selected index), or in structured products where the payout of the product is directly linked to the performance of the index. Indices are calculated using a variety of inputs and methodologies, one way of classifying an index is by the asset class of the underlying assets (such as equities, fixed income, commodities, interest rates, foreign exchange, etc.). Other approaches include geographic markets, sectors, themes such as ESG. Users mainly access benchmarks and indices either directly from providers or indirectly through vendors. </w:t>
      </w:r>
    </w:p>
    <w:p w14:paraId="7A36DCC0" w14:textId="77777777" w:rsidR="004C1529" w:rsidRPr="00AE7E19" w:rsidRDefault="004C1529" w:rsidP="004C1529">
      <w:pPr>
        <w:spacing w:before="120" w:after="0" w:line="240" w:lineRule="auto"/>
      </w:pPr>
      <w:r w:rsidRPr="00AE7E19">
        <w:t>Indices and benchmarks are provided by index providers or benchmark administrators. These benchmark and index providers develop, calculate and maintain a range of indices and generate revenue by licensing the use of the benchmark/index to clients.</w:t>
      </w:r>
    </w:p>
    <w:p w14:paraId="25BFAE22" w14:textId="77777777" w:rsidR="004C1529" w:rsidRPr="00AE7E19" w:rsidRDefault="004C1529" w:rsidP="004C1529">
      <w:pPr>
        <w:spacing w:before="120" w:after="0" w:line="240" w:lineRule="auto"/>
      </w:pPr>
      <w:r w:rsidRPr="00AE7E19">
        <w:t xml:space="preserve">A benchmark provider that holds trading data has an incentive to raise prices or restrict access to the data for firms that could use it to construct alternative benchmarks. This could create barriers to entry or expansion and reduce overall market choice. This market power to "nudge" development is not the only market power that benchmark providers have: </w:t>
      </w:r>
    </w:p>
    <w:p w14:paraId="458815E8" w14:textId="77777777" w:rsidR="004C1529" w:rsidRPr="00AE7E19" w:rsidRDefault="004C1529" w:rsidP="004C1529">
      <w:pPr>
        <w:spacing w:before="120" w:after="0" w:line="240" w:lineRule="auto"/>
      </w:pPr>
      <w:r w:rsidRPr="00AE7E19">
        <w:t xml:space="preserve">On the demand side, there is a strong preference for established benchmarks and indices ("must-have"): If end-clients tend to prefer products that track established benchmarks and indices, and brand recognition is key to success, strong market positions may tend to be reinforced. These preferences may also limit new entrants. </w:t>
      </w:r>
    </w:p>
    <w:p w14:paraId="10BD5108" w14:textId="77777777" w:rsidR="004C1529" w:rsidRPr="00AE7E19" w:rsidRDefault="004C1529" w:rsidP="004C1529">
      <w:pPr>
        <w:spacing w:before="120" w:after="0" w:line="240" w:lineRule="auto"/>
      </w:pPr>
      <w:r w:rsidRPr="00AE7E19">
        <w:t xml:space="preserve">With this in mind, we </w:t>
      </w:r>
      <w:r>
        <w:t xml:space="preserve">once again </w:t>
      </w:r>
      <w:r w:rsidRPr="00AE7E19">
        <w:t>welcome ESMA's proposal to recommend that the European Commission use its legislative powers to create a level playing field between market data vendors subject to MiFIR2 and those vendors not in scope of MiFIR2, as suggested in paragraph 235. However, we strongly recommend that the scope should cover all data providers and not just vendors, but also benchmark providers, CRAs, ESG providers, as all these data providers exploit the fact that they are not in scope. We suggest that the regulatory framework should be designed in a future-proof way so that the description of data providers is generic and can include new types of data providers - a recent example of a "newcomer" is ESG data providers.</w:t>
      </w:r>
    </w:p>
    <w:p w14:paraId="49DA5B06" w14:textId="77777777" w:rsidR="004C1529" w:rsidRPr="00AE7E19" w:rsidRDefault="004C1529" w:rsidP="004C1529">
      <w:pPr>
        <w:spacing w:before="120" w:after="0" w:line="240" w:lineRule="auto"/>
      </w:pP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lastRenderedPageBreak/>
        <w:t>&lt;ESMA_QUESTION</w:t>
      </w:r>
      <w:r w:rsidR="00F93646">
        <w:t>_</w:t>
      </w:r>
      <w:r w:rsidR="00DD54B5">
        <w:t>CP1</w:t>
      </w:r>
      <w:r w:rsidR="00F93646">
        <w:t>_</w:t>
      </w:r>
      <w:r w:rsidR="00737DD9">
        <w:t>35</w:t>
      </w:r>
      <w:r>
        <w:t>&gt;</w:t>
      </w:r>
    </w:p>
    <w:p w14:paraId="533B4F19" w14:textId="77777777" w:rsidR="004C1529" w:rsidRPr="00AE7E19" w:rsidRDefault="004C1529" w:rsidP="004C1529">
      <w:pPr>
        <w:spacing w:after="0"/>
      </w:pPr>
      <w:permStart w:id="657797640" w:edGrp="everyone"/>
    </w:p>
    <w:p w14:paraId="25564CAC" w14:textId="77777777" w:rsidR="004C1529" w:rsidRPr="00AE7E19" w:rsidRDefault="004C1529" w:rsidP="004C1529">
      <w:pPr>
        <w:spacing w:after="0"/>
      </w:pPr>
      <w:r>
        <w:t xml:space="preserve">Cf. </w:t>
      </w:r>
      <w:r w:rsidRPr="00AE7E19">
        <w:t xml:space="preserve">also our answer to Q31. </w:t>
      </w:r>
    </w:p>
    <w:p w14:paraId="7AC82D1C" w14:textId="77777777" w:rsidR="004C1529" w:rsidRPr="00AE7E19" w:rsidRDefault="004C1529" w:rsidP="004C1529">
      <w:pPr>
        <w:spacing w:after="0"/>
      </w:pPr>
    </w:p>
    <w:p w14:paraId="6C778813" w14:textId="77777777" w:rsidR="004C1529" w:rsidRPr="00AE7E19" w:rsidRDefault="004C1529" w:rsidP="004C1529">
      <w:pPr>
        <w:spacing w:after="0"/>
      </w:pPr>
      <w:r w:rsidRPr="00AE7E19">
        <w:t>The complex, comprehensive, vague market data policies, agreements and price lists with unreasonable terms and conditions that differentiate between user categories and are burdensome in every respect. The documents and contracts are one-sided and, as access to market data is a necessity to operate for investment firms</w:t>
      </w:r>
      <w:r>
        <w:t>, banks and asset managers alike</w:t>
      </w:r>
      <w:r w:rsidRPr="00AE7E19">
        <w:t xml:space="preserve">, there is </w:t>
      </w:r>
      <w:r>
        <w:t xml:space="preserve">– up to now – </w:t>
      </w:r>
      <w:r w:rsidRPr="00AE7E19">
        <w:t xml:space="preserve">no choice but to accept the terms and conditions. </w:t>
      </w:r>
    </w:p>
    <w:p w14:paraId="40AC3950" w14:textId="77777777" w:rsidR="004C1529" w:rsidRPr="00AE7E19" w:rsidRDefault="004C1529" w:rsidP="004C1529">
      <w:pPr>
        <w:spacing w:after="0"/>
      </w:pPr>
      <w:r w:rsidRPr="00AE7E19">
        <w:t xml:space="preserve">For example, the ability of trading venues to change the definitions and use different definitions than those provided is one of the core issues of slicing and dicing and the reason for our proposal to use an exhaustive list of definitions that data providers must comply with. Furthermore, the ability of data providers to impose unreasonable terms and conditions for the use of market data and audits is another key issue. In the case of audits, an example not included in the consultation paper is the right of data providers to stipulate that "if you do not comply within </w:t>
      </w:r>
      <w:proofErr w:type="spellStart"/>
      <w:r w:rsidRPr="00AE7E19">
        <w:t>x</w:t>
      </w:r>
      <w:r>
        <w:t>yz</w:t>
      </w:r>
      <w:proofErr w:type="spellEnd"/>
      <w:r w:rsidRPr="00AE7E19">
        <w:t xml:space="preserve"> - the report will be considered final". If data users have objections, they have no recourse at the moment. It is a one-sided situation. This is one of the reasons why there is a need for a "central complaints mechanism", as suggested in our response to Q27, and a standard policy document with pre-set definitions and conditions, so that these unreasonable requirements are not included.</w:t>
      </w:r>
    </w:p>
    <w:p w14:paraId="2A1F8802" w14:textId="77777777" w:rsidR="004C1529" w:rsidRPr="00AE7E19" w:rsidRDefault="004C1529" w:rsidP="004C1529">
      <w:pPr>
        <w:spacing w:after="0"/>
      </w:pPr>
      <w:r w:rsidRPr="00AE7E19">
        <w:t>Please also note that the proposed notice period in Article 16 is 2 months, which is even less than today where the notice period is 3 months. We encourage ESMA to include a reasonable notice period that is longer than the already very short period of 3 months.</w:t>
      </w:r>
    </w:p>
    <w:p w14:paraId="16B17551" w14:textId="77777777" w:rsidR="004C1529" w:rsidRPr="00AE7E19" w:rsidRDefault="004C1529" w:rsidP="004C1529">
      <w:pPr>
        <w:spacing w:after="0"/>
      </w:pP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6668982B" w14:textId="77777777" w:rsidR="007E6619" w:rsidRPr="00AE7E19" w:rsidRDefault="007E6619" w:rsidP="007E6619">
      <w:pPr>
        <w:spacing w:after="0"/>
      </w:pPr>
      <w:permStart w:id="1477078338" w:edGrp="everyone"/>
    </w:p>
    <w:p w14:paraId="55A2A95F" w14:textId="77777777" w:rsidR="007E6619" w:rsidRPr="00AE7E19" w:rsidRDefault="007E6619" w:rsidP="007E6619">
      <w:pPr>
        <w:spacing w:after="0"/>
      </w:pPr>
      <w:r w:rsidRPr="00AE7E19">
        <w:t xml:space="preserve">Article 7 is about good faith, but pre-contractual information can also cause problems, as it replicates the so-called user declaration of some trading venues, which is used to create additional licences. It should be clear from general price lists and market data policies what the charges are for the majority of customers and also for any additional requirements. If a data user is not able to know what the price is, then the terms are probably too complicated and personalised information can provide the opportunity for differentiation and value-based pricing. Ideally, it should be possible to book a service with all the necessary options on a product website, like configuring a new car. </w:t>
      </w:r>
    </w:p>
    <w:p w14:paraId="5C489619" w14:textId="77777777" w:rsidR="007E6619" w:rsidRPr="00AE7E19" w:rsidRDefault="007E6619" w:rsidP="007E6619">
      <w:pPr>
        <w:spacing w:after="0"/>
      </w:pPr>
    </w:p>
    <w:p w14:paraId="67B32F32" w14:textId="77777777" w:rsidR="007E6619" w:rsidRPr="00AE7E19" w:rsidRDefault="007E6619" w:rsidP="007E6619">
      <w:pPr>
        <w:spacing w:after="0"/>
      </w:pPr>
      <w:r w:rsidRPr="00AE7E19">
        <w:lastRenderedPageBreak/>
        <w:t>Any contract will be based to a significant extent on the definitions and terms set out in this Regulation. Additional definitions or terms other than those provided add unnecessary complexity and lack standardisation.</w:t>
      </w:r>
    </w:p>
    <w:p w14:paraId="60268381" w14:textId="77777777" w:rsidR="007E6619" w:rsidRDefault="007E6619" w:rsidP="007E6619">
      <w:pPr>
        <w:spacing w:after="0"/>
      </w:pP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4669661F" w14:textId="77777777" w:rsidR="00472A64" w:rsidRPr="00AE7E19" w:rsidRDefault="00472A64" w:rsidP="00472A64">
      <w:pPr>
        <w:spacing w:after="0"/>
      </w:pPr>
      <w:permStart w:id="1201633413" w:edGrp="everyone"/>
    </w:p>
    <w:p w14:paraId="547F97D1" w14:textId="77777777" w:rsidR="00472A64" w:rsidRPr="00AE7E19" w:rsidRDefault="00472A64" w:rsidP="00472A64">
      <w:pPr>
        <w:spacing w:after="0"/>
      </w:pPr>
      <w:r w:rsidRPr="00AE7E19">
        <w:t xml:space="preserve">In this context it is paramount to discriminate between the pricing model which clearly should be client based (the legal entity who signs the contract) and other administrative and legal considerations, e.g. data privacy and technical access of individual (physical) users. </w:t>
      </w:r>
    </w:p>
    <w:p w14:paraId="3DEFFDA0" w14:textId="77777777" w:rsidR="00472A64" w:rsidRPr="00AE7E19" w:rsidRDefault="00472A64" w:rsidP="00472A64">
      <w:pPr>
        <w:spacing w:after="0"/>
      </w:pPr>
      <w:r w:rsidRPr="00AE7E19">
        <w:t xml:space="preserve">As of today, most trading venues offer the "per natural user" (per physical user) option - however, each user has to go through a very cumbersome process to be approved to get access. </w:t>
      </w:r>
    </w:p>
    <w:p w14:paraId="3AE1AEA7" w14:textId="77777777" w:rsidR="00472A64" w:rsidRPr="00AE7E19" w:rsidRDefault="00472A64" w:rsidP="00472A64">
      <w:pPr>
        <w:spacing w:after="0"/>
      </w:pPr>
      <w:r w:rsidRPr="00AE7E19">
        <w:t xml:space="preserve">In future, the 'per user' model shall not be relevant anymore as it should be a 'per client' model. The data would be purchased as raw data from the venues. Once the data is delivered, the client could use the data as and for whatever purpose. This means that the contract needs to define a handover point, which defines that the client now has full (use/ownership) rights to the data. </w:t>
      </w:r>
    </w:p>
    <w:p w14:paraId="7EF61A1A" w14:textId="77777777" w:rsidR="00472A64" w:rsidRPr="00AE7E19" w:rsidRDefault="00472A64" w:rsidP="00472A64">
      <w:pPr>
        <w:spacing w:after="0"/>
      </w:pPr>
      <w:r w:rsidRPr="00AE7E19">
        <w:t xml:space="preserve">At the moment, it is a non-transparent process of mutual reporting of user access between data (second level) vendors and trading venues, which results in similar opaque pricing and billing process. This will be greatly simplified – as stipulated by the legislative intent of the revised Level 1 text – by applying a one price per client model which will also remove most of the intrusive and burdensome “client audits”. </w:t>
      </w:r>
    </w:p>
    <w:p w14:paraId="425444B1" w14:textId="77777777" w:rsidR="00472A64" w:rsidRPr="00AE7E19" w:rsidRDefault="00472A64" w:rsidP="00472A64">
      <w:pPr>
        <w:spacing w:after="0"/>
      </w:pPr>
    </w:p>
    <w:p w14:paraId="35DC0DD9" w14:textId="77777777" w:rsidR="00472A64" w:rsidRPr="00AE7E19" w:rsidRDefault="00472A64" w:rsidP="00472A64">
      <w:pPr>
        <w:spacing w:after="0"/>
      </w:pPr>
      <w:r w:rsidRPr="00AE7E19">
        <w:t>One possible solution is to create a centralised reporting platform to which each market data client, data provider and data vendor connects using their unique identifiers. The client identifier is shared with the data providers and data vendors. This makes the subscription to a particular market data set transparent and the client only has to pay once for that data.</w:t>
      </w:r>
    </w:p>
    <w:p w14:paraId="560C059D" w14:textId="77777777" w:rsidR="00472A64" w:rsidRPr="00AE7E19" w:rsidRDefault="00472A64" w:rsidP="00472A64">
      <w:pPr>
        <w:spacing w:after="0"/>
      </w:pPr>
    </w:p>
    <w:p w14:paraId="26403253" w14:textId="77777777" w:rsidR="00472A64" w:rsidRPr="00AE7E19" w:rsidRDefault="00472A64" w:rsidP="00472A64">
      <w:pPr>
        <w:spacing w:after="0"/>
      </w:pPr>
      <w:r w:rsidRPr="00AE7E19">
        <w:t xml:space="preserve">The relevant market data client, data vendors and trading venues should be able to connect their internal entitlement system via an API to upload client subscription files (rather than having to manually enter users). Data clients will also need to include their 'single data client key' (in order to identify each individual/legal client with a single ID - or have the platform generate such a unique key for each physical user, to avoid GDPR breaches) in order to establish the link between the vendors' different user IDs for that single physical user). All three parties would then have access to the same information (note: data vendors should not be able to see the accesses of other data vendors). The systems should have a matching facility (netting reconciliation) and if there is a </w:t>
      </w:r>
      <w:r w:rsidRPr="00AE7E19">
        <w:lastRenderedPageBreak/>
        <w:t>mismatch, the data user can investigate where this reconciliation has failed and ask the data provider to correct the information or amend its own reported information if it is incorrect. Netting reconciliation needs to be based on both entitlement and active usage reports. There is a need for an audit trail to prove access to data usage (usage file) and what was corrected (including an explanation). This tool should have a communication function to avoid a lot of emails back and forth between the different parties - and it could serve as an explanation as part of the audit trail. This proposal will provide the necessary transparency, a simple process compared to today and the possibility to act immediately in case of different/incorrect information provided.</w:t>
      </w:r>
    </w:p>
    <w:p w14:paraId="07D76F46" w14:textId="77777777" w:rsidR="00472A64" w:rsidRPr="00AE7E19" w:rsidRDefault="00472A64" w:rsidP="00472A64">
      <w:pPr>
        <w:spacing w:after="0"/>
      </w:pP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4BD6B905" w14:textId="77777777" w:rsidR="00472A64" w:rsidRPr="00AE7E19" w:rsidRDefault="00472A64" w:rsidP="00472A64">
      <w:pPr>
        <w:spacing w:after="0"/>
      </w:pPr>
      <w:permStart w:id="1252924652" w:edGrp="everyone"/>
    </w:p>
    <w:p w14:paraId="0784CD29" w14:textId="77777777" w:rsidR="00472A64" w:rsidRDefault="00472A64" w:rsidP="00472A64">
      <w:pPr>
        <w:spacing w:after="0"/>
      </w:pPr>
      <w:r>
        <w:t xml:space="preserve">While we honour ESMA’s attempt to limit the possible “penalty” charges in a factual and time-related manner, we think that this still gives too much unjustified power to data vendors. – Once again, the way a market data client uses the purchased data will not be relevant in terms of initial pricing anymore and consequently, it could not give reason for any “penalties” (even if the data is provided to clients of the client or to whom ever since the data vendor has no copyright and cannot claim “ownership” for the data (cf. our answer to Q26). The other way round, the data vendor always knows (or at least he should know and it is not the client’s fault, if he does not), which data he has distributed via which channels. This simple insight should render the whole practice of “penalties” obsolete, which is one of the major structural problems of the current practice and which is generally based on claiming that the client has supposedly breached any “use case” aka “value based” rules. </w:t>
      </w:r>
    </w:p>
    <w:p w14:paraId="0CBF574B" w14:textId="77777777" w:rsidR="00472A64" w:rsidRDefault="00472A64" w:rsidP="00472A64">
      <w:pPr>
        <w:spacing w:after="0"/>
      </w:pPr>
    </w:p>
    <w:p w14:paraId="238490F8" w14:textId="2150AD93" w:rsidR="00472A64" w:rsidRDefault="00472A64" w:rsidP="00472A64">
      <w:pPr>
        <w:spacing w:after="0"/>
      </w:pPr>
      <w:r>
        <w:t xml:space="preserve">In reverse, if Level 1 would not be clear on the “cost based only” principle – as it actually is – we would of course support ESMA’s proposals of a limitation of review periods to three years (cf. </w:t>
      </w:r>
      <w:r w:rsidR="00567015">
        <w:t>CP paragraph</w:t>
      </w:r>
      <w:r>
        <w:t xml:space="preserve"> 268), to the “reverse burden of proof” on the side of the vendor (cf. </w:t>
      </w:r>
      <w:r w:rsidR="00567015">
        <w:t>CP paragraph</w:t>
      </w:r>
      <w:r>
        <w:t xml:space="preserve"> 269) as well as to the avoidance of overly onerous audit practices (cf. </w:t>
      </w:r>
      <w:r w:rsidR="00567015">
        <w:t>CP paragraph</w:t>
      </w:r>
      <w:r>
        <w:t xml:space="preserve"> 270). However, at the risk of appearing amusing through repetition, just as it is not the car dealer’s business to “audit” what you are doing with the car purchased, there will be no legal basis for the data vendor anymore (whether a legal basis currently exists or whether the current practice is already in breach of fundamental rights is another question) to “audit” what you </w:t>
      </w:r>
      <w:proofErr w:type="spellStart"/>
      <w:r>
        <w:t>ar</w:t>
      </w:r>
      <w:proofErr w:type="spellEnd"/>
      <w:r>
        <w:t xml:space="preserve"> doing with the data you have purchased on a cost plus reasonable commercial basis </w:t>
      </w:r>
      <w:proofErr w:type="spellStart"/>
      <w:r>
        <w:t>marging</w:t>
      </w:r>
      <w:proofErr w:type="spellEnd"/>
      <w:r>
        <w:t xml:space="preserve"> principle.</w:t>
      </w:r>
    </w:p>
    <w:p w14:paraId="2FBA40D4" w14:textId="77777777" w:rsidR="00472A64" w:rsidRDefault="00472A64" w:rsidP="00472A64">
      <w:pPr>
        <w:spacing w:after="0"/>
      </w:pPr>
    </w:p>
    <w:p w14:paraId="1755CA7A" w14:textId="77777777" w:rsidR="00472A64" w:rsidRDefault="00472A64" w:rsidP="00472A64">
      <w:pPr>
        <w:spacing w:after="0"/>
      </w:pPr>
      <w:r>
        <w:t xml:space="preserve">Actually, with all good intent to strengthen the clients’ position with respect to the current situation, we are concerned that EFSA in the end – unintentionally – may help to preserve data vendors to continue their unjustified claims in the future. The European legislator – by introducing a strict “cost based” pricing and prohibiting “value based” pricing has also set a clear signal that such onerous </w:t>
      </w:r>
      <w:r>
        <w:lastRenderedPageBreak/>
        <w:t>practices like non-transparent audits and curious “penalties” for selling a “product” for which the vendor does not even can claim any copyright, has to end.</w:t>
      </w:r>
    </w:p>
    <w:p w14:paraId="227C7383" w14:textId="77777777" w:rsidR="00472A64" w:rsidRDefault="00472A64" w:rsidP="00472A64">
      <w:pPr>
        <w:spacing w:after="0"/>
      </w:pP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388336B5" w14:textId="77777777" w:rsidR="00BF6C6D" w:rsidRPr="00AE7E19" w:rsidRDefault="00BF6C6D" w:rsidP="00BF6C6D">
      <w:pPr>
        <w:spacing w:after="0"/>
      </w:pPr>
      <w:permStart w:id="2034649205" w:edGrp="everyone"/>
    </w:p>
    <w:p w14:paraId="1CD69BA4" w14:textId="77777777" w:rsidR="00BF6C6D" w:rsidRPr="00AE7E19" w:rsidRDefault="00BF6C6D" w:rsidP="00BF6C6D">
      <w:pPr>
        <w:spacing w:after="0"/>
      </w:pPr>
      <w:r>
        <w:t>Cf. our</w:t>
      </w:r>
      <w:r w:rsidRPr="00AE7E19">
        <w:t xml:space="preserve"> answer to Q38.</w:t>
      </w:r>
    </w:p>
    <w:p w14:paraId="701DACE8" w14:textId="77777777" w:rsidR="00BF6C6D" w:rsidRDefault="00BF6C6D" w:rsidP="00BF6C6D">
      <w:pPr>
        <w:spacing w:after="0"/>
      </w:pPr>
    </w:p>
    <w:p w14:paraId="3D7F2150" w14:textId="62130563" w:rsidR="00BF6C6D" w:rsidRDefault="00BF6C6D" w:rsidP="00BF6C6D">
      <w:pPr>
        <w:spacing w:after="0"/>
      </w:pPr>
      <w:r>
        <w:t xml:space="preserve">In an environment which prohibits value-based pricing and where market data clients are basically free to decide how to use the data purchased, we see no legitimate ground to continue a practice where data vendors can have such far-reaching authorisations as audits contractually guaranteed. In the contrary, we are of the opinion that on-site audits are a disproportionate instrument which illustrates the existing market </w:t>
      </w:r>
      <w:r w:rsidR="00E33F5E">
        <w:t>imbalance</w:t>
      </w:r>
      <w:r>
        <w:t xml:space="preserve"> in favour of the data vendors. Accordingly, audits conducted by data vendors should be prohibited.</w:t>
      </w:r>
    </w:p>
    <w:p w14:paraId="512DDC98" w14:textId="77777777" w:rsidR="00BF6C6D" w:rsidRDefault="00BF6C6D" w:rsidP="00BF6C6D">
      <w:pPr>
        <w:spacing w:after="0"/>
      </w:pPr>
    </w:p>
    <w:p w14:paraId="67748796" w14:textId="77777777" w:rsidR="00BF6C6D" w:rsidRDefault="00BF6C6D" w:rsidP="00BF6C6D">
      <w:pPr>
        <w:spacing w:after="0"/>
      </w:pPr>
      <w:r>
        <w:t>However, if the proposed prohibition cannot be implemented, we are generally supportive of the wording of draft article 15 which would strengthen the position of market data clients in various key aspects. However, while it is to be welcomed that any audit can only be justified based on “serious indications” and “on the basis of clear evidence (no reverse burden of proof)” a materiality threshold is still missing and urgently needed. We suggest that only “severe and extensive” infringements could justify an audit.</w:t>
      </w:r>
    </w:p>
    <w:p w14:paraId="7C82738F" w14:textId="77777777" w:rsidR="00BF6C6D" w:rsidRDefault="00BF6C6D" w:rsidP="00BF6C6D">
      <w:pPr>
        <w:spacing w:after="0"/>
      </w:pPr>
    </w:p>
    <w:p w14:paraId="33982EA2" w14:textId="77777777" w:rsidR="00BF6C6D" w:rsidRDefault="00BF6C6D" w:rsidP="00BF6C6D">
      <w:pPr>
        <w:spacing w:after="0"/>
      </w:pPr>
      <w:r>
        <w:t xml:space="preserve">Furthermore, not only should an audit be restricted to cover a “reasonable period of time” (which we think should be no longer than two years), but the effort required to conduct an audit must remain proportionate, whereby the measure for proportionality should be the potential amount of market data fees that have allegedly not been paid correctly. </w:t>
      </w:r>
    </w:p>
    <w:p w14:paraId="7041D617" w14:textId="77777777" w:rsidR="00BF6C6D" w:rsidRPr="00AE7E19" w:rsidRDefault="00BF6C6D" w:rsidP="00BF6C6D">
      <w:pPr>
        <w:spacing w:after="0"/>
      </w:pP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2486FF1C" w14:textId="77777777" w:rsidR="00BF6C6D" w:rsidRPr="00AE7E19" w:rsidRDefault="00BF6C6D" w:rsidP="00BF6C6D">
      <w:pPr>
        <w:spacing w:after="0"/>
      </w:pPr>
      <w:permStart w:id="1583374814" w:edGrp="everyone"/>
    </w:p>
    <w:p w14:paraId="69F594C9" w14:textId="77777777" w:rsidR="00BF6C6D" w:rsidRPr="00AE7E19" w:rsidRDefault="00BF6C6D" w:rsidP="00BF6C6D">
      <w:pPr>
        <w:spacing w:before="120" w:after="0" w:line="240" w:lineRule="auto"/>
      </w:pPr>
      <w:r>
        <w:t>Cf.</w:t>
      </w:r>
      <w:r w:rsidRPr="00AE7E19">
        <w:t xml:space="preserve"> also responses to Q26, Q35</w:t>
      </w:r>
    </w:p>
    <w:p w14:paraId="0D59C507" w14:textId="77777777" w:rsidR="00BF6C6D" w:rsidRPr="00AE7E19" w:rsidRDefault="00BF6C6D" w:rsidP="00BF6C6D">
      <w:pPr>
        <w:spacing w:before="120" w:after="0" w:line="240" w:lineRule="auto"/>
      </w:pPr>
      <w:r w:rsidRPr="00AE7E19">
        <w:t xml:space="preserve">A safeguard would be a standardised content of market data policies that already provide granular information on costs and fee calculations. </w:t>
      </w:r>
    </w:p>
    <w:p w14:paraId="47E8677F" w14:textId="77777777" w:rsidR="00BF6C6D" w:rsidRPr="00AE7E19" w:rsidRDefault="00BF6C6D" w:rsidP="00BF6C6D">
      <w:pPr>
        <w:spacing w:before="120" w:after="0" w:line="240" w:lineRule="auto"/>
      </w:pPr>
      <w:r w:rsidRPr="00AE7E19">
        <w:lastRenderedPageBreak/>
        <w:t xml:space="preserve">Given the intention of the Level 1 text, we conclude that the publication of data policies cannot just be a very high-level documentation, but rather needs to be quite granular about what costs are included in pricing. Annex I of the RTS only mentions a "high-level summary", which is not sufficient for market participants to assess the fairness of the cost basis. In addition, the pricing of charges needs to be publicly clear and transparent upfront (in terms of configuring and purchasing a new car). </w:t>
      </w:r>
    </w:p>
    <w:p w14:paraId="39D757B1" w14:textId="77777777" w:rsidR="00BF6C6D" w:rsidRPr="00AE7E19" w:rsidRDefault="00BF6C6D" w:rsidP="00BF6C6D">
      <w:pPr>
        <w:spacing w:before="120" w:after="0" w:line="240" w:lineRule="auto"/>
      </w:pPr>
    </w:p>
    <w:p w14:paraId="154BF200" w14:textId="77777777" w:rsidR="00BF6C6D" w:rsidRPr="00AE7E19" w:rsidRDefault="00BF6C6D" w:rsidP="00BF6C6D">
      <w:pPr>
        <w:spacing w:before="120" w:after="0" w:line="240" w:lineRule="auto"/>
        <w:rPr>
          <w:color w:val="000000"/>
          <w:szCs w:val="22"/>
        </w:rPr>
      </w:pPr>
      <w:r w:rsidRPr="00AE7E19">
        <w:t>In addition, we would expect the NCA to engage in an active dialogue with the customers/users of the data. This would include publishing an aggregated version of the actual costs of these audits with reference to Art. 13 1. Exceptions may only be made to protect confidential business and accounting information of data providers from other market participants.</w:t>
      </w:r>
    </w:p>
    <w:p w14:paraId="1D8FB588" w14:textId="77777777" w:rsidR="00BF6C6D" w:rsidRPr="00AE7E19" w:rsidRDefault="00BF6C6D" w:rsidP="00BF6C6D">
      <w:pPr>
        <w:spacing w:after="0"/>
      </w:pP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03421F8" w14:textId="77777777" w:rsidR="00B8480D" w:rsidRPr="00AE7E19" w:rsidRDefault="00B8480D" w:rsidP="00B8480D">
      <w:pPr>
        <w:spacing w:after="0"/>
      </w:pPr>
      <w:permStart w:id="1168114055" w:edGrp="everyone"/>
    </w:p>
    <w:p w14:paraId="0B07EBE2" w14:textId="77777777" w:rsidR="00B8480D" w:rsidRPr="00AE7E19" w:rsidRDefault="00B8480D" w:rsidP="00B8480D">
      <w:pPr>
        <w:spacing w:after="0"/>
      </w:pPr>
      <w:r w:rsidRPr="00AE7E19">
        <w:t xml:space="preserve">The template needs to be much more granular to make allocated costs transparent and traceable. The current draft is not sufficient to provide the necessary transparency. Several parts of Annex II to are necessary in the content of Annex I. </w:t>
      </w:r>
      <w:r>
        <w:t>Cf.</w:t>
      </w:r>
      <w:r w:rsidRPr="00AE7E19">
        <w:t xml:space="preserve"> also responses to Q26, Q40.</w:t>
      </w:r>
    </w:p>
    <w:p w14:paraId="49F0E6D6" w14:textId="77777777" w:rsidR="00B8480D" w:rsidRPr="00AE7E19" w:rsidRDefault="00B8480D" w:rsidP="00B8480D">
      <w:pPr>
        <w:spacing w:after="0"/>
      </w:pPr>
      <w:r w:rsidRPr="00AE7E19">
        <w:t xml:space="preserve">Furthermore, the time window has not yet been </w:t>
      </w:r>
      <w:r>
        <w:t xml:space="preserve">sufficiently </w:t>
      </w:r>
      <w:r w:rsidRPr="00AE7E19">
        <w:t>addressed. It is crucial to establish the chronological sequence of cost calculation, invoicing of the relevant fees and payment obligations (including possible refunds). The template should be expanded to include a requirement to publish at least 5 years of fee schedules with a multi-year, detailed and explained comparison of all fee and product changes. This will enable data users to identify price increases and new fees. The data format for the publication template should be a non-proprietary, easily assessable and processable data format, such as csv.</w:t>
      </w:r>
    </w:p>
    <w:p w14:paraId="39D48040" w14:textId="77777777" w:rsidR="00B8480D" w:rsidRPr="00AE7E19" w:rsidRDefault="00B8480D" w:rsidP="00B8480D">
      <w:pPr>
        <w:spacing w:after="0"/>
      </w:pPr>
      <w:r w:rsidRPr="00AE7E19">
        <w:t>Policies must also respect the following fairness conditions:</w:t>
      </w:r>
    </w:p>
    <w:p w14:paraId="2848EF4B" w14:textId="77777777" w:rsidR="00B8480D" w:rsidRPr="00AE7E19" w:rsidRDefault="00B8480D" w:rsidP="00B8480D">
      <w:pPr>
        <w:pStyle w:val="Listenabsatz"/>
        <w:numPr>
          <w:ilvl w:val="0"/>
          <w:numId w:val="44"/>
        </w:numPr>
        <w:spacing w:after="0"/>
      </w:pPr>
      <w:r w:rsidRPr="00AE7E19">
        <w:t>Price increases must be justified and linked to the CPI.</w:t>
      </w:r>
    </w:p>
    <w:p w14:paraId="1110D422" w14:textId="77777777" w:rsidR="00B8480D" w:rsidRPr="00AE7E19" w:rsidRDefault="00B8480D" w:rsidP="00B8480D">
      <w:pPr>
        <w:pStyle w:val="Listenabsatz"/>
        <w:numPr>
          <w:ilvl w:val="0"/>
          <w:numId w:val="44"/>
        </w:numPr>
        <w:spacing w:after="0"/>
      </w:pPr>
      <w:r w:rsidRPr="00AE7E19">
        <w:t xml:space="preserve">Prices should be based on the universe of data purchased, i.e. Level 1, Level 2, total view, </w:t>
      </w:r>
    </w:p>
    <w:p w14:paraId="4DA6E58E" w14:textId="0898ECEE" w:rsidR="00B8480D" w:rsidRPr="00AE7E19" w:rsidRDefault="00B8480D" w:rsidP="00B8480D">
      <w:pPr>
        <w:pStyle w:val="Listenabsatz"/>
        <w:numPr>
          <w:ilvl w:val="0"/>
          <w:numId w:val="44"/>
        </w:numPr>
        <w:spacing w:after="0"/>
      </w:pPr>
      <w:r w:rsidRPr="00AE7E19">
        <w:t>“</w:t>
      </w:r>
      <w:r w:rsidR="00E33F5E" w:rsidRPr="00AE7E19">
        <w:t>Other</w:t>
      </w:r>
      <w:r w:rsidRPr="00AE7E19">
        <w:t xml:space="preserve"> contractual terms and conditions” should not include restrictions on use. </w:t>
      </w:r>
    </w:p>
    <w:p w14:paraId="16C16430" w14:textId="77777777" w:rsidR="00B8480D" w:rsidRPr="00AE7E19" w:rsidRDefault="00B8480D" w:rsidP="00B8480D">
      <w:pPr>
        <w:spacing w:after="0"/>
      </w:pPr>
    </w:p>
    <w:p w14:paraId="142D329F" w14:textId="77777777" w:rsidR="00B8480D" w:rsidRPr="00AE7E19" w:rsidRDefault="00B8480D" w:rsidP="00B8480D">
      <w:pPr>
        <w:spacing w:after="0"/>
      </w:pPr>
      <w:r w:rsidRPr="00AE7E19">
        <w:t>Data providers must publish market data revenues on a regular basis (at least annually and if this is the adoption period) and the proportion of total revenues that these revenues represent. Revenues from market data should be broken down by type of fee, including pure cost-based add-ons such as connectivity fees, and should be published separately.</w:t>
      </w:r>
    </w:p>
    <w:p w14:paraId="24FBC58C" w14:textId="77777777" w:rsidR="00B8480D" w:rsidRPr="00AE7E19" w:rsidRDefault="00B8480D" w:rsidP="00B8480D">
      <w:pPr>
        <w:spacing w:after="0"/>
      </w:pPr>
      <w:r w:rsidRPr="00AE7E19">
        <w:t xml:space="preserve">To reiterate, we do not support the proposed definitions of the fee structure for display data and non-display data. </w:t>
      </w:r>
    </w:p>
    <w:p w14:paraId="69D63FC8" w14:textId="77777777" w:rsidR="00B8480D" w:rsidRPr="00AE7E19" w:rsidRDefault="00B8480D" w:rsidP="00B8480D">
      <w:pPr>
        <w:spacing w:after="0"/>
      </w:pP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33720E9D" w14:textId="77777777" w:rsidR="00F23A30" w:rsidRDefault="00F23A30" w:rsidP="00B8480D">
      <w:pPr>
        <w:spacing w:after="0"/>
      </w:pPr>
      <w:permStart w:id="658192178" w:edGrp="everyone"/>
    </w:p>
    <w:p w14:paraId="7767D41C" w14:textId="05629EC8" w:rsidR="00B8480D" w:rsidRPr="00AE7E19" w:rsidRDefault="00B8480D" w:rsidP="00B8480D">
      <w:pPr>
        <w:spacing w:after="0"/>
      </w:pPr>
      <w:r w:rsidRPr="00AE7E19">
        <w:t>Editorial note: We would like to suggest that all standard terminology and definitions from Article 18 could be transferred to Article 1, with a view to merging them into one article.</w:t>
      </w:r>
    </w:p>
    <w:p w14:paraId="65412A62" w14:textId="77777777" w:rsidR="00B8480D" w:rsidRPr="00AE7E19" w:rsidRDefault="00B8480D" w:rsidP="00B8480D">
      <w:pPr>
        <w:spacing w:after="0"/>
      </w:pPr>
    </w:p>
    <w:p w14:paraId="1003E751" w14:textId="77777777" w:rsidR="00B8480D" w:rsidRPr="00AE7E19" w:rsidRDefault="00B8480D" w:rsidP="00B8480D">
      <w:pPr>
        <w:spacing w:after="0"/>
      </w:pPr>
      <w:r w:rsidRPr="00AE7E19">
        <w:t xml:space="preserve">In general, the list of definitions should be </w:t>
      </w:r>
      <w:r>
        <w:t xml:space="preserve">as </w:t>
      </w:r>
      <w:r w:rsidRPr="00AE7E19">
        <w:t>detailed</w:t>
      </w:r>
      <w:r>
        <w:t xml:space="preserve"> as possible</w:t>
      </w:r>
      <w:r w:rsidRPr="00AE7E19">
        <w:t xml:space="preserve">, </w:t>
      </w:r>
      <w:r>
        <w:t>comprehensive</w:t>
      </w:r>
      <w:r w:rsidRPr="00AE7E19">
        <w:t xml:space="preserve"> and binding. There should be no possibility to add additional definitions as suggested in Art. 18 (2), as this would lead to a continued lack of standardisation and harmonisation, which is one of the core issues for the problems with market data costs mentioned above, and would be to the severe detriment of users.</w:t>
      </w:r>
    </w:p>
    <w:p w14:paraId="00CDCF9E" w14:textId="77777777" w:rsidR="00B8480D" w:rsidRPr="00AE7E19" w:rsidRDefault="00B8480D" w:rsidP="00B8480D">
      <w:pPr>
        <w:spacing w:after="0"/>
      </w:pPr>
      <w:r w:rsidRPr="00AE7E19">
        <w:t>Nevertheless, all references to the differentiation of clients or the use of data not related to the dissemination of the provision of data must be removed, such references being "professional client", "non-professional client", "display data", "non-display data"</w:t>
      </w:r>
      <w:r>
        <w:t>, “audit” and “audit period”</w:t>
      </w:r>
      <w:r w:rsidRPr="00AE7E19">
        <w:t xml:space="preserve">. These need to be removed as they are not cost based but value based. </w:t>
      </w:r>
    </w:p>
    <w:p w14:paraId="72A294EC" w14:textId="643872B5" w:rsidR="00B8480D" w:rsidRPr="00AE7E19" w:rsidRDefault="00B8480D" w:rsidP="00B8480D">
      <w:pPr>
        <w:spacing w:after="0"/>
      </w:pPr>
      <w:r w:rsidRPr="00AE7E19">
        <w:t>Furthermore, we are concerned about the spirit of certain elements in Art.</w:t>
      </w:r>
      <w:r w:rsidR="00F23A30">
        <w:t> </w:t>
      </w:r>
      <w:r w:rsidRPr="00AE7E19">
        <w:t>18. Such as the introduction of an access fee. This is a US style direct and indirect fee where members pay at least twice for access to market data (if they pay the access fee directly from a trading venue and via a vendor). We strongly encourage ESMA to avoid the introduction of such a fee. Furthermore, we do not support the ability of trading venues or other data providers to restrict the ability of the data client to use the data for new products, as they do today by restricting the use of derived data and new original/creative work as defined below. Once the customer has paid for a set of market data, they can use the data as and for whatever purpose. As mentioned in Q26 market data are given facts. Charging for new products would be a value-based rather than a cost-based approach as intended by the Level 1 Regulation.</w:t>
      </w:r>
    </w:p>
    <w:p w14:paraId="6238083C" w14:textId="77777777" w:rsidR="00B8480D" w:rsidRPr="00AE7E19" w:rsidRDefault="00B8480D" w:rsidP="00B8480D">
      <w:pPr>
        <w:spacing w:after="0"/>
      </w:pPr>
      <w:r w:rsidRPr="00AE7E19">
        <w:t>We propose the following definitions for inclusion in the RTS. Some of these replace proposed definitions in the draft RTS and others are new]:</w:t>
      </w:r>
    </w:p>
    <w:p w14:paraId="1AA0DDC2" w14:textId="77777777" w:rsidR="00B8480D" w:rsidRPr="00AE7E19" w:rsidRDefault="00B8480D" w:rsidP="00B8480D">
      <w:pPr>
        <w:pStyle w:val="Listenabsatz"/>
        <w:numPr>
          <w:ilvl w:val="0"/>
          <w:numId w:val="47"/>
        </w:numPr>
        <w:spacing w:after="0"/>
      </w:pPr>
      <w:r w:rsidRPr="00AE7E19">
        <w:t>“Customer” or “Client" means the natural person and/or legal entity that signs the Market Data Licence Agreement with the Market Data Provider and to whom the Market Data fees are charged.</w:t>
      </w:r>
    </w:p>
    <w:p w14:paraId="28682DE6" w14:textId="77777777" w:rsidR="00B8480D" w:rsidRPr="00AE7E19" w:rsidRDefault="00B8480D" w:rsidP="00B8480D">
      <w:pPr>
        <w:pStyle w:val="Listenabsatz"/>
        <w:numPr>
          <w:ilvl w:val="0"/>
          <w:numId w:val="47"/>
        </w:numPr>
        <w:spacing w:after="0"/>
      </w:pPr>
      <w:r w:rsidRPr="00AE7E19">
        <w:t xml:space="preserve">“Real-time data" means market data made available in real time or with a delay of less than 15 minutes after publication. </w:t>
      </w:r>
    </w:p>
    <w:p w14:paraId="3FB5A2E7" w14:textId="77777777" w:rsidR="00B8480D" w:rsidRPr="00AE7E19" w:rsidRDefault="00B8480D" w:rsidP="00B8480D">
      <w:pPr>
        <w:pStyle w:val="Listenabsatz"/>
        <w:numPr>
          <w:ilvl w:val="0"/>
          <w:numId w:val="47"/>
        </w:numPr>
        <w:spacing w:after="0"/>
      </w:pPr>
      <w:r w:rsidRPr="00AE7E19">
        <w:t>“Delayed data” (free of charge data) means market data made available 15 minutes after publication free of charge.</w:t>
      </w:r>
    </w:p>
    <w:p w14:paraId="3637434C" w14:textId="77777777" w:rsidR="00B8480D" w:rsidRPr="00AE7E19" w:rsidRDefault="00B8480D" w:rsidP="00B8480D">
      <w:pPr>
        <w:pStyle w:val="Listenabsatz"/>
        <w:numPr>
          <w:ilvl w:val="0"/>
          <w:numId w:val="47"/>
        </w:numPr>
        <w:spacing w:after="0"/>
      </w:pPr>
      <w:r w:rsidRPr="00AE7E19">
        <w:lastRenderedPageBreak/>
        <w:t>“Historical data” means all market data generated prior to the Close (End of Day) of the previous trading day and should be considered delayed data and be thereof free of charge too.</w:t>
      </w:r>
    </w:p>
    <w:p w14:paraId="011D8A1D" w14:textId="77777777" w:rsidR="00B8480D" w:rsidRPr="00AE7E19" w:rsidRDefault="00B8480D" w:rsidP="00B8480D">
      <w:pPr>
        <w:pStyle w:val="Listenabsatz"/>
        <w:numPr>
          <w:ilvl w:val="0"/>
          <w:numId w:val="47"/>
        </w:numPr>
        <w:spacing w:after="0"/>
      </w:pPr>
      <w:r w:rsidRPr="00AE7E19">
        <w:t>“Total costs" means all costs incurred by the market data provider for the production and distribution of market data, excluding taxes and cost of capital.</w:t>
      </w:r>
    </w:p>
    <w:p w14:paraId="6548234B" w14:textId="4B8D264E" w:rsidR="00B8480D" w:rsidRPr="00AE7E19" w:rsidRDefault="00B8480D" w:rsidP="00B8480D">
      <w:pPr>
        <w:pStyle w:val="Listenabsatz"/>
        <w:numPr>
          <w:ilvl w:val="0"/>
          <w:numId w:val="47"/>
        </w:numPr>
        <w:spacing w:after="0"/>
      </w:pPr>
      <w:r w:rsidRPr="00AE7E19">
        <w:t xml:space="preserve">“Operating profit" means gross profit less operating expenses, also calculated as </w:t>
      </w:r>
      <w:r w:rsidR="00204CF7">
        <w:t>t</w:t>
      </w:r>
      <w:r w:rsidRPr="00AE7E19">
        <w:t xml:space="preserve">he income generated </w:t>
      </w:r>
      <w:r w:rsidR="00204CF7">
        <w:t>(</w:t>
      </w:r>
      <w:r w:rsidRPr="00AE7E19">
        <w:t>by the market data provider</w:t>
      </w:r>
      <w:r w:rsidR="00204CF7">
        <w:t xml:space="preserve">) </w:t>
      </w:r>
      <w:r w:rsidRPr="00AE7E19">
        <w:t xml:space="preserve">by deducting from the income </w:t>
      </w:r>
      <w:r w:rsidR="00204CF7">
        <w:t>(</w:t>
      </w:r>
      <w:r w:rsidRPr="00AE7E19">
        <w:t>generated by the „</w:t>
      </w:r>
      <w:proofErr w:type="gramStart"/>
      <w:r w:rsidRPr="00AE7E19">
        <w:t>production“ and</w:t>
      </w:r>
      <w:proofErr w:type="gramEnd"/>
      <w:r w:rsidRPr="00AE7E19">
        <w:t xml:space="preserve"> dissemination of market data</w:t>
      </w:r>
      <w:r w:rsidR="00204CF7">
        <w:t>)</w:t>
      </w:r>
      <w:r w:rsidRPr="00AE7E19">
        <w:t xml:space="preserve"> the total costs </w:t>
      </w:r>
      <w:r w:rsidR="00204CF7">
        <w:t>(</w:t>
      </w:r>
      <w:r w:rsidRPr="00AE7E19">
        <w:t>incurred in the „production“ and dissemination of market data</w:t>
      </w:r>
      <w:r w:rsidR="00F23A30" w:rsidRPr="00AE7E19">
        <w:t>, excluding taxes and cost of capital</w:t>
      </w:r>
      <w:r w:rsidRPr="00AE7E19">
        <w:t>.</w:t>
      </w:r>
      <w:r w:rsidR="00204CF7">
        <w:t>)</w:t>
      </w:r>
    </w:p>
    <w:p w14:paraId="1B7EED42" w14:textId="77777777" w:rsidR="00B8480D" w:rsidRPr="00AE7E19" w:rsidRDefault="00B8480D" w:rsidP="00B8480D">
      <w:pPr>
        <w:pStyle w:val="Listenabsatz"/>
        <w:numPr>
          <w:ilvl w:val="0"/>
          <w:numId w:val="47"/>
        </w:numPr>
        <w:spacing w:after="0"/>
      </w:pPr>
      <w:r w:rsidRPr="00AE7E19">
        <w:t>“Data unbundling" should be understood as the obligation of market data providers to offer market data separately from additional services such as ESG data or data analytics.</w:t>
      </w:r>
    </w:p>
    <w:p w14:paraId="6F60C953" w14:textId="77777777" w:rsidR="00B8480D" w:rsidRPr="00AE7E19" w:rsidRDefault="00B8480D" w:rsidP="00B8480D">
      <w:pPr>
        <w:spacing w:after="0"/>
      </w:pP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72C64B6" w14:textId="77777777" w:rsidR="00465C76" w:rsidRPr="00AE7E19" w:rsidRDefault="00465C76" w:rsidP="00465C76">
      <w:pPr>
        <w:spacing w:after="0"/>
      </w:pPr>
      <w:permStart w:id="1196837781" w:edGrp="everyone"/>
    </w:p>
    <w:p w14:paraId="7D208D5A" w14:textId="77777777" w:rsidR="00465C76" w:rsidRPr="00AE7E19" w:rsidRDefault="00465C76" w:rsidP="00465C76">
      <w:pPr>
        <w:spacing w:after="0"/>
      </w:pPr>
      <w:r w:rsidRPr="00AE7E19">
        <w:t xml:space="preserve">In a cost-based world, there are no such units within a client. We also do not support an "access fee". This is taken from the US and covers a direct and an indirect fee; whereby data users pay at least twice for access to market data (if the access fee is paid directly by the venue and via the vendor). </w:t>
      </w:r>
    </w:p>
    <w:p w14:paraId="64DBC3FB" w14:textId="77777777" w:rsidR="00465C76" w:rsidRPr="00AE7E19" w:rsidRDefault="00465C76" w:rsidP="00465C76">
      <w:pPr>
        <w:spacing w:after="0"/>
      </w:pP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7D3C3FE1" w14:textId="77777777" w:rsidR="005D713C" w:rsidRPr="00AE7E19" w:rsidRDefault="005D713C" w:rsidP="005D713C">
      <w:pPr>
        <w:spacing w:after="0"/>
      </w:pPr>
      <w:permStart w:id="1482058120" w:edGrp="everyone"/>
    </w:p>
    <w:p w14:paraId="0B6B8C55" w14:textId="77777777" w:rsidR="005D713C" w:rsidRPr="00AE7E19" w:rsidRDefault="005D713C" w:rsidP="005D713C">
      <w:pPr>
        <w:spacing w:after="0"/>
      </w:pPr>
      <w:r w:rsidRPr="00AE7E19">
        <w:t>No. The market data fee for data users should only include the fee for the basic connection, see our cost overview. More sophisticated access should be charged separately (co-location, etc.).</w:t>
      </w:r>
    </w:p>
    <w:p w14:paraId="37F35A71" w14:textId="77777777" w:rsidR="005D713C" w:rsidRPr="00AE7E19" w:rsidRDefault="005D713C" w:rsidP="005D713C">
      <w:pPr>
        <w:spacing w:after="0"/>
      </w:pP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lastRenderedPageBreak/>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0B58606E" w14:textId="77777777" w:rsidR="005D713C" w:rsidRPr="00AE7E19" w:rsidRDefault="005D713C" w:rsidP="005D713C">
      <w:pPr>
        <w:spacing w:after="0"/>
      </w:pPr>
      <w:permStart w:id="1375092011" w:edGrp="everyone"/>
    </w:p>
    <w:p w14:paraId="587805EB" w14:textId="77777777" w:rsidR="005D713C" w:rsidRPr="00AE7E19" w:rsidRDefault="005D713C" w:rsidP="005D713C">
      <w:pPr>
        <w:spacing w:after="0"/>
      </w:pPr>
      <w:r w:rsidRPr="00AE7E19">
        <w:t xml:space="preserve">Yes, as mentioned above, the data and cost basis must already be detailed in the Directive. </w:t>
      </w:r>
    </w:p>
    <w:p w14:paraId="0F87FDC9" w14:textId="77777777" w:rsidR="005D713C" w:rsidRPr="00AE7E19" w:rsidRDefault="005D713C" w:rsidP="005D713C">
      <w:pPr>
        <w:spacing w:after="0"/>
      </w:pPr>
      <w:r w:rsidRPr="00AE7E19">
        <w:t>With reference to the current rules, where data providers are only required to publish explanations, this leaves no room for real understanding or comparison between data providers.</w:t>
      </w:r>
    </w:p>
    <w:p w14:paraId="6F1FD3B2" w14:textId="77777777" w:rsidR="005D713C" w:rsidRPr="00AE7E19" w:rsidRDefault="005D713C" w:rsidP="005D713C">
      <w:pPr>
        <w:spacing w:after="0"/>
      </w:pPr>
      <w:r w:rsidRPr="00AE7E19">
        <w:t>In order to ensure comparability, we strongly advocate a fixed list of costs that can be included in the cost-based approach, rather than examples, as trading venues will use different terminology, making comparison impossible. Preferably, ESMA should develop a cost benchmark with a fixed list of costs to be used as a basis. As there may be different business models among data providers, data providers should clearly describe if and where they differ, how and why (and of course only with costs within the allowed cost inclusions). This will facilitate better understanding.</w:t>
      </w:r>
    </w:p>
    <w:p w14:paraId="33093F0A" w14:textId="77777777" w:rsidR="005D713C" w:rsidRPr="00AE7E19" w:rsidRDefault="005D713C" w:rsidP="005D713C">
      <w:pPr>
        <w:spacing w:after="0"/>
      </w:pPr>
    </w:p>
    <w:p w14:paraId="04C4215A" w14:textId="77777777" w:rsidR="005D713C" w:rsidRPr="00AE7E19" w:rsidRDefault="005D713C" w:rsidP="005D713C">
      <w:pPr>
        <w:spacing w:after="0"/>
      </w:pPr>
      <w:r w:rsidRPr="00AE7E19">
        <w:t>In addition, the NCA's audit needs to be communicated intensively to clients.</w:t>
      </w:r>
    </w:p>
    <w:p w14:paraId="73402E71" w14:textId="77777777" w:rsidR="005D713C" w:rsidRPr="00AE7E19" w:rsidRDefault="005D713C" w:rsidP="005D713C">
      <w:pPr>
        <w:spacing w:after="0"/>
      </w:pP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7558B111" w14:textId="77777777" w:rsidR="005D713C" w:rsidRPr="00AE7E19" w:rsidRDefault="005D713C" w:rsidP="005D713C">
      <w:pPr>
        <w:spacing w:after="0"/>
      </w:pPr>
      <w:permStart w:id="1647450555" w:edGrp="everyone"/>
    </w:p>
    <w:p w14:paraId="668DBEC7" w14:textId="77777777" w:rsidR="005D713C" w:rsidRPr="00AE7E19" w:rsidRDefault="005D713C" w:rsidP="005D713C">
      <w:pPr>
        <w:spacing w:after="0"/>
      </w:pPr>
      <w:r w:rsidRPr="00AE7E19">
        <w:t>This is a good step forward and the removal of the registration process is good. However, access to and use of delayed data must be free of charge, regardless of the type of client/user</w:t>
      </w:r>
      <w:r>
        <w:t xml:space="preserve"> and on a permanent basis (we see no legal ground to charge for “historic data” as it is common practice</w:t>
      </w:r>
      <w:r w:rsidRPr="00AE7E19">
        <w:t>. We understand that this is the case with the wording in Art. 23 and we suggest that this wording be clarified together with a specification that delayed data shall be free of charge for access, administration, distribution, display, non-display data.</w:t>
      </w:r>
    </w:p>
    <w:p w14:paraId="66DCBDD2" w14:textId="77777777" w:rsidR="005D713C" w:rsidRPr="00AE7E19" w:rsidRDefault="005D713C" w:rsidP="005D713C">
      <w:pPr>
        <w:spacing w:after="0"/>
      </w:pP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22123A26" w14:textId="77777777" w:rsidR="005D713C" w:rsidRPr="00AE7E19" w:rsidRDefault="005D713C" w:rsidP="005D713C">
      <w:pPr>
        <w:spacing w:after="0"/>
      </w:pPr>
      <w:permStart w:id="738273573" w:edGrp="everyone"/>
    </w:p>
    <w:p w14:paraId="304D76FB" w14:textId="77777777" w:rsidR="005D713C" w:rsidRPr="00AE7E19" w:rsidRDefault="005D713C" w:rsidP="005D713C">
      <w:pPr>
        <w:spacing w:after="0"/>
      </w:pPr>
      <w:r w:rsidRPr="00AE7E19">
        <w:t>Yes - this ensures easy access for users and therefore no cost for using delayed data.</w:t>
      </w:r>
    </w:p>
    <w:p w14:paraId="26DA5759" w14:textId="77777777" w:rsidR="005D713C" w:rsidRPr="00AE7E19" w:rsidRDefault="005D713C" w:rsidP="005D713C">
      <w:pPr>
        <w:spacing w:after="0"/>
      </w:pPr>
    </w:p>
    <w:permEnd w:id="738273573"/>
    <w:p w14:paraId="5141BA55" w14:textId="132A6047" w:rsidR="00FA4100" w:rsidRDefault="00FA4100" w:rsidP="00FA4100">
      <w:pPr>
        <w:spacing w:after="0"/>
      </w:pPr>
      <w:r>
        <w:lastRenderedPageBreak/>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lastRenderedPageBreak/>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lastRenderedPageBreak/>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lastRenderedPageBreak/>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lastRenderedPageBreak/>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F380" w14:textId="77777777" w:rsidR="00AD305B" w:rsidRDefault="00AD305B" w:rsidP="00F716D4">
      <w:r>
        <w:separator/>
      </w:r>
    </w:p>
    <w:p w14:paraId="7FFA5D0C" w14:textId="77777777" w:rsidR="00AD305B" w:rsidRDefault="00AD305B" w:rsidP="00F716D4"/>
  </w:endnote>
  <w:endnote w:type="continuationSeparator" w:id="0">
    <w:p w14:paraId="58E69189" w14:textId="77777777" w:rsidR="00AD305B" w:rsidRDefault="00AD305B" w:rsidP="00F716D4">
      <w:r>
        <w:continuationSeparator/>
      </w:r>
    </w:p>
    <w:p w14:paraId="206A1E6C" w14:textId="77777777" w:rsidR="00AD305B" w:rsidRDefault="00AD305B" w:rsidP="00F716D4"/>
  </w:endnote>
  <w:endnote w:type="continuationNotice" w:id="1">
    <w:p w14:paraId="6C507849" w14:textId="77777777" w:rsidR="00AD305B" w:rsidRDefault="00AD305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heSansLight-Plain">
    <w:panose1 w:val="02000303000000000000"/>
    <w:charset w:val="00"/>
    <w:family w:val="auto"/>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5003A" w14:textId="77777777" w:rsidR="00AD305B" w:rsidRDefault="00AD305B" w:rsidP="00F716D4">
      <w:r>
        <w:separator/>
      </w:r>
    </w:p>
    <w:p w14:paraId="1A16904F" w14:textId="77777777" w:rsidR="00AD305B" w:rsidRDefault="00AD305B" w:rsidP="00F716D4"/>
  </w:footnote>
  <w:footnote w:type="continuationSeparator" w:id="0">
    <w:p w14:paraId="2ABA6AF2" w14:textId="77777777" w:rsidR="00AD305B" w:rsidRDefault="00AD305B" w:rsidP="00F716D4">
      <w:r>
        <w:continuationSeparator/>
      </w:r>
    </w:p>
    <w:p w14:paraId="4CA588D3" w14:textId="77777777" w:rsidR="00AD305B" w:rsidRDefault="00AD305B" w:rsidP="00F716D4"/>
  </w:footnote>
  <w:footnote w:type="continuationNotice" w:id="1">
    <w:p w14:paraId="70A4E5DD" w14:textId="77777777" w:rsidR="00AD305B" w:rsidRDefault="00AD305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422FA"/>
    <w:multiLevelType w:val="hybridMultilevel"/>
    <w:tmpl w:val="EF74D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9F33AE"/>
    <w:multiLevelType w:val="multilevel"/>
    <w:tmpl w:val="B2B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5A3ABF"/>
    <w:multiLevelType w:val="hybridMultilevel"/>
    <w:tmpl w:val="E670F9CC"/>
    <w:lvl w:ilvl="0" w:tplc="0407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0D1B3A"/>
    <w:multiLevelType w:val="hybridMultilevel"/>
    <w:tmpl w:val="92ECE3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3F11369A"/>
    <w:multiLevelType w:val="hybridMultilevel"/>
    <w:tmpl w:val="E6FA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367E8E"/>
    <w:multiLevelType w:val="multilevel"/>
    <w:tmpl w:val="C05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C1B47F9"/>
    <w:multiLevelType w:val="hybridMultilevel"/>
    <w:tmpl w:val="ADF89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7" w15:restartNumberingAfterBreak="0">
    <w:nsid w:val="62C2062F"/>
    <w:multiLevelType w:val="hybridMultilevel"/>
    <w:tmpl w:val="3B50EC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22435"/>
    <w:multiLevelType w:val="hybridMultilevel"/>
    <w:tmpl w:val="CBA2AC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530720B"/>
    <w:multiLevelType w:val="hybridMultilevel"/>
    <w:tmpl w:val="AEFC7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6C41FCB"/>
    <w:multiLevelType w:val="hybridMultilevel"/>
    <w:tmpl w:val="C97AD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7"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8"/>
  </w:num>
  <w:num w:numId="2" w16cid:durableId="1769932826">
    <w:abstractNumId w:val="22"/>
  </w:num>
  <w:num w:numId="3" w16cid:durableId="550074866">
    <w:abstractNumId w:val="13"/>
  </w:num>
  <w:num w:numId="4" w16cid:durableId="1881627233">
    <w:abstractNumId w:val="28"/>
  </w:num>
  <w:num w:numId="5" w16cid:durableId="208225584">
    <w:abstractNumId w:val="0"/>
  </w:num>
  <w:num w:numId="6" w16cid:durableId="1787233265">
    <w:abstractNumId w:val="4"/>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6"/>
  </w:num>
  <w:num w:numId="9" w16cid:durableId="1008846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1"/>
  </w:num>
  <w:num w:numId="12" w16cid:durableId="1500659627">
    <w:abstractNumId w:val="35"/>
  </w:num>
  <w:num w:numId="13" w16cid:durableId="1879658227">
    <w:abstractNumId w:val="27"/>
  </w:num>
  <w:num w:numId="14" w16cid:durableId="1495758855">
    <w:abstractNumId w:val="11"/>
  </w:num>
  <w:num w:numId="15" w16cid:durableId="1186556611">
    <w:abstractNumId w:val="1"/>
  </w:num>
  <w:num w:numId="16" w16cid:durableId="679087124">
    <w:abstractNumId w:val="16"/>
  </w:num>
  <w:num w:numId="17" w16cid:durableId="1695498691">
    <w:abstractNumId w:val="17"/>
  </w:num>
  <w:num w:numId="18" w16cid:durableId="1042363640">
    <w:abstractNumId w:val="19"/>
  </w:num>
  <w:num w:numId="19" w16cid:durableId="820345968">
    <w:abstractNumId w:val="30"/>
  </w:num>
  <w:num w:numId="20" w16cid:durableId="1805388212">
    <w:abstractNumId w:val="42"/>
  </w:num>
  <w:num w:numId="21" w16cid:durableId="538709007">
    <w:abstractNumId w:val="29"/>
  </w:num>
  <w:num w:numId="22" w16cid:durableId="104540172">
    <w:abstractNumId w:val="10"/>
  </w:num>
  <w:num w:numId="23" w16cid:durableId="1824349076">
    <w:abstractNumId w:val="34"/>
  </w:num>
  <w:num w:numId="24" w16cid:durableId="672032853">
    <w:abstractNumId w:val="33"/>
  </w:num>
  <w:num w:numId="25" w16cid:durableId="48917541">
    <w:abstractNumId w:val="23"/>
  </w:num>
  <w:num w:numId="26" w16cid:durableId="978925443">
    <w:abstractNumId w:val="38"/>
  </w:num>
  <w:num w:numId="27" w16cid:durableId="1036613928">
    <w:abstractNumId w:val="46"/>
  </w:num>
  <w:num w:numId="28" w16cid:durableId="872039349">
    <w:abstractNumId w:val="8"/>
  </w:num>
  <w:num w:numId="29" w16cid:durableId="924530660">
    <w:abstractNumId w:val="3"/>
  </w:num>
  <w:num w:numId="30" w16cid:durableId="419180233">
    <w:abstractNumId w:val="25"/>
  </w:num>
  <w:num w:numId="31" w16cid:durableId="276761337">
    <w:abstractNumId w:val="24"/>
  </w:num>
  <w:num w:numId="32" w16cid:durableId="1166238383">
    <w:abstractNumId w:val="40"/>
  </w:num>
  <w:num w:numId="33" w16cid:durableId="2076850202">
    <w:abstractNumId w:val="39"/>
  </w:num>
  <w:num w:numId="34" w16cid:durableId="469176496">
    <w:abstractNumId w:val="14"/>
  </w:num>
  <w:num w:numId="35" w16cid:durableId="674843309">
    <w:abstractNumId w:val="21"/>
  </w:num>
  <w:num w:numId="36" w16cid:durableId="1954971501">
    <w:abstractNumId w:val="47"/>
  </w:num>
  <w:num w:numId="37" w16cid:durableId="1146169582">
    <w:abstractNumId w:val="43"/>
  </w:num>
  <w:num w:numId="38" w16cid:durableId="312219538">
    <w:abstractNumId w:val="44"/>
  </w:num>
  <w:num w:numId="39" w16cid:durableId="2047871203">
    <w:abstractNumId w:val="26"/>
  </w:num>
  <w:num w:numId="40" w16cid:durableId="1847743689">
    <w:abstractNumId w:val="5"/>
  </w:num>
  <w:num w:numId="41" w16cid:durableId="807162818">
    <w:abstractNumId w:val="2"/>
  </w:num>
  <w:num w:numId="42" w16cid:durableId="1894077946">
    <w:abstractNumId w:val="12"/>
  </w:num>
  <w:num w:numId="43" w16cid:durableId="948581301">
    <w:abstractNumId w:val="32"/>
  </w:num>
  <w:num w:numId="44" w16cid:durableId="674067806">
    <w:abstractNumId w:val="41"/>
  </w:num>
  <w:num w:numId="45" w16cid:durableId="1785538407">
    <w:abstractNumId w:val="37"/>
  </w:num>
  <w:num w:numId="46" w16cid:durableId="1225994517">
    <w:abstractNumId w:val="7"/>
  </w:num>
  <w:num w:numId="47" w16cid:durableId="319388888">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414"/>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152"/>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4CF7"/>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35B"/>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977"/>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5C76"/>
    <w:rsid w:val="00466926"/>
    <w:rsid w:val="00466FDA"/>
    <w:rsid w:val="004671D0"/>
    <w:rsid w:val="004674D1"/>
    <w:rsid w:val="00470773"/>
    <w:rsid w:val="00471FF9"/>
    <w:rsid w:val="00472A64"/>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529"/>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840"/>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67015"/>
    <w:rsid w:val="0057163A"/>
    <w:rsid w:val="0057174D"/>
    <w:rsid w:val="00572B29"/>
    <w:rsid w:val="00573569"/>
    <w:rsid w:val="00573871"/>
    <w:rsid w:val="0057389E"/>
    <w:rsid w:val="0057454B"/>
    <w:rsid w:val="005765C0"/>
    <w:rsid w:val="005778DE"/>
    <w:rsid w:val="00580B3F"/>
    <w:rsid w:val="005825F2"/>
    <w:rsid w:val="00583885"/>
    <w:rsid w:val="005860AF"/>
    <w:rsid w:val="00586E99"/>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D713C"/>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56C52"/>
    <w:rsid w:val="00660BF0"/>
    <w:rsid w:val="0066189C"/>
    <w:rsid w:val="006630CF"/>
    <w:rsid w:val="00663EFF"/>
    <w:rsid w:val="00664987"/>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19"/>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E6619"/>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BEB"/>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48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C6D"/>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4E92"/>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5B75"/>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5D0D"/>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05EC"/>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3F5E"/>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25B6"/>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A30"/>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A732F0"/>
    <w:pPr>
      <w:numPr>
        <w:numId w:val="34"/>
      </w:numPr>
      <w:contextualSpacing/>
    </w:pPr>
    <w:rPr>
      <w:b/>
      <w:szCs w:val="22"/>
    </w:rPr>
  </w:style>
  <w:style w:type="character" w:customStyle="1" w:styleId="QuestionstyleChar">
    <w:name w:val="Question style Char"/>
    <w:basedOn w:val="Absatz-Standardschriftar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xchange-data.com/closing-prices-and-other-stock-exchange-data-copyright-and-competition-law-issu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sharepoint/v3"/>
    <ds:schemaRef ds:uri="http://schemas.openxmlformats.org/package/2006/metadata/core-properties"/>
    <ds:schemaRef ds:uri="http://purl.org/dc/terms/"/>
    <ds:schemaRef ds:uri="d0fb0f98-34f9-4d57-9559-eb8efd17aa5e"/>
    <ds:schemaRef ds:uri="http://schemas.microsoft.com/office/infopath/2007/PartnerControls"/>
    <ds:schemaRef ds:uri="http://purl.org/dc/dcmitype/"/>
    <ds:schemaRef ds:uri="f5465789-808f-433c-88e1-b70fe6f2db64"/>
    <ds:schemaRef ds:uri="http://schemas.microsoft.com/office/2006/documentManagement/types"/>
    <ds:schemaRef ds:uri="http://purl.org/dc/elements/1.1/"/>
    <ds:schemaRef ds:uri="http://schemas.microsoft.com/office/2006/metadata/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14507</Words>
  <Characters>78729</Characters>
  <Application>Microsoft Office Word</Application>
  <DocSecurity>8</DocSecurity>
  <Lines>656</Lines>
  <Paragraphs>186</Paragraphs>
  <ScaleCrop>false</ScaleCrop>
  <HeadingPairs>
    <vt:vector size="2" baseType="variant">
      <vt:variant>
        <vt:lpstr>Titel</vt:lpstr>
      </vt:variant>
      <vt:variant>
        <vt:i4>1</vt:i4>
      </vt:variant>
    </vt:vector>
  </HeadingPairs>
  <TitlesOfParts>
    <vt:vector size="1" baseType="lpstr">
      <vt:lpstr>Reply form for the MiFID II/MiFIR Consultation Paper</vt:lpstr>
    </vt:vector>
  </TitlesOfParts>
  <Company>ESMA</Company>
  <LinksUpToDate>false</LinksUpToDate>
  <CharactersWithSpaces>93050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tf</cp:lastModifiedBy>
  <cp:revision>18</cp:revision>
  <cp:lastPrinted>2015-02-18T11:01:00Z</cp:lastPrinted>
  <dcterms:created xsi:type="dcterms:W3CDTF">2024-08-28T07:48:00Z</dcterms:created>
  <dcterms:modified xsi:type="dcterms:W3CDTF">2024-08-28T13:19:00Z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