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reeform: Shape 128"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 coordsize="7569200,9779055" o:spid="_x0000_s1026" o:allowoverlap="f" stroked="f" strokeweight="2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w14:anchorId="19C40AA2">
                <v:fill type="frame" o:title="" recolor="t" rotate="t" r:id="rId14"/>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8C3D580" w:rsidR="00C2682A" w:rsidRPr="00104E00" w:rsidRDefault="00732BBA" w:rsidP="00104E00">
                <w:pPr>
                  <w:jc w:val="left"/>
                  <w:rPr>
                    <w:rStyle w:val="PlaceholderText"/>
                  </w:rPr>
                </w:pPr>
                <w:r>
                  <w:rPr>
                    <w:rStyle w:val="PlaceholderText"/>
                  </w:rPr>
                  <w:t>Dimensional Ireland Limited</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3B2777A"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A3B40">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2328747" w:rsidR="00C2682A" w:rsidRPr="00104E00" w:rsidRDefault="000A3B40" w:rsidP="00104E00">
                <w:pPr>
                  <w:jc w:val="left"/>
                </w:pPr>
                <w:r>
                  <w:t>Ireland</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74DB84D2" w14:textId="77777777" w:rsidR="00DA16F2" w:rsidRDefault="00DA16F2" w:rsidP="000873BB">
      <w:permStart w:id="869493798" w:edGrp="everyone"/>
      <w:r>
        <w:t>Yes, we agree not to change the concept of “as close to real-time as technically possible”.</w:t>
      </w:r>
    </w:p>
    <w:p w14:paraId="1AC4DA27" w14:textId="1FED269A" w:rsidR="008A29A1" w:rsidRDefault="000873BB" w:rsidP="004D1F41">
      <w:r>
        <w:lastRenderedPageBreak/>
        <w:t>We are very supportive of the establishment of a European consolidated tape (“</w:t>
      </w:r>
      <w:r w:rsidRPr="00FE0C5B">
        <w:rPr>
          <w:u w:val="single"/>
        </w:rPr>
        <w:t>CT</w:t>
      </w:r>
      <w:r>
        <w:t>”) and u</w:t>
      </w:r>
      <w:r w:rsidRPr="00FE0C5B">
        <w:t>nderstand</w:t>
      </w:r>
      <w:r>
        <w:t xml:space="preserve"> that one of the main priorities of the </w:t>
      </w:r>
      <w:proofErr w:type="spellStart"/>
      <w:r>
        <w:t>MiFIR</w:t>
      </w:r>
      <w:proofErr w:type="spellEnd"/>
      <w:r>
        <w:t xml:space="preserve"> review is to enhance post-trade transparency in non-equity markets. Dimensional supports this objective, as </w:t>
      </w:r>
      <w:r w:rsidRPr="007D3079">
        <w:t xml:space="preserve">we strongly believe that transparency </w:t>
      </w:r>
      <w:r>
        <w:t xml:space="preserve">of post-trade transaction data directly contributes to </w:t>
      </w:r>
      <w:r w:rsidRPr="007D3079">
        <w:t>a fair</w:t>
      </w:r>
      <w:r>
        <w:t>er</w:t>
      </w:r>
      <w:r w:rsidRPr="007D3079">
        <w:t xml:space="preserve"> and </w:t>
      </w:r>
      <w:r>
        <w:t xml:space="preserve">more </w:t>
      </w:r>
      <w:r w:rsidRPr="007D3079">
        <w:t>efficient market</w:t>
      </w:r>
      <w:r>
        <w:t>,</w:t>
      </w:r>
      <w:r w:rsidRPr="007D3079">
        <w:t xml:space="preserve"> and that market quality is improved when</w:t>
      </w:r>
      <w:r>
        <w:t xml:space="preserve"> transaction-level details are made available </w:t>
      </w:r>
      <w:r w:rsidRPr="007D3079">
        <w:t>to all market participants</w:t>
      </w:r>
      <w:r>
        <w:t xml:space="preserve"> in real time</w:t>
      </w:r>
      <w:r w:rsidR="0011331A">
        <w:t>.</w:t>
      </w:r>
    </w:p>
    <w:p w14:paraId="124C5334" w14:textId="6A3C016E" w:rsidR="006F339E" w:rsidRDefault="006F339E" w:rsidP="006F339E">
      <w:r>
        <w:t xml:space="preserve">However, while </w:t>
      </w:r>
      <w:proofErr w:type="spellStart"/>
      <w:r>
        <w:t>MiFIR</w:t>
      </w:r>
      <w:proofErr w:type="spellEnd"/>
      <w:r>
        <w:t xml:space="preserve"> requires that the price, volume, and time of executed bond transactions be published in as close to real-time as is technically possible, </w:t>
      </w:r>
      <w:proofErr w:type="spellStart"/>
      <w:r>
        <w:t>MiFIR</w:t>
      </w:r>
      <w:proofErr w:type="spellEnd"/>
      <w:r>
        <w:t xml:space="preserve"> also allows for the deferral of the publication of the details of certain bond transactions. ESMA’s proposed deferral regime, as outlined in the Consultation Package, would permit the publication of price and volume information of certain trades to be deferred for 15 minutes and up to four weeks.  In our view, the proposed deferral regime will have the unintended result of reducing the efficacy and potential value of the CT. We believe that complete and immediate post-trade data dissemination for all trades should be the ultimate objective of any bond transparency regime, and we encourage ESMA to keep this goal in mind as it moves forward with the establishment of a bond CT.</w:t>
      </w:r>
    </w:p>
    <w:p w14:paraId="423B9DA3" w14:textId="77777777" w:rsidR="004152B2" w:rsidRPr="00DA16F2" w:rsidRDefault="004152B2" w:rsidP="004152B2">
      <w:pPr>
        <w:pStyle w:val="NoSpacing"/>
        <w:keepNext/>
        <w:rPr>
          <w:rFonts w:ascii="Arial" w:hAnsi="Arial" w:cs="Arial"/>
          <w:sz w:val="22"/>
          <w:szCs w:val="22"/>
        </w:rPr>
      </w:pPr>
      <w:r w:rsidRPr="00DA16F2">
        <w:rPr>
          <w:rFonts w:ascii="Arial" w:hAnsi="Arial" w:cs="Arial"/>
          <w:sz w:val="22"/>
          <w:szCs w:val="22"/>
        </w:rPr>
        <w:t>At Dimensional, we strongly believe that transparency of post-trade transaction data directly benefits investors. In the US, the introduction of the Trade Reporting and Compliance Engine (“</w:t>
      </w:r>
      <w:r w:rsidRPr="00DA16F2">
        <w:rPr>
          <w:rFonts w:ascii="Arial" w:hAnsi="Arial" w:cs="Arial"/>
          <w:sz w:val="22"/>
          <w:szCs w:val="22"/>
          <w:u w:val="single"/>
          <w:lang w:val="en-US"/>
        </w:rPr>
        <w:t>TRACE</w:t>
      </w:r>
      <w:r w:rsidRPr="00DA16F2">
        <w:rPr>
          <w:rFonts w:ascii="Arial" w:hAnsi="Arial" w:cs="Arial"/>
          <w:sz w:val="22"/>
          <w:szCs w:val="22"/>
          <w:lang w:val="en-US"/>
        </w:rPr>
        <w:t>”)</w:t>
      </w:r>
      <w:r w:rsidRPr="00DA16F2">
        <w:rPr>
          <w:rFonts w:ascii="Arial" w:hAnsi="Arial" w:cs="Arial"/>
          <w:sz w:val="22"/>
          <w:szCs w:val="22"/>
        </w:rPr>
        <w:t xml:space="preserve"> has had a significant positive impact on the US bond market and clearly demonstrates the benefits of transparency. In 2002, TRACE began providing near real-time dissemination of prices in the fixed income market.</w:t>
      </w:r>
      <w:r w:rsidRPr="00DA16F2">
        <w:rPr>
          <w:rStyle w:val="FootnoteReference"/>
          <w:rFonts w:ascii="Arial" w:hAnsi="Arial" w:cs="Arial"/>
          <w:sz w:val="22"/>
          <w:szCs w:val="22"/>
        </w:rPr>
        <w:footnoteReference w:id="2"/>
      </w:r>
      <w:r w:rsidRPr="00DA16F2">
        <w:rPr>
          <w:rFonts w:ascii="Arial" w:hAnsi="Arial" w:cs="Arial"/>
          <w:sz w:val="22"/>
          <w:szCs w:val="22"/>
        </w:rPr>
        <w:t xml:space="preserve"> Since then, the US bond market has </w:t>
      </w:r>
      <w:proofErr w:type="gramStart"/>
      <w:r w:rsidRPr="00DA16F2">
        <w:rPr>
          <w:rFonts w:ascii="Arial" w:hAnsi="Arial" w:cs="Arial"/>
          <w:sz w:val="22"/>
          <w:szCs w:val="22"/>
        </w:rPr>
        <w:t>grown in size</w:t>
      </w:r>
      <w:proofErr w:type="gramEnd"/>
      <w:r w:rsidRPr="00DA16F2">
        <w:rPr>
          <w:rFonts w:ascii="Arial" w:hAnsi="Arial" w:cs="Arial"/>
          <w:sz w:val="22"/>
          <w:szCs w:val="22"/>
        </w:rPr>
        <w:t xml:space="preserve"> to all-time highs,</w:t>
      </w:r>
      <w:r w:rsidRPr="00DA16F2">
        <w:rPr>
          <w:rStyle w:val="FootnoteReference"/>
          <w:rFonts w:ascii="Arial" w:hAnsi="Arial" w:cs="Arial"/>
          <w:sz w:val="22"/>
          <w:szCs w:val="22"/>
        </w:rPr>
        <w:footnoteReference w:id="3"/>
      </w:r>
      <w:r w:rsidRPr="00DA16F2">
        <w:rPr>
          <w:rFonts w:ascii="Arial" w:hAnsi="Arial" w:cs="Arial"/>
          <w:sz w:val="22"/>
          <w:szCs w:val="22"/>
        </w:rPr>
        <w:t xml:space="preserve"> and secondary market trading volume has continued to rise to all-time highs with each passing year.</w:t>
      </w:r>
      <w:r w:rsidRPr="00DA16F2">
        <w:rPr>
          <w:rStyle w:val="FootnoteReference"/>
          <w:rFonts w:ascii="Arial" w:hAnsi="Arial" w:cs="Arial"/>
          <w:sz w:val="22"/>
          <w:szCs w:val="22"/>
        </w:rPr>
        <w:footnoteReference w:id="4"/>
      </w:r>
      <w:r w:rsidRPr="00DA16F2">
        <w:rPr>
          <w:rFonts w:ascii="Arial" w:hAnsi="Arial" w:cs="Arial"/>
          <w:sz w:val="22"/>
          <w:szCs w:val="22"/>
        </w:rPr>
        <w:t xml:space="preserve"> Notably, bid-ask spreads have shrunk to all-time lows,</w:t>
      </w:r>
      <w:r w:rsidRPr="00DA16F2">
        <w:rPr>
          <w:rStyle w:val="FootnoteReference"/>
          <w:rFonts w:ascii="Arial" w:hAnsi="Arial" w:cs="Arial"/>
          <w:sz w:val="22"/>
          <w:szCs w:val="22"/>
        </w:rPr>
        <w:footnoteReference w:id="5"/>
      </w:r>
      <w:r w:rsidRPr="00DA16F2">
        <w:rPr>
          <w:rFonts w:ascii="Arial" w:hAnsi="Arial" w:cs="Arial"/>
          <w:sz w:val="22"/>
          <w:szCs w:val="22"/>
        </w:rPr>
        <w:t xml:space="preserve"> indicating greater liquidity and competition in the market. The US corporate bond market has been very liquid in the TRACE </w:t>
      </w:r>
      <w:r w:rsidRPr="00DA16F2">
        <w:rPr>
          <w:rFonts w:ascii="Arial" w:hAnsi="Arial" w:cs="Arial"/>
          <w:sz w:val="22"/>
          <w:szCs w:val="22"/>
        </w:rPr>
        <w:lastRenderedPageBreak/>
        <w:t xml:space="preserve">era, and we believe it is the transparency brought about by TRACE that has fostered these conditions. </w:t>
      </w:r>
    </w:p>
    <w:p w14:paraId="041B55D4" w14:textId="77777777" w:rsidR="004152B2" w:rsidRPr="00DA16F2" w:rsidRDefault="004152B2" w:rsidP="004152B2">
      <w:pPr>
        <w:pStyle w:val="NoSpacing"/>
        <w:rPr>
          <w:rFonts w:ascii="Arial" w:hAnsi="Arial" w:cs="Arial"/>
          <w:sz w:val="22"/>
          <w:szCs w:val="22"/>
        </w:rPr>
      </w:pPr>
    </w:p>
    <w:p w14:paraId="27B850CD" w14:textId="77777777" w:rsidR="004152B2" w:rsidRPr="00DA16F2" w:rsidRDefault="004152B2" w:rsidP="004152B2">
      <w:pPr>
        <w:pStyle w:val="NoSpacing"/>
        <w:rPr>
          <w:rFonts w:ascii="Arial" w:hAnsi="Arial" w:cs="Arial"/>
          <w:sz w:val="22"/>
          <w:szCs w:val="22"/>
        </w:rPr>
      </w:pPr>
      <w:r w:rsidRPr="00DA16F2">
        <w:rPr>
          <w:rFonts w:ascii="Arial" w:hAnsi="Arial" w:cs="Arial"/>
          <w:sz w:val="22"/>
          <w:szCs w:val="22"/>
        </w:rPr>
        <w:t xml:space="preserve">In our opinion, the increased transparency of post-trade transaction data provided by TRACE has contributed to a fairer and more efficient market. We strongly believe market quality is improved when trade-level information is equally available to all market participants. TRACE provides market participants with equal access to reliable bond information, which reduces information asymmetries in the bond market and enhances the integrity of the market. The availability of transaction-level data on TRACE permits investors and other market participants to compare their execution prices to those of other market participants and helps participants better understand available market liquidity across different bonds. Without such transparency in the bond market, we believe that transacting across the bond market would be costlier for most market participants, including investment funds and their investors. </w:t>
      </w:r>
    </w:p>
    <w:p w14:paraId="65009772" w14:textId="77777777" w:rsidR="004152B2" w:rsidRPr="00DA16F2" w:rsidRDefault="004152B2" w:rsidP="004152B2">
      <w:pPr>
        <w:pStyle w:val="NoSpacing"/>
        <w:rPr>
          <w:rFonts w:ascii="Arial" w:hAnsi="Arial" w:cs="Arial"/>
          <w:sz w:val="22"/>
          <w:szCs w:val="22"/>
        </w:rPr>
      </w:pPr>
    </w:p>
    <w:p w14:paraId="78EA7B1A" w14:textId="77777777" w:rsidR="009226BB" w:rsidRDefault="004152B2" w:rsidP="00C54034">
      <w:pPr>
        <w:spacing w:after="0"/>
        <w:rPr>
          <w:szCs w:val="22"/>
        </w:rPr>
      </w:pPr>
      <w:r w:rsidRPr="00DA16F2">
        <w:rPr>
          <w:szCs w:val="22"/>
        </w:rPr>
        <w:t>We believe that TRACE has demonstrated how increased market transparency can help fuel capital growth and increase investor confidence in the bond market. While we are optimistic that the establishment of a CT can help generate similar benefits in the EU bond market, the benefits of the CT will be hampered by the proposed deferral regime, as meaningful data about certain transactions will not be reported in real time on the CT.</w:t>
      </w:r>
    </w:p>
    <w:permEnd w:id="869493798"/>
    <w:p w14:paraId="1806692F" w14:textId="575527F3"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77777777" w:rsidR="00CC59BB" w:rsidRDefault="00CC59BB" w:rsidP="00C54034">
      <w:pPr>
        <w:spacing w:after="0"/>
      </w:pPr>
      <w:permStart w:id="1628839836" w:edGrp="everyone"/>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4AE9925" w14:textId="5DB7C773" w:rsidR="00CC59BB" w:rsidRDefault="0011331A" w:rsidP="00FF279C">
      <w:permStart w:id="1951602752" w:edGrp="everyone"/>
      <w:r>
        <w:t>I</w:t>
      </w:r>
      <w:r w:rsidR="00FF279C">
        <w:t xml:space="preserve">n our view, too much meaningful information will be withheld under the proposed </w:t>
      </w:r>
      <w:r w:rsidR="00947264">
        <w:t xml:space="preserve">deferral </w:t>
      </w:r>
      <w:r w:rsidR="00FF279C">
        <w:t xml:space="preserve">regime. </w:t>
      </w:r>
      <w:r w:rsidR="00FF279C">
        <w:rPr>
          <w:lang w:val="en-US"/>
        </w:rPr>
        <w:t>We</w:t>
      </w:r>
      <w:r w:rsidR="00FF279C" w:rsidRPr="0084619C">
        <w:rPr>
          <w:lang w:val="en-US"/>
        </w:rPr>
        <w:t xml:space="preserve"> strongly believe that </w:t>
      </w:r>
      <w:r w:rsidR="00FF279C">
        <w:rPr>
          <w:lang w:val="en-US"/>
        </w:rPr>
        <w:t xml:space="preserve">for the market to fully </w:t>
      </w:r>
      <w:proofErr w:type="spellStart"/>
      <w:r w:rsidR="00FF279C">
        <w:rPr>
          <w:lang w:val="en-US"/>
        </w:rPr>
        <w:t>realise</w:t>
      </w:r>
      <w:proofErr w:type="spellEnd"/>
      <w:r w:rsidR="00FF279C">
        <w:rPr>
          <w:lang w:val="en-US"/>
        </w:rPr>
        <w:t xml:space="preserve"> the benefits of a CT, the CT must provide </w:t>
      </w:r>
      <w:r w:rsidR="00FF279C" w:rsidRPr="00943772">
        <w:rPr>
          <w:lang w:val="en-US"/>
        </w:rPr>
        <w:t>full</w:t>
      </w:r>
      <w:r w:rsidR="00FF279C">
        <w:rPr>
          <w:lang w:val="en-US"/>
        </w:rPr>
        <w:t xml:space="preserve"> and immediate post-trade transparency. If the deferral regime allows significant amounts of data about trades to be delayed, the benefits of establishing a CT will be diminished.</w:t>
      </w:r>
      <w:r w:rsidR="00FF279C" w:rsidRPr="000725FA">
        <w:rPr>
          <w:lang w:val="en-US"/>
        </w:rPr>
        <w:t xml:space="preserve"> </w:t>
      </w:r>
      <w:r w:rsidR="00FF279C">
        <w:rPr>
          <w:lang w:val="en-US"/>
        </w:rPr>
        <w:t xml:space="preserve">We ask ESMA to </w:t>
      </w:r>
      <w:r w:rsidR="00FF279C">
        <w:t>conduct regular and frequent reviews of the deferrals framework with the goal of taking steps towards complete and immediate post-trade data dissemination in the future.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lastRenderedPageBreak/>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lastRenderedPageBreak/>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0FF5B233" w14:textId="77777777" w:rsidR="00CC59BB" w:rsidRDefault="00CC59BB" w:rsidP="00C54034">
      <w:pPr>
        <w:spacing w:after="0"/>
      </w:pPr>
      <w:permStart w:id="1672500431" w:edGrp="everyone"/>
      <w:r>
        <w:t>TYPE YOUR TEXT HERE</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4DCAACF5" w14:textId="77777777" w:rsidR="00FA4100" w:rsidRDefault="00FA4100" w:rsidP="00FA4100">
      <w:pPr>
        <w:spacing w:after="0"/>
      </w:pPr>
      <w:permStart w:id="1840853704" w:edGrp="everyone"/>
      <w:r>
        <w:t>TYPE YOUR TEXT HERE</w:t>
      </w:r>
    </w:p>
    <w:permEnd w:id="1840853704"/>
    <w:p w14:paraId="735A0EF0" w14:textId="482151B5" w:rsidR="00FA4100" w:rsidRDefault="00FA4100" w:rsidP="00FA4100">
      <w:pPr>
        <w:spacing w:after="0"/>
      </w:pPr>
      <w:r>
        <w:lastRenderedPageBreak/>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F76C4AE" w14:textId="77777777" w:rsidR="00FA4100" w:rsidRDefault="00FA4100" w:rsidP="00FA4100">
      <w:pPr>
        <w:spacing w:after="0"/>
      </w:pPr>
      <w:permStart w:id="636686123" w:edGrp="everyone"/>
      <w:r>
        <w:t>TYPE YOUR TEXT HERE</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lastRenderedPageBreak/>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 xml:space="preserve">According to your experience, has the per-user model been inserted in the market data agreements as an option for billing? If yes, do you have experience in the </w:t>
      </w:r>
      <w:r w:rsidRPr="00AF502B">
        <w:lastRenderedPageBreak/>
        <w:t>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79E543D" w14:textId="77777777" w:rsidR="00FA4100" w:rsidRDefault="00FA4100" w:rsidP="00FA4100">
      <w:pPr>
        <w:spacing w:after="0"/>
      </w:pPr>
      <w:permStart w:id="1201633413" w:edGrp="everyone"/>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77777777" w:rsidR="00FA4100" w:rsidRDefault="00FA4100" w:rsidP="00FA4100">
      <w:pPr>
        <w:spacing w:after="0"/>
      </w:pPr>
      <w:permStart w:id="1252924652" w:edGrp="everyone"/>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68B33D" w14:textId="77777777" w:rsidR="00FA4100" w:rsidRDefault="00FA4100" w:rsidP="00FA4100">
      <w:pPr>
        <w:spacing w:after="0"/>
      </w:pPr>
      <w:permStart w:id="2034649205" w:edGrp="everyone"/>
      <w:r>
        <w:t>TYPE YOUR TEXT HERE</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lastRenderedPageBreak/>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lastRenderedPageBreak/>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lastRenderedPageBreak/>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lastRenderedPageBreak/>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lastRenderedPageBreak/>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lastRenderedPageBreak/>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1068" w14:textId="77777777" w:rsidR="00537AAA" w:rsidRDefault="00537AAA" w:rsidP="00F716D4">
      <w:r>
        <w:separator/>
      </w:r>
    </w:p>
    <w:p w14:paraId="0D884A1D" w14:textId="77777777" w:rsidR="00537AAA" w:rsidRDefault="00537AAA" w:rsidP="00F716D4"/>
  </w:endnote>
  <w:endnote w:type="continuationSeparator" w:id="0">
    <w:p w14:paraId="6DE9CC67" w14:textId="77777777" w:rsidR="00537AAA" w:rsidRDefault="00537AAA" w:rsidP="00F716D4">
      <w:r>
        <w:continuationSeparator/>
      </w:r>
    </w:p>
    <w:p w14:paraId="3D538E18" w14:textId="77777777" w:rsidR="00537AAA" w:rsidRDefault="00537AAA" w:rsidP="00F716D4"/>
  </w:endnote>
  <w:endnote w:type="continuationNotice" w:id="1">
    <w:p w14:paraId="2836361B" w14:textId="77777777" w:rsidR="00537AAA" w:rsidRDefault="00537AA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FD99" w14:textId="77777777" w:rsidR="00537AAA" w:rsidRDefault="00537AAA" w:rsidP="00F716D4">
      <w:r>
        <w:separator/>
      </w:r>
    </w:p>
    <w:p w14:paraId="0E068F28" w14:textId="77777777" w:rsidR="00537AAA" w:rsidRDefault="00537AAA" w:rsidP="00F716D4"/>
  </w:footnote>
  <w:footnote w:type="continuationSeparator" w:id="0">
    <w:p w14:paraId="43C92637" w14:textId="77777777" w:rsidR="00537AAA" w:rsidRDefault="00537AAA" w:rsidP="00F716D4">
      <w:r>
        <w:continuationSeparator/>
      </w:r>
    </w:p>
    <w:p w14:paraId="16CBF3AF" w14:textId="77777777" w:rsidR="00537AAA" w:rsidRDefault="00537AAA" w:rsidP="00F716D4"/>
  </w:footnote>
  <w:footnote w:type="continuationNotice" w:id="1">
    <w:p w14:paraId="07288E88" w14:textId="77777777" w:rsidR="00537AAA" w:rsidRDefault="00537AAA" w:rsidP="00F716D4"/>
  </w:footnote>
  <w:footnote w:id="2">
    <w:p w14:paraId="77B579C2" w14:textId="77777777" w:rsidR="004152B2" w:rsidRPr="00947264" w:rsidRDefault="004152B2" w:rsidP="004152B2">
      <w:pPr>
        <w:pStyle w:val="FootnoteText"/>
        <w:ind w:left="720" w:hanging="720"/>
        <w:rPr>
          <w:szCs w:val="16"/>
        </w:rPr>
      </w:pPr>
      <w:r w:rsidRPr="0028694D">
        <w:rPr>
          <w:rStyle w:val="FootnoteReference"/>
        </w:rPr>
        <w:footnoteRef/>
      </w:r>
      <w:r w:rsidRPr="0028694D">
        <w:t xml:space="preserve"> </w:t>
      </w:r>
      <w:r w:rsidRPr="0028694D">
        <w:tab/>
      </w:r>
      <w:r w:rsidRPr="00947264">
        <w:rPr>
          <w:szCs w:val="16"/>
        </w:rPr>
        <w:t xml:space="preserve">TRACE currently requires the reporting of transactions in certain fixed income securities within 15 minutes of execution. In January 2024, FINRA filed a proposed rule change to reduce the reporting time frame from 15 minutes to one minute, which we believe will further benefit investors. </w:t>
      </w:r>
      <w:r w:rsidRPr="00947264">
        <w:rPr>
          <w:i/>
          <w:iCs/>
          <w:szCs w:val="16"/>
        </w:rPr>
        <w:t>See</w:t>
      </w:r>
      <w:r w:rsidRPr="00947264">
        <w:rPr>
          <w:szCs w:val="16"/>
        </w:rPr>
        <w:t xml:space="preserve"> US Securities and Exchange Commission, </w:t>
      </w:r>
      <w:r w:rsidRPr="00947264">
        <w:rPr>
          <w:i/>
          <w:iCs/>
          <w:szCs w:val="16"/>
        </w:rPr>
        <w:t>Self-Regulatory Organizations; Financial Industry Regulatory Authority, Inc.; Notice of Filing of a Proposed Rule Change to Amend FINRA Rule 6730 (Transaction Reporting) to Reduce the 15-Minute TRACE Reporting Timeframe to One Minute</w:t>
      </w:r>
      <w:r w:rsidRPr="00947264">
        <w:rPr>
          <w:szCs w:val="16"/>
        </w:rPr>
        <w:t xml:space="preserve">, Release No. 34-99404 (Jan. 19, 2024), available at </w:t>
      </w:r>
      <w:hyperlink r:id="rId1" w:history="1">
        <w:r w:rsidRPr="00947264">
          <w:rPr>
            <w:rStyle w:val="Hyperlink"/>
            <w:szCs w:val="16"/>
          </w:rPr>
          <w:t>https://www.sec.gov/files/rules/sro/finra/2024/34-99404.pdf</w:t>
        </w:r>
      </w:hyperlink>
      <w:r w:rsidRPr="00947264">
        <w:rPr>
          <w:szCs w:val="16"/>
        </w:rPr>
        <w:t xml:space="preserve">. </w:t>
      </w:r>
    </w:p>
  </w:footnote>
  <w:footnote w:id="3">
    <w:p w14:paraId="080D0582" w14:textId="77777777" w:rsidR="004152B2" w:rsidRPr="00947264" w:rsidRDefault="004152B2" w:rsidP="004152B2">
      <w:pPr>
        <w:pStyle w:val="FootnoteText"/>
        <w:ind w:left="720" w:hanging="720"/>
        <w:rPr>
          <w:szCs w:val="16"/>
        </w:rPr>
      </w:pPr>
      <w:r w:rsidRPr="00947264">
        <w:rPr>
          <w:rStyle w:val="FootnoteReference"/>
          <w:szCs w:val="16"/>
        </w:rPr>
        <w:footnoteRef/>
      </w:r>
      <w:r w:rsidRPr="00947264">
        <w:rPr>
          <w:szCs w:val="16"/>
        </w:rPr>
        <w:t xml:space="preserve"> </w:t>
      </w:r>
      <w:r w:rsidRPr="00947264">
        <w:rPr>
          <w:szCs w:val="16"/>
        </w:rPr>
        <w:tab/>
      </w:r>
      <w:r w:rsidRPr="00947264">
        <w:rPr>
          <w:i/>
          <w:iCs/>
          <w:szCs w:val="16"/>
        </w:rPr>
        <w:t>See</w:t>
      </w:r>
      <w:r w:rsidRPr="00947264">
        <w:rPr>
          <w:szCs w:val="16"/>
        </w:rPr>
        <w:t xml:space="preserve"> Securities Industry and Financial Markets Association, </w:t>
      </w:r>
      <w:r w:rsidRPr="00947264">
        <w:rPr>
          <w:i/>
          <w:iCs/>
          <w:szCs w:val="16"/>
        </w:rPr>
        <w:t>US Fixed Income Securities Statistics</w:t>
      </w:r>
      <w:r w:rsidRPr="00947264">
        <w:rPr>
          <w:szCs w:val="16"/>
        </w:rPr>
        <w:t xml:space="preserve">, available at </w:t>
      </w:r>
      <w:hyperlink r:id="rId2" w:history="1">
        <w:r w:rsidRPr="00947264">
          <w:rPr>
            <w:rStyle w:val="Hyperlink"/>
            <w:szCs w:val="16"/>
          </w:rPr>
          <w:t>https://www.sifma.org/resources/research/us-bond-market-issuance-and-outstanding/</w:t>
        </w:r>
      </w:hyperlink>
      <w:r w:rsidRPr="00947264">
        <w:rPr>
          <w:szCs w:val="16"/>
        </w:rPr>
        <w:t>.</w:t>
      </w:r>
    </w:p>
  </w:footnote>
  <w:footnote w:id="4">
    <w:p w14:paraId="769913C8" w14:textId="77777777" w:rsidR="004152B2" w:rsidRPr="00947264" w:rsidRDefault="004152B2" w:rsidP="004152B2">
      <w:pPr>
        <w:pStyle w:val="Default"/>
        <w:ind w:left="720" w:hanging="720"/>
        <w:rPr>
          <w:rFonts w:ascii="Arial" w:hAnsi="Arial" w:cs="Arial"/>
          <w:sz w:val="16"/>
          <w:szCs w:val="16"/>
        </w:rPr>
      </w:pPr>
      <w:r w:rsidRPr="00947264">
        <w:rPr>
          <w:rStyle w:val="FootnoteReference"/>
          <w:rFonts w:ascii="Arial" w:hAnsi="Arial" w:cs="Arial"/>
          <w:sz w:val="16"/>
          <w:szCs w:val="16"/>
        </w:rPr>
        <w:footnoteRef/>
      </w:r>
      <w:r w:rsidRPr="00947264">
        <w:rPr>
          <w:rFonts w:ascii="Arial" w:hAnsi="Arial" w:cs="Arial"/>
          <w:sz w:val="16"/>
          <w:szCs w:val="16"/>
        </w:rPr>
        <w:t xml:space="preserve"> </w:t>
      </w:r>
      <w:r w:rsidRPr="00947264">
        <w:rPr>
          <w:rFonts w:ascii="Arial" w:hAnsi="Arial" w:cs="Arial"/>
          <w:sz w:val="16"/>
          <w:szCs w:val="16"/>
        </w:rPr>
        <w:tab/>
      </w:r>
      <w:r w:rsidRPr="00947264">
        <w:rPr>
          <w:rFonts w:ascii="Arial" w:hAnsi="Arial" w:cs="Arial"/>
          <w:i/>
          <w:iCs/>
          <w:sz w:val="16"/>
          <w:szCs w:val="16"/>
        </w:rPr>
        <w:t xml:space="preserve">See </w:t>
      </w:r>
      <w:r w:rsidRPr="00947264">
        <w:rPr>
          <w:rFonts w:ascii="Arial" w:hAnsi="Arial" w:cs="Arial"/>
          <w:sz w:val="16"/>
          <w:szCs w:val="16"/>
        </w:rPr>
        <w:t xml:space="preserve">Securities </w:t>
      </w:r>
      <w:r w:rsidRPr="00947264">
        <w:rPr>
          <w:rFonts w:ascii="Arial" w:hAnsi="Arial" w:cs="Arial"/>
          <w:sz w:val="16"/>
          <w:szCs w:val="16"/>
        </w:rPr>
        <w:t xml:space="preserve">Industry and Financial Markets Association, </w:t>
      </w:r>
      <w:r w:rsidRPr="00947264">
        <w:rPr>
          <w:rFonts w:ascii="Arial" w:hAnsi="Arial" w:cs="Arial"/>
          <w:i/>
          <w:iCs/>
          <w:sz w:val="16"/>
          <w:szCs w:val="16"/>
        </w:rPr>
        <w:t xml:space="preserve">Research </w:t>
      </w:r>
      <w:r w:rsidRPr="00947264">
        <w:rPr>
          <w:rFonts w:ascii="Arial" w:hAnsi="Arial" w:cs="Arial"/>
          <w:i/>
          <w:iCs/>
          <w:sz w:val="16"/>
          <w:szCs w:val="16"/>
        </w:rPr>
        <w:t>Quarterly: Fixed Income – Issuance and Trading</w:t>
      </w:r>
      <w:r w:rsidRPr="00947264">
        <w:rPr>
          <w:rFonts w:ascii="Arial" w:hAnsi="Arial" w:cs="Arial"/>
          <w:sz w:val="16"/>
          <w:szCs w:val="16"/>
        </w:rPr>
        <w:t xml:space="preserve">, available at </w:t>
      </w:r>
      <w:hyperlink r:id="rId3" w:history="1">
        <w:r w:rsidRPr="00947264">
          <w:rPr>
            <w:rStyle w:val="Hyperlink"/>
            <w:rFonts w:ascii="Arial" w:hAnsi="Arial" w:cs="Arial"/>
            <w:sz w:val="16"/>
            <w:szCs w:val="16"/>
          </w:rPr>
          <w:t>https://www.sifma.org/resources/research/research-quarterly-fixed-income-issuance-and-trading/</w:t>
        </w:r>
      </w:hyperlink>
      <w:r w:rsidRPr="00947264">
        <w:rPr>
          <w:rFonts w:ascii="Arial" w:hAnsi="Arial" w:cs="Arial"/>
          <w:sz w:val="16"/>
          <w:szCs w:val="16"/>
        </w:rPr>
        <w:t xml:space="preserve">.  </w:t>
      </w:r>
    </w:p>
  </w:footnote>
  <w:footnote w:id="5">
    <w:p w14:paraId="0DA102A7" w14:textId="77777777" w:rsidR="00947264" w:rsidRDefault="00947264" w:rsidP="004152B2">
      <w:pPr>
        <w:pStyle w:val="FootnoteText"/>
        <w:ind w:left="720" w:hanging="720"/>
        <w:jc w:val="left"/>
        <w:rPr>
          <w:szCs w:val="16"/>
        </w:rPr>
      </w:pPr>
    </w:p>
    <w:p w14:paraId="6998CB67" w14:textId="099754E8" w:rsidR="004152B2" w:rsidRPr="00947264" w:rsidRDefault="004152B2" w:rsidP="004152B2">
      <w:pPr>
        <w:pStyle w:val="FootnoteText"/>
        <w:ind w:left="720" w:hanging="720"/>
        <w:jc w:val="left"/>
        <w:rPr>
          <w:szCs w:val="16"/>
        </w:rPr>
      </w:pPr>
      <w:r w:rsidRPr="00947264">
        <w:rPr>
          <w:rStyle w:val="FootnoteReference"/>
          <w:szCs w:val="16"/>
        </w:rPr>
        <w:footnoteRef/>
      </w:r>
      <w:r w:rsidRPr="00947264">
        <w:rPr>
          <w:szCs w:val="16"/>
        </w:rPr>
        <w:t xml:space="preserve"> </w:t>
      </w:r>
      <w:r w:rsidRPr="00947264">
        <w:rPr>
          <w:szCs w:val="16"/>
        </w:rPr>
        <w:tab/>
      </w:r>
      <w:r w:rsidRPr="00947264">
        <w:rPr>
          <w:i/>
          <w:iCs/>
          <w:szCs w:val="16"/>
        </w:rPr>
        <w:t xml:space="preserve">See </w:t>
      </w:r>
      <w:r w:rsidRPr="00947264">
        <w:rPr>
          <w:szCs w:val="16"/>
        </w:rPr>
        <w:t xml:space="preserve">Mizrach, Bruce, </w:t>
      </w:r>
      <w:r w:rsidRPr="00947264">
        <w:rPr>
          <w:i/>
          <w:iCs/>
          <w:szCs w:val="16"/>
        </w:rPr>
        <w:t xml:space="preserve">Analysis of Corporate Bond Liquidity, FINRA Office of the Chief Economist Research Note </w:t>
      </w:r>
      <w:r w:rsidRPr="00947264">
        <w:rPr>
          <w:szCs w:val="16"/>
        </w:rPr>
        <w:t xml:space="preserve">(2015), available at </w:t>
      </w:r>
      <w:hyperlink r:id="rId4" w:history="1">
        <w:r w:rsidRPr="00947264">
          <w:rPr>
            <w:rStyle w:val="Hyperlink"/>
            <w:szCs w:val="16"/>
          </w:rPr>
          <w:t>https://www.finra.org/sites/default/files/OCE_researchnote_liquidity_2015_12.pdf</w:t>
        </w:r>
      </w:hyperlink>
      <w:r w:rsidRPr="00947264">
        <w:rPr>
          <w:szCs w:val="16"/>
        </w:rPr>
        <w:t xml:space="preserve">, and Market Axess CP+ BASI indices, which track bid-ask spreads, available at </w:t>
      </w:r>
      <w:hyperlink r:id="rId5" w:history="1">
        <w:r w:rsidRPr="00947264">
          <w:rPr>
            <w:rStyle w:val="Hyperlink"/>
            <w:szCs w:val="16"/>
          </w:rPr>
          <w:t>https://www.marketaxess.com/index/CPP-basi/4</w:t>
        </w:r>
      </w:hyperlink>
      <w:r w:rsidRPr="00947264">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3BB"/>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B40"/>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31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1F7A3E"/>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52B2"/>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1F41"/>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AAA"/>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39E"/>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2BBA"/>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175"/>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29A1"/>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26BB"/>
    <w:rsid w:val="00923BCF"/>
    <w:rsid w:val="00925AEC"/>
    <w:rsid w:val="0092751A"/>
    <w:rsid w:val="009305C4"/>
    <w:rsid w:val="00931FAF"/>
    <w:rsid w:val="00932478"/>
    <w:rsid w:val="009360F6"/>
    <w:rsid w:val="009371DC"/>
    <w:rsid w:val="0093759D"/>
    <w:rsid w:val="00940239"/>
    <w:rsid w:val="00942BD6"/>
    <w:rsid w:val="00942DED"/>
    <w:rsid w:val="00944404"/>
    <w:rsid w:val="009451B3"/>
    <w:rsid w:val="009452D7"/>
    <w:rsid w:val="00945FD1"/>
    <w:rsid w:val="00946CCC"/>
    <w:rsid w:val="00947264"/>
    <w:rsid w:val="009503E5"/>
    <w:rsid w:val="00950F71"/>
    <w:rsid w:val="00952F2C"/>
    <w:rsid w:val="009532E3"/>
    <w:rsid w:val="00953615"/>
    <w:rsid w:val="00954BAF"/>
    <w:rsid w:val="00955F48"/>
    <w:rsid w:val="009560B3"/>
    <w:rsid w:val="0095745E"/>
    <w:rsid w:val="0095782B"/>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3A6"/>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45A8"/>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16F2"/>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1CAE"/>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245"/>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79C"/>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styleId="NoSpacing">
    <w:name w:val="No Spacing"/>
    <w:uiPriority w:val="1"/>
    <w:qFormat/>
    <w:locked/>
    <w:rsid w:val="004152B2"/>
    <w:pPr>
      <w:jc w:val="both"/>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www.esma.europa.eu"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2.xml"/><Relationship Id="rId19" Type="http://schemas.openxmlformats.org/officeDocument/2006/relationships/hyperlink" Target="http://www.esma.europa.eu" TargetMode="External"/><Relationship Id="rId4"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ifma.org/resources/research/research-quarterly-fixed-income-issuance-and-trading/" TargetMode="External"/><Relationship Id="rId2" Type="http://schemas.openxmlformats.org/officeDocument/2006/relationships/hyperlink" Target="https://www.sifma.org/resources/research/us-bond-market-issuance-and-outstanding/" TargetMode="External"/><Relationship Id="rId1" Type="http://schemas.openxmlformats.org/officeDocument/2006/relationships/hyperlink" Target="https://www.sec.gov/files/rules/sro/finra/2024/34-99404.pdf" TargetMode="External"/><Relationship Id="rId5" Type="http://schemas.openxmlformats.org/officeDocument/2006/relationships/hyperlink" Target="https://www.marketaxess.com/index/CPP-basi/4" TargetMode="External"/><Relationship Id="rId4" Type="http://schemas.openxmlformats.org/officeDocument/2006/relationships/hyperlink" Target="https://www.finra.org/sites/default/files/OCE_researchnote_liquidity_2015_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3766</Words>
  <Characters>21467</Characters>
  <Application>Microsoft Office Word</Application>
  <DocSecurity>8</DocSecurity>
  <Lines>178</Lines>
  <Paragraphs>50</Paragraphs>
  <ScaleCrop>false</ScaleCrop>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Alexandra.Stableforth@dimensional.com</cp:lastModifiedBy>
  <cp:revision>2</cp:revision>
  <cp:lastPrinted>1900-01-01T06:00:00Z</cp:lastPrinted>
  <dcterms:created xsi:type="dcterms:W3CDTF">2024-08-29T21:21:00Z</dcterms:created>
  <dcterms:modified xsi:type="dcterms:W3CDTF">2024-08-29T21:21:00Z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6bfd4-1bbc-4d07-aef7-6046f14a8ac9_Enabled">
    <vt:lpwstr>true</vt:lpwstr>
  </property>
  <property fmtid="{D5CDD505-2E9C-101B-9397-08002B2CF9AE}" pid="3" name="MSIP_Label_68f6bfd4-1bbc-4d07-aef7-6046f14a8ac9_SetDate">
    <vt:lpwstr>2024-08-29T18:52:26Z</vt:lpwstr>
  </property>
  <property fmtid="{D5CDD505-2E9C-101B-9397-08002B2CF9AE}" pid="4" name="MSIP_Label_68f6bfd4-1bbc-4d07-aef7-6046f14a8ac9_Method">
    <vt:lpwstr>Privileged</vt:lpwstr>
  </property>
  <property fmtid="{D5CDD505-2E9C-101B-9397-08002B2CF9AE}" pid="5" name="MSIP_Label_68f6bfd4-1bbc-4d07-aef7-6046f14a8ac9_Name">
    <vt:lpwstr>Confidential Content - No Label</vt:lpwstr>
  </property>
  <property fmtid="{D5CDD505-2E9C-101B-9397-08002B2CF9AE}" pid="6" name="MSIP_Label_68f6bfd4-1bbc-4d07-aef7-6046f14a8ac9_SiteId">
    <vt:lpwstr>50488be8-ac74-4dcd-9bdd-44db35d92d8d</vt:lpwstr>
  </property>
  <property fmtid="{D5CDD505-2E9C-101B-9397-08002B2CF9AE}" pid="7" name="MSIP_Label_68f6bfd4-1bbc-4d07-aef7-6046f14a8ac9_ActionId">
    <vt:lpwstr>61e44a73-a057-4e3a-9946-cab7e9adce12</vt:lpwstr>
  </property>
  <property fmtid="{D5CDD505-2E9C-101B-9397-08002B2CF9AE}" pid="8" name="MSIP_Label_68f6bfd4-1bbc-4d07-aef7-6046f14a8ac9_ContentBits">
    <vt:lpwstr>0</vt:lpwstr>
  </property>
</Properties>
</file>