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ottotitolo"/>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Paragrafoelenco"/>
        <w:numPr>
          <w:ilvl w:val="0"/>
          <w:numId w:val="35"/>
        </w:numPr>
        <w:contextualSpacing w:val="0"/>
      </w:pPr>
      <w:r w:rsidRPr="005B6B12">
        <w:t>respond to the question stated;</w:t>
      </w:r>
    </w:p>
    <w:p w14:paraId="73161343" w14:textId="77777777" w:rsidR="00E70E2E" w:rsidRPr="005B6B12" w:rsidRDefault="00E70E2E" w:rsidP="008F14FF">
      <w:pPr>
        <w:pStyle w:val="Paragrafoelenco"/>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Paragrafoelenco"/>
        <w:numPr>
          <w:ilvl w:val="0"/>
          <w:numId w:val="35"/>
        </w:numPr>
        <w:contextualSpacing w:val="0"/>
      </w:pPr>
      <w:r w:rsidRPr="005B6B12">
        <w:t>contain a clear rationale; and</w:t>
      </w:r>
    </w:p>
    <w:p w14:paraId="30D73002" w14:textId="77777777" w:rsidR="00E70E2E" w:rsidRPr="005B6B12" w:rsidRDefault="00E70E2E" w:rsidP="008F14FF">
      <w:pPr>
        <w:pStyle w:val="Paragrafoelenco"/>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Paragrafoelenco"/>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Paragrafoelenco"/>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Paragrafoelenco"/>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Paragrafoelenco"/>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Paragrafoelenco"/>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Paragrafoelenco"/>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Collegamentoipertestual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Collegamentoipertestual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Collegamentoipertestuale"/>
        </w:rPr>
        <w:t>‘</w:t>
      </w:r>
      <w:hyperlink r:id="rId20" w:history="1">
        <w:r>
          <w:rPr>
            <w:rStyle w:val="Collegamentoipertestuale"/>
          </w:rPr>
          <w:t>Data protection</w:t>
        </w:r>
      </w:hyperlink>
      <w:r>
        <w:rPr>
          <w:rStyle w:val="Collegamentoipertestual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olo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stosegnaposto"/>
            </w:rPr>
            <w:id w:val="651570699"/>
            <w:text/>
          </w:sdtPr>
          <w:sdtContent>
            <w:tc>
              <w:tcPr>
                <w:tcW w:w="5595" w:type="dxa"/>
                <w:shd w:val="clear" w:color="auto" w:fill="auto"/>
                <w:vAlign w:val="center"/>
              </w:tcPr>
              <w:p w14:paraId="633DB1B6" w14:textId="440AE054" w:rsidR="00C2682A" w:rsidRPr="00104E00" w:rsidRDefault="00293DE8" w:rsidP="00104E00">
                <w:pPr>
                  <w:jc w:val="left"/>
                  <w:rPr>
                    <w:rStyle w:val="Testosegnaposto"/>
                  </w:rPr>
                </w:pPr>
                <w:r>
                  <w:rPr>
                    <w:rStyle w:val="Testosegnaposto"/>
                  </w:rPr>
                  <w:t>Italian -Banking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081355E"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F48CA">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45D6C9B" w:rsidR="00C2682A" w:rsidRPr="00104E00" w:rsidRDefault="00EF48CA"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12E593E4" w:rsidR="00C2682A" w:rsidRPr="00104E00" w:rsidRDefault="00EF48CA"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054B2B">
      <w:pPr>
        <w:pStyle w:val="Titolo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84FAFF8" w:rsidR="00CC59BB" w:rsidRDefault="003562A6" w:rsidP="00C54034">
      <w:pPr>
        <w:spacing w:after="0"/>
      </w:pPr>
      <w:permStart w:id="124340805" w:edGrp="everyone"/>
      <w:r w:rsidRPr="003D2D4A">
        <w:rPr>
          <w:color w:val="0070C0"/>
        </w:rPr>
        <w:t xml:space="preserve">We have gathered no considerations against the definition of Central Limit Order Book (CLOB) trading systems (TS) as discussed and presented under par. 15 to 21, i.e. combining elements of a </w:t>
      </w:r>
      <w:r w:rsidRPr="003D2D4A">
        <w:rPr>
          <w:color w:val="0070C0"/>
          <w:u w:val="single"/>
        </w:rPr>
        <w:t>continuous</w:t>
      </w:r>
      <w:r w:rsidRPr="003D2D4A">
        <w:rPr>
          <w:color w:val="0070C0"/>
        </w:rPr>
        <w:t xml:space="preserve"> auction TS and elements of a </w:t>
      </w:r>
      <w:r w:rsidRPr="003D2D4A">
        <w:rPr>
          <w:color w:val="0070C0"/>
          <w:u w:val="single"/>
        </w:rPr>
        <w:t>periodic</w:t>
      </w:r>
      <w:r w:rsidRPr="003D2D4A">
        <w:rPr>
          <w:color w:val="0070C0"/>
        </w:rPr>
        <w:t xml:space="preserve"> auction TS system, both parts subjected to the respective requirements of pre-trade transparency, as set out in Annex I of RTS</w:t>
      </w:r>
      <w:r w:rsidR="00790F4E">
        <w:rPr>
          <w:color w:val="0070C0"/>
        </w:rPr>
        <w:t xml:space="preserve"> 2.</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4B163799" w:rsidR="00CC59BB" w:rsidRDefault="00B92AD5" w:rsidP="00C54034">
      <w:pPr>
        <w:spacing w:after="0"/>
      </w:pPr>
      <w:permStart w:id="1947404220" w:edGrp="everyone"/>
      <w:r w:rsidRPr="003D2D4A">
        <w:rPr>
          <w:color w:val="0070C0"/>
        </w:rPr>
        <w:t>We have not gathered suggestions on other trading systems (TS) that could be included in the definition of CLOB TS</w:t>
      </w:r>
      <w:r>
        <w:rPr>
          <w:color w:val="0070C0"/>
        </w:rPr>
        <w:t>, also in consideration of the fact that the former appears sufficiently comprehensive, to the purposes explained by ESMA in the relevant paragraphs.</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4B0FAA6" w:rsidR="00CC59BB" w:rsidRDefault="00567563" w:rsidP="00C54034">
      <w:pPr>
        <w:spacing w:after="0"/>
      </w:pPr>
      <w:permStart w:id="2005885194" w:edGrp="everyone"/>
      <w:r w:rsidRPr="003D2D4A">
        <w:rPr>
          <w:color w:val="0070C0"/>
        </w:rPr>
        <w:t>We have not gathered considerations against the period auction TS set out in Annex I of RTS 2</w:t>
      </w:r>
      <w:r w:rsidR="00B6568C">
        <w:rPr>
          <w:color w:val="0070C0"/>
        </w:rPr>
        <w:t>.</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0667D5B1" w:rsidR="00CC59BB" w:rsidRDefault="00961AF2" w:rsidP="00C54034">
      <w:pPr>
        <w:spacing w:after="0"/>
      </w:pPr>
      <w:permStart w:id="864513806" w:edGrp="everyone"/>
      <w:r w:rsidRPr="003D2D4A">
        <w:rPr>
          <w:color w:val="0070C0"/>
        </w:rPr>
        <w:t xml:space="preserve">Despite the duration of the current public consultation, there was not sufficient time for our members to run some test and provide feedback on whether </w:t>
      </w:r>
      <w:r>
        <w:rPr>
          <w:color w:val="0070C0"/>
        </w:rPr>
        <w:t xml:space="preserve">the </w:t>
      </w:r>
      <w:r w:rsidRPr="003D2D4A">
        <w:rPr>
          <w:color w:val="0070C0"/>
        </w:rPr>
        <w:t>proposed pre-trade LIS thresholds for non</w:t>
      </w:r>
      <w:r>
        <w:rPr>
          <w:color w:val="0070C0"/>
        </w:rPr>
        <w:t>-</w:t>
      </w:r>
      <w:r w:rsidRPr="003D2D4A">
        <w:rPr>
          <w:color w:val="0070C0"/>
        </w:rPr>
        <w:t xml:space="preserve">equity instruments (under table 3) </w:t>
      </w:r>
      <w:r>
        <w:rPr>
          <w:color w:val="0070C0"/>
        </w:rPr>
        <w:t>are</w:t>
      </w:r>
      <w:r w:rsidRPr="00510FF8">
        <w:rPr>
          <w:color w:val="0070C0"/>
        </w:rPr>
        <w:t xml:space="preserve"> </w:t>
      </w:r>
      <w:r w:rsidRPr="003D2D4A">
        <w:rPr>
          <w:color w:val="0070C0"/>
        </w:rPr>
        <w:t>appropriate or deserve an adjustment</w:t>
      </w:r>
      <w:r>
        <w:rPr>
          <w:color w:val="0070C0"/>
        </w:rPr>
        <w:t>.</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2CD34D70" w:rsidR="00CC59BB" w:rsidRDefault="00374670" w:rsidP="00C54034">
      <w:pPr>
        <w:spacing w:after="0"/>
      </w:pPr>
      <w:permStart w:id="1293775397" w:edGrp="everyone"/>
      <w:r w:rsidRPr="003D2D4A">
        <w:rPr>
          <w:color w:val="0070C0"/>
        </w:rPr>
        <w:t>See our answer to Q.5 as the same considerations apply</w:t>
      </w:r>
      <w:r>
        <w:t>.</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5DC381DE" w:rsidR="00CC59BB" w:rsidRDefault="003950C1" w:rsidP="00C54034">
      <w:pPr>
        <w:spacing w:after="0"/>
      </w:pPr>
      <w:permStart w:id="1516253385" w:edGrp="everyone"/>
      <w:r w:rsidRPr="003D2D4A">
        <w:rPr>
          <w:color w:val="0070C0"/>
        </w:rPr>
        <w:t xml:space="preserve">In our opinion, changes to post-trade fields summarised in Table 5 </w:t>
      </w:r>
      <w:r>
        <w:rPr>
          <w:color w:val="0070C0"/>
        </w:rPr>
        <w:t xml:space="preserve">(given that the majority of them are not linked to the MiFIR Review, as ESMA explained) </w:t>
      </w:r>
      <w:r w:rsidRPr="003D2D4A">
        <w:rPr>
          <w:color w:val="0070C0"/>
        </w:rPr>
        <w:t xml:space="preserve">will have implications for investment firms </w:t>
      </w:r>
      <w:r w:rsidRPr="003D2D4A">
        <w:rPr>
          <w:color w:val="0070C0"/>
        </w:rPr>
        <w:lastRenderedPageBreak/>
        <w:t>once APAs will have adopted and complied with them, hence changed the settings required to publish such information. It is important to recall that fix messages by investment firms were amended at the end of 2023 and, despite marginally, these would now go under a further amendment process which will presumably have cost implications, proportionally higher for smaller institutions in relative terms</w:t>
      </w:r>
      <w:r>
        <w:rPr>
          <w:color w:val="0070C0"/>
        </w:rPr>
        <w:t>.</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EEF290B" w14:textId="68DF4EA8" w:rsidR="00CC59BB" w:rsidRDefault="0037704E" w:rsidP="00C54034">
      <w:pPr>
        <w:spacing w:after="0"/>
        <w:rPr>
          <w:color w:val="0070C0"/>
        </w:rPr>
      </w:pPr>
      <w:permStart w:id="869493798" w:edGrp="everyone"/>
      <w:r w:rsidRPr="00996D29">
        <w:rPr>
          <w:color w:val="0070C0"/>
        </w:rPr>
        <w:t>We agree with ESMA not to change the concept of what constitutes nowadays the</w:t>
      </w:r>
      <w:r w:rsidRPr="00996D29">
        <w:rPr>
          <w:i/>
          <w:iCs/>
          <w:color w:val="0070C0"/>
        </w:rPr>
        <w:t xml:space="preserve"> “maximum permissible delay</w:t>
      </w:r>
      <w:r w:rsidRPr="00996D29">
        <w:rPr>
          <w:color w:val="0070C0"/>
        </w:rPr>
        <w:t>” and concept of “</w:t>
      </w:r>
      <w:r w:rsidRPr="00996D29">
        <w:rPr>
          <w:i/>
          <w:iCs/>
          <w:color w:val="0070C0"/>
        </w:rPr>
        <w:t>close to real-time as technically possible</w:t>
      </w:r>
      <w:r w:rsidRPr="00996D29">
        <w:rPr>
          <w:color w:val="0070C0"/>
        </w:rPr>
        <w:t>”. With specific regards to the latter, as ABI understands by its members, the fact “</w:t>
      </w:r>
      <w:r w:rsidRPr="00996D29">
        <w:rPr>
          <w:i/>
          <w:iCs/>
          <w:color w:val="0070C0"/>
        </w:rPr>
        <w:t>close to real-time as technically possible currently allows for a maximum delay of 5 minutes</w:t>
      </w:r>
      <w:r w:rsidRPr="00996D29">
        <w:rPr>
          <w:color w:val="0070C0"/>
        </w:rPr>
        <w:t xml:space="preserve">” (as stated under par. 63) represents (technically) a </w:t>
      </w:r>
      <w:r w:rsidRPr="00996D29">
        <w:rPr>
          <w:i/>
          <w:iCs/>
          <w:color w:val="0070C0"/>
        </w:rPr>
        <w:t>safe-harbour</w:t>
      </w:r>
      <w:r w:rsidRPr="00996D29">
        <w:rPr>
          <w:color w:val="0070C0"/>
        </w:rPr>
        <w:t xml:space="preserve"> for those entities (typically smaller, or with smaller amounts in OTC-transactions) which are capable to comply with the relevant transparency provisions’ timeframe thanks to partially-automated or “less-fast” processes, not in a </w:t>
      </w:r>
      <w:r w:rsidRPr="00996D29">
        <w:rPr>
          <w:i/>
          <w:iCs/>
          <w:color w:val="0070C0"/>
        </w:rPr>
        <w:t>literal real-time fashion</w:t>
      </w:r>
      <w:r w:rsidRPr="00996D29">
        <w:rPr>
          <w:color w:val="0070C0"/>
        </w:rPr>
        <w:t xml:space="preserve"> but still remaining underneath the “5 minutes threshold”. Hence, we agree with ESMA not to change the two above-mentioned concepts, so that the current legislative framework first of all i) will continue to offer a reasonable and flexible time-buffer to allow for small differences in the technical capabilities of investment firms in this scope and, secondly, ii) will continue to embed a measure of proportionality, which is crucial in respect of those entities which have a smaller business/transactions’ turnover and, consequently, are more limited in terms of investing on technical enhancements.</w:t>
      </w:r>
    </w:p>
    <w:p w14:paraId="56CF5C73" w14:textId="77777777" w:rsidR="009D0DC6" w:rsidRDefault="009D0DC6" w:rsidP="00C54034">
      <w:pPr>
        <w:spacing w:after="0"/>
        <w:rPr>
          <w:color w:val="0070C0"/>
        </w:rPr>
      </w:pPr>
    </w:p>
    <w:p w14:paraId="5F1BFEAD" w14:textId="0BD0FD48" w:rsidR="0037704E" w:rsidRDefault="009D0DC6" w:rsidP="00C54034">
      <w:pPr>
        <w:spacing w:after="0"/>
        <w:rPr>
          <w:rFonts w:eastAsia="Calibri"/>
          <w:color w:val="0070C0"/>
        </w:rPr>
      </w:pPr>
      <w:r w:rsidRPr="009D0DC6">
        <w:rPr>
          <w:rFonts w:eastAsia="Calibri"/>
          <w:color w:val="0070C0"/>
        </w:rPr>
        <w:t>Having said all the above, ABI recognises though that the 5-minutes maximum delay envisaged by ESMA appears excessively tight for OTC derivatives transactions, due to intrinsic features of this specific asset class, compared to other asset classes in the non-equity space. More in detail:</w:t>
      </w:r>
    </w:p>
    <w:p w14:paraId="0FFBCD91" w14:textId="77777777" w:rsidR="00403CBE" w:rsidRPr="005E3355" w:rsidRDefault="00403CBE" w:rsidP="00403CBE">
      <w:pPr>
        <w:numPr>
          <w:ilvl w:val="0"/>
          <w:numId w:val="51"/>
        </w:numPr>
        <w:spacing w:after="160" w:line="259" w:lineRule="auto"/>
        <w:contextualSpacing/>
        <w:rPr>
          <w:rFonts w:eastAsia="Calibri"/>
          <w:color w:val="0070C0"/>
        </w:rPr>
      </w:pPr>
      <w:r w:rsidRPr="005E3355">
        <w:rPr>
          <w:rFonts w:eastAsia="Calibri"/>
          <w:color w:val="0070C0"/>
        </w:rPr>
        <w:t>the complexity of the booking process, i.e. the recording of multitude of data which is fundamental to identify the financial instrument at issue, quite different for instance than the business case of bonds, where the ISIN would be sufficient;</w:t>
      </w:r>
    </w:p>
    <w:p w14:paraId="4A09DB2A" w14:textId="77777777" w:rsidR="00403CBE" w:rsidRPr="005E3355" w:rsidRDefault="00403CBE" w:rsidP="00403CBE">
      <w:pPr>
        <w:numPr>
          <w:ilvl w:val="0"/>
          <w:numId w:val="51"/>
        </w:numPr>
        <w:spacing w:after="160" w:line="259" w:lineRule="auto"/>
        <w:contextualSpacing/>
        <w:rPr>
          <w:rFonts w:eastAsia="Calibri"/>
          <w:color w:val="0070C0"/>
        </w:rPr>
      </w:pPr>
      <w:r w:rsidRPr="005E3355">
        <w:rPr>
          <w:rFonts w:eastAsia="Calibri"/>
          <w:color w:val="0070C0"/>
        </w:rPr>
        <w:t>the need to adopt and use some information that the (other) counterparty is required to provide;</w:t>
      </w:r>
    </w:p>
    <w:p w14:paraId="1852894F" w14:textId="77777777" w:rsidR="00403CBE" w:rsidRPr="005E3355" w:rsidRDefault="00403CBE" w:rsidP="006F6386">
      <w:pPr>
        <w:numPr>
          <w:ilvl w:val="0"/>
          <w:numId w:val="51"/>
        </w:numPr>
        <w:spacing w:after="0" w:line="259" w:lineRule="auto"/>
        <w:contextualSpacing/>
      </w:pPr>
      <w:r w:rsidRPr="005E3355">
        <w:rPr>
          <w:rFonts w:eastAsia="Calibri"/>
          <w:color w:val="0070C0"/>
        </w:rPr>
        <w:t>the timelines associated to the generation and acquisition of specific codes such as, for instance, the UTI (Unique Transaction Identifier) and the UPI (Unique Product Identifier);</w:t>
      </w:r>
    </w:p>
    <w:p w14:paraId="5056DEC4" w14:textId="29D62B94" w:rsidR="00403CBE" w:rsidRPr="005E3355" w:rsidRDefault="00403CBE" w:rsidP="006F6386">
      <w:pPr>
        <w:numPr>
          <w:ilvl w:val="0"/>
          <w:numId w:val="51"/>
        </w:numPr>
        <w:spacing w:after="0" w:line="259" w:lineRule="auto"/>
        <w:contextualSpacing/>
      </w:pPr>
      <w:r w:rsidRPr="005E3355">
        <w:rPr>
          <w:rFonts w:eastAsia="Calibri"/>
          <w:color w:val="0070C0"/>
        </w:rPr>
        <w:t xml:space="preserve">it is important to note that </w:t>
      </w:r>
      <w:r w:rsidRPr="005E3355">
        <w:rPr>
          <w:rFonts w:eastAsia="Calibri"/>
          <w:color w:val="0070C0"/>
          <w:lang w:val="en-US"/>
        </w:rPr>
        <w:t>the features above are reflected i</w:t>
      </w:r>
      <w:r w:rsidRPr="005E3355">
        <w:rPr>
          <w:rFonts w:eastAsia="Calibri"/>
          <w:color w:val="0070C0"/>
        </w:rPr>
        <w:t>n the need to interact with many IT systems, both internal and external, in order to detect and record the transaction.</w:t>
      </w:r>
    </w:p>
    <w:p w14:paraId="6DE14AB4" w14:textId="77777777" w:rsidR="00B07E0B" w:rsidRPr="005E3355" w:rsidRDefault="00B07E0B" w:rsidP="00632CCD">
      <w:pPr>
        <w:spacing w:line="259" w:lineRule="auto"/>
        <w:rPr>
          <w:rFonts w:eastAsia="Calibri"/>
          <w:color w:val="0070C0"/>
        </w:rPr>
      </w:pPr>
    </w:p>
    <w:p w14:paraId="27231BF8" w14:textId="4B649CD4" w:rsidR="00632CCD" w:rsidRPr="008579AD" w:rsidRDefault="00632CCD" w:rsidP="00632CCD">
      <w:pPr>
        <w:spacing w:line="259" w:lineRule="auto"/>
        <w:rPr>
          <w:rFonts w:eastAsia="Calibri"/>
          <w:color w:val="0070C0"/>
        </w:rPr>
      </w:pPr>
      <w:r w:rsidRPr="005E3355">
        <w:rPr>
          <w:rFonts w:eastAsia="Calibri"/>
          <w:color w:val="0070C0"/>
        </w:rPr>
        <w:lastRenderedPageBreak/>
        <w:t>Given the absence of a mandatory time limit prescribed by the EU Co-Legislators at Level-1, we would ask ESMA to take into consideration the important material issues mentioned above on OTC derivative transactions.</w:t>
      </w:r>
    </w:p>
    <w:p w14:paraId="25DA8733" w14:textId="08F4B2A4" w:rsidR="00632CCD" w:rsidRPr="008579AD" w:rsidRDefault="00632CCD" w:rsidP="005E3355">
      <w:pPr>
        <w:spacing w:after="0" w:line="259" w:lineRule="auto"/>
        <w:rPr>
          <w:rFonts w:eastAsia="Calibri"/>
          <w:color w:val="0070C0"/>
        </w:rPr>
      </w:pPr>
      <w:r w:rsidRPr="008579AD">
        <w:rPr>
          <w:rFonts w:eastAsia="Calibri"/>
          <w:color w:val="0070C0"/>
        </w:rPr>
        <w:t>Based on the issues presented above, there follow some considerations in support of those stances:</w:t>
      </w:r>
    </w:p>
    <w:p w14:paraId="26D2AF38" w14:textId="77777777" w:rsidR="008579AD" w:rsidRPr="008579AD" w:rsidRDefault="008579AD" w:rsidP="008579AD">
      <w:pPr>
        <w:numPr>
          <w:ilvl w:val="0"/>
          <w:numId w:val="52"/>
        </w:numPr>
        <w:spacing w:after="160" w:line="259" w:lineRule="auto"/>
        <w:contextualSpacing/>
        <w:rPr>
          <w:rFonts w:eastAsia="Calibri"/>
          <w:color w:val="0070C0"/>
        </w:rPr>
      </w:pPr>
      <w:r w:rsidRPr="008579AD">
        <w:rPr>
          <w:rFonts w:eastAsia="Calibri"/>
          <w:color w:val="0070C0"/>
        </w:rPr>
        <w:t>at EU level it has been already recognized the peculiar features of the OTC derivatives vis-à-vis other asset classes, by introducing (where necessary) an ad-hoc regime specifically tailored to them, in the context of the MiFIR review for both Transaction Reporting and Post Trade Transparency requirements;</w:t>
      </w:r>
    </w:p>
    <w:p w14:paraId="412AE4A5" w14:textId="77777777" w:rsidR="008579AD" w:rsidRPr="008579AD" w:rsidRDefault="008579AD" w:rsidP="002323BF">
      <w:pPr>
        <w:numPr>
          <w:ilvl w:val="0"/>
          <w:numId w:val="52"/>
        </w:numPr>
        <w:spacing w:after="0" w:line="259" w:lineRule="auto"/>
        <w:contextualSpacing/>
      </w:pPr>
      <w:r w:rsidRPr="008579AD">
        <w:rPr>
          <w:rFonts w:eastAsia="Calibri"/>
          <w:color w:val="0070C0"/>
        </w:rPr>
        <w:t>other extra-EU jurisdictions have addressed this issue and adopted</w:t>
      </w:r>
      <w:r w:rsidRPr="008579AD">
        <w:rPr>
          <w:rFonts w:eastAsia="Calibri"/>
          <w:color w:val="FF0000"/>
        </w:rPr>
        <w:t xml:space="preserve"> </w:t>
      </w:r>
      <w:r w:rsidRPr="008579AD">
        <w:rPr>
          <w:rFonts w:eastAsia="Calibri"/>
          <w:color w:val="0070C0"/>
        </w:rPr>
        <w:t>an alternative way forward vis-à-vis the one proposed by ESMA. For example, the Dodd-Frank Act (DFA, Code of Federal Regulations Title 17, Chapter, Part 43) provides for the concept of “</w:t>
      </w:r>
      <w:r w:rsidRPr="008579AD">
        <w:rPr>
          <w:rFonts w:eastAsia="Calibri"/>
          <w:i/>
          <w:iCs/>
          <w:color w:val="0070C0"/>
        </w:rPr>
        <w:t>as soon as technologically practicable after execution</w:t>
      </w:r>
      <w:r w:rsidRPr="008579AD">
        <w:rPr>
          <w:rFonts w:eastAsia="Calibri"/>
          <w:color w:val="0070C0"/>
        </w:rPr>
        <w:t>” which is not too far from the EU concept of “</w:t>
      </w:r>
      <w:r w:rsidRPr="008579AD">
        <w:rPr>
          <w:rFonts w:eastAsia="Calibri"/>
          <w:i/>
          <w:iCs/>
          <w:color w:val="0070C0"/>
        </w:rPr>
        <w:t>as close to real-time as technically possible</w:t>
      </w:r>
      <w:r w:rsidRPr="008579AD">
        <w:rPr>
          <w:rFonts w:eastAsia="Calibri"/>
          <w:color w:val="0070C0"/>
        </w:rPr>
        <w:t>”, particularly when it comes to taking into account potential technical constraints. However, the DFA does not provide for a specific, precise mandatory deadline for allowing a delay;</w:t>
      </w:r>
    </w:p>
    <w:p w14:paraId="1134CE06" w14:textId="20BE3930" w:rsidR="005E3355" w:rsidRPr="008579AD" w:rsidRDefault="008579AD" w:rsidP="002323BF">
      <w:pPr>
        <w:numPr>
          <w:ilvl w:val="0"/>
          <w:numId w:val="52"/>
        </w:numPr>
        <w:spacing w:after="0" w:line="259" w:lineRule="auto"/>
        <w:contextualSpacing/>
      </w:pPr>
      <w:r w:rsidRPr="008579AD">
        <w:rPr>
          <w:rFonts w:eastAsia="Calibri"/>
          <w:color w:val="0070C0"/>
        </w:rPr>
        <w:t>finally, we would deem it important to refrain from setting a 5-minutes maximum delay specifically in the OTC derivatives space also in light of the attention paid, at EU level, to the need to ensure competitiveness of EU financial markets, which is welcome (for instance, we refer to “ESMA - Building more effective and attractive capital markets in the EU”, May 2024).</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0854C773" w14:textId="7BC84991" w:rsidR="003F16ED" w:rsidRPr="003D2D4A" w:rsidRDefault="003F16ED" w:rsidP="003F16ED">
      <w:pPr>
        <w:rPr>
          <w:color w:val="0070C0"/>
        </w:rPr>
      </w:pPr>
      <w:permStart w:id="1673160559" w:edGrp="everyone"/>
      <w:r w:rsidRPr="003D2D4A">
        <w:rPr>
          <w:color w:val="0070C0"/>
        </w:rPr>
        <w:t xml:space="preserve">In light of making any legislative text leaner, we agree with the changes proposed by ESMA for the purposes of the reporting of OTC transactions, i.e. removing the provisions under Art.7(5) and (6) of RTS 2, given that the reviewed L1 text of MiFIR, as at Art.21(a), is now embedding the statements previously under RTS 2, Art.7(5) and (6). However, an alternative solution to removing the text under Art.7(5)(6) of RTS 2 could have been that of </w:t>
      </w:r>
      <w:r w:rsidRPr="003D2D4A">
        <w:rPr>
          <w:color w:val="0070C0"/>
          <w:u w:val="single"/>
        </w:rPr>
        <w:t>amending</w:t>
      </w:r>
      <w:r w:rsidRPr="003D2D4A">
        <w:rPr>
          <w:color w:val="0070C0"/>
        </w:rPr>
        <w:t xml:space="preserve"> the L2 legal text in Art.7(5)(6) of RTS 2, making them consistent to the wording of the reviewed MiFIR L1 text, as per Art.21(a).</w:t>
      </w:r>
    </w:p>
    <w:p w14:paraId="37743010" w14:textId="77777777" w:rsidR="003F16ED" w:rsidRPr="003D2D4A" w:rsidRDefault="003F16ED" w:rsidP="003F16ED">
      <w:pPr>
        <w:rPr>
          <w:color w:val="0070C0"/>
        </w:rPr>
      </w:pPr>
      <w:r w:rsidRPr="003D2D4A">
        <w:rPr>
          <w:color w:val="0070C0"/>
        </w:rPr>
        <w:t xml:space="preserve">Aside from the above, ABI takes the opportunity offered by this question for a few further considerations on the newly set “Designated Publishing Entity” regime (DPE). We have welcomed the clarifications provided by ESMA via its </w:t>
      </w:r>
      <w:hyperlink r:id="rId24" w:history="1">
        <w:r w:rsidRPr="003D2D4A">
          <w:rPr>
            <w:rStyle w:val="Collegamentoipertestuale"/>
            <w:color w:val="0070C0"/>
          </w:rPr>
          <w:t xml:space="preserve">Public Statement n. 74-2134169708-7345, dated 22 July </w:t>
        </w:r>
        <w:r w:rsidRPr="003D2D4A">
          <w:rPr>
            <w:rStyle w:val="Collegamentoipertestuale"/>
            <w:color w:val="0070C0"/>
          </w:rPr>
          <w:lastRenderedPageBreak/>
          <w:t>2024</w:t>
        </w:r>
      </w:hyperlink>
      <w:r w:rsidRPr="003D2D4A">
        <w:rPr>
          <w:color w:val="0070C0"/>
        </w:rPr>
        <w:t xml:space="preserve"> (</w:t>
      </w:r>
      <w:r w:rsidRPr="003D2D4A">
        <w:rPr>
          <w:rStyle w:val="Rimandonotaapidipagina"/>
          <w:color w:val="0070C0"/>
        </w:rPr>
        <w:footnoteReference w:id="2"/>
      </w:r>
      <w:r w:rsidRPr="003D2D4A">
        <w:rPr>
          <w:color w:val="0070C0"/>
        </w:rPr>
        <w:t>) as it complements some important necessary information our members were wondering about during the course of this public consultation. Particularly, for sake of legal certainty, it was appreciated the information that «(…)</w:t>
      </w:r>
      <w:r w:rsidRPr="00742790">
        <w:rPr>
          <w:color w:val="0070C0"/>
        </w:rPr>
        <w:t xml:space="preserve"> </w:t>
      </w:r>
      <w:r w:rsidRPr="003D2D4A">
        <w:rPr>
          <w:i/>
          <w:iCs/>
          <w:color w:val="0070C0"/>
        </w:rPr>
        <w:t>the new DPE regime for post-trade transparency becomes fully operational on 3 February 2025. Therefore, ESMA expects that as of 3 February 2025, registered DPEs, which are party to a transaction, will make the transaction public through an APA. (…) ESMA expects that the current approach relying on Systematic Internalisers (SIs) to make transactions public through an APA should stop applying as of this date</w:t>
      </w:r>
      <w:r w:rsidRPr="003D2D4A">
        <w:rPr>
          <w:color w:val="0070C0"/>
        </w:rPr>
        <w:t>»</w:t>
      </w:r>
      <w:r>
        <w:rPr>
          <w:color w:val="0070C0"/>
        </w:rPr>
        <w:t>.</w:t>
      </w:r>
      <w:r w:rsidRPr="003D2D4A">
        <w:rPr>
          <w:color w:val="0070C0"/>
        </w:rPr>
        <w:t xml:space="preserve"> Equally useful it was found the following «(…) </w:t>
      </w:r>
      <w:r w:rsidRPr="003D2D4A">
        <w:rPr>
          <w:i/>
          <w:iCs/>
          <w:color w:val="0070C0"/>
        </w:rPr>
        <w:t xml:space="preserve">Investment firms intending to become DPEs are encouraged to register with their NCA, indicating the classes of financial instruments for which they wish to take up this function (see Table 1 below) along with other identifying information requested by the NCAs (e.g. LEIs). NCAs will transmit the information regarding the DPEs for specific classes of financial </w:t>
      </w:r>
      <w:r w:rsidRPr="00742790">
        <w:rPr>
          <w:i/>
          <w:color w:val="0070C0"/>
        </w:rPr>
        <w:t>instruments to ESMA so that the information is included in the future DPE public register. The granting of the DPE status can start anytime from now on</w:t>
      </w:r>
      <w:r>
        <w:rPr>
          <w:color w:val="0070C0"/>
        </w:rPr>
        <w:t>.</w:t>
      </w:r>
      <w:r w:rsidRPr="003D2D4A">
        <w:rPr>
          <w:color w:val="0070C0"/>
        </w:rPr>
        <w:t>»</w:t>
      </w:r>
    </w:p>
    <w:p w14:paraId="664F86CF" w14:textId="660DBBB4" w:rsidR="00CC59BB" w:rsidRDefault="003F16ED" w:rsidP="003F16ED">
      <w:pPr>
        <w:spacing w:after="0"/>
      </w:pPr>
      <w:r w:rsidRPr="003D2D4A">
        <w:rPr>
          <w:color w:val="0070C0"/>
        </w:rPr>
        <w:t>Thanks to the information available in the Statement, some important uncertainties were clarified</w:t>
      </w:r>
      <w:r>
        <w:rPr>
          <w:color w:val="0070C0"/>
        </w:rPr>
        <w:t>,</w:t>
      </w:r>
      <w:r w:rsidRPr="003D2D4A">
        <w:rPr>
          <w:color w:val="0070C0"/>
        </w:rPr>
        <w:t xml:space="preserve"> and it has been made possible for interested parties to </w:t>
      </w:r>
      <w:r>
        <w:rPr>
          <w:color w:val="0070C0"/>
        </w:rPr>
        <w:t xml:space="preserve">start </w:t>
      </w:r>
      <w:r w:rsidRPr="003D2D4A">
        <w:rPr>
          <w:color w:val="0070C0"/>
        </w:rPr>
        <w:t>consider</w:t>
      </w:r>
      <w:r>
        <w:rPr>
          <w:color w:val="0070C0"/>
        </w:rPr>
        <w:t>ing</w:t>
      </w:r>
      <w:r w:rsidRPr="003D2D4A">
        <w:rPr>
          <w:color w:val="0070C0"/>
        </w:rPr>
        <w:t xml:space="preserve"> whether to qualify as DPEs (for one or more classes of financial instruments). However, we believe that the Statement could have been the right occasion </w:t>
      </w:r>
      <w:r>
        <w:rPr>
          <w:color w:val="0070C0"/>
        </w:rPr>
        <w:t xml:space="preserve">for ESMA </w:t>
      </w:r>
      <w:r w:rsidRPr="003D2D4A">
        <w:rPr>
          <w:color w:val="0070C0"/>
        </w:rPr>
        <w:t>to provide some further indications to local NCAs (and indirectly to the relevant stakeholders) in terms of how NCAs intend(ed) to receive contacts by investment firms interested in further details on the DPE qualification and to assess whether and how to apply (locally) to qualify as DPEs (contact offices/emails, templates, and any information relevant for the DPE application). The Statement could have been also a tool to make clear whether NCAs would have (had) some degrees of discretion in setting out the application forms for DPEs application</w:t>
      </w:r>
      <w:r>
        <w:rPr>
          <w:color w:val="0070C0"/>
        </w:rPr>
        <w:t>.</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5A6B3CCF" w:rsidR="00CC59BB" w:rsidRDefault="00D90D09" w:rsidP="00C54034">
      <w:pPr>
        <w:spacing w:after="0"/>
      </w:pPr>
      <w:bookmarkStart w:id="11" w:name="_Hlk172904824"/>
      <w:permStart w:id="1628839836" w:edGrp="everyone"/>
      <w:r>
        <w:rPr>
          <w:color w:val="0070C0"/>
        </w:rPr>
        <w:t xml:space="preserve">Unfortunately, </w:t>
      </w:r>
      <w:r w:rsidRPr="00742790">
        <w:rPr>
          <w:color w:val="0070C0"/>
        </w:rPr>
        <w:t xml:space="preserve">ABI is not in a position to express a view on the proposals regarding </w:t>
      </w:r>
      <w:bookmarkEnd w:id="11"/>
      <w:r w:rsidRPr="00742790">
        <w:rPr>
          <w:color w:val="0070C0"/>
        </w:rPr>
        <w:t>the liquidity thresholds set out in Table 7</w:t>
      </w:r>
      <w:r>
        <w:rPr>
          <w:color w:val="0070C0"/>
        </w:rPr>
        <w:t>.</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lastRenderedPageBreak/>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5A1421BF" w:rsidR="00CC59BB" w:rsidRDefault="0090307F" w:rsidP="00C54034">
      <w:pPr>
        <w:spacing w:after="0"/>
      </w:pPr>
      <w:permStart w:id="1550012690" w:edGrp="everyone"/>
      <w:r w:rsidRPr="00F64A6E">
        <w:rPr>
          <w:color w:val="0070C0"/>
        </w:rPr>
        <w:t>Unfortunately, ABI is not in a position to express a view on the proposed thresholds</w:t>
      </w:r>
      <w:r w:rsidR="005A58AF">
        <w:t>.</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4AE9925" w14:textId="74EC977F" w:rsidR="00CC59BB" w:rsidRDefault="00F64A6E" w:rsidP="00C54034">
      <w:pPr>
        <w:spacing w:after="0"/>
      </w:pPr>
      <w:permStart w:id="1951602752" w:edGrp="everyone"/>
      <w:r>
        <w:rPr>
          <w:color w:val="0070C0"/>
        </w:rPr>
        <w:t xml:space="preserve">Unfortunately, </w:t>
      </w:r>
      <w:r w:rsidRPr="00CE04F6">
        <w:rPr>
          <w:color w:val="0070C0"/>
        </w:rPr>
        <w:t>ABI is not in a position to express a view on the propos</w:t>
      </w:r>
      <w:r>
        <w:rPr>
          <w:color w:val="0070C0"/>
        </w:rPr>
        <w:t>ed maximum deferral period.</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lastRenderedPageBreak/>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lastRenderedPageBreak/>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0450D817" w:rsidR="00CC59BB" w:rsidRDefault="007E6F27" w:rsidP="00C54034">
      <w:pPr>
        <w:spacing w:after="0"/>
      </w:pPr>
      <w:permStart w:id="1711693936" w:edGrp="everyone"/>
      <w:r w:rsidRPr="00742790">
        <w:rPr>
          <w:color w:val="0070C0"/>
        </w:rPr>
        <w:t xml:space="preserve">Unfortunately, ABI is not in a position to express a view on the proposal to keep unchanged the framework of temporary suspension of transparency obligations as </w:t>
      </w:r>
      <w:r>
        <w:rPr>
          <w:color w:val="0070C0"/>
        </w:rPr>
        <w:t xml:space="preserve">currently drafted </w:t>
      </w:r>
      <w:r w:rsidRPr="00742790">
        <w:rPr>
          <w:color w:val="0070C0"/>
        </w:rPr>
        <w:t>under RTS2.</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671975AE" w14:textId="158541C7" w:rsidR="0026359C" w:rsidRPr="00996D29" w:rsidRDefault="0026359C" w:rsidP="0026359C">
      <w:permStart w:id="1126446852" w:edGrp="everyone"/>
      <w:r w:rsidRPr="00996D29">
        <w:rPr>
          <w:color w:val="0070C0"/>
        </w:rPr>
        <w:t>ABI takes the opportunity of this question to highlight some considerations on the “</w:t>
      </w:r>
      <w:r w:rsidRPr="00996D29">
        <w:rPr>
          <w:i/>
          <w:iCs/>
          <w:color w:val="0070C0"/>
        </w:rPr>
        <w:t xml:space="preserve">Transfers of financial instruments between two clients </w:t>
      </w:r>
      <w:r w:rsidRPr="00996D29">
        <w:rPr>
          <w:i/>
          <w:iCs/>
          <w:color w:val="0070C0"/>
          <w:u w:val="single"/>
        </w:rPr>
        <w:t>with no price paid</w:t>
      </w:r>
      <w:r w:rsidRPr="00996D29">
        <w:rPr>
          <w:i/>
          <w:iCs/>
          <w:color w:val="0070C0"/>
        </w:rPr>
        <w:t xml:space="preserve"> (e.g. donations or gifts)</w:t>
      </w:r>
      <w:r w:rsidRPr="00996D29">
        <w:rPr>
          <w:color w:val="0070C0"/>
        </w:rPr>
        <w:t xml:space="preserve">” as reported under </w:t>
      </w:r>
      <w:r w:rsidRPr="00996D29">
        <w:rPr>
          <w:rFonts w:ascii="Aptos" w:hAnsi="Aptos"/>
          <w:color w:val="0070C0"/>
        </w:rPr>
        <w:t xml:space="preserve">Table 10 e 11 (of paragraph 4.1.3.3) </w:t>
      </w:r>
      <w:r w:rsidRPr="00996D29">
        <w:rPr>
          <w:color w:val="0070C0"/>
        </w:rPr>
        <w:t xml:space="preserve">of the </w:t>
      </w:r>
      <w:hyperlink r:id="rId25" w:history="1">
        <w:r w:rsidRPr="00996D29">
          <w:rPr>
            <w:rStyle w:val="Collegamentoipertestuale"/>
          </w:rPr>
          <w:t>ESMA’s “Manual on Post-Trade Transparency</w:t>
        </w:r>
      </w:hyperlink>
      <w:r w:rsidRPr="00996D29">
        <w:t>”,</w:t>
      </w:r>
      <w:r w:rsidRPr="00996D29">
        <w:rPr>
          <w:rFonts w:ascii="Aptos" w:hAnsi="Aptos"/>
          <w:color w:val="0070C0"/>
        </w:rPr>
        <w:t xml:space="preserve"> in particular, on our reading which would suggest the </w:t>
      </w:r>
      <w:r w:rsidRPr="00996D29">
        <w:rPr>
          <w:rFonts w:ascii="Aptos" w:hAnsi="Aptos"/>
          <w:color w:val="0070C0"/>
          <w:u w:val="single"/>
        </w:rPr>
        <w:t>exclusion</w:t>
      </w:r>
      <w:r w:rsidRPr="00996D29">
        <w:rPr>
          <w:rFonts w:ascii="Aptos" w:hAnsi="Aptos"/>
          <w:color w:val="0070C0"/>
        </w:rPr>
        <w:t xml:space="preserve"> thereof of such transfers from the post-trade transparency (PTT), as also envisaged by Art.12 of RTS2</w:t>
      </w:r>
      <w:r w:rsidRPr="00996D29">
        <w:t xml:space="preserve">. </w:t>
      </w:r>
    </w:p>
    <w:p w14:paraId="78DA3F13" w14:textId="77777777" w:rsidR="00EC1AB1" w:rsidRDefault="0026359C" w:rsidP="00EC1AB1">
      <w:pPr>
        <w:rPr>
          <w:rFonts w:ascii="Aptos" w:hAnsi="Aptos"/>
          <w:color w:val="0070C0"/>
        </w:rPr>
      </w:pPr>
      <w:r w:rsidRPr="00996D29">
        <w:rPr>
          <w:color w:val="0070C0"/>
        </w:rPr>
        <w:t xml:space="preserve">Under said Manual, such Transaction Type </w:t>
      </w:r>
      <w:r w:rsidRPr="00996D29">
        <w:rPr>
          <w:color w:val="0070C0"/>
          <w:u w:val="single"/>
        </w:rPr>
        <w:t>is in scope</w:t>
      </w:r>
      <w:r w:rsidRPr="00996D29">
        <w:rPr>
          <w:color w:val="0070C0"/>
        </w:rPr>
        <w:t xml:space="preserve"> of the </w:t>
      </w:r>
      <w:r>
        <w:rPr>
          <w:color w:val="0070C0"/>
        </w:rPr>
        <w:t xml:space="preserve">PTT </w:t>
      </w:r>
      <w:r w:rsidRPr="00996D29">
        <w:rPr>
          <w:color w:val="0070C0"/>
        </w:rPr>
        <w:t xml:space="preserve">obligation, both for operations done on- or off-venues. ABI understands that such requirement is seemingly based on the combined reading of Art.12 of RTS 2, which recalls Art.2(5) of Delegated Regulation 2017/590 on Transaction Reporting. </w:t>
      </w:r>
      <w:r w:rsidRPr="00996D29">
        <w:rPr>
          <w:rFonts w:ascii="Aptos" w:hAnsi="Aptos"/>
          <w:color w:val="0070C0"/>
        </w:rPr>
        <w:t>On the basis of its members’ feedback, ABI nourishes some reservations on such inclusion and, in fact, supports its exclusion from the scope of PTT, as explained thereafter.</w:t>
      </w:r>
      <w:r w:rsidR="00EC1AB1">
        <w:rPr>
          <w:rFonts w:ascii="Aptos" w:hAnsi="Aptos"/>
          <w:color w:val="0070C0"/>
        </w:rPr>
        <w:t xml:space="preserve">  </w:t>
      </w:r>
    </w:p>
    <w:p w14:paraId="522D9773" w14:textId="186514C3" w:rsidR="00EC1AB1" w:rsidRPr="00996D29" w:rsidRDefault="00EC1AB1" w:rsidP="00EC1AB1">
      <w:pPr>
        <w:rPr>
          <w:color w:val="0070C0"/>
        </w:rPr>
      </w:pPr>
      <w:r w:rsidRPr="00996D29">
        <w:rPr>
          <w:color w:val="0070C0"/>
        </w:rPr>
        <w:t xml:space="preserve">The </w:t>
      </w:r>
      <w:r w:rsidRPr="00996D29">
        <w:rPr>
          <w:rFonts w:ascii="Aptos" w:hAnsi="Aptos"/>
          <w:color w:val="0070C0"/>
        </w:rPr>
        <w:t xml:space="preserve">overarching logic and ultimate objective </w:t>
      </w:r>
      <w:r w:rsidRPr="00996D29">
        <w:rPr>
          <w:color w:val="0070C0"/>
        </w:rPr>
        <w:t xml:space="preserve">of the PTT regime is to ensure and contribute to the so-called “price formation process” thanks to the “price discovery” process. </w:t>
      </w:r>
      <w:r w:rsidRPr="00996D29">
        <w:rPr>
          <w:rFonts w:ascii="Aptos" w:hAnsi="Aptos"/>
          <w:color w:val="0070C0"/>
        </w:rPr>
        <w:t xml:space="preserve">On this basis, it is difficult to see if and how “transfers of financial instruments where no price is paid”, might contribute to the objective mentioned above (as it the case for donations and gifts). </w:t>
      </w:r>
      <w:r w:rsidRPr="00996D29">
        <w:rPr>
          <w:color w:val="0070C0"/>
        </w:rPr>
        <w:t xml:space="preserve">Differently, we acknowledge </w:t>
      </w:r>
      <w:r w:rsidRPr="00996D29">
        <w:rPr>
          <w:rFonts w:ascii="Aptos" w:eastAsia="Calibri" w:hAnsi="Aptos" w:cs="Times New Roman"/>
          <w:color w:val="0070C0"/>
        </w:rPr>
        <w:t>the rationale that includes these type</w:t>
      </w:r>
      <w:r>
        <w:rPr>
          <w:rFonts w:ascii="Aptos" w:eastAsia="Calibri" w:hAnsi="Aptos" w:cs="Times New Roman"/>
          <w:color w:val="0070C0"/>
        </w:rPr>
        <w:t>s</w:t>
      </w:r>
      <w:r w:rsidRPr="00996D29">
        <w:rPr>
          <w:rFonts w:ascii="Aptos" w:eastAsia="Calibri" w:hAnsi="Aptos" w:cs="Times New Roman"/>
          <w:color w:val="0070C0"/>
        </w:rPr>
        <w:t xml:space="preserve"> of transactions within the scope of transaction reporting (TR) since they imply a change in property (in the final beneficial owner)</w:t>
      </w:r>
      <w:r w:rsidRPr="00996D29">
        <w:rPr>
          <w:color w:val="0070C0"/>
        </w:rPr>
        <w:t xml:space="preserve">. </w:t>
      </w:r>
      <w:r w:rsidRPr="00996D29">
        <w:rPr>
          <w:rFonts w:ascii="Aptos" w:hAnsi="Aptos"/>
          <w:color w:val="0070C0"/>
        </w:rPr>
        <w:t>As we understand, scoping these transactions within the TR relies on a “concept of transaction” which was laid down by the EU Level-1 legislation for the mere purposes of Delegated Regulation (UE) 2017/590 (Articles 2(1) e 3(1)), that encompasses also the transfers.</w:t>
      </w:r>
    </w:p>
    <w:p w14:paraId="3A1808D2" w14:textId="77777777" w:rsidR="00EC1AB1" w:rsidRPr="00996D29" w:rsidRDefault="00EC1AB1" w:rsidP="00EC1AB1">
      <w:pPr>
        <w:rPr>
          <w:color w:val="0070C0"/>
        </w:rPr>
      </w:pPr>
      <w:r w:rsidRPr="00996D29">
        <w:rPr>
          <w:color w:val="0070C0"/>
        </w:rPr>
        <w:t xml:space="preserve">In consideration of the above, we would ask ESMA to take the opportunity of this consultation work to assess whether there is room for excluding the above-mentioned Transaction Type “with no price paid” from the scope of application of post-trade transparency </w:t>
      </w:r>
      <w:r w:rsidRPr="00996D29">
        <w:rPr>
          <w:rFonts w:ascii="Aptos" w:hAnsi="Aptos"/>
          <w:color w:val="0070C0"/>
        </w:rPr>
        <w:t>within the Art.12 of RTS 2 or, rather, ii) to re-assess the whole set of Level 3 rules dealing with the “transfers of financial instruments between two clients with no price paid”, in line with the “Manual on Post-Trade Transparency”</w:t>
      </w:r>
      <w:r w:rsidRPr="00996D29">
        <w:rPr>
          <w:color w:val="0070C0"/>
        </w:rPr>
        <w:t>.</w:t>
      </w:r>
    </w:p>
    <w:p w14:paraId="2E4AEEE6" w14:textId="3E628009" w:rsidR="00CC59BB" w:rsidRPr="0026359C" w:rsidRDefault="00EC1AB1" w:rsidP="00EC1AB1">
      <w:pPr>
        <w:rPr>
          <w:color w:val="0070C0"/>
        </w:rPr>
      </w:pPr>
      <w:r w:rsidRPr="00996D29">
        <w:rPr>
          <w:color w:val="0070C0"/>
        </w:rPr>
        <w:lastRenderedPageBreak/>
        <w:t>Eventually, ABI underlines the importance of an appropriate calibration and phase-in of the (currently proposed) amended level-2 legislative provisions, considering the several adjustments these will imply to the internal systems and procedures of banks and investments firms</w:t>
      </w:r>
      <w:r w:rsidR="00AC1ACB">
        <w:rPr>
          <w:color w:val="0070C0"/>
        </w:rPr>
        <w:t>.</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63D6A3D2" w14:textId="141F3574" w:rsidR="00AC1ACB" w:rsidRPr="00510FF8" w:rsidRDefault="00AC1ACB" w:rsidP="00AC1ACB">
      <w:pPr>
        <w:rPr>
          <w:color w:val="0070C0"/>
        </w:rPr>
      </w:pPr>
      <w:permStart w:id="1672500431" w:edGrp="everyone"/>
      <w:r w:rsidRPr="00510FF8">
        <w:rPr>
          <w:color w:val="0070C0"/>
        </w:rPr>
        <w:t>First of all, we would like to underline how crucial is the topic of the fair and non-discriminatory access to market data by intermediaries and market participants. Banks and investment firms have seen in recent years a continuous and consistent growth in the costs spent for market data and indices. There is, indeed, a growing need of financial data and information from financial institutions, driven by regulatory demands (e.g. ESG, Prudential Supervision) or compliance. On the other end, there is a continuous increase of the prices for such information by info providers, even beyond the inflation rate. We therefore welcome ESMA development of a RTS on ‘reasonable commercial basis’ related to MIFID/MIFIR market data, which are part of the issue.</w:t>
      </w:r>
    </w:p>
    <w:p w14:paraId="0FF5B233" w14:textId="7FC41B5B" w:rsidR="00CC59BB" w:rsidRDefault="00AC1ACB" w:rsidP="00AC1ACB">
      <w:pPr>
        <w:spacing w:after="0"/>
      </w:pPr>
      <w:r>
        <w:rPr>
          <w:color w:val="0070C0"/>
        </w:rPr>
        <w:t>Having said that</w:t>
      </w:r>
      <w:r w:rsidRPr="00510FF8">
        <w:rPr>
          <w:color w:val="0070C0"/>
        </w:rPr>
        <w:t>, we agree with the general approach used to specify the costs and margin attributable to the production and distribution of market data</w:t>
      </w:r>
      <w:r>
        <w:rPr>
          <w:color w:val="0070C0"/>
        </w:rPr>
        <w:t>.</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4DCAACF5" w14:textId="50899D14" w:rsidR="00FA4100" w:rsidRDefault="00595896" w:rsidP="00FA4100">
      <w:pPr>
        <w:spacing w:after="0"/>
      </w:pPr>
      <w:permStart w:id="1840853704" w:edGrp="everyone"/>
      <w:r w:rsidRPr="00510FF8">
        <w:rPr>
          <w:color w:val="0070C0"/>
        </w:rPr>
        <w:lastRenderedPageBreak/>
        <w:t>Yes, we agree with the proposed approach to the cost calculation based on the identification of different cost categories and we find it appropriate to the evolution observed in the offering of market data services over recent years</w:t>
      </w:r>
      <w:r>
        <w:rPr>
          <w:color w:val="0070C0"/>
        </w:rPr>
        <w:t>.</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F76C4AE" w14:textId="77777777" w:rsidR="00FA4100" w:rsidRDefault="00FA4100" w:rsidP="00FA4100">
      <w:pPr>
        <w:spacing w:after="0"/>
      </w:pPr>
      <w:permStart w:id="636686123" w:edGrp="everyone"/>
      <w:r>
        <w:t>TYPE YOUR TEXT HERE</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lastRenderedPageBreak/>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lastRenderedPageBreak/>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79E543D" w14:textId="77777777" w:rsidR="00FA4100" w:rsidRDefault="00FA4100" w:rsidP="00FA4100">
      <w:pPr>
        <w:spacing w:after="0"/>
      </w:pPr>
      <w:permStart w:id="1201633413" w:edGrp="everyone"/>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77777777" w:rsidR="00FA4100" w:rsidRDefault="00FA4100" w:rsidP="00FA4100">
      <w:pPr>
        <w:spacing w:after="0"/>
      </w:pPr>
      <w:permStart w:id="1252924652" w:edGrp="everyone"/>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68B33D" w14:textId="77777777" w:rsidR="00FA4100" w:rsidRDefault="00FA4100" w:rsidP="00FA4100">
      <w:pPr>
        <w:spacing w:after="0"/>
      </w:pPr>
      <w:permStart w:id="2034649205" w:edGrp="everyone"/>
      <w:r>
        <w:t>TYPE YOUR TEXT HERE</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lastRenderedPageBreak/>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lastRenderedPageBreak/>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0A8EE3F2" w:rsidR="00AF502B" w:rsidRDefault="002E7875" w:rsidP="00AF502B">
      <w:pPr>
        <w:spacing w:after="0"/>
      </w:pPr>
      <w:permStart w:id="213343087" w:edGrp="everyone"/>
      <w:r w:rsidRPr="00E81A08">
        <w:rPr>
          <w:color w:val="0070C0"/>
        </w:rPr>
        <w:t xml:space="preserve">In our opinion, firstly, it would </w:t>
      </w:r>
      <w:r>
        <w:rPr>
          <w:color w:val="0070C0"/>
        </w:rPr>
        <w:t xml:space="preserve">be </w:t>
      </w:r>
      <w:r w:rsidRPr="00E81A08">
        <w:rPr>
          <w:color w:val="0070C0"/>
        </w:rPr>
        <w:t xml:space="preserve">appropriate to provide for a distinction between the entry into force and the actual application of the RTS on RCB provisions. Secondly, </w:t>
      </w:r>
      <w:r>
        <w:rPr>
          <w:color w:val="0070C0"/>
        </w:rPr>
        <w:t xml:space="preserve">a </w:t>
      </w:r>
      <w:r w:rsidRPr="00E81A08">
        <w:rPr>
          <w:color w:val="0070C0"/>
        </w:rPr>
        <w:t>three</w:t>
      </w:r>
      <w:r>
        <w:rPr>
          <w:color w:val="0070C0"/>
        </w:rPr>
        <w:t>-</w:t>
      </w:r>
      <w:r w:rsidRPr="00E81A08">
        <w:rPr>
          <w:color w:val="0070C0"/>
        </w:rPr>
        <w:t xml:space="preserve">months </w:t>
      </w:r>
      <w:r>
        <w:rPr>
          <w:color w:val="0070C0"/>
        </w:rPr>
        <w:t xml:space="preserve">timeframe </w:t>
      </w:r>
      <w:r w:rsidRPr="00E81A08">
        <w:rPr>
          <w:color w:val="0070C0"/>
        </w:rPr>
        <w:t>do</w:t>
      </w:r>
      <w:r>
        <w:rPr>
          <w:color w:val="0070C0"/>
        </w:rPr>
        <w:t>es</w:t>
      </w:r>
      <w:r w:rsidRPr="00E81A08">
        <w:rPr>
          <w:color w:val="0070C0"/>
        </w:rPr>
        <w:t xml:space="preserve"> not appear </w:t>
      </w:r>
      <w:r>
        <w:rPr>
          <w:color w:val="0070C0"/>
        </w:rPr>
        <w:t xml:space="preserve">sufficient </w:t>
      </w:r>
      <w:r w:rsidRPr="00E81A08">
        <w:rPr>
          <w:color w:val="0070C0"/>
        </w:rPr>
        <w:t>to manage and thoroughly comply to the new provisions</w:t>
      </w:r>
      <w:r>
        <w:rPr>
          <w:color w:val="0070C0"/>
        </w:rPr>
        <w:t>.</w:t>
      </w:r>
      <w:r w:rsidRPr="00E81A08">
        <w:rPr>
          <w:color w:val="0070C0"/>
        </w:rPr>
        <w:t xml:space="preserve"> </w:t>
      </w:r>
      <w:r>
        <w:rPr>
          <w:color w:val="0070C0"/>
        </w:rPr>
        <w:t xml:space="preserve">Hence, ABI considers it </w:t>
      </w:r>
      <w:r w:rsidRPr="00E81A08">
        <w:rPr>
          <w:color w:val="0070C0"/>
        </w:rPr>
        <w:t xml:space="preserve">appropriate to provide </w:t>
      </w:r>
      <w:r>
        <w:rPr>
          <w:color w:val="0070C0"/>
        </w:rPr>
        <w:t xml:space="preserve">for the RTS to enter into force </w:t>
      </w:r>
      <w:r w:rsidRPr="00E81A08">
        <w:rPr>
          <w:color w:val="0070C0"/>
        </w:rPr>
        <w:t xml:space="preserve">at least 6 months </w:t>
      </w:r>
      <w:r>
        <w:rPr>
          <w:color w:val="0070C0"/>
        </w:rPr>
        <w:t>after the publication in the OJEU</w:t>
      </w:r>
      <w:r w:rsidRPr="00E81A08">
        <w:rPr>
          <w:color w:val="0070C0"/>
        </w:rPr>
        <w:t xml:space="preserve">. </w:t>
      </w:r>
      <w:r>
        <w:rPr>
          <w:color w:val="0070C0"/>
        </w:rPr>
        <w:t xml:space="preserve">Further to this, as it regards </w:t>
      </w:r>
      <w:r w:rsidRPr="00E81A08">
        <w:rPr>
          <w:color w:val="0070C0"/>
        </w:rPr>
        <w:t>systematic internalisers</w:t>
      </w:r>
      <w:r>
        <w:rPr>
          <w:color w:val="0070C0"/>
        </w:rPr>
        <w:t xml:space="preserve"> (SI)</w:t>
      </w:r>
      <w:r w:rsidRPr="00E81A08">
        <w:rPr>
          <w:color w:val="0070C0"/>
        </w:rPr>
        <w:t xml:space="preserve">, among which smaller </w:t>
      </w:r>
      <w:r>
        <w:rPr>
          <w:color w:val="0070C0"/>
        </w:rPr>
        <w:t xml:space="preserve">financial </w:t>
      </w:r>
      <w:r w:rsidRPr="00E81A08">
        <w:rPr>
          <w:color w:val="0070C0"/>
        </w:rPr>
        <w:t xml:space="preserve">entities can be found, we believe the application of the RCB provisions should provide for </w:t>
      </w:r>
      <w:r>
        <w:rPr>
          <w:color w:val="0070C0"/>
        </w:rPr>
        <w:t xml:space="preserve">an extra </w:t>
      </w:r>
      <w:r w:rsidRPr="00E81A08">
        <w:rPr>
          <w:color w:val="0070C0"/>
        </w:rPr>
        <w:t xml:space="preserve">time for adjustments, also in consideration of the combination of a number of other legislative adjustments SI will be subject to (as for instance is the case for Clock Synchronization, </w:t>
      </w:r>
      <w:r>
        <w:rPr>
          <w:color w:val="0070C0"/>
        </w:rPr>
        <w:t xml:space="preserve">Non-Equity </w:t>
      </w:r>
      <w:r w:rsidRPr="00E81A08">
        <w:rPr>
          <w:color w:val="0070C0"/>
        </w:rPr>
        <w:t>Transparency, etc.)</w:t>
      </w:r>
      <w:r>
        <w:rPr>
          <w:color w:val="0070C0"/>
        </w:rPr>
        <w:t>.</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6EBF42A8" w14:textId="77777777" w:rsidR="00FA5C98" w:rsidRDefault="00AF502B" w:rsidP="00871799">
      <w:pPr>
        <w:spacing w:after="0" w:line="240" w:lineRule="auto"/>
        <w:rPr>
          <w:color w:val="0070C0"/>
        </w:rPr>
      </w:pPr>
      <w:permStart w:id="1472730622" w:edGrp="everyone"/>
      <w:r>
        <w:t>TY</w:t>
      </w:r>
      <w:r w:rsidR="00762D89" w:rsidRPr="00F64F48">
        <w:rPr>
          <w:color w:val="0070C0"/>
        </w:rPr>
        <w:t>ABI takes the opportunity offered by this question to express appreciation over ESMA’s considerations in the scope of RCB, as they acknowledge a number of doubts and reservations emerged in recent years in the scope of “reasonable commercial terms” and market data providers. Specifically, ABI understands from its members that, on average, market data policies and contracts have, over time, become more and more complex or less intelligible, and this has born implications in terms of unexpected costs or impediments to replace a market data provided with another</w:t>
      </w:r>
      <w:r w:rsidR="00762D89">
        <w:rPr>
          <w:color w:val="0070C0"/>
        </w:rPr>
        <w:t>.</w:t>
      </w:r>
      <w:r w:rsidR="00871799" w:rsidRPr="00871799">
        <w:rPr>
          <w:color w:val="0070C0"/>
        </w:rPr>
        <w:t xml:space="preserve"> </w:t>
      </w:r>
    </w:p>
    <w:p w14:paraId="07BAE3A8" w14:textId="77777777" w:rsidR="00FA5C98" w:rsidRDefault="00FA5C98" w:rsidP="00871799">
      <w:pPr>
        <w:spacing w:after="0" w:line="240" w:lineRule="auto"/>
        <w:rPr>
          <w:color w:val="0070C0"/>
        </w:rPr>
      </w:pPr>
    </w:p>
    <w:p w14:paraId="12D81267" w14:textId="3A6D21EA" w:rsidR="00871799" w:rsidRPr="00F64F48" w:rsidRDefault="00871799" w:rsidP="00871799">
      <w:pPr>
        <w:spacing w:after="0" w:line="240" w:lineRule="auto"/>
        <w:rPr>
          <w:color w:val="0070C0"/>
        </w:rPr>
      </w:pPr>
      <w:r w:rsidRPr="00F64F48">
        <w:rPr>
          <w:color w:val="0070C0"/>
        </w:rPr>
        <w:t>ABI welcomes that in level-1 legislation (i.e. MiFIR Review, Regulation EU 2845/2023) mandates ESMA to draft technical standards to:</w:t>
      </w:r>
    </w:p>
    <w:p w14:paraId="0646B3B7" w14:textId="77777777" w:rsidR="00871799" w:rsidRPr="00F64F48" w:rsidRDefault="00871799" w:rsidP="00871799">
      <w:pPr>
        <w:pStyle w:val="Paragrafoelenco"/>
        <w:numPr>
          <w:ilvl w:val="0"/>
          <w:numId w:val="53"/>
        </w:numPr>
        <w:spacing w:after="0" w:line="240" w:lineRule="auto"/>
        <w:rPr>
          <w:color w:val="0070C0"/>
        </w:rPr>
      </w:pPr>
      <w:r w:rsidRPr="00F64F48">
        <w:rPr>
          <w:color w:val="0070C0"/>
        </w:rPr>
        <w:t>harmonise the notion and actual qualification of “fair contractual terms”;</w:t>
      </w:r>
    </w:p>
    <w:p w14:paraId="61693318" w14:textId="77777777" w:rsidR="00871799" w:rsidRPr="00F64F48" w:rsidRDefault="00871799" w:rsidP="00871799">
      <w:pPr>
        <w:pStyle w:val="Paragrafoelenco"/>
        <w:numPr>
          <w:ilvl w:val="0"/>
          <w:numId w:val="53"/>
        </w:numPr>
        <w:spacing w:after="0" w:line="240" w:lineRule="auto"/>
        <w:rPr>
          <w:color w:val="0070C0"/>
        </w:rPr>
      </w:pPr>
      <w:r w:rsidRPr="00F64F48">
        <w:rPr>
          <w:color w:val="0070C0"/>
        </w:rPr>
        <w:t>clarify what shall be intended for “non-discriminatory access” to market data;</w:t>
      </w:r>
    </w:p>
    <w:p w14:paraId="1BDA01BA" w14:textId="77777777" w:rsidR="00871799" w:rsidRPr="00F64F48" w:rsidRDefault="00871799" w:rsidP="00871799">
      <w:pPr>
        <w:pStyle w:val="Paragrafoelenco"/>
        <w:numPr>
          <w:ilvl w:val="0"/>
          <w:numId w:val="53"/>
        </w:numPr>
        <w:spacing w:after="0" w:line="240" w:lineRule="auto"/>
        <w:rPr>
          <w:color w:val="0070C0"/>
        </w:rPr>
      </w:pPr>
      <w:r w:rsidRPr="00F64F48">
        <w:rPr>
          <w:color w:val="0070C0"/>
        </w:rPr>
        <w:t>identify and harmonise the content, format and terms and wording of market data policies;</w:t>
      </w:r>
    </w:p>
    <w:p w14:paraId="15810687" w14:textId="77777777" w:rsidR="00871799" w:rsidRPr="00F64F48" w:rsidRDefault="00871799" w:rsidP="00871799">
      <w:pPr>
        <w:pStyle w:val="Paragrafoelenco"/>
        <w:numPr>
          <w:ilvl w:val="0"/>
          <w:numId w:val="53"/>
        </w:numPr>
        <w:spacing w:after="0" w:line="240" w:lineRule="auto"/>
        <w:rPr>
          <w:color w:val="0070C0"/>
        </w:rPr>
      </w:pPr>
      <w:r w:rsidRPr="00F64F48">
        <w:rPr>
          <w:color w:val="0070C0"/>
        </w:rPr>
        <w:lastRenderedPageBreak/>
        <w:t>list and detail the cost items that might be included in the calculation of costs for the actual production, provision and diffusion of such data. This offers a future safeguard for more rationality in the determination of market data services’ fee structures.</w:t>
      </w:r>
    </w:p>
    <w:p w14:paraId="11E4273D" w14:textId="77777777" w:rsidR="00871799" w:rsidRPr="00F64F48" w:rsidRDefault="00871799" w:rsidP="00871799">
      <w:pPr>
        <w:spacing w:after="0" w:line="240" w:lineRule="auto"/>
      </w:pPr>
    </w:p>
    <w:p w14:paraId="677D19D1" w14:textId="77777777" w:rsidR="001D33FC" w:rsidRDefault="00871799" w:rsidP="00871799">
      <w:pPr>
        <w:spacing w:after="0"/>
        <w:rPr>
          <w:color w:val="0070C0"/>
        </w:rPr>
      </w:pPr>
      <w:r w:rsidRPr="00F64F48">
        <w:rPr>
          <w:color w:val="0070C0"/>
        </w:rPr>
        <w:t xml:space="preserve">Consequently, ABI agrees with ESMA’s proposals in the RCB scope but it underlines the need that the actual legal text of the newly drafted RTS (available from page 303 onward of the CP) be slightly amended in order to include an essential principle (mandated by MiFIR Review and reiterated on pages 64-84 of this CP) which, however, is not made explicit within the Articles of the current version of the draft RTS on RCB, i.e. “(…) </w:t>
      </w:r>
      <w:r w:rsidRPr="00F64F48">
        <w:rPr>
          <w:i/>
          <w:iCs/>
          <w:color w:val="0070C0"/>
        </w:rPr>
        <w:t xml:space="preserve">ensure that it is </w:t>
      </w:r>
      <w:r w:rsidRPr="00F64F48">
        <w:rPr>
          <w:b/>
          <w:bCs/>
          <w:i/>
          <w:iCs/>
          <w:color w:val="0070C0"/>
        </w:rPr>
        <w:t>not</w:t>
      </w:r>
      <w:r w:rsidRPr="00F64F48">
        <w:rPr>
          <w:i/>
          <w:iCs/>
          <w:color w:val="0070C0"/>
        </w:rPr>
        <w:t xml:space="preserve"> possible for trading venues, APAs, CTPs and systematic internalisers to charge for data according to the </w:t>
      </w:r>
      <w:r w:rsidRPr="00F64F48">
        <w:rPr>
          <w:b/>
          <w:bCs/>
          <w:i/>
          <w:iCs/>
          <w:color w:val="0070C0"/>
        </w:rPr>
        <w:t>value</w:t>
      </w:r>
      <w:r w:rsidRPr="00F64F48">
        <w:rPr>
          <w:i/>
          <w:iCs/>
          <w:color w:val="0070C0"/>
        </w:rPr>
        <w:t xml:space="preserve"> that the data represents to individual users. </w:t>
      </w:r>
      <w:r w:rsidRPr="00F64F48">
        <w:rPr>
          <w:color w:val="0070C0"/>
        </w:rPr>
        <w:t xml:space="preserve">(…)”, as it mandated under Recital 12 of Regulation 2024/791 (i.e. MiFIR Review).  In ABI’s opinion, the appropriate place to complement the legal text with such principle might be under Art.3 (“Principles in setting a reasonable margin for market data”), Art. 4 (“Obligation to provide market data on a non-discriminatory basis”) or otherwise under Art. 5 of the draft RTS (“Differentials in fees”). Eventually, ABI would suggest also to </w:t>
      </w:r>
      <w:r w:rsidRPr="00F64F48">
        <w:rPr>
          <w:b/>
          <w:bCs/>
          <w:color w:val="0070C0"/>
        </w:rPr>
        <w:t>complement the above-mentioned principle</w:t>
      </w:r>
      <w:r w:rsidRPr="00F64F48">
        <w:rPr>
          <w:color w:val="0070C0"/>
        </w:rPr>
        <w:t xml:space="preserve"> – about the “value” that data represent to individual users – with a wording which would also exclude the possibility for data providers to charge for the data on the basis of the </w:t>
      </w:r>
      <w:r w:rsidRPr="00F64F48">
        <w:rPr>
          <w:b/>
          <w:bCs/>
          <w:color w:val="0070C0"/>
        </w:rPr>
        <w:t>use of such data</w:t>
      </w:r>
      <w:r w:rsidRPr="00F64F48">
        <w:rPr>
          <w:color w:val="0070C0"/>
        </w:rPr>
        <w:t xml:space="preserve"> made by an individual user</w:t>
      </w:r>
      <w:r w:rsidR="005947D3">
        <w:rPr>
          <w:color w:val="0070C0"/>
        </w:rPr>
        <w:t>.</w:t>
      </w:r>
    </w:p>
    <w:p w14:paraId="460AD4E6" w14:textId="77777777" w:rsidR="001D33FC" w:rsidRDefault="001D33FC" w:rsidP="00871799">
      <w:pPr>
        <w:spacing w:after="0"/>
        <w:rPr>
          <w:color w:val="0070C0"/>
        </w:rPr>
      </w:pPr>
    </w:p>
    <w:p w14:paraId="06F31AC6" w14:textId="4E845702" w:rsidR="00AF502B" w:rsidRDefault="0035579B" w:rsidP="00871799">
      <w:pPr>
        <w:spacing w:after="0"/>
      </w:pPr>
      <w:r w:rsidRPr="00F64F48">
        <w:rPr>
          <w:color w:val="0070C0"/>
        </w:rPr>
        <w:t xml:space="preserve">As it specifically regards Section 12 on page 84, </w:t>
      </w:r>
      <w:r w:rsidRPr="00F64F48">
        <w:rPr>
          <w:b/>
          <w:bCs/>
          <w:i/>
          <w:iCs/>
          <w:color w:val="0070C0"/>
        </w:rPr>
        <w:t>Access and Content of Delayed Data</w:t>
      </w:r>
      <w:r w:rsidRPr="00F64F48">
        <w:rPr>
          <w:color w:val="0070C0"/>
        </w:rPr>
        <w:t xml:space="preserve">, in the scope of free-of-charge access to market data after 15 minutes since their publication, in ABI’s opinion the draft RTS on RCB presented in the CP should be amended to present the same kind of wording, clarity and level of detail as that of the </w:t>
      </w:r>
      <w:r w:rsidRPr="00F64F48">
        <w:t>“</w:t>
      </w:r>
      <w:hyperlink r:id="rId26" w:history="1">
        <w:r w:rsidRPr="00F64F48">
          <w:rPr>
            <w:rStyle w:val="Collegamentoipertestuale"/>
            <w:i/>
          </w:rPr>
          <w:t xml:space="preserve">Guidelines on </w:t>
        </w:r>
        <w:r w:rsidRPr="00F64F48">
          <w:rPr>
            <w:rStyle w:val="Collegamentoipertestuale"/>
          </w:rPr>
          <w:t>MiFID2-MiFIR</w:t>
        </w:r>
        <w:r w:rsidRPr="00F64F48">
          <w:rPr>
            <w:rStyle w:val="Collegamentoipertestuale"/>
            <w:i/>
          </w:rPr>
          <w:t xml:space="preserve"> obligations on market data</w:t>
        </w:r>
      </w:hyperlink>
      <w:r w:rsidRPr="00F64F48">
        <w:t xml:space="preserve">”. </w:t>
      </w:r>
      <w:r w:rsidRPr="00F64F48">
        <w:rPr>
          <w:color w:val="0070C0"/>
        </w:rPr>
        <w:t>Indeed, analysis carried along with our members seems to bring up some inconsistencies in terms of terminology uses and the draft RTS should ideally leverage as much as possible on the wording, clarify and level of details of the above-mentioned Guidelines on Market Data</w:t>
      </w:r>
      <w:r w:rsidR="001D33FC">
        <w:rPr>
          <w:color w:val="0070C0"/>
        </w:rPr>
        <w:t>.</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lastRenderedPageBreak/>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lastRenderedPageBreak/>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lastRenderedPageBreak/>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DEAF75D" w:rsidR="0015061C" w:rsidRDefault="000459C3" w:rsidP="0015061C">
      <w:pPr>
        <w:spacing w:after="0"/>
      </w:pPr>
      <w:permStart w:id="1885042034" w:edGrp="everyone"/>
      <w:r w:rsidRPr="00692A4F">
        <w:rPr>
          <w:color w:val="0070C0"/>
        </w:rPr>
        <w:t>As it regards ESMA’s proposal to consider a future migration of the Reference-Data reporting format from XML to JSON (pages 144-146 of the CP), ABI is not in a position to express support to it</w:t>
      </w:r>
      <w:r>
        <w:rPr>
          <w:color w:val="0070C0"/>
        </w:rPr>
        <w:t xml:space="preserve"> for the time being</w:t>
      </w:r>
      <w:r w:rsidRPr="00692A4F">
        <w:rPr>
          <w:color w:val="0070C0"/>
        </w:rPr>
        <w:t xml:space="preserve">, as our members consider necessary to engage in a detailed assessment of </w:t>
      </w:r>
      <w:r>
        <w:rPr>
          <w:color w:val="0070C0"/>
        </w:rPr>
        <w:t>a potential migration</w:t>
      </w:r>
      <w:r w:rsidRPr="00692A4F">
        <w:rPr>
          <w:color w:val="0070C0"/>
        </w:rPr>
        <w:t xml:space="preserve">, across business functions, processes and products. Besides this, as it </w:t>
      </w:r>
      <w:r>
        <w:rPr>
          <w:color w:val="0070C0"/>
        </w:rPr>
        <w:lastRenderedPageBreak/>
        <w:t xml:space="preserve">also </w:t>
      </w:r>
      <w:r w:rsidRPr="00692A4F">
        <w:rPr>
          <w:color w:val="0070C0"/>
        </w:rPr>
        <w:t xml:space="preserve">emerged during ESMA’s Open Hearing on 28th of June, any future assessment </w:t>
      </w:r>
      <w:r>
        <w:rPr>
          <w:color w:val="0070C0"/>
        </w:rPr>
        <w:t>of</w:t>
      </w:r>
      <w:r w:rsidRPr="00692A4F">
        <w:rPr>
          <w:color w:val="0070C0"/>
        </w:rPr>
        <w:t xml:space="preserve"> </w:t>
      </w:r>
      <w:r>
        <w:rPr>
          <w:color w:val="0070C0"/>
        </w:rPr>
        <w:t xml:space="preserve">a </w:t>
      </w:r>
      <w:r w:rsidRPr="00692A4F">
        <w:rPr>
          <w:color w:val="0070C0"/>
        </w:rPr>
        <w:t xml:space="preserve">timeline for the </w:t>
      </w:r>
      <w:r>
        <w:rPr>
          <w:color w:val="0070C0"/>
        </w:rPr>
        <w:t xml:space="preserve">potential </w:t>
      </w:r>
      <w:r w:rsidRPr="00692A4F">
        <w:rPr>
          <w:color w:val="0070C0"/>
        </w:rPr>
        <w:t>adoption of the new JSON format will have to take into consideration not only an estimate of costs for the EU, but also the need for both the XML and JSON formats to coexis</w:t>
      </w:r>
      <w:r>
        <w:rPr>
          <w:color w:val="0070C0"/>
        </w:rPr>
        <w:t>t</w:t>
      </w:r>
      <w:r w:rsidRPr="00692A4F">
        <w:rPr>
          <w:color w:val="0070C0"/>
        </w:rPr>
        <w:t xml:space="preserve"> for </w:t>
      </w:r>
      <w:r>
        <w:rPr>
          <w:color w:val="0070C0"/>
        </w:rPr>
        <w:t>an undefined timeframe, as it will be necessary (for banks, infrastructures and the EU at wide) to allow for no interruption, or disruptions, with Communication and Reporting Systems of entities outside the EU which will presumably continue to use the XML format for some time after the EU future potential migration.</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2C760967" w:rsidR="0015061C" w:rsidRDefault="00C17EA2" w:rsidP="0015061C">
      <w:pPr>
        <w:spacing w:after="0"/>
      </w:pPr>
      <w:permStart w:id="1904763643" w:edGrp="everyone"/>
      <w:r w:rsidRPr="003D2D4A">
        <w:rPr>
          <w:color w:val="0070C0"/>
        </w:rPr>
        <w:t xml:space="preserve">We agree with the adjustments proposed by ESMA </w:t>
      </w:r>
      <w:r>
        <w:rPr>
          <w:color w:val="0070C0"/>
        </w:rPr>
        <w:t xml:space="preserve">consisting in </w:t>
      </w:r>
      <w:r w:rsidRPr="003D2D4A">
        <w:rPr>
          <w:color w:val="0070C0"/>
        </w:rPr>
        <w:t>identify</w:t>
      </w:r>
      <w:r>
        <w:rPr>
          <w:color w:val="0070C0"/>
        </w:rPr>
        <w:t>ing</w:t>
      </w:r>
      <w:r w:rsidRPr="003D2D4A">
        <w:rPr>
          <w:color w:val="0070C0"/>
        </w:rPr>
        <w:t xml:space="preserve"> DPEs when the</w:t>
      </w:r>
      <w:r>
        <w:rPr>
          <w:color w:val="0070C0"/>
        </w:rPr>
        <w:t>y</w:t>
      </w:r>
      <w:r w:rsidRPr="003D2D4A">
        <w:rPr>
          <w:color w:val="0070C0"/>
        </w:rPr>
        <w:t xml:space="preserve"> report reference data. We have no further suggestions to make in this regard</w:t>
      </w:r>
      <w:r>
        <w:t>.</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27929EF4" w:rsidR="0015061C" w:rsidRDefault="00CD330F" w:rsidP="0015061C">
      <w:pPr>
        <w:spacing w:after="0"/>
      </w:pPr>
      <w:permStart w:id="1129906537" w:edGrp="everyone"/>
      <w:r w:rsidRPr="007926C9">
        <w:rPr>
          <w:color w:val="0070C0"/>
        </w:rPr>
        <w:t>We appreciated this question but</w:t>
      </w:r>
      <w:r>
        <w:rPr>
          <w:color w:val="0070C0"/>
        </w:rPr>
        <w:t>,</w:t>
      </w:r>
      <w:r w:rsidRPr="007926C9">
        <w:rPr>
          <w:color w:val="0070C0"/>
        </w:rPr>
        <w:t xml:space="preserve"> unfortunately</w:t>
      </w:r>
      <w:r>
        <w:rPr>
          <w:color w:val="0070C0"/>
        </w:rPr>
        <w:t>,</w:t>
      </w:r>
      <w:r w:rsidRPr="007926C9">
        <w:rPr>
          <w:color w:val="0070C0"/>
        </w:rPr>
        <w:t xml:space="preserve"> we have no</w:t>
      </w:r>
      <w:r>
        <w:rPr>
          <w:color w:val="0070C0"/>
        </w:rPr>
        <w:t>t</w:t>
      </w:r>
      <w:r w:rsidRPr="007926C9">
        <w:rPr>
          <w:color w:val="0070C0"/>
        </w:rPr>
        <w:t xml:space="preserve"> gathered sufficient specific feedback on its scope</w:t>
      </w:r>
      <w:r>
        <w:rPr>
          <w:color w:val="0070C0"/>
        </w:rPr>
        <w:t>.</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9D77" w14:textId="77777777" w:rsidR="00D16E33" w:rsidRDefault="00D16E33" w:rsidP="00F716D4">
      <w:r>
        <w:separator/>
      </w:r>
    </w:p>
    <w:p w14:paraId="1918C51C" w14:textId="77777777" w:rsidR="00D16E33" w:rsidRDefault="00D16E33" w:rsidP="00F716D4"/>
  </w:endnote>
  <w:endnote w:type="continuationSeparator" w:id="0">
    <w:p w14:paraId="6D6C55FB" w14:textId="77777777" w:rsidR="00D16E33" w:rsidRDefault="00D16E33" w:rsidP="00F716D4">
      <w:r>
        <w:continuationSeparator/>
      </w:r>
    </w:p>
    <w:p w14:paraId="702B673B" w14:textId="77777777" w:rsidR="00D16E33" w:rsidRDefault="00D16E33" w:rsidP="00F716D4"/>
  </w:endnote>
  <w:endnote w:type="continuationNotice" w:id="1">
    <w:p w14:paraId="242ECF35" w14:textId="77777777" w:rsidR="00D16E33" w:rsidRDefault="00D16E3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r w:rsidRPr="00A8626B">
        <w:rPr>
          <w:rStyle w:val="Collegamentoipertestuale"/>
          <w:sz w:val="15"/>
          <w:szCs w:val="15"/>
          <w:lang w:val="fr-BE"/>
        </w:rPr>
        <w:t>europa</w:t>
      </w:r>
      <w:r w:rsidRPr="00A8626B">
        <w:rPr>
          <w:rStyle w:val="Collegamentoipertestuale"/>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r w:rsidRPr="00A8626B">
        <w:rPr>
          <w:rStyle w:val="Collegamentoipertestuale"/>
          <w:sz w:val="15"/>
          <w:szCs w:val="15"/>
          <w:lang w:val="fr-BE"/>
        </w:rPr>
        <w:t>europa</w:t>
      </w:r>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E970" w14:textId="77777777" w:rsidR="00D16E33" w:rsidRDefault="00D16E33" w:rsidP="00F716D4">
      <w:r>
        <w:separator/>
      </w:r>
    </w:p>
    <w:p w14:paraId="6A9C6DE3" w14:textId="77777777" w:rsidR="00D16E33" w:rsidRDefault="00D16E33" w:rsidP="00F716D4"/>
  </w:footnote>
  <w:footnote w:type="continuationSeparator" w:id="0">
    <w:p w14:paraId="78E708C2" w14:textId="77777777" w:rsidR="00D16E33" w:rsidRDefault="00D16E33" w:rsidP="00F716D4">
      <w:r>
        <w:continuationSeparator/>
      </w:r>
    </w:p>
    <w:p w14:paraId="5247EAF1" w14:textId="77777777" w:rsidR="00D16E33" w:rsidRDefault="00D16E33" w:rsidP="00F716D4"/>
  </w:footnote>
  <w:footnote w:type="continuationNotice" w:id="1">
    <w:p w14:paraId="0C7CD853" w14:textId="77777777" w:rsidR="00D16E33" w:rsidRDefault="00D16E33" w:rsidP="00F716D4"/>
  </w:footnote>
  <w:footnote w:id="2">
    <w:p w14:paraId="552F05C7" w14:textId="77777777" w:rsidR="003F16ED" w:rsidRDefault="003F16ED" w:rsidP="003F16ED">
      <w:pPr>
        <w:pStyle w:val="Testonotaapidipagina"/>
      </w:pPr>
      <w:r>
        <w:rPr>
          <w:rStyle w:val="Rimandonotaapidipagina"/>
        </w:rPr>
        <w:footnoteRef/>
      </w:r>
      <w:r>
        <w:t xml:space="preserve"> </w:t>
      </w:r>
      <w:hyperlink r:id="rId1" w:history="1">
        <w:r w:rsidRPr="00E17A7B">
          <w:rPr>
            <w:rStyle w:val="Collegamentoipertestuale"/>
          </w:rPr>
          <w:t>https://www.esma.europa.eu/sites/default/files/2024-07/ESMA74-2134169708-7345_Public_statement_on_DPE_regime.pdf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325780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25110391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050137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26E94"/>
    <w:multiLevelType w:val="hybridMultilevel"/>
    <w:tmpl w:val="F678DD6C"/>
    <w:lvl w:ilvl="0" w:tplc="015EF524">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9B6A1E"/>
    <w:multiLevelType w:val="hybridMultilevel"/>
    <w:tmpl w:val="CD12A3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4DC5B69"/>
    <w:multiLevelType w:val="hybridMultilevel"/>
    <w:tmpl w:val="CD12A3B8"/>
    <w:lvl w:ilvl="0" w:tplc="D6E836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8"/>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9"/>
  </w:num>
  <w:num w:numId="37" w16cid:durableId="1819835511">
    <w:abstractNumId w:val="11"/>
  </w:num>
  <w:num w:numId="38" w16cid:durableId="1204094006">
    <w:abstractNumId w:val="11"/>
  </w:num>
  <w:num w:numId="39" w16cid:durableId="1717659379">
    <w:abstractNumId w:val="11"/>
  </w:num>
  <w:num w:numId="40" w16cid:durableId="1353989290">
    <w:abstractNumId w:val="11"/>
  </w:num>
  <w:num w:numId="41" w16cid:durableId="1579946960">
    <w:abstractNumId w:val="11"/>
  </w:num>
  <w:num w:numId="42" w16cid:durableId="1235777839">
    <w:abstractNumId w:val="11"/>
  </w:num>
  <w:num w:numId="43" w16cid:durableId="1125153549">
    <w:abstractNumId w:val="11"/>
  </w:num>
  <w:num w:numId="44" w16cid:durableId="755521582">
    <w:abstractNumId w:val="11"/>
  </w:num>
  <w:num w:numId="45" w16cid:durableId="1361205528">
    <w:abstractNumId w:val="11"/>
  </w:num>
  <w:num w:numId="46" w16cid:durableId="1003556738">
    <w:abstractNumId w:val="11"/>
  </w:num>
  <w:num w:numId="47" w16cid:durableId="635260301">
    <w:abstractNumId w:val="11"/>
  </w:num>
  <w:num w:numId="48" w16cid:durableId="1458374981">
    <w:abstractNumId w:val="11"/>
  </w:num>
  <w:num w:numId="49" w16cid:durableId="1460300743">
    <w:abstractNumId w:val="11"/>
  </w:num>
  <w:num w:numId="50" w16cid:durableId="1709180681">
    <w:abstractNumId w:val="11"/>
  </w:num>
  <w:num w:numId="51" w16cid:durableId="624048521">
    <w:abstractNumId w:val="36"/>
  </w:num>
  <w:num w:numId="52" w16cid:durableId="1382285750">
    <w:abstractNumId w:val="26"/>
  </w:num>
  <w:num w:numId="53" w16cid:durableId="12482290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65F"/>
    <w:rsid w:val="0004389E"/>
    <w:rsid w:val="000459C3"/>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0B"/>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14A"/>
    <w:rsid w:val="001B6D68"/>
    <w:rsid w:val="001B6F2E"/>
    <w:rsid w:val="001C0344"/>
    <w:rsid w:val="001C0F2A"/>
    <w:rsid w:val="001C1A59"/>
    <w:rsid w:val="001C270F"/>
    <w:rsid w:val="001C4679"/>
    <w:rsid w:val="001C5770"/>
    <w:rsid w:val="001C6195"/>
    <w:rsid w:val="001D000A"/>
    <w:rsid w:val="001D0883"/>
    <w:rsid w:val="001D2205"/>
    <w:rsid w:val="001D33FC"/>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59C"/>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3DE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875"/>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5579B"/>
    <w:rsid w:val="003562A6"/>
    <w:rsid w:val="003609B6"/>
    <w:rsid w:val="00361119"/>
    <w:rsid w:val="0036538D"/>
    <w:rsid w:val="003658F8"/>
    <w:rsid w:val="00365D12"/>
    <w:rsid w:val="00366E20"/>
    <w:rsid w:val="0037018D"/>
    <w:rsid w:val="00372299"/>
    <w:rsid w:val="00372F02"/>
    <w:rsid w:val="00373729"/>
    <w:rsid w:val="00373C91"/>
    <w:rsid w:val="00374670"/>
    <w:rsid w:val="003748F0"/>
    <w:rsid w:val="003755C6"/>
    <w:rsid w:val="00375AEF"/>
    <w:rsid w:val="00376367"/>
    <w:rsid w:val="00376B02"/>
    <w:rsid w:val="0037704E"/>
    <w:rsid w:val="0037733A"/>
    <w:rsid w:val="003776DC"/>
    <w:rsid w:val="003779C1"/>
    <w:rsid w:val="00380FEC"/>
    <w:rsid w:val="00381226"/>
    <w:rsid w:val="00381B1B"/>
    <w:rsid w:val="00381FF6"/>
    <w:rsid w:val="00383D7D"/>
    <w:rsid w:val="00384CCE"/>
    <w:rsid w:val="003865E5"/>
    <w:rsid w:val="003926C1"/>
    <w:rsid w:val="00392900"/>
    <w:rsid w:val="00393357"/>
    <w:rsid w:val="003950C1"/>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6ED"/>
    <w:rsid w:val="003F2E45"/>
    <w:rsid w:val="003F3EFE"/>
    <w:rsid w:val="003F40B8"/>
    <w:rsid w:val="003F5C06"/>
    <w:rsid w:val="003F7C22"/>
    <w:rsid w:val="00400195"/>
    <w:rsid w:val="0040254B"/>
    <w:rsid w:val="00403086"/>
    <w:rsid w:val="00403460"/>
    <w:rsid w:val="00403CBE"/>
    <w:rsid w:val="004040FF"/>
    <w:rsid w:val="00404284"/>
    <w:rsid w:val="004042C4"/>
    <w:rsid w:val="00405185"/>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2E83"/>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41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67563"/>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47D3"/>
    <w:rsid w:val="0059575D"/>
    <w:rsid w:val="00595896"/>
    <w:rsid w:val="00596825"/>
    <w:rsid w:val="005A06A0"/>
    <w:rsid w:val="005A150A"/>
    <w:rsid w:val="005A2B3E"/>
    <w:rsid w:val="005A3644"/>
    <w:rsid w:val="005A4087"/>
    <w:rsid w:val="005A4B18"/>
    <w:rsid w:val="005A537E"/>
    <w:rsid w:val="005A58AF"/>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3355"/>
    <w:rsid w:val="005E46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CC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6F7301"/>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39CB"/>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D89"/>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F4E"/>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E6F27"/>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9AD"/>
    <w:rsid w:val="00862DDD"/>
    <w:rsid w:val="0086312D"/>
    <w:rsid w:val="0086326D"/>
    <w:rsid w:val="00863CC1"/>
    <w:rsid w:val="00865B01"/>
    <w:rsid w:val="00866D7A"/>
    <w:rsid w:val="00866EE3"/>
    <w:rsid w:val="00871799"/>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07F"/>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AF2"/>
    <w:rsid w:val="00962CEF"/>
    <w:rsid w:val="00963766"/>
    <w:rsid w:val="00963FDF"/>
    <w:rsid w:val="00964ABE"/>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0DC6"/>
    <w:rsid w:val="009D2295"/>
    <w:rsid w:val="009D2511"/>
    <w:rsid w:val="009D3E7C"/>
    <w:rsid w:val="009D55CA"/>
    <w:rsid w:val="009D5661"/>
    <w:rsid w:val="009D5EF0"/>
    <w:rsid w:val="009D6401"/>
    <w:rsid w:val="009D6E99"/>
    <w:rsid w:val="009E0711"/>
    <w:rsid w:val="009E085F"/>
    <w:rsid w:val="009E11F5"/>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1ACB"/>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07E0B"/>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68C"/>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2AD5"/>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EA2"/>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330F"/>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33"/>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0D09"/>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4C6"/>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AB1"/>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0AC9"/>
    <w:rsid w:val="00EE311C"/>
    <w:rsid w:val="00EE56FF"/>
    <w:rsid w:val="00EE5886"/>
    <w:rsid w:val="00EE5FBF"/>
    <w:rsid w:val="00EE6472"/>
    <w:rsid w:val="00EE76F2"/>
    <w:rsid w:val="00EF0769"/>
    <w:rsid w:val="00EF0D7C"/>
    <w:rsid w:val="00EF314C"/>
    <w:rsid w:val="00EF383B"/>
    <w:rsid w:val="00EF40D8"/>
    <w:rsid w:val="00EF40E2"/>
    <w:rsid w:val="00EF48CA"/>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182"/>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A6E"/>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5C98"/>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A1A1A"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A1A1A"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A1A1A"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A1A1A"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A732F0"/>
    <w:pPr>
      <w:numPr>
        <w:numId w:val="34"/>
      </w:numPr>
      <w:contextualSpacing/>
    </w:pPr>
    <w:rPr>
      <w:b/>
      <w:szCs w:val="22"/>
    </w:rPr>
  </w:style>
  <w:style w:type="character" w:customStyle="1" w:styleId="QuestionstyleChar">
    <w:name w:val="Question style Char"/>
    <w:basedOn w:val="Carpredefinitoparagrafo"/>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79646"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hyperlink" Target="https://www.esma.europa.eu/sites/default/files/library/esma70-156-4263_guidelines_mifid_ii_mifir_obligations_on_market_data.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esma.europa.eu/sites/default/files/2023-07/ESMA74-2134169708-6870_Manual_on_post-trade_transparency.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sma.europa.eu/sites/default/files/2024-07/ESMA74-2134169708-7345_Public_statement_on_DPE_regime.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2024-07/ESMA74-2134169708-7345_Public_statement_on_DPE_regi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5821</Words>
  <Characters>33182</Characters>
  <Application>Microsoft Office Word</Application>
  <DocSecurity>8</DocSecurity>
  <Lines>276</Lines>
  <Paragraphs>77</Paragraphs>
  <ScaleCrop>false</ScaleCrop>
  <Company>ESMA</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Michela Costa</cp:lastModifiedBy>
  <cp:revision>42</cp:revision>
  <cp:lastPrinted>2015-02-18T11:01:00Z</cp:lastPrinted>
  <dcterms:created xsi:type="dcterms:W3CDTF">2024-07-15T08:08:00Z</dcterms:created>
  <dcterms:modified xsi:type="dcterms:W3CDTF">2024-08-28T08:20:00Z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