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66432"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D2E8" id="Freeform: Shape 128" o:spid="_x0000_s1026" style="position:absolute;margin-left:1.35pt;margin-top:42.6pt;width:596.1pt;height:76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4D70C37E" w:rsidR="00C2682A" w:rsidRPr="00104E00" w:rsidRDefault="007B260A" w:rsidP="00104E00">
                <w:pPr>
                  <w:jc w:val="left"/>
                  <w:rPr>
                    <w:rStyle w:val="PlaceholderText"/>
                  </w:rPr>
                </w:pPr>
                <w:r>
                  <w:rPr>
                    <w:rStyle w:val="PlaceholderText"/>
                  </w:rPr>
                  <w:t>International Swaps and Derivatives Association (</w:t>
                </w:r>
                <w:r w:rsidR="00B54AE8">
                  <w:rPr>
                    <w:rStyle w:val="PlaceholderText"/>
                  </w:rPr>
                  <w:t>ISDA</w:t>
                </w:r>
                <w:r>
                  <w:rPr>
                    <w:rStyle w:val="PlaceholderText"/>
                  </w:rPr>
                  <w: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38D7548" w:rsidR="00C2682A" w:rsidRPr="00104E00" w:rsidRDefault="00B61B53"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54AE8">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47B0FA34" w:rsidR="00C2682A" w:rsidRPr="00104E00" w:rsidRDefault="00B54AE8"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08955A78" w:rsidR="00C2682A" w:rsidRPr="00104E00" w:rsidRDefault="00B54AE8"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lastRenderedPageBreak/>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lastRenderedPageBreak/>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lastRenderedPageBreak/>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A4D696A" w14:textId="77777777" w:rsidR="0014697E" w:rsidRDefault="0014697E" w:rsidP="0014697E">
      <w:pPr>
        <w:rPr>
          <w:b/>
          <w:bCs/>
        </w:rPr>
      </w:pPr>
      <w:permStart w:id="1126446852" w:edGrp="everyone"/>
      <w:r w:rsidRPr="00FD2E8D">
        <w:rPr>
          <w:b/>
          <w:bCs/>
        </w:rPr>
        <w:t>ISDA response to ESMA’s consultation paper on the review of RTS 2 on transparency for bonds, structured finance products and emission allowances.</w:t>
      </w:r>
    </w:p>
    <w:p w14:paraId="76D1D821" w14:textId="77777777" w:rsidR="0014697E" w:rsidRDefault="0014697E" w:rsidP="0014697E">
      <w:r>
        <w:t xml:space="preserve">ISDA welcomes the opportunity to respond to ESMA’s consultation paper on the review of RTS 2 on transparency for bonds, structured finance products and emission allowances. </w:t>
      </w:r>
    </w:p>
    <w:p w14:paraId="6B5D54E9" w14:textId="77777777" w:rsidR="0014697E" w:rsidRDefault="0014697E" w:rsidP="0014697E">
      <w:r>
        <w:t xml:space="preserve">ISDA supports the changes to the transparency framework for derivatives under the revised </w:t>
      </w:r>
      <w:proofErr w:type="spellStart"/>
      <w:r>
        <w:t>MiFIR</w:t>
      </w:r>
      <w:proofErr w:type="spellEnd"/>
      <w:r>
        <w:t xml:space="preserve"> Level 1 text, in particular with respect to the introduction of a specific post-trade transparency regime for OTC derivatives, as defined in </w:t>
      </w:r>
      <w:proofErr w:type="spellStart"/>
      <w:r>
        <w:t>MiFIR</w:t>
      </w:r>
      <w:proofErr w:type="spellEnd"/>
      <w:r>
        <w:t xml:space="preserve"> Article 11a, and the deletion of pre-trade transparency requirements. In this context, ISDA is looking forward to contributing to ESMA’s upcoming </w:t>
      </w:r>
      <w:r>
        <w:lastRenderedPageBreak/>
        <w:t xml:space="preserve">consultation paper on the transparency framework for OTC derivatives, currently expected for Q4 2024 or Q1 2025. </w:t>
      </w:r>
    </w:p>
    <w:p w14:paraId="768F5046" w14:textId="77777777" w:rsidR="0014697E" w:rsidRPr="00F16A37" w:rsidRDefault="0014697E" w:rsidP="0014697E">
      <w:pPr>
        <w:rPr>
          <w:b/>
          <w:bCs/>
        </w:rPr>
      </w:pPr>
      <w:r w:rsidRPr="00F16A37">
        <w:rPr>
          <w:b/>
          <w:bCs/>
        </w:rPr>
        <w:t>Suggested changes to RTS 2</w:t>
      </w:r>
    </w:p>
    <w:p w14:paraId="73078157" w14:textId="77777777" w:rsidR="0014697E" w:rsidRDefault="0014697E" w:rsidP="0014697E">
      <w:r>
        <w:t xml:space="preserve">As ISDA is focusing on the functioning of OTC derivatives markets, we naturally tend not to opine on issues such as the transparency framework for other non-equity products. However, we noted that the ESMA draft RTS propose a deletion of </w:t>
      </w:r>
      <w:proofErr w:type="spellStart"/>
      <w:r>
        <w:t>MiFIR</w:t>
      </w:r>
      <w:proofErr w:type="spellEnd"/>
      <w:r>
        <w:t xml:space="preserve"> RTS 2 Article 11(1)(c): </w:t>
      </w:r>
    </w:p>
    <w:p w14:paraId="01F9E6D0" w14:textId="77777777" w:rsidR="0014697E" w:rsidRDefault="0014697E" w:rsidP="0014697E">
      <w:pPr>
        <w:rPr>
          <w:strike/>
          <w:color w:val="FF0000"/>
        </w:rPr>
      </w:pPr>
      <w:r w:rsidRPr="00C82CA8">
        <w:rPr>
          <w:strike/>
          <w:color w:val="FF0000"/>
        </w:rPr>
        <w:t>(c) in respect of non-equity instruments that are not sovereign debt and where Article 11(3)(c) of Regulation (EU) No 600/2014 applies, competent authorities shall allow, for an extended time period of deferral of four weeks, the publication of the aggregation of several transactions executed over the course of one calendar week on the following Tuesday before 9.00 local time;</w:t>
      </w:r>
    </w:p>
    <w:p w14:paraId="6B1864F2" w14:textId="77777777" w:rsidR="0014697E" w:rsidRDefault="0014697E" w:rsidP="0014697E">
      <w:r>
        <w:t xml:space="preserve">Derivatives are considered as ‘non-equity instruments’. The proposed changes to RTS 2 would result in a deletion of extended deferrals periods for derivatives as of the application date of the revised RTS 2. Given that the current Consultation paper does not discuss transparency for OTC derivatives, which will be discussed in a separate consultation paper later this year or early next year, we would – by default – consider the proposed changes to be an unintended consequence (to the extent it applies to OTC derivatives). The intention appears to be the replacement of the existing deferrals framework for bonds, structured finance products and emission allowances by the new framework specified in revised </w:t>
      </w:r>
      <w:proofErr w:type="spellStart"/>
      <w:r>
        <w:t>MiFIR</w:t>
      </w:r>
      <w:proofErr w:type="spellEnd"/>
      <w:r>
        <w:t xml:space="preserve">. </w:t>
      </w:r>
    </w:p>
    <w:p w14:paraId="21E57847" w14:textId="77777777" w:rsidR="0014697E" w:rsidRDefault="0014697E" w:rsidP="0014697E">
      <w:pPr>
        <w:rPr>
          <w:b/>
          <w:bCs/>
        </w:rPr>
      </w:pPr>
      <w:r w:rsidRPr="00F16A37">
        <w:rPr>
          <w:b/>
          <w:bCs/>
        </w:rPr>
        <w:t>Impact on the OTC derivatives market</w:t>
      </w:r>
      <w:r>
        <w:rPr>
          <w:b/>
          <w:bCs/>
        </w:rPr>
        <w:t>s and market participants’ implementation</w:t>
      </w:r>
    </w:p>
    <w:p w14:paraId="7B43F69C" w14:textId="77777777" w:rsidR="0014697E" w:rsidRDefault="0014697E" w:rsidP="0014697E">
      <w:r>
        <w:t>Unless addressed in the final RTS 2, which ESMA will send to the European Commission, the changes outlined above would have a negative effect on the functioning of OTC derivatives markets:</w:t>
      </w:r>
    </w:p>
    <w:p w14:paraId="7958AF10" w14:textId="77777777" w:rsidR="0014697E" w:rsidRDefault="0014697E" w:rsidP="00F60BCB">
      <w:pPr>
        <w:pStyle w:val="ListParagraph"/>
        <w:numPr>
          <w:ilvl w:val="0"/>
          <w:numId w:val="37"/>
        </w:numPr>
        <w:spacing w:after="160" w:line="278" w:lineRule="auto"/>
        <w:jc w:val="left"/>
      </w:pPr>
      <w:r w:rsidRPr="008307C1">
        <w:rPr>
          <w:b/>
          <w:bCs/>
        </w:rPr>
        <w:t>Liquidity providers would be subject to ‘undue risk’</w:t>
      </w:r>
      <w:r>
        <w:t xml:space="preserve"> due to the absence of extended deferrals for OTC derivatives. Market participants’ positions would be exposed to the wider market, with little time to ‘trade-out’ of the position. This would be detrimental to optimal pricing, or liquidity providers would decide not to enter into such transactions, or a combination of both. This would impact both trades in illiquid derivatives sub-classes, and trades above the large in scale threshold in both illiquid and liquid sub-classes, both of which are currently benefitting from extended deferrals of both price and volume.</w:t>
      </w:r>
    </w:p>
    <w:p w14:paraId="5A40E455" w14:textId="77777777" w:rsidR="0014697E" w:rsidRDefault="0014697E" w:rsidP="00F60BCB">
      <w:pPr>
        <w:pStyle w:val="ListParagraph"/>
        <w:numPr>
          <w:ilvl w:val="0"/>
          <w:numId w:val="37"/>
        </w:numPr>
        <w:spacing w:after="160" w:line="278" w:lineRule="auto"/>
        <w:jc w:val="left"/>
      </w:pPr>
      <w:r w:rsidRPr="008307C1">
        <w:rPr>
          <w:b/>
          <w:bCs/>
        </w:rPr>
        <w:t>Market participants would face a triple implementation exercise</w:t>
      </w:r>
      <w:r>
        <w:t xml:space="preserve">, as they are 1) currently applying the changes to the OTC derivatives regime, in particular with respect to the scope, based on the revised MIFIR Level 1 text, 2) implementation of the deletion of post-trade transparency deferrals from the day the revised RTS 2 enters into application, and then 3) implementation of the changes to RTS 2 with respect to OTC derivatives. </w:t>
      </w:r>
    </w:p>
    <w:p w14:paraId="6778F112" w14:textId="77777777" w:rsidR="0014697E" w:rsidRDefault="0014697E" w:rsidP="0014697E">
      <w:pPr>
        <w:rPr>
          <w:b/>
          <w:bCs/>
        </w:rPr>
      </w:pPr>
    </w:p>
    <w:p w14:paraId="1AC97218" w14:textId="77777777" w:rsidR="0014697E" w:rsidRDefault="0014697E" w:rsidP="0014697E">
      <w:pPr>
        <w:rPr>
          <w:b/>
          <w:bCs/>
        </w:rPr>
      </w:pPr>
    </w:p>
    <w:p w14:paraId="068483E6" w14:textId="25C53D32" w:rsidR="0014697E" w:rsidRDefault="0014697E" w:rsidP="0014697E">
      <w:pPr>
        <w:rPr>
          <w:b/>
          <w:bCs/>
        </w:rPr>
      </w:pPr>
      <w:r w:rsidRPr="00EF20C4">
        <w:rPr>
          <w:b/>
          <w:bCs/>
        </w:rPr>
        <w:t xml:space="preserve">Solution </w:t>
      </w:r>
    </w:p>
    <w:p w14:paraId="24C4BB10" w14:textId="77777777" w:rsidR="0014697E" w:rsidRDefault="0014697E" w:rsidP="0014697E">
      <w:r>
        <w:t xml:space="preserve">ISDA acknowledges the challenges of regulators and market participants with respect to implementation guidance and ongoing work on Level 2 requirements. We are looking forward to assisting regulators in drafting rules for the transparency framework for OTC derivatives. Under the assumption that the impact of the proposed changes on OTC derivatives relate to an oversight, i.e. has not been intentionally introduced by ESMA, we would suggest an insertion of a new Article 11a under </w:t>
      </w:r>
      <w:proofErr w:type="spellStart"/>
      <w:r>
        <w:t>MiFIR</w:t>
      </w:r>
      <w:proofErr w:type="spellEnd"/>
      <w:r>
        <w:t xml:space="preserve">  RTS 2 (see below). This Article would allow for a continuation of the current extended deferrals regime until relevant changes to RTS 2, in respect of OTC derivatives, have been introduced. </w:t>
      </w:r>
    </w:p>
    <w:p w14:paraId="2A492A9B" w14:textId="77777777" w:rsidR="0014697E" w:rsidRDefault="0014697E" w:rsidP="0014697E">
      <w:r>
        <w:t xml:space="preserve">We remain at your disposal if you would like to discuss our contribution in more detail. </w:t>
      </w:r>
    </w:p>
    <w:p w14:paraId="2E4AEEE6" w14:textId="41A3219D" w:rsidR="00CC59BB" w:rsidRDefault="00CC59BB" w:rsidP="00C54034">
      <w:pPr>
        <w:spacing w:after="0"/>
      </w:pP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0FF5B233" w14:textId="77777777" w:rsidR="00CC59BB" w:rsidRDefault="00CC59BB" w:rsidP="00C54034">
      <w:pPr>
        <w:spacing w:after="0"/>
      </w:pPr>
      <w:permStart w:id="1672500431" w:edGrp="everyone"/>
      <w:r>
        <w:t>TYPE YOUR TEXT HERE</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lastRenderedPageBreak/>
        <w:t>&lt;ESMA_QUESTION</w:t>
      </w:r>
      <w:r w:rsidR="00F93646">
        <w:t>_</w:t>
      </w:r>
      <w:r w:rsidR="00DD54B5">
        <w:t>CP1</w:t>
      </w:r>
      <w:r w:rsidR="00F93646">
        <w:t>_</w:t>
      </w:r>
      <w:r>
        <w:t>2</w:t>
      </w:r>
      <w:r w:rsidR="00737DD9">
        <w:t>7</w:t>
      </w:r>
      <w:r>
        <w:t>&gt;</w:t>
      </w:r>
    </w:p>
    <w:p w14:paraId="4DCAACF5" w14:textId="77777777" w:rsidR="00FA4100" w:rsidRDefault="00FA4100" w:rsidP="00FA4100">
      <w:pPr>
        <w:spacing w:after="0"/>
      </w:pPr>
      <w:permStart w:id="1840853704" w:edGrp="everyone"/>
      <w:r>
        <w:t>TYPE YOUR TEXT HERE</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77777777" w:rsidR="00FA4100" w:rsidRDefault="00FA4100" w:rsidP="00FA4100">
      <w:pPr>
        <w:spacing w:after="0"/>
      </w:pPr>
      <w:permStart w:id="636686123" w:edGrp="everyone"/>
      <w:r>
        <w:t>TYPE YOUR TEXT HERE</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24A07323" w14:textId="77777777" w:rsidR="00FA4100" w:rsidRDefault="00FA4100" w:rsidP="00FA4100">
      <w:pPr>
        <w:spacing w:after="0"/>
      </w:pPr>
      <w:permStart w:id="1539128939" w:edGrp="everyone"/>
      <w:r>
        <w:t>TYPE YOUR TEXT HERE</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77777777" w:rsidR="00FA4100" w:rsidRDefault="00FA4100" w:rsidP="00FA4100">
      <w:pPr>
        <w:spacing w:after="0"/>
      </w:pPr>
      <w:permStart w:id="307052998" w:edGrp="everyone"/>
      <w:r>
        <w:t>TYPE YOUR TEXT HERE</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506021E" w14:textId="77777777" w:rsidR="00FA4100" w:rsidRDefault="00FA4100" w:rsidP="00FA4100">
      <w:pPr>
        <w:spacing w:after="0"/>
      </w:pPr>
      <w:permStart w:id="884149456" w:edGrp="everyone"/>
      <w:r>
        <w:t>TYPE YOUR TEXT HERE</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lastRenderedPageBreak/>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6FCDC957" w14:textId="77777777" w:rsidR="00FA4100" w:rsidRDefault="00FA4100" w:rsidP="00FA4100">
      <w:pPr>
        <w:spacing w:after="0"/>
      </w:pPr>
      <w:permStart w:id="1310215157" w:edGrp="everyone"/>
      <w:r>
        <w:t>TYPE YOUR TEXT HERE</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7702A3CE" w14:textId="77777777" w:rsidR="00FA4100" w:rsidRDefault="00FA4100" w:rsidP="00FA4100">
      <w:pPr>
        <w:spacing w:after="0"/>
      </w:pPr>
      <w:permStart w:id="1461735347" w:edGrp="everyone"/>
      <w:r>
        <w:t>TYPE YOUR TEXT HERE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56672CC" w14:textId="77777777" w:rsidR="00FA4100" w:rsidRDefault="00FA4100" w:rsidP="00FA4100">
      <w:pPr>
        <w:spacing w:after="0"/>
      </w:pPr>
      <w:permStart w:id="1477078338" w:edGrp="everyone"/>
      <w:r>
        <w:t>TYPE YOUR TEXT HERE</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lastRenderedPageBreak/>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179E543D" w14:textId="77777777" w:rsidR="00FA4100" w:rsidRDefault="00FA4100" w:rsidP="00FA4100">
      <w:pPr>
        <w:spacing w:after="0"/>
      </w:pPr>
      <w:permStart w:id="1201633413" w:edGrp="everyone"/>
      <w:r>
        <w:t>TYPE YOUR TEXT HERE</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337EF83" w14:textId="77777777" w:rsidR="00FA4100" w:rsidRDefault="00FA4100" w:rsidP="00FA4100">
      <w:pPr>
        <w:spacing w:after="0"/>
      </w:pPr>
      <w:permStart w:id="1252924652" w:edGrp="everyone"/>
      <w:r>
        <w:t>TYPE YOUR TEXT HERE</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7B68B33D" w14:textId="77777777" w:rsidR="00FA4100" w:rsidRDefault="00FA4100" w:rsidP="00FA4100">
      <w:pPr>
        <w:spacing w:after="0"/>
      </w:pPr>
      <w:permStart w:id="2034649205" w:edGrp="everyone"/>
      <w:r>
        <w:t>TYPE YOUR TEXT HERE</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77777777" w:rsidR="00FA4100" w:rsidRDefault="00FA4100" w:rsidP="00FA4100">
      <w:pPr>
        <w:spacing w:after="0"/>
      </w:pPr>
      <w:permStart w:id="1583374814" w:edGrp="everyone"/>
      <w:r>
        <w:t>TYPE YOUR TEXT HERE</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lastRenderedPageBreak/>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77777777" w:rsidR="00FA4100" w:rsidRDefault="00FA4100" w:rsidP="00FA4100">
      <w:pPr>
        <w:spacing w:after="0"/>
      </w:pPr>
      <w:permStart w:id="658192178" w:edGrp="everyone"/>
      <w:r>
        <w:t>TYPE YOUR TEXT HERE</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7777777" w:rsidR="00FA4100" w:rsidRDefault="00FA4100" w:rsidP="00FA4100">
      <w:pPr>
        <w:spacing w:after="0"/>
      </w:pPr>
      <w:permStart w:id="1196837781" w:edGrp="everyone"/>
      <w:r>
        <w:t>TYPE YOUR TEXT HERE</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77777777" w:rsidR="00FA4100" w:rsidRDefault="00FA4100" w:rsidP="00FA4100">
      <w:pPr>
        <w:spacing w:after="0"/>
      </w:pPr>
      <w:permStart w:id="1375092011" w:edGrp="everyone"/>
      <w:r>
        <w:t>TYPE YOUR TEXT HERE</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348660AD" w14:textId="77777777" w:rsidR="00FA4100" w:rsidRDefault="00FA4100" w:rsidP="00FA4100">
      <w:pPr>
        <w:spacing w:after="0"/>
      </w:pPr>
      <w:permStart w:id="1647450555" w:edGrp="everyone"/>
      <w:r>
        <w:t>TYPE YOUR TEXT HERE</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lastRenderedPageBreak/>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7777777" w:rsidR="00FA4100" w:rsidRDefault="00FA4100" w:rsidP="00FA4100">
      <w:pPr>
        <w:spacing w:after="0"/>
      </w:pPr>
      <w:permStart w:id="738273573" w:edGrp="everyone"/>
      <w:r>
        <w:t>TYPE YOUR TEXT HERE</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6C94C0A0" w14:textId="77777777" w:rsidR="00E27457" w:rsidRDefault="00E27457" w:rsidP="00E27457">
      <w:pPr>
        <w:spacing w:after="0"/>
      </w:pPr>
      <w:permStart w:id="130159860" w:edGrp="everyone"/>
      <w:r>
        <w:t>We support this the proposal for daily reporting of reference data.</w:t>
      </w:r>
    </w:p>
    <w:p w14:paraId="38575488" w14:textId="5EA7F5FC" w:rsidR="00237775" w:rsidRDefault="00237775" w:rsidP="00237775">
      <w:pPr>
        <w:spacing w:after="0"/>
      </w:pP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19C02DF9" w14:textId="77777777" w:rsidR="00EF31CA" w:rsidRPr="00001CAD" w:rsidRDefault="00EF31CA" w:rsidP="00EF31CA">
      <w:pPr>
        <w:spacing w:after="0"/>
        <w:rPr>
          <w:color w:val="auto"/>
        </w:rPr>
      </w:pPr>
      <w:permStart w:id="360449157" w:edGrp="everyone"/>
      <w:r>
        <w:t xml:space="preserve">The </w:t>
      </w:r>
      <w:proofErr w:type="spellStart"/>
      <w:r>
        <w:t>MiFIR</w:t>
      </w:r>
      <w:proofErr w:type="spellEnd"/>
      <w:r>
        <w:t xml:space="preserve"> identifier is a </w:t>
      </w:r>
      <w:proofErr w:type="spellStart"/>
      <w:r>
        <w:t>well established</w:t>
      </w:r>
      <w:proofErr w:type="spellEnd"/>
      <w:r>
        <w:t xml:space="preserve"> and broadly used data point, and with no overriding reasons to justify its removal, our preference is to retain the </w:t>
      </w:r>
      <w:proofErr w:type="spellStart"/>
      <w:r>
        <w:t>MiFIR</w:t>
      </w:r>
      <w:proofErr w:type="spellEnd"/>
      <w:r>
        <w:t xml:space="preserve"> </w:t>
      </w:r>
      <w:r w:rsidRPr="00001CAD">
        <w:rPr>
          <w:color w:val="auto"/>
        </w:rPr>
        <w:t>identifier, together with the RTS 2 sub-asset class for OTC derivatives.</w:t>
      </w:r>
    </w:p>
    <w:p w14:paraId="7CB06758" w14:textId="77777777" w:rsidR="00EF31CA" w:rsidRPr="002D7B3F" w:rsidRDefault="00EF31CA" w:rsidP="00EF31CA">
      <w:pPr>
        <w:spacing w:after="0"/>
        <w:rPr>
          <w:color w:val="auto"/>
        </w:rPr>
      </w:pPr>
      <w:r w:rsidRPr="002D7B3F">
        <w:rPr>
          <w:color w:val="auto"/>
        </w:rPr>
        <w:t>We want to note that the description in the “Content to be reported” column of Table 3 in the Annex table excludes Derivatives although the code “DERV” is included in the “format and standard to be used for reporting” column.</w:t>
      </w:r>
    </w:p>
    <w:p w14:paraId="26A5BB0C" w14:textId="45E26818" w:rsidR="00237775" w:rsidRDefault="00237775" w:rsidP="00237775">
      <w:pPr>
        <w:spacing w:after="0"/>
      </w:pP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1F66DAC9" w14:textId="77777777" w:rsidR="005E34E1" w:rsidRDefault="005E34E1" w:rsidP="005E34E1">
      <w:pPr>
        <w:spacing w:after="0"/>
        <w:rPr>
          <w:color w:val="00B050"/>
        </w:rPr>
      </w:pPr>
      <w:permStart w:id="1546738195" w:edGrp="everyone"/>
      <w:r>
        <w:t xml:space="preserve">The current level of granularity is sufficient, although </w:t>
      </w:r>
      <w:r w:rsidRPr="002D7B3F">
        <w:rPr>
          <w:color w:val="auto"/>
        </w:rPr>
        <w:t xml:space="preserve">does not align to the new derivatives scope for transparency. As has been stated in the consultation paper, </w:t>
      </w:r>
      <w:r>
        <w:t xml:space="preserve">the </w:t>
      </w:r>
      <w:proofErr w:type="spellStart"/>
      <w:r w:rsidRPr="008964A8">
        <w:t>MiFIR</w:t>
      </w:r>
      <w:proofErr w:type="spellEnd"/>
      <w:r w:rsidRPr="008964A8">
        <w:t xml:space="preserve"> identifier does not </w:t>
      </w:r>
      <w:r>
        <w:t xml:space="preserve">always </w:t>
      </w:r>
      <w:r w:rsidRPr="008964A8">
        <w:t xml:space="preserve">align with the CFI code </w:t>
      </w:r>
      <w:r>
        <w:t xml:space="preserve">at the asset class level </w:t>
      </w:r>
      <w:r w:rsidRPr="008964A8">
        <w:t xml:space="preserve">for some </w:t>
      </w:r>
      <w:r w:rsidRPr="000D0406">
        <w:rPr>
          <w:color w:val="auto"/>
        </w:rPr>
        <w:t xml:space="preserve">instruments. It should be noted, that whilst MIFIR identifier is used as a reference identifier in parts of MIFIR, for the </w:t>
      </w:r>
      <w:r w:rsidRPr="00001CAD">
        <w:rPr>
          <w:color w:val="auto"/>
        </w:rPr>
        <w:t xml:space="preserve">aggregation and/or comparison of OTC derivatives, </w:t>
      </w:r>
      <w:r w:rsidRPr="000D0406">
        <w:rPr>
          <w:color w:val="auto"/>
        </w:rPr>
        <w:t xml:space="preserve">neither the </w:t>
      </w:r>
      <w:proofErr w:type="spellStart"/>
      <w:r w:rsidRPr="000D0406">
        <w:rPr>
          <w:color w:val="auto"/>
        </w:rPr>
        <w:t>MiFIR</w:t>
      </w:r>
      <w:proofErr w:type="spellEnd"/>
      <w:r w:rsidRPr="000D0406">
        <w:rPr>
          <w:color w:val="auto"/>
        </w:rPr>
        <w:t xml:space="preserve"> identifier or CFI code may be used, with other instrument identifiers and corresponding </w:t>
      </w:r>
      <w:r w:rsidRPr="00001CAD">
        <w:rPr>
          <w:color w:val="auto"/>
        </w:rPr>
        <w:t>sector information utilised instead.</w:t>
      </w:r>
    </w:p>
    <w:p w14:paraId="47E41129" w14:textId="77777777" w:rsidR="005E34E1" w:rsidRDefault="005E34E1" w:rsidP="005E34E1">
      <w:pPr>
        <w:spacing w:after="0"/>
      </w:pPr>
    </w:p>
    <w:p w14:paraId="13732EF5" w14:textId="77777777" w:rsidR="005E34E1" w:rsidRDefault="005E34E1" w:rsidP="005E34E1">
      <w:pPr>
        <w:spacing w:after="0"/>
      </w:pPr>
      <w:r>
        <w:t xml:space="preserve">However, this is arguably </w:t>
      </w:r>
      <w:r w:rsidRPr="008964A8">
        <w:t xml:space="preserve">more a question for issuers </w:t>
      </w:r>
      <w:r>
        <w:t xml:space="preserve">to address rather </w:t>
      </w:r>
      <w:r w:rsidRPr="008964A8">
        <w:t xml:space="preserve">than </w:t>
      </w:r>
      <w:r>
        <w:t xml:space="preserve">the </w:t>
      </w:r>
      <w:r w:rsidRPr="008964A8">
        <w:t xml:space="preserve">market participants </w:t>
      </w:r>
      <w:r>
        <w:t xml:space="preserve">that enter the reference </w:t>
      </w:r>
      <w:r w:rsidRPr="008964A8">
        <w:t>data into FIRDS</w:t>
      </w:r>
      <w:r>
        <w:t>, and should not alter the granularity level of the identifier.</w:t>
      </w:r>
    </w:p>
    <w:p w14:paraId="657DFE5E" w14:textId="034F972A" w:rsidR="00237775" w:rsidRDefault="00237775" w:rsidP="00237775">
      <w:pPr>
        <w:spacing w:after="0"/>
      </w:pP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lastRenderedPageBreak/>
        <w:t>&lt;ESMA_QUESTION</w:t>
      </w:r>
      <w:r w:rsidR="00F93646">
        <w:t>_</w:t>
      </w:r>
      <w:r w:rsidR="00DD54B5">
        <w:t>CP1</w:t>
      </w:r>
      <w:r w:rsidR="00F93646">
        <w:t>_</w:t>
      </w:r>
      <w:r>
        <w:t>54&gt;</w:t>
      </w:r>
    </w:p>
    <w:p w14:paraId="600334CD" w14:textId="77777777" w:rsidR="007B0528" w:rsidRPr="00001CAD" w:rsidRDefault="007B0528" w:rsidP="007B0528">
      <w:pPr>
        <w:spacing w:after="0"/>
        <w:rPr>
          <w:color w:val="auto"/>
        </w:rPr>
      </w:pPr>
      <w:permStart w:id="1006372258" w:edGrp="everyone"/>
      <w:r w:rsidRPr="00001CAD">
        <w:rPr>
          <w:color w:val="auto"/>
        </w:rPr>
        <w:t>The origin for the requirement to move the transparency calculation data fields required under Article 22 to the RTS mandated by Article 27 is unclear. The cited transparency articles in Article 27 are relevant for post trade reporting rather than transparency calculations, and whilst it is accepted that there is an intrinsic linkage to these two elements, they are separate articles with different obligations and actors associated with these obligations.</w:t>
      </w:r>
    </w:p>
    <w:p w14:paraId="760D7C9A" w14:textId="77777777" w:rsidR="007B0528" w:rsidRPr="00001CAD" w:rsidRDefault="007B0528" w:rsidP="007B0528">
      <w:pPr>
        <w:spacing w:after="0"/>
        <w:rPr>
          <w:color w:val="auto"/>
        </w:rPr>
      </w:pPr>
      <w:r w:rsidRPr="00001CAD">
        <w:rPr>
          <w:color w:val="auto"/>
        </w:rPr>
        <w:t>Paragraph 319 states that there may be a reduced need for data fields in RTS 2 for transparency calculations for non-equity instruments. However, this is currently unknown and will be consulted on further in the derivatives RTS 2 consultation paper. In this regard it seems premature to consider what the transparency calculations will be, what data fields will be required and thus where that information would best reside. Therefore, the concept of moving all RTS 2 Annex IV fields to RTS 23 is also premature.</w:t>
      </w:r>
    </w:p>
    <w:p w14:paraId="7E7221DE" w14:textId="77777777" w:rsidR="007B0528" w:rsidRPr="00001CAD" w:rsidRDefault="007B0528" w:rsidP="007B0528">
      <w:pPr>
        <w:spacing w:after="0"/>
        <w:rPr>
          <w:color w:val="auto"/>
        </w:rPr>
      </w:pPr>
      <w:r w:rsidRPr="00001CAD">
        <w:rPr>
          <w:color w:val="auto"/>
        </w:rPr>
        <w:t>In this regard, it is strongly recommended that the requirements for data fields required for transparency calculations are considered separately once the review of RTS 2 for derivatives is consulted on. A blanket move of all fields (even if slightly reduced) prior to this could render the RTS 23 reporting requirements superfluous and burdensome for purpose, especially considering DPE’s have no obligation to report data for transparency calculations under Article 22, which does not seem to have been fully considered within the current RTS 23 drafting.</w:t>
      </w:r>
    </w:p>
    <w:p w14:paraId="7B8A40A6" w14:textId="77777777" w:rsidR="007B0528" w:rsidRDefault="007B0528" w:rsidP="007B0528">
      <w:pPr>
        <w:spacing w:after="0"/>
      </w:pPr>
    </w:p>
    <w:p w14:paraId="01DF1C04" w14:textId="77777777" w:rsidR="007B0528" w:rsidRPr="00246178" w:rsidRDefault="007B0528" w:rsidP="007B0528">
      <w:pPr>
        <w:spacing w:after="0"/>
      </w:pPr>
      <w:r>
        <w:t xml:space="preserve">There is no objection to maintaining the current set of reference data for non-equity instruments. </w:t>
      </w:r>
      <w:r w:rsidRPr="00001CAD">
        <w:rPr>
          <w:color w:val="auto"/>
        </w:rPr>
        <w:t>Although as many OTC derivative instruments will no longer be in scope for transparency, there should be no requirement for any entities to report transparency reference data for such instruments.</w:t>
      </w:r>
    </w:p>
    <w:p w14:paraId="56044347" w14:textId="63200F98" w:rsidR="00237775" w:rsidRDefault="00237775" w:rsidP="00237775">
      <w:pPr>
        <w:spacing w:after="0"/>
      </w:pP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111CDF3" w14:textId="77777777" w:rsidR="00DA4975" w:rsidRPr="00001CAD" w:rsidRDefault="00DA4975" w:rsidP="00DA4975">
      <w:pPr>
        <w:spacing w:before="100" w:beforeAutospacing="1" w:after="100" w:afterAutospacing="1"/>
        <w:rPr>
          <w:color w:val="auto"/>
        </w:rPr>
      </w:pPr>
      <w:permStart w:id="1513240935" w:edGrp="everyone"/>
      <w:r w:rsidRPr="00001CAD">
        <w:rPr>
          <w:color w:val="auto"/>
        </w:rPr>
        <w:t xml:space="preserve">Per our response to Q54, it would be prudent to wait until consideration has been given as to how the transparency calculations are to be performed for derivative instruments in scope of Article 8a before deciding what data points are required.  </w:t>
      </w:r>
    </w:p>
    <w:p w14:paraId="5316CC2D" w14:textId="77777777" w:rsidR="00DA4975" w:rsidRPr="00001CAD" w:rsidRDefault="00DA4975" w:rsidP="00DA4975">
      <w:pPr>
        <w:spacing w:before="100" w:beforeAutospacing="1" w:after="100" w:afterAutospacing="1"/>
        <w:rPr>
          <w:color w:val="auto"/>
        </w:rPr>
      </w:pPr>
      <w:r w:rsidRPr="00001CAD">
        <w:rPr>
          <w:color w:val="auto"/>
        </w:rPr>
        <w:t xml:space="preserve">While we acknowledge that the data in Field 5 (Contract type) should be available in the CFI code, the field itself is well used and heavily imbedded into the overall reference data process for trading venues (with no obligation for DPE’s). As such, to remove Field 5 and utilisation the CFI code instead will risk creating unforeseen issues due to the complexity of established processes. </w:t>
      </w:r>
    </w:p>
    <w:p w14:paraId="2CA3BF94" w14:textId="77777777" w:rsidR="00DA4975" w:rsidRDefault="00DA4975" w:rsidP="00DA4975">
      <w:pPr>
        <w:spacing w:before="100" w:beforeAutospacing="1" w:after="100" w:afterAutospacing="1"/>
      </w:pPr>
      <w:r w:rsidRPr="00001CAD">
        <w:rPr>
          <w:color w:val="auto"/>
        </w:rPr>
        <w:lastRenderedPageBreak/>
        <w:t xml:space="preserve">The removal of Field 5 in RTS 2 would also require additional guidance to interpret and clarify reporting expectations. For example, RTS 2 allows for deliverable and non-deliverable forwards and options. For forwards, the CFI code allows for cash, physical and deliverable, and for options it allows for cash, physical, deliverable and elect at exercise. If the proposal to only use the CFI code is implemented, a detailed review should be performed on whether this would impact any other fields for each product type and if so, clarification would be required on how to report in each case. </w:t>
      </w:r>
      <w:r>
        <w:t xml:space="preserve">Interpretations such as this should not be left to market participants to make individually which is why clear guidance would be needed. </w:t>
      </w:r>
    </w:p>
    <w:p w14:paraId="20F95374" w14:textId="77777777" w:rsidR="00DA4975" w:rsidRDefault="00DA4975" w:rsidP="00DA4975">
      <w:pPr>
        <w:spacing w:before="100" w:beforeAutospacing="1" w:after="100" w:afterAutospacing="1"/>
      </w:pPr>
      <w:r>
        <w:t>Closer analysis of reliance on the CFI code in lieu of Field 5 is required as there may be other examples where specific guidance would be needed. For this reason, we caution against removing Field 5 without first fully assessing and validating the direct lineage between the data extracted from the CFI code to that currently being reported in the field.</w:t>
      </w:r>
    </w:p>
    <w:p w14:paraId="7EAEA6FB" w14:textId="4EDF8C2F" w:rsidR="00237775" w:rsidRDefault="00237775" w:rsidP="00237775">
      <w:pPr>
        <w:spacing w:after="0"/>
      </w:pP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6455A4C8" w14:textId="77777777" w:rsidR="00E20F2F" w:rsidRPr="00001CAD" w:rsidRDefault="00E20F2F" w:rsidP="00E20F2F">
      <w:pPr>
        <w:spacing w:after="0"/>
        <w:rPr>
          <w:color w:val="auto"/>
        </w:rPr>
      </w:pPr>
      <w:permStart w:id="42361542" w:edGrp="everyone"/>
      <w:r w:rsidRPr="00001CAD">
        <w:rPr>
          <w:color w:val="auto"/>
        </w:rPr>
        <w:t>It is acknowledged that there are overlapping fields in RTS2 Annex IV tables and RTS 23 tables for derivatives, as explained in the consultation paper.  Per our response to Q54, it would be prudent to wait until consideration has been given as to how the transparency calculations are to be performed for derivative instruments in scope of Article 8a before deciding what data points are required. Arguably in the context of derivatives, the transparency requirements and thus the transparency calculation requirements under Article 22, only exist for interest rate and credit derivatives, therefore all data fields for other derivative asset classes would be redundant.</w:t>
      </w:r>
    </w:p>
    <w:p w14:paraId="449F7CE6" w14:textId="77777777" w:rsidR="00E20F2F" w:rsidRPr="00001CAD" w:rsidRDefault="00E20F2F" w:rsidP="00E20F2F">
      <w:pPr>
        <w:spacing w:after="0"/>
        <w:rPr>
          <w:color w:val="auto"/>
        </w:rPr>
      </w:pPr>
    </w:p>
    <w:p w14:paraId="35876124" w14:textId="77777777" w:rsidR="00E20F2F" w:rsidRPr="00001CAD" w:rsidRDefault="00E20F2F" w:rsidP="00E20F2F">
      <w:pPr>
        <w:spacing w:after="0"/>
        <w:rPr>
          <w:color w:val="auto"/>
        </w:rPr>
      </w:pPr>
      <w:r w:rsidRPr="00001CAD">
        <w:rPr>
          <w:color w:val="auto"/>
        </w:rPr>
        <w:t xml:space="preserve">On the assumption DPE’s are exempt from reporting additional reference data for transparency purposes, we do not object to an of increased alignment between RTS 2 and RTS 23, where relevant consideration is required as to what this is intended to achieve once finalised. </w:t>
      </w:r>
    </w:p>
    <w:p w14:paraId="25A676E6" w14:textId="77777777" w:rsidR="00E20F2F" w:rsidRDefault="00E20F2F" w:rsidP="00E20F2F">
      <w:pPr>
        <w:spacing w:after="0"/>
      </w:pPr>
    </w:p>
    <w:p w14:paraId="7E2C20B4" w14:textId="77777777" w:rsidR="00E20F2F" w:rsidRDefault="00E20F2F" w:rsidP="00E20F2F">
      <w:pPr>
        <w:spacing w:after="0"/>
      </w:pPr>
      <w:r>
        <w:t xml:space="preserve">It is our understanding that with the submission of reference data applying to both transparency and transaction reporting purposes, all reference data will be submitted to FIRDS only, and not to FITRS. That being the case, it seems </w:t>
      </w:r>
      <w:r w:rsidRPr="00001CAD">
        <w:rPr>
          <w:color w:val="auto"/>
        </w:rPr>
        <w:t>correct to understand where there are overlapping data fields in RTS 2 to RTS 23.</w:t>
      </w:r>
    </w:p>
    <w:p w14:paraId="0905D12E" w14:textId="05854285" w:rsidR="00237775" w:rsidRDefault="00237775" w:rsidP="00237775">
      <w:pPr>
        <w:spacing w:after="0"/>
      </w:pP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8114E1D" w14:textId="77777777" w:rsidR="0011327E" w:rsidRDefault="0011327E" w:rsidP="0011327E">
      <w:pPr>
        <w:spacing w:after="0"/>
      </w:pPr>
      <w:permStart w:id="416765104" w:edGrp="everyone"/>
      <w:r>
        <w:t>Using data that is provided elsewhere (such as within the CFI code) is positive in concept, but in order to make a fully informed decision of whether the required data is fully available and easily retrievable elsewhere, a detailed review should first be performed. Such a review will take time and is not something that can be completed prior to the close of this consultation period, but we stress the importance of such analysis before any significant changes to reporting processes are carried out.</w:t>
      </w:r>
    </w:p>
    <w:p w14:paraId="7AEE9A47" w14:textId="77777777" w:rsidR="0011327E" w:rsidRPr="000D0406" w:rsidRDefault="0011327E" w:rsidP="0011327E">
      <w:pPr>
        <w:spacing w:after="0"/>
        <w:rPr>
          <w:color w:val="auto"/>
        </w:rPr>
      </w:pPr>
      <w:r w:rsidRPr="000D0406">
        <w:rPr>
          <w:color w:val="auto"/>
        </w:rPr>
        <w:t xml:space="preserve">Further analysis is required of the proposals as, for example, any reference to field 33 in RTS 2 (‘Underlying Index code’) in the context of underlying instruments seems to be missing. There is also a reference to mapping of field 24 from RTS 2 (‘Reference rate’) to field 40 in RTS 23, but then a proposal for the deletion or </w:t>
      </w:r>
      <w:r w:rsidRPr="00CE5E67">
        <w:rPr>
          <w:color w:val="000000" w:themeColor="text1"/>
        </w:rPr>
        <w:t xml:space="preserve">field </w:t>
      </w:r>
      <w:r w:rsidRPr="000D0406">
        <w:rPr>
          <w:color w:val="auto"/>
        </w:rPr>
        <w:t xml:space="preserve">40 from RTS 23 which appears to have potentially been replaced with field 28a (‘Name of the underlying index or floating rate of leg 1’). </w:t>
      </w:r>
    </w:p>
    <w:p w14:paraId="2EA19DA4" w14:textId="77777777" w:rsidR="0011327E" w:rsidRPr="00956179" w:rsidRDefault="0011327E" w:rsidP="0011327E">
      <w:pPr>
        <w:spacing w:after="0"/>
        <w:rPr>
          <w:color w:val="00B050"/>
        </w:rPr>
      </w:pPr>
      <w:r w:rsidRPr="000D0406">
        <w:rPr>
          <w:color w:val="auto"/>
        </w:rPr>
        <w:t>In this regard, these interlinked and overlapping proposals can be difficult to fully understand how they would work practically and be applied across all areas. Therefore, as stated above, further detailed analysis would be required which cannot be completed prior to the close of this consultation.</w:t>
      </w:r>
    </w:p>
    <w:p w14:paraId="6EC3FE51" w14:textId="3E2D39DB" w:rsidR="00237775" w:rsidRDefault="00237775" w:rsidP="00237775">
      <w:pPr>
        <w:spacing w:after="0"/>
      </w:pP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2A9E22FB" w14:textId="77777777" w:rsidR="006E26DC" w:rsidRPr="005114FD" w:rsidRDefault="006E26DC" w:rsidP="006E26DC">
      <w:pPr>
        <w:spacing w:after="0"/>
        <w:rPr>
          <w:color w:val="auto"/>
        </w:rPr>
      </w:pPr>
      <w:permStart w:id="1014435575" w:edGrp="everyone"/>
      <w:r w:rsidRPr="005114FD">
        <w:rPr>
          <w:color w:val="auto"/>
        </w:rPr>
        <w:t>For transparency and transaction reporting there is no need for any additional fields than those currently required in RTS 23. Whilst ISDA is in favour of simplification where it is proven to be beneficial, as RTS 23 is currently not used for transparency calculations and coupled with the fact that it is unclear what the requirement for the transparency calculations are going to be under the new Article 8a scope, it would be premature to request the industry make significant changes to its reporting infrastructure that could ultimately be unnecessary.</w:t>
      </w:r>
    </w:p>
    <w:p w14:paraId="6759ACB9" w14:textId="69E5A955" w:rsidR="00237775" w:rsidRDefault="00237775" w:rsidP="00237775">
      <w:pPr>
        <w:spacing w:after="0"/>
      </w:pP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lastRenderedPageBreak/>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778DAA2" w14:textId="77777777" w:rsidR="00225B6C" w:rsidRPr="00200424" w:rsidRDefault="00225B6C" w:rsidP="00225B6C">
      <w:pPr>
        <w:spacing w:after="0"/>
        <w:rPr>
          <w:color w:val="auto"/>
        </w:rPr>
      </w:pPr>
      <w:permStart w:id="220344249" w:edGrp="everyone"/>
      <w:r w:rsidRPr="00200424">
        <w:rPr>
          <w:color w:val="auto"/>
        </w:rPr>
        <w:t>The consultation paper lists seven fields to be transposed from RTS 2 to RTS 23 but with no changes made to the field definitions or permitted values. However, Table 3 in the Annex does not include the field ‘Issuer of sovereign and public type’. Is the intention to include this field for RTS 23?</w:t>
      </w:r>
    </w:p>
    <w:p w14:paraId="002010DF" w14:textId="0C53D757" w:rsidR="00237775" w:rsidRDefault="00237775" w:rsidP="00237775">
      <w:pPr>
        <w:spacing w:after="0"/>
      </w:pP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200EFA0E" w14:textId="77777777" w:rsidR="00B37AEB" w:rsidRDefault="00B37AEB" w:rsidP="00B37AEB">
      <w:pPr>
        <w:spacing w:after="0"/>
      </w:pPr>
      <w:permStart w:id="415780132" w:edGrp="everyone"/>
      <w:r w:rsidRPr="00CD7E69">
        <w:t xml:space="preserve">Given the content </w:t>
      </w:r>
      <w:r>
        <w:t xml:space="preserve">of the European Commissions Delegated Act </w:t>
      </w:r>
      <w:r w:rsidRPr="0054781B">
        <w:t>on OTC Derivatives Identifying Reference Data for the purpose of transparency requirements</w:t>
      </w:r>
      <w:r>
        <w:t xml:space="preserve"> (the “DA”), we support the inclusion of a field for UPI in RTS 23. It is </w:t>
      </w:r>
      <w:r w:rsidRPr="00200424">
        <w:rPr>
          <w:color w:val="auto"/>
        </w:rPr>
        <w:t xml:space="preserve">imperative </w:t>
      </w:r>
      <w:r>
        <w:t>that the UPI is fully integrated into FIRDS in its own right and not a derived value of the OTC ISIN.</w:t>
      </w:r>
    </w:p>
    <w:p w14:paraId="799BA2C1" w14:textId="77777777" w:rsidR="00B37AEB" w:rsidRDefault="00B37AEB" w:rsidP="00B37AEB">
      <w:pPr>
        <w:spacing w:after="0"/>
      </w:pPr>
      <w:r>
        <w:t xml:space="preserve"> </w:t>
      </w:r>
    </w:p>
    <w:p w14:paraId="62BFC4BE" w14:textId="77777777" w:rsidR="00B37AEB" w:rsidRPr="005114FD" w:rsidRDefault="00B37AEB" w:rsidP="00B37AEB">
      <w:pPr>
        <w:spacing w:after="0"/>
        <w:rPr>
          <w:color w:val="auto"/>
        </w:rPr>
      </w:pPr>
      <w:r>
        <w:t xml:space="preserve">We also agree with the amendment of the field ‘Expiry date’ as expressed in the consultation paper. </w:t>
      </w:r>
    </w:p>
    <w:p w14:paraId="71EB85F6" w14:textId="77777777" w:rsidR="00B37AEB" w:rsidRPr="005114FD" w:rsidRDefault="00B37AEB" w:rsidP="00B37AEB">
      <w:pPr>
        <w:spacing w:after="0"/>
        <w:rPr>
          <w:color w:val="auto"/>
        </w:rPr>
      </w:pPr>
    </w:p>
    <w:p w14:paraId="737F1F82" w14:textId="77777777" w:rsidR="00B37AEB" w:rsidRPr="005114FD" w:rsidRDefault="00B37AEB" w:rsidP="00B37AEB">
      <w:pPr>
        <w:spacing w:after="0"/>
        <w:rPr>
          <w:color w:val="auto"/>
        </w:rPr>
      </w:pPr>
      <w:r w:rsidRPr="005114FD">
        <w:rPr>
          <w:color w:val="auto"/>
        </w:rPr>
        <w:t>However, we stress that the addition of many of the other fields referenced in the proposed DA are superfluous to the requirements of FIRDS and could lead to issues with data quality over time.</w:t>
      </w:r>
    </w:p>
    <w:p w14:paraId="1F6998D2" w14:textId="1C55BBB6" w:rsidR="00237775" w:rsidRDefault="00237775" w:rsidP="00237775">
      <w:pPr>
        <w:spacing w:after="0"/>
      </w:pP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0788B22D" w14:textId="77777777" w:rsidR="006B560C" w:rsidRPr="00200424" w:rsidRDefault="006B560C" w:rsidP="006B560C">
      <w:pPr>
        <w:spacing w:after="0"/>
        <w:rPr>
          <w:strike/>
          <w:color w:val="auto"/>
        </w:rPr>
      </w:pPr>
      <w:permStart w:id="838951323" w:edGrp="everyone"/>
      <w:r>
        <w:t xml:space="preserve">We agree with the proposed implementation period of 18 months after publication in the OJ. This aligns with other recent implementation timelines. It should be noted however, that the scale and complexity of the changes will not be fully understood until the publication of the technical standards, and it is important that the technical standards are made available as soon as possible after the OJ publication. </w:t>
      </w:r>
      <w:r w:rsidRPr="00200424">
        <w:rPr>
          <w:color w:val="auto"/>
        </w:rPr>
        <w:t>In any event, the implementation date must be at least 12 months following publication of the technical standards.</w:t>
      </w:r>
      <w:r w:rsidRPr="00200424">
        <w:rPr>
          <w:strike/>
          <w:color w:val="auto"/>
        </w:rPr>
        <w:t xml:space="preserve"> </w:t>
      </w:r>
    </w:p>
    <w:p w14:paraId="22281E86" w14:textId="77777777" w:rsidR="006B560C" w:rsidRPr="00200424" w:rsidRDefault="006B560C" w:rsidP="006B560C">
      <w:pPr>
        <w:spacing w:after="0"/>
        <w:rPr>
          <w:color w:val="auto"/>
        </w:rPr>
      </w:pPr>
      <w:r w:rsidRPr="00200424">
        <w:rPr>
          <w:color w:val="auto"/>
        </w:rPr>
        <w:t>For avoidance of doubt, it is assumed that the new derivatives identifier will have been implemented into FIRDS prior to the RTS 23 implementation date.</w:t>
      </w:r>
    </w:p>
    <w:p w14:paraId="54384DC5" w14:textId="58BDE1B5" w:rsidR="00237775" w:rsidRDefault="00237775" w:rsidP="00237775">
      <w:pPr>
        <w:spacing w:after="0"/>
      </w:pP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6C8CDBA4" w14:textId="77777777" w:rsidR="003B397D" w:rsidRDefault="003B397D" w:rsidP="003B397D">
      <w:pPr>
        <w:spacing w:after="0"/>
      </w:pPr>
      <w:permStart w:id="621418784" w:edGrp="everyone"/>
      <w:r w:rsidRPr="00A6712B">
        <w:t xml:space="preserve">ISDA and its </w:t>
      </w:r>
      <w:r>
        <w:t>members are supportive of alignment between jurisdictions where it is appropriate to do so, along with the adoption of international standards. We agree with the ISO standards listed within paragraph 351 of the consultation paper, but propose ISO 4914 UPI should also be included as this is expected to be a field under RTS 23 (as referred to in section 14.2).</w:t>
      </w:r>
    </w:p>
    <w:p w14:paraId="72D32447" w14:textId="77777777" w:rsidR="003B397D" w:rsidRPr="00200424" w:rsidRDefault="003B397D" w:rsidP="003B397D">
      <w:pPr>
        <w:spacing w:after="0"/>
        <w:rPr>
          <w:color w:val="auto"/>
        </w:rPr>
      </w:pPr>
      <w:r w:rsidRPr="00200424">
        <w:rPr>
          <w:color w:val="auto"/>
        </w:rPr>
        <w:t>We note that while alignment between jurisdictions is welcomed, these changes will require implementation effort from market participants which should be factored into the overall impact of changes being proposed.</w:t>
      </w:r>
    </w:p>
    <w:p w14:paraId="48800964" w14:textId="761707A2" w:rsidR="0015061C" w:rsidRDefault="0015061C" w:rsidP="0015061C">
      <w:pPr>
        <w:spacing w:after="0"/>
      </w:pP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66636D56" w14:textId="77777777" w:rsidR="00B446AB" w:rsidRPr="00200424" w:rsidRDefault="00B446AB" w:rsidP="00B446AB">
      <w:pPr>
        <w:spacing w:after="0"/>
        <w:rPr>
          <w:color w:val="auto"/>
        </w:rPr>
      </w:pPr>
      <w:permStart w:id="1336420085" w:edGrp="everyone"/>
      <w:r w:rsidRPr="00200424">
        <w:rPr>
          <w:color w:val="auto"/>
        </w:rPr>
        <w:t>We note that UPI is not included as a field within the table, but this should be included for RTS 23 (see answer to Q60).</w:t>
      </w:r>
    </w:p>
    <w:p w14:paraId="0F667A33" w14:textId="77777777" w:rsidR="00B446AB" w:rsidRPr="00200424" w:rsidRDefault="00B446AB" w:rsidP="00B446AB">
      <w:pPr>
        <w:spacing w:after="0"/>
        <w:rPr>
          <w:color w:val="auto"/>
        </w:rPr>
      </w:pPr>
    </w:p>
    <w:p w14:paraId="696AB6F7" w14:textId="77777777" w:rsidR="00B446AB" w:rsidRDefault="00B446AB" w:rsidP="00B446AB">
      <w:pPr>
        <w:spacing w:after="0"/>
      </w:pPr>
      <w:r w:rsidRPr="00200424">
        <w:rPr>
          <w:color w:val="auto"/>
        </w:rPr>
        <w:t xml:space="preserve">The field ‘Indicator of the index/benchmark of a floating rate bond’ (20) has similar requirements to the EMIR fields ‘Name of the floating rate of leg 1’ and ‘Name of the floating rate of leg 2’. While alignment between reporting regimes is welcomed, the requirement of this field is problematic. The technical standards state the field is to be populated with the name “as assigned by the index provider”, but the practical execution of this is challenging as there is no centrally managed list of benchmark details (including no list of the full benchmark name). This means each reporting entity will need to consume the index/benchmark name from multiple sources. An alternative is to consume the data form a secondary source (should one exist) that lists the full names, but this arguably increases the risk of incorrect and/or inconsistent reporting of the </w:t>
      </w:r>
      <w:r>
        <w:t xml:space="preserve">benchmark name. </w:t>
      </w:r>
    </w:p>
    <w:p w14:paraId="3DFA03AA" w14:textId="77777777" w:rsidR="00B446AB" w:rsidRDefault="00B446AB" w:rsidP="00B446AB">
      <w:pPr>
        <w:spacing w:after="0"/>
      </w:pPr>
    </w:p>
    <w:p w14:paraId="3B6B53BF" w14:textId="77777777" w:rsidR="00B446AB" w:rsidRDefault="00B446AB" w:rsidP="00B446AB">
      <w:pPr>
        <w:spacing w:after="0"/>
      </w:pPr>
      <w:r>
        <w:t>This lack of a single ‘golden’ source for the benchmark names, combined with this being a free format field, risks inconsistency in how the same index/benchmark will be populated across market participants.</w:t>
      </w:r>
    </w:p>
    <w:p w14:paraId="1F7888B3" w14:textId="77777777" w:rsidR="00B446AB" w:rsidRDefault="00B446AB" w:rsidP="00B446AB">
      <w:pPr>
        <w:spacing w:after="0"/>
      </w:pPr>
    </w:p>
    <w:p w14:paraId="6E210B59" w14:textId="77777777" w:rsidR="00B446AB" w:rsidRDefault="00B446AB" w:rsidP="00B446AB">
      <w:pPr>
        <w:spacing w:after="0"/>
      </w:pPr>
      <w:r w:rsidRPr="00200424">
        <w:rPr>
          <w:color w:val="auto"/>
        </w:rPr>
        <w:lastRenderedPageBreak/>
        <w:t xml:space="preserve">Preferably, one or more alternative benchmark codes would be permitted to be reported as these will be less error prone to free format values, while still providing the relevant information. One such example is the ISO Benchmark Curve Name Code, although we encourage flexibility on permitted other suitable solutions. In the case of the ISO Benchmark Curve Name Code, these </w:t>
      </w:r>
      <w:r>
        <w:t>are centrally published and centrally maintain 4-letter codes that are already imbedded in reporting requirements across various regimes. If the full names of index/benchmarks are to be reported, there would ideally be a centrally managed list for market participants to use, thereby making implementation easier and reduce the risk of inconsistent reporting.</w:t>
      </w:r>
    </w:p>
    <w:p w14:paraId="04BD4AC0" w14:textId="77777777" w:rsidR="00B446AB" w:rsidRDefault="00B446AB" w:rsidP="00B446AB">
      <w:pPr>
        <w:spacing w:after="0"/>
      </w:pPr>
    </w:p>
    <w:p w14:paraId="6CE94D23" w14:textId="77777777" w:rsidR="00B446AB" w:rsidRDefault="00B446AB" w:rsidP="00B446AB">
      <w:pPr>
        <w:spacing w:after="0"/>
      </w:pPr>
      <w:r>
        <w:t xml:space="preserve">ISDA stand ready to assist with establishing any such central list of the full names of index/benchmarks for the use of </w:t>
      </w:r>
      <w:proofErr w:type="spellStart"/>
      <w:r>
        <w:t>MiFIR</w:t>
      </w:r>
      <w:proofErr w:type="spellEnd"/>
      <w:r>
        <w:t xml:space="preserve"> and EMIR reporting.</w:t>
      </w:r>
    </w:p>
    <w:p w14:paraId="4D412A0E" w14:textId="77777777" w:rsidR="00B446AB" w:rsidRPr="006A7624" w:rsidRDefault="00B446AB" w:rsidP="00B446AB">
      <w:pPr>
        <w:spacing w:after="0"/>
        <w:rPr>
          <w:color w:val="auto"/>
        </w:rPr>
      </w:pPr>
    </w:p>
    <w:p w14:paraId="57F73C1E" w14:textId="77777777" w:rsidR="00B446AB" w:rsidRPr="006A7624" w:rsidRDefault="00B446AB" w:rsidP="00B446AB">
      <w:pPr>
        <w:spacing w:after="0"/>
        <w:rPr>
          <w:rFonts w:ascii="ArialMT" w:eastAsia="Times New Roman" w:hAnsi="ArialMT" w:cs="ArialMT"/>
          <w:color w:val="auto"/>
          <w:szCs w:val="22"/>
          <w:lang w:eastAsia="en-GB"/>
        </w:rPr>
      </w:pPr>
      <w:r w:rsidRPr="006A7624">
        <w:rPr>
          <w:color w:val="auto"/>
        </w:rPr>
        <w:t xml:space="preserve">The table for paragraph 355 shows there are six permitted </w:t>
      </w:r>
      <w:r w:rsidRPr="006A7624">
        <w:rPr>
          <w:rFonts w:ascii="ArialMT" w:eastAsia="Times New Roman" w:hAnsi="ArialMT" w:cs="ArialMT"/>
          <w:color w:val="auto"/>
          <w:szCs w:val="22"/>
          <w:lang w:eastAsia="en-GB"/>
        </w:rPr>
        <w:t xml:space="preserve">values (with the addition of “OTHR”) for </w:t>
      </w:r>
      <w:r w:rsidRPr="006A7624">
        <w:rPr>
          <w:color w:val="auto"/>
        </w:rPr>
        <w:t>‘</w:t>
      </w:r>
      <w:r w:rsidRPr="006A7624">
        <w:rPr>
          <w:rFonts w:ascii="ArialMT" w:eastAsia="Times New Roman" w:hAnsi="ArialMT" w:cs="ArialMT"/>
          <w:color w:val="auto"/>
          <w:szCs w:val="22"/>
          <w:lang w:eastAsia="en-GB"/>
        </w:rPr>
        <w:t xml:space="preserve">Further sub product values’ within the ‘Sub product’ of “‘NGAS’ – Natural Gas”. However, Table 2 on page 338, and again on page 360, reflects the values that will be allowed are “LNGG”, “HYDG”, “NGAS” and “OTHR”. That is to say, the values “HYDG”, “NGAS” have been added, and the values “GASP”, “NBPG”, “NCGG” and “TTFG” have been removed. These changes make sense taken in isolation, but will not align with the available ‘Further sub product’ values permitted for EMIR reporting. </w:t>
      </w:r>
    </w:p>
    <w:p w14:paraId="42CA2D5B" w14:textId="77777777" w:rsidR="00B446AB" w:rsidRPr="006A7624" w:rsidRDefault="00B446AB" w:rsidP="00B446AB">
      <w:pPr>
        <w:spacing w:after="0"/>
        <w:rPr>
          <w:rFonts w:ascii="ArialMT" w:eastAsia="Times New Roman" w:hAnsi="ArialMT" w:cs="ArialMT"/>
          <w:color w:val="auto"/>
          <w:szCs w:val="22"/>
          <w:lang w:eastAsia="en-GB"/>
        </w:rPr>
      </w:pPr>
      <w:r w:rsidRPr="006A7624">
        <w:rPr>
          <w:rFonts w:ascii="ArialMT" w:eastAsia="Times New Roman" w:hAnsi="ArialMT" w:cs="ArialMT"/>
          <w:color w:val="auto"/>
          <w:szCs w:val="22"/>
          <w:lang w:eastAsia="en-GB"/>
        </w:rPr>
        <w:t xml:space="preserve">This will mean market participants must support and report two different classifications for Natural Gas commodity products; one for </w:t>
      </w:r>
      <w:proofErr w:type="spellStart"/>
      <w:r w:rsidRPr="006A7624">
        <w:rPr>
          <w:rFonts w:ascii="ArialMT" w:eastAsia="Times New Roman" w:hAnsi="ArialMT" w:cs="ArialMT"/>
          <w:color w:val="auto"/>
          <w:szCs w:val="22"/>
          <w:lang w:eastAsia="en-GB"/>
        </w:rPr>
        <w:t>MiFIR</w:t>
      </w:r>
      <w:proofErr w:type="spellEnd"/>
      <w:r w:rsidRPr="006A7624">
        <w:rPr>
          <w:rFonts w:ascii="ArialMT" w:eastAsia="Times New Roman" w:hAnsi="ArialMT" w:cs="ArialMT"/>
          <w:color w:val="auto"/>
          <w:szCs w:val="22"/>
          <w:lang w:eastAsia="en-GB"/>
        </w:rPr>
        <w:t xml:space="preserve"> reporting and one for EMIR reporting. Introducing this </w:t>
      </w:r>
      <w:r>
        <w:rPr>
          <w:rFonts w:ascii="ArialMT" w:eastAsia="Times New Roman" w:hAnsi="ArialMT" w:cs="ArialMT"/>
          <w:color w:val="auto"/>
          <w:szCs w:val="22"/>
          <w:lang w:eastAsia="en-GB"/>
        </w:rPr>
        <w:t>misa</w:t>
      </w:r>
      <w:r w:rsidRPr="006A7624">
        <w:rPr>
          <w:rFonts w:ascii="ArialMT" w:eastAsia="Times New Roman" w:hAnsi="ArialMT" w:cs="ArialMT"/>
          <w:color w:val="auto"/>
          <w:szCs w:val="22"/>
          <w:lang w:eastAsia="en-GB"/>
        </w:rPr>
        <w:t xml:space="preserve">lignment between the two regimes needs to be carefully considered and if the change is to be made for </w:t>
      </w:r>
      <w:proofErr w:type="spellStart"/>
      <w:r w:rsidRPr="006A7624">
        <w:rPr>
          <w:rFonts w:ascii="ArialMT" w:eastAsia="Times New Roman" w:hAnsi="ArialMT" w:cs="ArialMT"/>
          <w:color w:val="auto"/>
          <w:szCs w:val="22"/>
          <w:lang w:eastAsia="en-GB"/>
        </w:rPr>
        <w:t>MiFIR</w:t>
      </w:r>
      <w:proofErr w:type="spellEnd"/>
      <w:r w:rsidRPr="006A7624">
        <w:rPr>
          <w:rFonts w:ascii="ArialMT" w:eastAsia="Times New Roman" w:hAnsi="ArialMT" w:cs="ArialMT"/>
          <w:color w:val="auto"/>
          <w:szCs w:val="22"/>
          <w:lang w:eastAsia="en-GB"/>
        </w:rPr>
        <w:t xml:space="preserve">, clarification is required on how this should be manged alongside EMIR. </w:t>
      </w:r>
    </w:p>
    <w:p w14:paraId="613AC975" w14:textId="77777777" w:rsidR="00B446AB" w:rsidRDefault="00B446AB" w:rsidP="00B446AB">
      <w:pPr>
        <w:spacing w:after="0"/>
        <w:rPr>
          <w:rFonts w:ascii="ArialMT" w:eastAsia="Times New Roman" w:hAnsi="ArialMT" w:cs="ArialMT"/>
          <w:color w:val="auto"/>
          <w:szCs w:val="22"/>
          <w:lang w:eastAsia="en-GB"/>
        </w:rPr>
      </w:pPr>
      <w:r w:rsidRPr="005114FD">
        <w:rPr>
          <w:rFonts w:ascii="ArialMT" w:eastAsia="Times New Roman" w:hAnsi="ArialMT" w:cs="ArialMT"/>
          <w:color w:val="auto"/>
          <w:szCs w:val="22"/>
          <w:lang w:eastAsia="en-GB"/>
        </w:rPr>
        <w:t xml:space="preserve">It is also assumed the </w:t>
      </w:r>
      <w:r w:rsidRPr="006A7624">
        <w:rPr>
          <w:rFonts w:ascii="ArialMT" w:eastAsia="Times New Roman" w:hAnsi="ArialMT" w:cs="ArialMT"/>
          <w:color w:val="auto"/>
          <w:szCs w:val="22"/>
          <w:lang w:eastAsia="en-GB"/>
        </w:rPr>
        <w:t xml:space="preserve">new values would only be applied on a go-forward basis and not applied to pre-existing instruments. </w:t>
      </w:r>
    </w:p>
    <w:p w14:paraId="274F7FB2" w14:textId="77777777" w:rsidR="00B446AB" w:rsidRDefault="00B446AB" w:rsidP="00B446AB">
      <w:pPr>
        <w:spacing w:after="0"/>
        <w:rPr>
          <w:rFonts w:ascii="ArialMT" w:eastAsia="Times New Roman" w:hAnsi="ArialMT" w:cs="ArialMT"/>
          <w:color w:val="auto"/>
          <w:szCs w:val="22"/>
          <w:lang w:eastAsia="en-GB"/>
        </w:rPr>
      </w:pPr>
    </w:p>
    <w:p w14:paraId="2FE2A29C" w14:textId="77777777" w:rsidR="00B446AB" w:rsidRPr="005114FD" w:rsidRDefault="00B446AB" w:rsidP="00B446AB">
      <w:pPr>
        <w:spacing w:after="0"/>
        <w:rPr>
          <w:rFonts w:ascii="ArialMT" w:eastAsia="Times New Roman" w:hAnsi="ArialMT" w:cs="ArialMT"/>
          <w:color w:val="auto"/>
          <w:szCs w:val="22"/>
          <w:lang w:eastAsia="en-GB"/>
        </w:rPr>
      </w:pPr>
      <w:r w:rsidRPr="005114FD">
        <w:rPr>
          <w:rFonts w:ascii="ArialMT" w:eastAsia="Times New Roman" w:hAnsi="ArialMT" w:cs="ArialMT"/>
          <w:color w:val="auto"/>
          <w:szCs w:val="22"/>
          <w:lang w:eastAsia="en-GB"/>
        </w:rPr>
        <w:t xml:space="preserve">Further to the permitted values differing between EMIR and </w:t>
      </w:r>
      <w:proofErr w:type="spellStart"/>
      <w:r w:rsidRPr="005114FD">
        <w:rPr>
          <w:rFonts w:ascii="ArialMT" w:eastAsia="Times New Roman" w:hAnsi="ArialMT" w:cs="ArialMT"/>
          <w:color w:val="auto"/>
          <w:szCs w:val="22"/>
          <w:lang w:eastAsia="en-GB"/>
        </w:rPr>
        <w:t>MiFIR</w:t>
      </w:r>
      <w:proofErr w:type="spellEnd"/>
      <w:r w:rsidRPr="005114FD">
        <w:rPr>
          <w:rFonts w:ascii="ArialMT" w:eastAsia="Times New Roman" w:hAnsi="ArialMT" w:cs="ArialMT"/>
          <w:color w:val="auto"/>
          <w:szCs w:val="22"/>
          <w:lang w:eastAsia="en-GB"/>
        </w:rPr>
        <w:t xml:space="preserve">, the proposed change may also impact UPIs. The three parameters of Base / Sub / Additional Sub Product are attributes of the UPI generation templates for commodity products. It is unclear whether or not that new set of values proposed for </w:t>
      </w:r>
      <w:proofErr w:type="spellStart"/>
      <w:r w:rsidRPr="005114FD">
        <w:rPr>
          <w:rFonts w:ascii="ArialMT" w:eastAsia="Times New Roman" w:hAnsi="ArialMT" w:cs="ArialMT"/>
          <w:color w:val="auto"/>
          <w:szCs w:val="22"/>
          <w:lang w:eastAsia="en-GB"/>
        </w:rPr>
        <w:t>MiFIR</w:t>
      </w:r>
      <w:proofErr w:type="spellEnd"/>
      <w:r w:rsidRPr="005114FD">
        <w:rPr>
          <w:rFonts w:ascii="ArialMT" w:eastAsia="Times New Roman" w:hAnsi="ArialMT" w:cs="ArialMT"/>
          <w:color w:val="auto"/>
          <w:szCs w:val="22"/>
          <w:lang w:eastAsia="en-GB"/>
        </w:rPr>
        <w:t xml:space="preserve"> will replace the existing UPI generation values for these three attributes. </w:t>
      </w:r>
    </w:p>
    <w:p w14:paraId="2485176F" w14:textId="77777777" w:rsidR="00B446AB" w:rsidRPr="005114FD" w:rsidRDefault="00B446AB" w:rsidP="00B446AB">
      <w:pPr>
        <w:spacing w:after="0"/>
        <w:rPr>
          <w:rFonts w:ascii="ArialMT" w:eastAsia="Times New Roman" w:hAnsi="ArialMT" w:cs="ArialMT"/>
          <w:color w:val="auto"/>
          <w:szCs w:val="22"/>
          <w:lang w:eastAsia="en-GB"/>
        </w:rPr>
      </w:pPr>
      <w:r w:rsidRPr="005114FD">
        <w:rPr>
          <w:rFonts w:ascii="ArialMT" w:eastAsia="Times New Roman" w:hAnsi="ArialMT" w:cs="ArialMT"/>
          <w:color w:val="auto"/>
          <w:szCs w:val="22"/>
          <w:lang w:eastAsia="en-GB"/>
        </w:rPr>
        <w:t xml:space="preserve">If UPIs are obtained using the existing set of values for Base / Sub / Additional Sub Products (particularly for Natural Gas), will the UPI be valid under </w:t>
      </w:r>
      <w:proofErr w:type="spellStart"/>
      <w:r w:rsidRPr="005114FD">
        <w:rPr>
          <w:rFonts w:ascii="ArialMT" w:eastAsia="Times New Roman" w:hAnsi="ArialMT" w:cs="ArialMT"/>
          <w:color w:val="auto"/>
          <w:szCs w:val="22"/>
          <w:lang w:eastAsia="en-GB"/>
        </w:rPr>
        <w:t>MiFIR</w:t>
      </w:r>
      <w:proofErr w:type="spellEnd"/>
      <w:r w:rsidRPr="005114FD">
        <w:rPr>
          <w:rFonts w:ascii="ArialMT" w:eastAsia="Times New Roman" w:hAnsi="ArialMT" w:cs="ArialMT"/>
          <w:color w:val="auto"/>
          <w:szCs w:val="22"/>
          <w:lang w:eastAsia="en-GB"/>
        </w:rPr>
        <w:t xml:space="preserve"> as and when the proposed changes are implemented? Alternatively, if UPIs are to apply the new values proposed under </w:t>
      </w:r>
      <w:proofErr w:type="spellStart"/>
      <w:r w:rsidRPr="005114FD">
        <w:rPr>
          <w:rFonts w:ascii="ArialMT" w:eastAsia="Times New Roman" w:hAnsi="ArialMT" w:cs="ArialMT"/>
          <w:color w:val="auto"/>
          <w:szCs w:val="22"/>
          <w:lang w:eastAsia="en-GB"/>
        </w:rPr>
        <w:t>MiFIR</w:t>
      </w:r>
      <w:proofErr w:type="spellEnd"/>
      <w:r w:rsidRPr="005114FD">
        <w:rPr>
          <w:rFonts w:ascii="ArialMT" w:eastAsia="Times New Roman" w:hAnsi="ArialMT" w:cs="ArialMT"/>
          <w:color w:val="auto"/>
          <w:szCs w:val="22"/>
          <w:lang w:eastAsia="en-GB"/>
        </w:rPr>
        <w:t xml:space="preserve">, there is the same problem identified above of market participants needing to maintain two separate but similar classifications for the same commodity reference prices. To reiterate, the changes outlined seen sensible, but we want to highlight that they may result in divergences between reporting regimes and standards which should be considered and potentially additional clarification supplied. </w:t>
      </w:r>
    </w:p>
    <w:p w14:paraId="20E0D238" w14:textId="77777777" w:rsidR="00B446AB" w:rsidRPr="005114FD" w:rsidRDefault="00B446AB" w:rsidP="00B446AB">
      <w:pPr>
        <w:spacing w:after="0"/>
        <w:rPr>
          <w:rFonts w:ascii="ArialMT" w:eastAsia="Times New Roman" w:hAnsi="ArialMT" w:cs="ArialMT"/>
          <w:color w:val="auto"/>
          <w:szCs w:val="22"/>
          <w:lang w:eastAsia="en-GB"/>
        </w:rPr>
      </w:pPr>
    </w:p>
    <w:p w14:paraId="6BED8076" w14:textId="77777777" w:rsidR="00B446AB" w:rsidRPr="005114FD" w:rsidRDefault="00B446AB" w:rsidP="00B446AB">
      <w:pPr>
        <w:spacing w:after="0"/>
        <w:rPr>
          <w:color w:val="auto"/>
        </w:rPr>
      </w:pPr>
      <w:r w:rsidRPr="005114FD">
        <w:rPr>
          <w:rFonts w:ascii="ArialMT" w:eastAsia="Times New Roman" w:hAnsi="ArialMT" w:cs="ArialMT"/>
          <w:color w:val="auto"/>
          <w:szCs w:val="22"/>
          <w:lang w:eastAsia="en-GB"/>
        </w:rPr>
        <w:lastRenderedPageBreak/>
        <w:t xml:space="preserve">Finally, although the scope of the consultation paper does not include the reporting message itself, the amendments outlined in the CP would presumably lead to changes being required to the structure and format of the ISO 20022 message. This would add to the level of development required across the industry and should be taken into account when assessing the full impact of updates to RTS 23. </w:t>
      </w:r>
    </w:p>
    <w:p w14:paraId="51028F3F" w14:textId="54A2033F" w:rsidR="0015061C" w:rsidRDefault="0015061C" w:rsidP="0015061C">
      <w:pPr>
        <w:spacing w:after="0"/>
      </w:pP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491AD4E7" w14:textId="77777777" w:rsidR="00F64FD1" w:rsidRDefault="00F64FD1" w:rsidP="00F64FD1">
      <w:pPr>
        <w:spacing w:after="0"/>
      </w:pPr>
      <w:permStart w:id="1816345643" w:edGrp="everyone"/>
      <w:r>
        <w:t xml:space="preserve">We do foresee challenges with the proposed approach. </w:t>
      </w:r>
    </w:p>
    <w:p w14:paraId="25667ED5" w14:textId="77777777" w:rsidR="00F64FD1" w:rsidRDefault="00F64FD1" w:rsidP="00F64FD1">
      <w:pPr>
        <w:spacing w:after="0"/>
      </w:pPr>
    </w:p>
    <w:p w14:paraId="681C6DD8" w14:textId="77777777" w:rsidR="00F64FD1" w:rsidRDefault="00F64FD1" w:rsidP="00F64FD1">
      <w:pPr>
        <w:spacing w:after="0"/>
        <w:rPr>
          <w:rFonts w:ascii="Times New Roman" w:eastAsiaTheme="minorHAnsi" w:hAnsi="Times New Roman" w:cs="Times New Roman"/>
          <w:color w:val="auto"/>
          <w:sz w:val="24"/>
          <w:lang w:eastAsia="en-GB"/>
        </w:rPr>
      </w:pPr>
      <w:r>
        <w:t xml:space="preserve">Although the consultation paper cites the instruments in scope for CSDR are a subset of those in scope for </w:t>
      </w:r>
      <w:proofErr w:type="spellStart"/>
      <w:r>
        <w:t>MiFIR</w:t>
      </w:r>
      <w:proofErr w:type="spellEnd"/>
      <w:r>
        <w:t>, and we also note that Reg (EU) 2023/2845 requires “</w:t>
      </w:r>
      <w:r>
        <w:rPr>
          <w:i/>
          <w:iCs/>
        </w:rPr>
        <w:t>a list of the financial instruments referred to in Article 5(1) which are admitted to trading or traded on a trading venue or cleared by a CC</w:t>
      </w:r>
      <w:r w:rsidRPr="00F65EE7">
        <w:t>” to be</w:t>
      </w:r>
      <w:r>
        <w:t xml:space="preserve"> published on the ESMA website by 17 January 2026, if CSDR publications were integrated in FIRDS it does not necessarily follow that it is a simple task to define the securities that are in scope for the settlement discipline regime under CSDR. Using FIRDS to identify the trading venue with highest turnover / the most relevant market, is moving away from true instrument reference data, which is essentially the purpose of FIRDS. Furthermore, from an operational perspective, this proposal introduces operating model interdependencies in reference data between regulations, thus increasing the breadth impact of any errors. </w:t>
      </w:r>
    </w:p>
    <w:p w14:paraId="25AEE7B7" w14:textId="77777777" w:rsidR="00F64FD1" w:rsidRDefault="00F64FD1" w:rsidP="00F64FD1">
      <w:pPr>
        <w:spacing w:after="0"/>
      </w:pPr>
    </w:p>
    <w:p w14:paraId="41FC0EB4" w14:textId="77777777" w:rsidR="00F64FD1" w:rsidRPr="004B5734" w:rsidRDefault="00F64FD1" w:rsidP="00F64FD1">
      <w:pPr>
        <w:spacing w:after="0"/>
        <w:rPr>
          <w:color w:val="auto"/>
        </w:rPr>
      </w:pPr>
      <w:r w:rsidRPr="004B5734">
        <w:rPr>
          <w:color w:val="auto"/>
        </w:rPr>
        <w:t xml:space="preserve">The alternative of having another repository of data for CSDR may initially seem less favourable compared to FIRDS being a single repository for </w:t>
      </w:r>
      <w:proofErr w:type="spellStart"/>
      <w:r w:rsidRPr="004B5734">
        <w:rPr>
          <w:color w:val="auto"/>
        </w:rPr>
        <w:t>MiFIR</w:t>
      </w:r>
      <w:proofErr w:type="spellEnd"/>
      <w:r w:rsidRPr="004B5734">
        <w:rPr>
          <w:color w:val="auto"/>
        </w:rPr>
        <w:t xml:space="preserve"> and CSDR, but with various changes being proposed and implemented across regimes, it is extremely challenging to get a holistic view of how this proposal will work in practice and therefore we are unlikely to identify any problems that could arise from such a set up. </w:t>
      </w:r>
    </w:p>
    <w:p w14:paraId="7DCCE435" w14:textId="77777777" w:rsidR="00F64FD1" w:rsidRDefault="00F64FD1" w:rsidP="00F64FD1">
      <w:pPr>
        <w:spacing w:after="0"/>
      </w:pPr>
    </w:p>
    <w:p w14:paraId="385BB6C5" w14:textId="77777777" w:rsidR="00F64FD1" w:rsidRDefault="00F64FD1" w:rsidP="00F64FD1">
      <w:pPr>
        <w:spacing w:after="0"/>
      </w:pPr>
      <w:r>
        <w:t>For the reasons, we believe it is inappropriate to apply the use for FIRDS to CSDR without first carrying out detailed analysis to understand the full implications of such an integration.</w:t>
      </w:r>
    </w:p>
    <w:p w14:paraId="104F714E" w14:textId="45F0FCB0" w:rsidR="0015061C" w:rsidRDefault="0015061C" w:rsidP="0015061C">
      <w:pPr>
        <w:spacing w:after="0"/>
      </w:pP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lastRenderedPageBreak/>
        <w:t>&lt;ESMA_QUESTION</w:t>
      </w:r>
      <w:r w:rsidR="00F93646">
        <w:t>_</w:t>
      </w:r>
      <w:r w:rsidR="00DD54B5">
        <w:t>CP1</w:t>
      </w:r>
      <w:r w:rsidR="00F93646">
        <w:t>_</w:t>
      </w:r>
      <w:r>
        <w:t>6</w:t>
      </w:r>
      <w:r w:rsidR="00AE2A0A">
        <w:t>5</w:t>
      </w:r>
      <w:r>
        <w:t>&gt;</w:t>
      </w:r>
    </w:p>
    <w:p w14:paraId="531B31BC" w14:textId="77777777" w:rsidR="00BF074D" w:rsidRPr="004B5734" w:rsidRDefault="00BF074D" w:rsidP="00BF074D">
      <w:pPr>
        <w:spacing w:after="0"/>
        <w:rPr>
          <w:color w:val="auto"/>
        </w:rPr>
      </w:pPr>
      <w:permStart w:id="1261776209" w:edGrp="everyone"/>
      <w:r w:rsidRPr="004B5734">
        <w:rPr>
          <w:color w:val="auto"/>
        </w:rPr>
        <w:t>We object to the additional fields related to CSDR for the reasons cited in our answer to Q64.</w:t>
      </w:r>
    </w:p>
    <w:p w14:paraId="39668347" w14:textId="529FAF76" w:rsidR="0015061C" w:rsidRDefault="0015061C" w:rsidP="0015061C">
      <w:pPr>
        <w:spacing w:after="0"/>
      </w:pP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D18348F" w14:textId="77777777" w:rsidR="00AC074A" w:rsidRDefault="00AC074A" w:rsidP="00AC074A">
      <w:pPr>
        <w:spacing w:after="0"/>
        <w:rPr>
          <w:b/>
          <w:bCs/>
        </w:rPr>
      </w:pPr>
      <w:permStart w:id="946935013" w:edGrp="everyone"/>
      <w:r w:rsidRPr="00C46C7F">
        <w:rPr>
          <w:b/>
          <w:bCs/>
        </w:rPr>
        <w:t>#1 - LEI of administrator of benchmark</w:t>
      </w:r>
    </w:p>
    <w:p w14:paraId="04A54891" w14:textId="77777777" w:rsidR="00AC074A" w:rsidRPr="003201D1" w:rsidRDefault="00AC074A" w:rsidP="00AC074A">
      <w:pPr>
        <w:spacing w:after="0"/>
        <w:rPr>
          <w:color w:val="auto"/>
        </w:rPr>
      </w:pPr>
      <w:r>
        <w:t xml:space="preserve">Similar to our answer to Q63, a centralised database for benchmarks does not exist, including benchmark administrators. As a result, the addition of this field would be challenging and costly for market participants to </w:t>
      </w:r>
      <w:r w:rsidRPr="003201D1">
        <w:rPr>
          <w:color w:val="auto"/>
        </w:rPr>
        <w:t xml:space="preserve">implement. As well as adding complexities to the FIRDS reporting process for, the LEI of administrator of benchmark is not relevant for the RTS 23 reference data information. </w:t>
      </w:r>
    </w:p>
    <w:p w14:paraId="53DD8465" w14:textId="77777777" w:rsidR="00AC074A" w:rsidRPr="003201D1" w:rsidRDefault="00AC074A" w:rsidP="00AC074A">
      <w:pPr>
        <w:spacing w:after="0"/>
        <w:rPr>
          <w:strike/>
          <w:color w:val="auto"/>
        </w:rPr>
      </w:pPr>
      <w:r w:rsidRPr="003201D1">
        <w:rPr>
          <w:color w:val="auto"/>
        </w:rPr>
        <w:t xml:space="preserve">Therefore, given the complexity of the requirement and this data not being applicable to reference data, we oppose the inclusion of this field for RTS 23.  </w:t>
      </w:r>
    </w:p>
    <w:p w14:paraId="742CE67D" w14:textId="77777777" w:rsidR="00AC074A" w:rsidRDefault="00AC074A" w:rsidP="00AC074A">
      <w:pPr>
        <w:spacing w:after="0"/>
      </w:pPr>
    </w:p>
    <w:p w14:paraId="79933468" w14:textId="77777777" w:rsidR="00AC074A" w:rsidRPr="00A90034" w:rsidRDefault="00AC074A" w:rsidP="00AC074A">
      <w:pPr>
        <w:spacing w:after="0"/>
        <w:rPr>
          <w:b/>
          <w:bCs/>
        </w:rPr>
      </w:pPr>
      <w:r w:rsidRPr="00A90034">
        <w:rPr>
          <w:b/>
          <w:bCs/>
        </w:rPr>
        <w:t>#2 – LEI of fund manager</w:t>
      </w:r>
    </w:p>
    <w:p w14:paraId="1F4E624F" w14:textId="77777777" w:rsidR="00AC074A" w:rsidRPr="005114FD" w:rsidRDefault="00AC074A" w:rsidP="00AC074A">
      <w:pPr>
        <w:spacing w:after="0"/>
        <w:rPr>
          <w:strike/>
          <w:color w:val="auto"/>
        </w:rPr>
      </w:pPr>
      <w:r w:rsidRPr="00E47564">
        <w:t>We would like to u</w:t>
      </w:r>
      <w:r>
        <w:t xml:space="preserve">nderstand the requirement for this information as it is unclear why the LEI of the fund manager would be required. This would appear to be relevant for trade data rather than instrument data, and so should not be included for RTS 23. </w:t>
      </w:r>
    </w:p>
    <w:p w14:paraId="1D1E332A" w14:textId="77777777" w:rsidR="00AC074A" w:rsidRDefault="00AC074A" w:rsidP="00AC074A">
      <w:pPr>
        <w:spacing w:after="0"/>
      </w:pPr>
    </w:p>
    <w:p w14:paraId="2A9D8A28" w14:textId="77777777" w:rsidR="00AC074A" w:rsidRPr="00A90034" w:rsidRDefault="00AC074A" w:rsidP="00AC074A">
      <w:pPr>
        <w:spacing w:after="0"/>
        <w:rPr>
          <w:b/>
          <w:bCs/>
        </w:rPr>
      </w:pPr>
      <w:r w:rsidRPr="00A90034">
        <w:rPr>
          <w:b/>
          <w:bCs/>
        </w:rPr>
        <w:t>#3 – Minimum trading value</w:t>
      </w:r>
    </w:p>
    <w:p w14:paraId="78C9E756" w14:textId="77777777" w:rsidR="00AC074A" w:rsidRDefault="00AC074A" w:rsidP="00AC074A">
      <w:pPr>
        <w:spacing w:after="0"/>
      </w:pPr>
      <w:r w:rsidRPr="00CA0330">
        <w:t xml:space="preserve">We are unclear on </w:t>
      </w:r>
      <w:r>
        <w:t>the relevance or application of this information for DPE’s</w:t>
      </w:r>
      <w:r w:rsidRPr="004B5734">
        <w:rPr>
          <w:color w:val="auto"/>
        </w:rPr>
        <w:t xml:space="preserve">. We argue that this is not true reference data and </w:t>
      </w:r>
      <w:r w:rsidRPr="004B5734">
        <w:rPr>
          <w:rFonts w:eastAsia="Times New Roman"/>
          <w:color w:val="auto"/>
        </w:rPr>
        <w:t>other than listed derivatives, this seems unnece</w:t>
      </w:r>
      <w:r>
        <w:rPr>
          <w:rFonts w:eastAsia="Times New Roman"/>
        </w:rPr>
        <w:t xml:space="preserve">ssary for the majority of non-equity instruments </w:t>
      </w:r>
      <w:r>
        <w:t>so we would not want this added as a reportable field.</w:t>
      </w:r>
    </w:p>
    <w:p w14:paraId="74BCC108" w14:textId="77777777" w:rsidR="00AC074A" w:rsidRDefault="00AC074A" w:rsidP="00AC074A">
      <w:pPr>
        <w:spacing w:after="0"/>
      </w:pPr>
    </w:p>
    <w:p w14:paraId="0846343D" w14:textId="77777777" w:rsidR="00AC074A" w:rsidRPr="0079603D" w:rsidRDefault="00AC074A" w:rsidP="00AC074A">
      <w:pPr>
        <w:spacing w:after="0"/>
        <w:rPr>
          <w:b/>
          <w:bCs/>
        </w:rPr>
      </w:pPr>
      <w:r w:rsidRPr="0079603D">
        <w:rPr>
          <w:b/>
          <w:bCs/>
        </w:rPr>
        <w:t>#4 – LEI of the Designated Publishing Entity</w:t>
      </w:r>
    </w:p>
    <w:p w14:paraId="084EC408" w14:textId="77777777" w:rsidR="00AC074A" w:rsidRDefault="00AC074A" w:rsidP="00AC074A">
      <w:pPr>
        <w:spacing w:after="0"/>
      </w:pPr>
      <w:r>
        <w:t xml:space="preserve">We agree that this information should be provided so that it is possible to identify DPE’s. However, this data must not be made publicly available. The change in scope for RTS 23 could allow the possibility of linking instruments in FIRDS to the entity trading them if the LEI of the DPE is openly available. </w:t>
      </w:r>
    </w:p>
    <w:p w14:paraId="50C31F67" w14:textId="77777777" w:rsidR="00AC074A" w:rsidRDefault="00AC074A" w:rsidP="00AC074A">
      <w:pPr>
        <w:spacing w:after="0"/>
      </w:pPr>
      <w:r>
        <w:t xml:space="preserve">Currently, from a transparency perspective, the identity of an SI is anonymised to the public by the use of a </w:t>
      </w:r>
      <w:r w:rsidRPr="002F0D26">
        <w:rPr>
          <w:color w:val="auto"/>
        </w:rPr>
        <w:t>specific market category value</w:t>
      </w:r>
      <w:r>
        <w:t>. A similar approach should be taken to publicly mask the identify of DPE’s. Therefore, we propose that while this field should be included for RTS 23, the LEI must not be made publicly available in FIRDS.</w:t>
      </w:r>
    </w:p>
    <w:p w14:paraId="68988A9B" w14:textId="77777777" w:rsidR="00AC074A" w:rsidRDefault="00AC074A" w:rsidP="00AC074A">
      <w:pPr>
        <w:spacing w:after="0"/>
      </w:pPr>
    </w:p>
    <w:p w14:paraId="3F0A547E" w14:textId="77777777" w:rsidR="00AC074A" w:rsidRDefault="00AC074A" w:rsidP="00AC074A">
      <w:pPr>
        <w:spacing w:after="0"/>
        <w:rPr>
          <w:b/>
          <w:bCs/>
        </w:rPr>
      </w:pPr>
      <w:r w:rsidRPr="00E31821">
        <w:rPr>
          <w:b/>
          <w:bCs/>
        </w:rPr>
        <w:t>#5</w:t>
      </w:r>
      <w:r>
        <w:rPr>
          <w:b/>
          <w:bCs/>
        </w:rPr>
        <w:t xml:space="preserve"> – </w:t>
      </w:r>
      <w:r w:rsidRPr="00CD2EAB">
        <w:rPr>
          <w:b/>
          <w:bCs/>
        </w:rPr>
        <w:t>New field identifying</w:t>
      </w:r>
      <w:r>
        <w:rPr>
          <w:b/>
          <w:bCs/>
        </w:rPr>
        <w:t xml:space="preserve"> </w:t>
      </w:r>
      <w:r w:rsidRPr="00CD2EAB">
        <w:rPr>
          <w:b/>
          <w:bCs/>
        </w:rPr>
        <w:t>the venue of admission</w:t>
      </w:r>
      <w:r>
        <w:rPr>
          <w:b/>
          <w:bCs/>
        </w:rPr>
        <w:t xml:space="preserve"> </w:t>
      </w:r>
      <w:r w:rsidRPr="00CD2EAB">
        <w:rPr>
          <w:b/>
          <w:bCs/>
        </w:rPr>
        <w:t>to trading</w:t>
      </w:r>
    </w:p>
    <w:p w14:paraId="0A584D1A" w14:textId="77777777" w:rsidR="00AC074A" w:rsidRPr="003201D1" w:rsidRDefault="00AC074A" w:rsidP="00AC074A">
      <w:pPr>
        <w:spacing w:after="0"/>
        <w:rPr>
          <w:color w:val="auto"/>
        </w:rPr>
      </w:pPr>
      <w:r w:rsidRPr="003201D1">
        <w:rPr>
          <w:color w:val="auto"/>
        </w:rPr>
        <w:t xml:space="preserve">This field would require a firm to query FIRDS prior to reporting an ISIN. The CP notes this field is complementary to RTS 1, but it is not necessarily accurate to consider OTC derivatives as being </w:t>
      </w:r>
      <w:r w:rsidRPr="003201D1">
        <w:rPr>
          <w:color w:val="auto"/>
        </w:rPr>
        <w:lastRenderedPageBreak/>
        <w:t>equivalent to equities, and in this case, this field would introduce further complexities to the reporting process. For this reason, we do not believe the field should be added to RTS 23.</w:t>
      </w:r>
    </w:p>
    <w:p w14:paraId="7892A46D" w14:textId="77777777" w:rsidR="00AC074A" w:rsidRDefault="00AC074A" w:rsidP="00AC074A">
      <w:pPr>
        <w:spacing w:after="0"/>
        <w:rPr>
          <w:b/>
          <w:bCs/>
        </w:rPr>
      </w:pPr>
    </w:p>
    <w:p w14:paraId="2CBADC77" w14:textId="77777777" w:rsidR="00AC074A" w:rsidRPr="00E31821" w:rsidRDefault="00AC074A" w:rsidP="00AC074A">
      <w:pPr>
        <w:spacing w:after="0"/>
        <w:rPr>
          <w:b/>
          <w:bCs/>
        </w:rPr>
      </w:pPr>
      <w:r>
        <w:rPr>
          <w:b/>
          <w:bCs/>
        </w:rPr>
        <w:t>#</w:t>
      </w:r>
      <w:r w:rsidRPr="002F0D26">
        <w:rPr>
          <w:b/>
          <w:bCs/>
          <w:color w:val="auto"/>
        </w:rPr>
        <w:t>6</w:t>
      </w:r>
      <w:r>
        <w:rPr>
          <w:b/>
          <w:bCs/>
          <w:color w:val="auto"/>
        </w:rPr>
        <w:t xml:space="preserve"> – </w:t>
      </w:r>
      <w:r w:rsidRPr="000A6501">
        <w:rPr>
          <w:b/>
          <w:bCs/>
          <w:color w:val="auto"/>
        </w:rPr>
        <w:t>New field to flag the</w:t>
      </w:r>
      <w:r>
        <w:rPr>
          <w:b/>
          <w:bCs/>
          <w:color w:val="auto"/>
        </w:rPr>
        <w:t xml:space="preserve"> </w:t>
      </w:r>
      <w:r w:rsidRPr="000A6501">
        <w:rPr>
          <w:b/>
          <w:bCs/>
          <w:color w:val="auto"/>
        </w:rPr>
        <w:t>action type such as</w:t>
      </w:r>
      <w:r>
        <w:rPr>
          <w:b/>
          <w:bCs/>
          <w:color w:val="auto"/>
        </w:rPr>
        <w:t xml:space="preserve"> </w:t>
      </w:r>
      <w:r w:rsidRPr="000A6501">
        <w:rPr>
          <w:b/>
          <w:bCs/>
          <w:color w:val="auto"/>
        </w:rPr>
        <w:t>new, modification,</w:t>
      </w:r>
      <w:r>
        <w:rPr>
          <w:b/>
          <w:bCs/>
          <w:color w:val="auto"/>
        </w:rPr>
        <w:t xml:space="preserve"> </w:t>
      </w:r>
      <w:r w:rsidRPr="000A6501">
        <w:rPr>
          <w:b/>
          <w:bCs/>
          <w:color w:val="auto"/>
        </w:rPr>
        <w:t>termination, error</w:t>
      </w:r>
    </w:p>
    <w:p w14:paraId="17A8863E" w14:textId="77777777" w:rsidR="00AC074A" w:rsidRDefault="00AC074A" w:rsidP="00AC074A">
      <w:pPr>
        <w:spacing w:after="0"/>
      </w:pPr>
      <w:r w:rsidRPr="00E31821">
        <w:t>We have no o</w:t>
      </w:r>
      <w:r>
        <w:t>bjections to the inclusion of these fields in RTS 23.</w:t>
      </w:r>
    </w:p>
    <w:p w14:paraId="3732B72A" w14:textId="77777777" w:rsidR="00AC074A" w:rsidRPr="00E92AB7" w:rsidRDefault="00AC074A" w:rsidP="00AC074A">
      <w:pPr>
        <w:spacing w:after="0"/>
        <w:rPr>
          <w:color w:val="00B050"/>
        </w:rPr>
      </w:pPr>
    </w:p>
    <w:p w14:paraId="2FA99A67" w14:textId="77777777" w:rsidR="00AC074A" w:rsidRPr="002F0D26" w:rsidRDefault="00AC074A" w:rsidP="00AC074A">
      <w:pPr>
        <w:autoSpaceDE w:val="0"/>
        <w:autoSpaceDN w:val="0"/>
        <w:adjustRightInd w:val="0"/>
        <w:spacing w:after="0" w:line="240" w:lineRule="auto"/>
        <w:jc w:val="left"/>
        <w:rPr>
          <w:rFonts w:ascii="ArialMT" w:eastAsia="Times New Roman" w:hAnsi="ArialMT" w:cs="ArialMT"/>
          <w:b/>
          <w:bCs/>
          <w:color w:val="auto"/>
          <w:szCs w:val="22"/>
          <w:lang w:eastAsia="en-GB"/>
        </w:rPr>
      </w:pPr>
      <w:r w:rsidRPr="002F0D26">
        <w:rPr>
          <w:b/>
          <w:bCs/>
          <w:color w:val="auto"/>
        </w:rPr>
        <w:t xml:space="preserve">#7 – </w:t>
      </w:r>
      <w:r w:rsidRPr="002F0D26">
        <w:rPr>
          <w:rFonts w:ascii="ArialMT" w:eastAsia="Times New Roman" w:hAnsi="ArialMT" w:cs="ArialMT"/>
          <w:b/>
          <w:bCs/>
          <w:color w:val="auto"/>
          <w:szCs w:val="22"/>
          <w:lang w:eastAsia="en-GB"/>
        </w:rPr>
        <w:t>“Delivery period” for commodity derivatives</w:t>
      </w:r>
    </w:p>
    <w:p w14:paraId="18953A96" w14:textId="77777777" w:rsidR="00AC074A" w:rsidRPr="002F0D26" w:rsidRDefault="00AC074A" w:rsidP="00AC074A">
      <w:pPr>
        <w:autoSpaceDE w:val="0"/>
        <w:autoSpaceDN w:val="0"/>
        <w:adjustRightInd w:val="0"/>
        <w:spacing w:after="0" w:line="240" w:lineRule="auto"/>
        <w:jc w:val="left"/>
        <w:rPr>
          <w:rFonts w:ascii="ArialMT" w:eastAsia="Times New Roman" w:hAnsi="ArialMT" w:cs="ArialMT"/>
          <w:color w:val="auto"/>
          <w:szCs w:val="22"/>
          <w:lang w:eastAsia="en-GB"/>
        </w:rPr>
      </w:pPr>
      <w:r w:rsidRPr="002F0D26">
        <w:rPr>
          <w:rFonts w:ascii="ArialMT" w:eastAsia="Times New Roman" w:hAnsi="ArialMT" w:cs="ArialMT"/>
          <w:color w:val="auto"/>
          <w:szCs w:val="22"/>
          <w:lang w:eastAsia="en-GB"/>
        </w:rPr>
        <w:t>A clear definition of what is meant by ‘delivery period’ is required as there can be different but still valid kinds of delivery periods for commodity trades and without explicit clarification of expectations, it is likely that market participants will populate this information inconsistently.</w:t>
      </w:r>
    </w:p>
    <w:p w14:paraId="2FF545D0" w14:textId="77777777" w:rsidR="00AC074A" w:rsidRPr="002F0D26" w:rsidRDefault="00AC074A" w:rsidP="00AC074A">
      <w:pPr>
        <w:autoSpaceDE w:val="0"/>
        <w:autoSpaceDN w:val="0"/>
        <w:adjustRightInd w:val="0"/>
        <w:spacing w:after="0" w:line="240" w:lineRule="auto"/>
        <w:jc w:val="left"/>
        <w:rPr>
          <w:rFonts w:ascii="ArialMT" w:eastAsia="Times New Roman" w:hAnsi="ArialMT" w:cs="ArialMT"/>
          <w:color w:val="auto"/>
          <w:szCs w:val="22"/>
          <w:lang w:eastAsia="en-GB"/>
        </w:rPr>
      </w:pPr>
    </w:p>
    <w:p w14:paraId="6F8414AD" w14:textId="77777777" w:rsidR="00AC074A" w:rsidRPr="002F0D26" w:rsidRDefault="00AC074A" w:rsidP="00AC074A">
      <w:pPr>
        <w:autoSpaceDE w:val="0"/>
        <w:autoSpaceDN w:val="0"/>
        <w:adjustRightInd w:val="0"/>
        <w:spacing w:after="0" w:line="240" w:lineRule="auto"/>
        <w:jc w:val="left"/>
        <w:rPr>
          <w:color w:val="auto"/>
        </w:rPr>
      </w:pPr>
      <w:r w:rsidRPr="002F0D26">
        <w:rPr>
          <w:rFonts w:ascii="ArialMT" w:eastAsia="Times New Roman" w:hAnsi="ArialMT" w:cs="ArialMT"/>
          <w:color w:val="auto"/>
          <w:szCs w:val="22"/>
          <w:lang w:eastAsia="en-GB"/>
        </w:rPr>
        <w:t xml:space="preserve">Aside from the need for a definition of ‘delivery period’, we question on the inclusion of this field for RTS 23 as this information is trade level data and not instrument level. That is to say, the applicable value would be trade dependant. Therefore, as well as it arguably not appropriate information for RTS 23, if it were included, it would result in proliferation of entries into the database. </w:t>
      </w:r>
    </w:p>
    <w:p w14:paraId="52029F3C" w14:textId="7A81B561" w:rsidR="0014711C" w:rsidRDefault="0014711C" w:rsidP="0014711C">
      <w:pPr>
        <w:spacing w:after="0"/>
      </w:pP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1D798619" w14:textId="77777777" w:rsidR="00F60BCB" w:rsidRDefault="00F60BCB" w:rsidP="00F60BCB">
      <w:pPr>
        <w:spacing w:after="0"/>
        <w:rPr>
          <w:b/>
          <w:bCs/>
        </w:rPr>
      </w:pPr>
      <w:permStart w:id="1485646338" w:edGrp="everyone"/>
      <w:r>
        <w:rPr>
          <w:b/>
          <w:bCs/>
        </w:rPr>
        <w:t xml:space="preserve">#1, and #4-6 </w:t>
      </w:r>
      <w:r w:rsidRPr="00741174">
        <w:rPr>
          <w:b/>
          <w:bCs/>
        </w:rPr>
        <w:t>–</w:t>
      </w:r>
      <w:r>
        <w:rPr>
          <w:b/>
          <w:bCs/>
        </w:rPr>
        <w:t xml:space="preserve"> </w:t>
      </w:r>
      <w:r w:rsidRPr="005261C3">
        <w:t>No</w:t>
      </w:r>
      <w:r>
        <w:t xml:space="preserve"> specific feedback for these proposals. </w:t>
      </w:r>
      <w:r>
        <w:rPr>
          <w:b/>
          <w:bCs/>
        </w:rPr>
        <w:t xml:space="preserve"> </w:t>
      </w:r>
    </w:p>
    <w:p w14:paraId="5A1A3922" w14:textId="77777777" w:rsidR="00F60BCB" w:rsidRDefault="00F60BCB" w:rsidP="00F60BCB">
      <w:pPr>
        <w:spacing w:after="0"/>
        <w:rPr>
          <w:b/>
          <w:bCs/>
        </w:rPr>
      </w:pPr>
    </w:p>
    <w:p w14:paraId="3B0EB534" w14:textId="77777777" w:rsidR="00F60BCB" w:rsidRPr="00741174" w:rsidRDefault="00F60BCB" w:rsidP="00F60BCB">
      <w:pPr>
        <w:spacing w:after="0"/>
        <w:rPr>
          <w:b/>
          <w:bCs/>
        </w:rPr>
      </w:pPr>
      <w:r w:rsidRPr="00741174">
        <w:rPr>
          <w:b/>
          <w:bCs/>
        </w:rPr>
        <w:t>#2 – Need of monitoring cases when an instrument is delisted and subsequently readmitted to trading</w:t>
      </w:r>
    </w:p>
    <w:p w14:paraId="3E4A5C4A" w14:textId="77777777" w:rsidR="00F60BCB" w:rsidRPr="005114FD" w:rsidRDefault="00F60BCB" w:rsidP="00F60BCB">
      <w:pPr>
        <w:spacing w:after="0"/>
        <w:rPr>
          <w:color w:val="auto"/>
        </w:rPr>
      </w:pPr>
      <w:r w:rsidRPr="005114FD">
        <w:rPr>
          <w:color w:val="auto"/>
        </w:rPr>
        <w:t xml:space="preserve">Action Type is a </w:t>
      </w:r>
      <w:proofErr w:type="spellStart"/>
      <w:r w:rsidRPr="005114FD">
        <w:rPr>
          <w:color w:val="auto"/>
        </w:rPr>
        <w:t>well established</w:t>
      </w:r>
      <w:proofErr w:type="spellEnd"/>
      <w:r w:rsidRPr="005114FD">
        <w:rPr>
          <w:color w:val="auto"/>
        </w:rPr>
        <w:t xml:space="preserve"> field under the EMIR reporting requirements, but is not a field currently used within </w:t>
      </w:r>
      <w:proofErr w:type="spellStart"/>
      <w:r w:rsidRPr="005114FD">
        <w:rPr>
          <w:color w:val="auto"/>
        </w:rPr>
        <w:t>MiFIR</w:t>
      </w:r>
      <w:proofErr w:type="spellEnd"/>
      <w:r w:rsidRPr="005114FD">
        <w:rPr>
          <w:color w:val="auto"/>
        </w:rPr>
        <w:t xml:space="preserve">. We are not clear whether the proposal would employ the same definitions and applications of Action Type as used for EMIR or whether an alternative will be developed for </w:t>
      </w:r>
      <w:proofErr w:type="spellStart"/>
      <w:r w:rsidRPr="005114FD">
        <w:rPr>
          <w:color w:val="auto"/>
        </w:rPr>
        <w:t>MiFIR</w:t>
      </w:r>
      <w:proofErr w:type="spellEnd"/>
      <w:r w:rsidRPr="005114FD">
        <w:rPr>
          <w:color w:val="auto"/>
        </w:rPr>
        <w:t xml:space="preserve">. While it is perhaps reasonable to assume a </w:t>
      </w:r>
      <w:proofErr w:type="spellStart"/>
      <w:r w:rsidRPr="005114FD">
        <w:rPr>
          <w:color w:val="auto"/>
        </w:rPr>
        <w:t>MiFIR</w:t>
      </w:r>
      <w:proofErr w:type="spellEnd"/>
      <w:r w:rsidRPr="005114FD">
        <w:rPr>
          <w:color w:val="auto"/>
        </w:rPr>
        <w:t xml:space="preserve"> ‘Action type’ definition will aim to be primarily aligned with EMIR (as reflected in the CP where the four reportable values are also used for EMIR reporting), the delisting and readmittance of instruments is not specifically covered within the EMIR definitions and/or reporting guidance so although details are unclear, some divergence of how Action Type will be applied for </w:t>
      </w:r>
      <w:proofErr w:type="spellStart"/>
      <w:r w:rsidRPr="005114FD">
        <w:rPr>
          <w:color w:val="auto"/>
        </w:rPr>
        <w:t>MiFIR</w:t>
      </w:r>
      <w:proofErr w:type="spellEnd"/>
      <w:r w:rsidRPr="005114FD">
        <w:rPr>
          <w:color w:val="auto"/>
        </w:rPr>
        <w:t xml:space="preserve"> may be necessary. </w:t>
      </w:r>
    </w:p>
    <w:p w14:paraId="45C358E7" w14:textId="77777777" w:rsidR="00F60BCB" w:rsidRPr="005114FD" w:rsidRDefault="00F60BCB" w:rsidP="00F60BCB">
      <w:pPr>
        <w:spacing w:after="0"/>
        <w:rPr>
          <w:color w:val="auto"/>
        </w:rPr>
      </w:pPr>
    </w:p>
    <w:p w14:paraId="72365D79" w14:textId="77777777" w:rsidR="00F60BCB" w:rsidRPr="005114FD" w:rsidRDefault="00F60BCB" w:rsidP="00F60BCB">
      <w:pPr>
        <w:spacing w:after="0"/>
        <w:rPr>
          <w:color w:val="auto"/>
        </w:rPr>
      </w:pPr>
      <w:r w:rsidRPr="005114FD">
        <w:rPr>
          <w:color w:val="auto"/>
        </w:rPr>
        <w:t xml:space="preserve">On the assumption that the EMIR meaning of Action Type will apply under </w:t>
      </w:r>
      <w:proofErr w:type="spellStart"/>
      <w:r w:rsidRPr="005114FD">
        <w:rPr>
          <w:color w:val="auto"/>
        </w:rPr>
        <w:t>MiFIR</w:t>
      </w:r>
      <w:proofErr w:type="spellEnd"/>
      <w:r w:rsidRPr="005114FD">
        <w:rPr>
          <w:color w:val="auto"/>
        </w:rPr>
        <w:t xml:space="preserve">, we recognise that using a ‘MODI’ Action Type for the purpose of reporting delisted and subsequently readmitted instruments is arguably simpler to manage. However, while the alternative proposal of reporting multiple time/date value is more complex to manage, that data submitted would perhaps be more transparent and easier to track the instruments lifecycle. </w:t>
      </w:r>
    </w:p>
    <w:p w14:paraId="2AACD6B5" w14:textId="77777777" w:rsidR="00F60BCB" w:rsidRPr="005114FD" w:rsidRDefault="00F60BCB" w:rsidP="00F60BCB">
      <w:pPr>
        <w:spacing w:after="0"/>
        <w:rPr>
          <w:color w:val="auto"/>
        </w:rPr>
      </w:pPr>
    </w:p>
    <w:p w14:paraId="43B59906" w14:textId="77777777" w:rsidR="00F60BCB" w:rsidRPr="005114FD" w:rsidRDefault="00F60BCB" w:rsidP="00F60BCB">
      <w:pPr>
        <w:spacing w:after="0"/>
        <w:rPr>
          <w:color w:val="auto"/>
        </w:rPr>
      </w:pPr>
      <w:r w:rsidRPr="005114FD">
        <w:rPr>
          <w:color w:val="auto"/>
        </w:rPr>
        <w:t>Overall, we do not have a strong preference either towards utilising Action Type or allowing for multiple values for time/date in the fields identified.</w:t>
      </w:r>
    </w:p>
    <w:p w14:paraId="28BC48A8" w14:textId="77777777" w:rsidR="00F60BCB" w:rsidRPr="00BE3677" w:rsidRDefault="00F60BCB" w:rsidP="00F60BCB">
      <w:pPr>
        <w:spacing w:after="0"/>
        <w:rPr>
          <w:color w:val="00B050"/>
        </w:rPr>
      </w:pPr>
    </w:p>
    <w:p w14:paraId="5A3C27D3" w14:textId="77777777" w:rsidR="00F60BCB" w:rsidRPr="002F0D26" w:rsidRDefault="00F60BCB" w:rsidP="00F60BCB">
      <w:pPr>
        <w:spacing w:after="0"/>
        <w:rPr>
          <w:color w:val="auto"/>
        </w:rPr>
      </w:pPr>
      <w:r w:rsidRPr="005114FD">
        <w:rPr>
          <w:color w:val="auto"/>
        </w:rPr>
        <w:t xml:space="preserve">Something we would like to clarify however is that the consultation </w:t>
      </w:r>
      <w:r w:rsidRPr="002F0D26">
        <w:rPr>
          <w:color w:val="auto"/>
        </w:rPr>
        <w:t xml:space="preserve">paper only refers to trading venues for this requirement, but presumably this would apply to DPEs as well. Clarification is requested of whether the reporting of Action types to both trading venues and DPEs. </w:t>
      </w:r>
    </w:p>
    <w:p w14:paraId="50D0BED7" w14:textId="77777777" w:rsidR="00F60BCB" w:rsidRDefault="00F60BCB" w:rsidP="00F60BCB">
      <w:pPr>
        <w:spacing w:after="0"/>
      </w:pPr>
    </w:p>
    <w:p w14:paraId="73361B3D" w14:textId="77777777" w:rsidR="00F60BCB" w:rsidRPr="00F14A21" w:rsidRDefault="00F60BCB" w:rsidP="00F60BCB">
      <w:pPr>
        <w:spacing w:after="0"/>
      </w:pPr>
      <w:r w:rsidRPr="00F14A21">
        <w:rPr>
          <w:b/>
          <w:bCs/>
        </w:rPr>
        <w:t xml:space="preserve">#3 –Change in definition for Date of admission to trading or date of the first trade (Field 11) </w:t>
      </w:r>
    </w:p>
    <w:p w14:paraId="7DBFEAE4" w14:textId="77777777" w:rsidR="00F60BCB" w:rsidRDefault="00F60BCB" w:rsidP="00F60BCB">
      <w:pPr>
        <w:spacing w:after="0"/>
      </w:pPr>
      <w:r w:rsidRPr="00F14A21">
        <w:t>Our preference is to u</w:t>
      </w:r>
      <w:r>
        <w:t>tilise Action type rather than report multiple time/date values (see above). Therefore, assuming Action type is used, the proposed change to this field would not be required.</w:t>
      </w:r>
    </w:p>
    <w:p w14:paraId="46A33738" w14:textId="77777777" w:rsidR="00F60BCB" w:rsidRDefault="00F60BCB" w:rsidP="00F60BCB">
      <w:pPr>
        <w:spacing w:after="0"/>
      </w:pPr>
    </w:p>
    <w:p w14:paraId="6FA9D5E1" w14:textId="7E8A4C10" w:rsidR="0015061C" w:rsidRDefault="00F60BCB" w:rsidP="00F60BCB">
      <w:pPr>
        <w:spacing w:after="0"/>
      </w:pPr>
      <w:r>
        <w:t>We have no objections to the changes proposed to the other fields in this section.</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2243DCA" w14:textId="77777777" w:rsidR="00CD3869" w:rsidRPr="005114FD" w:rsidRDefault="00CD3869" w:rsidP="00CD3869">
      <w:pPr>
        <w:spacing w:after="0"/>
        <w:rPr>
          <w:color w:val="auto"/>
        </w:rPr>
      </w:pPr>
      <w:permStart w:id="1830689355" w:edGrp="everyone"/>
      <w:r w:rsidRPr="005114FD">
        <w:rPr>
          <w:color w:val="auto"/>
        </w:rPr>
        <w:t xml:space="preserve">As outlined within the answer to Q67, we see benefits and drawbacks to both options. Ultimately, we do not have a strong preference for one over the other. </w:t>
      </w:r>
    </w:p>
    <w:p w14:paraId="55433929" w14:textId="29703EC1" w:rsidR="0015061C" w:rsidRDefault="0015061C" w:rsidP="0015061C">
      <w:pPr>
        <w:spacing w:after="0"/>
      </w:pP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7E74FAAB" w14:textId="77777777" w:rsidR="00254F56" w:rsidRDefault="00254F56" w:rsidP="00254F56">
      <w:pPr>
        <w:spacing w:after="0"/>
      </w:pPr>
      <w:permStart w:id="1893227929" w:edGrp="everyone"/>
      <w:r>
        <w:t xml:space="preserve">It is logical to remove redundant fields, but any such removal should be assessed alongside where the data will be obtained from instead, and whether that data will provide the same information. </w:t>
      </w:r>
    </w:p>
    <w:p w14:paraId="68C160A3" w14:textId="77777777" w:rsidR="00254F56" w:rsidRDefault="00254F56" w:rsidP="00254F56">
      <w:pPr>
        <w:spacing w:after="0"/>
      </w:pPr>
    </w:p>
    <w:p w14:paraId="5DA54A6B" w14:textId="77777777" w:rsidR="00254F56" w:rsidRDefault="00254F56" w:rsidP="00254F56">
      <w:pPr>
        <w:spacing w:after="0"/>
      </w:pPr>
      <w:r>
        <w:t>We agree in principle with the removal of field 40 – ‘Reference rate’ – but the final decision should be made in light of the Commission’s DA. If Reference rate is replaced or superseded by the DA, then the removal of this field from RTS 23 will avoid unnecessary duplication.</w:t>
      </w:r>
    </w:p>
    <w:p w14:paraId="526F0145" w14:textId="7F65C64A" w:rsidR="0015061C" w:rsidRDefault="0015061C" w:rsidP="0015061C">
      <w:pPr>
        <w:spacing w:after="0"/>
      </w:pP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lastRenderedPageBreak/>
        <w:t>&lt;ESMA_QUESTION</w:t>
      </w:r>
      <w:r w:rsidR="00F93646">
        <w:t>_</w:t>
      </w:r>
      <w:r w:rsidR="00DD54B5">
        <w:t>CP1</w:t>
      </w:r>
      <w:r w:rsidR="00F93646">
        <w:t>_</w:t>
      </w:r>
      <w:r w:rsidR="0014711C">
        <w:t>70</w:t>
      </w:r>
      <w:r>
        <w:t>&gt;</w:t>
      </w:r>
    </w:p>
    <w:p w14:paraId="060C7F98" w14:textId="77777777" w:rsidR="00E74908" w:rsidRDefault="00E74908" w:rsidP="00E74908">
      <w:pPr>
        <w:spacing w:after="0"/>
      </w:pPr>
      <w:permStart w:id="1885042034" w:edGrp="everyone"/>
      <w:r>
        <w:t xml:space="preserve">We are supportive of the transition to JSON format. This should not be overly problematic to the market participants that submit data to FIRDS, that tend to be larger institutions familiar with the format and able to implement the change. </w:t>
      </w:r>
    </w:p>
    <w:p w14:paraId="288797DA" w14:textId="77777777" w:rsidR="00E74908" w:rsidRDefault="00E74908" w:rsidP="00E74908">
      <w:pPr>
        <w:spacing w:after="0"/>
      </w:pPr>
    </w:p>
    <w:p w14:paraId="74D9516C" w14:textId="77777777" w:rsidR="00E74908" w:rsidRDefault="00E74908" w:rsidP="00E74908">
      <w:pPr>
        <w:spacing w:after="0"/>
      </w:pPr>
      <w:r>
        <w:t xml:space="preserve">However, if the intention is for FIRDS data to also be consumed / read in JSON, then we believe it will have a negative impact to smaller firms particularly, as they may be less agile in their ability to transition to this format. Therefore, we would want market participants to be able to consume the information from FIRDS in XML format as well as (or instead of) JSON. </w:t>
      </w:r>
    </w:p>
    <w:p w14:paraId="5D1C51AA" w14:textId="48948DB0" w:rsidR="0015061C" w:rsidRDefault="0015061C" w:rsidP="0015061C">
      <w:pPr>
        <w:spacing w:after="0"/>
      </w:pP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02AABA54" w14:textId="77777777" w:rsidR="00724206" w:rsidRDefault="00724206" w:rsidP="00724206">
      <w:pPr>
        <w:spacing w:after="0"/>
      </w:pPr>
      <w:permStart w:id="1904763643" w:edGrp="everyone"/>
      <w:r>
        <w:t xml:space="preserve">There are no further adjustments we wish to propose, but to echo part of our answer to Q66, DPEs should be kept </w:t>
      </w:r>
      <w:r w:rsidRPr="00DA3301">
        <w:rPr>
          <w:color w:val="auto"/>
        </w:rPr>
        <w:t xml:space="preserve">anonymous for instruments in scope of transparency as FIRDS entries could be linked to individual post-trade transparency reports. This could be achieved by using a standard value code </w:t>
      </w:r>
      <w:r>
        <w:t>to represent all DPEs as part of the data that is made publicly available.</w:t>
      </w:r>
    </w:p>
    <w:p w14:paraId="21C72504" w14:textId="584FA646" w:rsidR="0015061C" w:rsidRDefault="0015061C" w:rsidP="0015061C">
      <w:pPr>
        <w:spacing w:after="0"/>
      </w:pP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42DF37E0" w14:textId="77777777" w:rsidR="00CC3052" w:rsidRDefault="00CC3052" w:rsidP="00CC3052">
      <w:pPr>
        <w:spacing w:after="0"/>
        <w:rPr>
          <w:color w:val="auto"/>
        </w:rPr>
      </w:pPr>
      <w:permStart w:id="1129906537" w:edGrp="everyone"/>
      <w:r w:rsidRPr="005114FD">
        <w:rPr>
          <w:color w:val="auto"/>
        </w:rPr>
        <w:t xml:space="preserve">While not specifically expressed within the CP, it is understood that Securitised derivatives are not in scope for RTS 23 reporting. </w:t>
      </w:r>
    </w:p>
    <w:p w14:paraId="086F6971" w14:textId="77777777" w:rsidR="00CC3052" w:rsidRPr="0055566C" w:rsidRDefault="00CC3052" w:rsidP="00CC3052">
      <w:pPr>
        <w:spacing w:after="0"/>
        <w:rPr>
          <w:color w:val="auto"/>
        </w:rPr>
      </w:pPr>
    </w:p>
    <w:p w14:paraId="352CB818" w14:textId="77777777" w:rsidR="00CC3052" w:rsidRPr="0055566C" w:rsidRDefault="00CC3052" w:rsidP="00CC3052">
      <w:pPr>
        <w:spacing w:after="0"/>
        <w:rPr>
          <w:color w:val="auto"/>
        </w:rPr>
      </w:pPr>
      <w:r w:rsidRPr="0055566C">
        <w:rPr>
          <w:color w:val="auto"/>
        </w:rPr>
        <w:t xml:space="preserve">To assist with establishing clarity on the categorisation of the classes of financial instruments within the DPE register, a combination of the </w:t>
      </w:r>
      <w:proofErr w:type="spellStart"/>
      <w:r w:rsidRPr="0055566C">
        <w:rPr>
          <w:color w:val="auto"/>
        </w:rPr>
        <w:t>MiFIR</w:t>
      </w:r>
      <w:proofErr w:type="spellEnd"/>
      <w:r w:rsidRPr="0055566C">
        <w:rPr>
          <w:color w:val="auto"/>
        </w:rPr>
        <w:t xml:space="preserve"> identifier and RTS 2 sub-asset classes could be considered for the in scope derivative asset classes. This should assist with refining how instruments are designated in the register.</w:t>
      </w:r>
    </w:p>
    <w:p w14:paraId="2181B100" w14:textId="2951D182" w:rsidR="0015061C" w:rsidRDefault="0015061C" w:rsidP="0015061C">
      <w:pPr>
        <w:spacing w:after="0"/>
      </w:pP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lastRenderedPageBreak/>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0CAC6AA8" w14:textId="77777777" w:rsidR="00BB574E" w:rsidRPr="00E31AA4" w:rsidRDefault="00BB574E" w:rsidP="00BB574E">
      <w:pPr>
        <w:spacing w:after="0"/>
        <w:rPr>
          <w:strike/>
        </w:rPr>
      </w:pPr>
      <w:permStart w:id="1106593597" w:edGrp="everyone"/>
      <w:r>
        <w:t>We do not believe further adjustment</w:t>
      </w:r>
      <w:r w:rsidRPr="00DA3301">
        <w:rPr>
          <w:color w:val="auto"/>
        </w:rPr>
        <w:t xml:space="preserve">s are required, but for the avoidance of doubt, due to the fact that market participants can only register as a DPE’s for the asset classes identified as part of the DPE regime, only the </w:t>
      </w:r>
      <w:proofErr w:type="spellStart"/>
      <w:r w:rsidRPr="00DA3301">
        <w:rPr>
          <w:color w:val="auto"/>
        </w:rPr>
        <w:t>uTOTV</w:t>
      </w:r>
      <w:proofErr w:type="spellEnd"/>
      <w:r w:rsidRPr="00DA3301">
        <w:rPr>
          <w:color w:val="auto"/>
        </w:rPr>
        <w:t xml:space="preserve"> instruments within those asset classes will be reported. Any </w:t>
      </w:r>
      <w:proofErr w:type="spellStart"/>
      <w:r w:rsidRPr="00DA3301">
        <w:rPr>
          <w:color w:val="auto"/>
        </w:rPr>
        <w:t>uTOTV</w:t>
      </w:r>
      <w:proofErr w:type="spellEnd"/>
      <w:r w:rsidRPr="00DA3301">
        <w:rPr>
          <w:color w:val="auto"/>
        </w:rPr>
        <w:t xml:space="preserve"> instruments (i.e. instruments where the underlying is a financial instrument that is traded on a trading venue, or where the underlying index or basket is composed of financial instruments that are traded on a trading venue), for other asset classes will be out of scope. </w:t>
      </w:r>
    </w:p>
    <w:p w14:paraId="4E89D76B" w14:textId="23A1AE67" w:rsidR="005F7979" w:rsidRDefault="005F7979" w:rsidP="005F7979">
      <w:pPr>
        <w:spacing w:after="0"/>
      </w:pP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F380" w14:textId="77777777" w:rsidR="00AD305B" w:rsidRDefault="00AD305B" w:rsidP="00F716D4">
      <w:r>
        <w:separator/>
      </w:r>
    </w:p>
    <w:p w14:paraId="7FFA5D0C" w14:textId="77777777" w:rsidR="00AD305B" w:rsidRDefault="00AD305B" w:rsidP="00F716D4"/>
  </w:endnote>
  <w:endnote w:type="continuationSeparator" w:id="0">
    <w:p w14:paraId="58E69189" w14:textId="77777777" w:rsidR="00AD305B" w:rsidRDefault="00AD305B" w:rsidP="00F716D4">
      <w:r>
        <w:continuationSeparator/>
      </w:r>
    </w:p>
    <w:p w14:paraId="206A1E6C" w14:textId="77777777" w:rsidR="00AD305B" w:rsidRDefault="00AD305B" w:rsidP="00F716D4"/>
  </w:endnote>
  <w:endnote w:type="continuationNotice" w:id="1">
    <w:p w14:paraId="6C507849" w14:textId="77777777" w:rsidR="00AD305B" w:rsidRDefault="00AD305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5003A" w14:textId="77777777" w:rsidR="00AD305B" w:rsidRDefault="00AD305B" w:rsidP="00F716D4">
      <w:r>
        <w:separator/>
      </w:r>
    </w:p>
    <w:p w14:paraId="1A16904F" w14:textId="77777777" w:rsidR="00AD305B" w:rsidRDefault="00AD305B" w:rsidP="00F716D4"/>
  </w:footnote>
  <w:footnote w:type="continuationSeparator" w:id="0">
    <w:p w14:paraId="2ABA6AF2" w14:textId="77777777" w:rsidR="00AD305B" w:rsidRDefault="00AD305B" w:rsidP="00F716D4">
      <w:r>
        <w:continuationSeparator/>
      </w:r>
    </w:p>
    <w:p w14:paraId="4CA588D3" w14:textId="77777777" w:rsidR="00AD305B" w:rsidRDefault="00AD305B" w:rsidP="00F716D4"/>
  </w:footnote>
  <w:footnote w:type="continuationNotice" w:id="1">
    <w:p w14:paraId="70A4E5DD" w14:textId="77777777" w:rsidR="00AD305B" w:rsidRDefault="00AD305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84864"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4800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6432"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C4275D2"/>
    <w:multiLevelType w:val="hybridMultilevel"/>
    <w:tmpl w:val="AD24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208302284">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27E"/>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97E"/>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5D05"/>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5B6C"/>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4F56"/>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397D"/>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34E1"/>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18F3"/>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0C"/>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6DC"/>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206"/>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528"/>
    <w:rsid w:val="007B0CD8"/>
    <w:rsid w:val="007B0DE0"/>
    <w:rsid w:val="007B21DE"/>
    <w:rsid w:val="007B260A"/>
    <w:rsid w:val="007B2BB9"/>
    <w:rsid w:val="007B43E8"/>
    <w:rsid w:val="007B4740"/>
    <w:rsid w:val="007B502C"/>
    <w:rsid w:val="007B5F3B"/>
    <w:rsid w:val="007B7AF6"/>
    <w:rsid w:val="007C02B0"/>
    <w:rsid w:val="007C063E"/>
    <w:rsid w:val="007C1901"/>
    <w:rsid w:val="007C49C0"/>
    <w:rsid w:val="007C55C1"/>
    <w:rsid w:val="007C5738"/>
    <w:rsid w:val="007C5772"/>
    <w:rsid w:val="007C5AC3"/>
    <w:rsid w:val="007C7233"/>
    <w:rsid w:val="007C7E7D"/>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2A3C"/>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74A"/>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AEB"/>
    <w:rsid w:val="00B37C73"/>
    <w:rsid w:val="00B4009B"/>
    <w:rsid w:val="00B400A1"/>
    <w:rsid w:val="00B40A2B"/>
    <w:rsid w:val="00B420CB"/>
    <w:rsid w:val="00B4401C"/>
    <w:rsid w:val="00B446AB"/>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AE8"/>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574E"/>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074D"/>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052"/>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3869"/>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4975"/>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0F2F"/>
    <w:rsid w:val="00E21407"/>
    <w:rsid w:val="00E22668"/>
    <w:rsid w:val="00E227D3"/>
    <w:rsid w:val="00E22BFF"/>
    <w:rsid w:val="00E22CB0"/>
    <w:rsid w:val="00E23798"/>
    <w:rsid w:val="00E2585D"/>
    <w:rsid w:val="00E25DBD"/>
    <w:rsid w:val="00E25FA2"/>
    <w:rsid w:val="00E2723D"/>
    <w:rsid w:val="00E27457"/>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08"/>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1CA"/>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0BCB"/>
    <w:rsid w:val="00F61664"/>
    <w:rsid w:val="00F61B99"/>
    <w:rsid w:val="00F64C45"/>
    <w:rsid w:val="00F64FD1"/>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3F37C169-B082-42D7-95A8-39DCDC7C43D3}">
  <ds:schemaRefs>
    <ds:schemaRef ds:uri="http://schemas.microsoft.com/sharepoint/v3"/>
    <ds:schemaRef ds:uri="http://schemas.openxmlformats.org/package/2006/metadata/core-properties"/>
    <ds:schemaRef ds:uri="http://purl.org/dc/terms/"/>
    <ds:schemaRef ds:uri="d0fb0f98-34f9-4d57-9559-eb8efd17aa5e"/>
    <ds:schemaRef ds:uri="http://schemas.microsoft.com/office/infopath/2007/PartnerControls"/>
    <ds:schemaRef ds:uri="http://purl.org/dc/dcmitype/"/>
    <ds:schemaRef ds:uri="f5465789-808f-433c-88e1-b70fe6f2db64"/>
    <ds:schemaRef ds:uri="http://schemas.microsoft.com/office/2006/documentManagement/types"/>
    <ds:schemaRef ds:uri="http://purl.org/dc/elements/1.1/"/>
    <ds:schemaRef ds:uri="http://schemas.microsoft.com/office/2006/metadata/properties"/>
    <ds:schemaRef ds:uri="http://schemas.microsoft.com/sharepoint/v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7391</Words>
  <Characters>42133</Characters>
  <Application>Microsoft Office Word</Application>
  <DocSecurity>8</DocSecurity>
  <Lines>351</Lines>
  <Paragraphs>98</Paragraphs>
  <ScaleCrop>false</ScaleCrop>
  <Company>ESMA</Company>
  <LinksUpToDate>false</LinksUpToDate>
  <CharactersWithSpaces>49426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Kai Moritz</cp:lastModifiedBy>
  <cp:revision>2</cp:revision>
  <cp:lastPrinted>2015-02-18T11:01:00Z</cp:lastPrinted>
  <dcterms:created xsi:type="dcterms:W3CDTF">2024-08-28T12:06:00Z</dcterms:created>
  <dcterms:modified xsi:type="dcterms:W3CDTF">2024-08-28T12:06:00Z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