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283467608" w:edGrp="everyone"/>
      <w:permEnd w:id="283467608"/>
    </w:p>
    <w:p w14:paraId="6BFABC2D" w14:textId="6EFBA5C0" w:rsidR="00C54034" w:rsidRDefault="00C54034" w:rsidP="00F716D4"/>
    <w:p w14:paraId="4712A2DF" w14:textId="77777777" w:rsidR="00C54034" w:rsidRDefault="00C54034" w:rsidP="00F716D4"/>
    <w:p w14:paraId="36E65717" w14:textId="50A8C6F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344F5E">
        <w:rPr>
          <w:rFonts w:eastAsiaTheme="majorEastAsia"/>
          <w:b/>
          <w:bCs/>
          <w:color w:val="00379F"/>
          <w:sz w:val="56"/>
          <w:szCs w:val="56"/>
        </w:rPr>
        <w:t>: MiFIR Review</w:t>
      </w:r>
    </w:p>
    <w:p w14:paraId="06CF669B" w14:textId="1DC9888E" w:rsidR="00FD7A8D" w:rsidRPr="00F716D4" w:rsidRDefault="008D4656" w:rsidP="00E70E2E">
      <w:pPr>
        <w:pStyle w:val="Subtitle"/>
      </w:pPr>
      <w:r w:rsidRPr="008D4656">
        <w:t>RTS 2, RTS on reasonable commercial basis and RTS 23</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0AA2"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8F14FF">
      <w:pPr>
        <w:pStyle w:val="ListParagraph"/>
        <w:numPr>
          <w:ilvl w:val="0"/>
          <w:numId w:val="35"/>
        </w:numPr>
        <w:contextualSpacing w:val="0"/>
      </w:pPr>
      <w:r w:rsidRPr="005B6B12">
        <w:t>respond to the question stated;</w:t>
      </w:r>
    </w:p>
    <w:p w14:paraId="73161343" w14:textId="77777777" w:rsidR="00E70E2E" w:rsidRPr="005B6B12" w:rsidRDefault="00E70E2E" w:rsidP="008F14FF">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8F14FF">
      <w:pPr>
        <w:pStyle w:val="ListParagraph"/>
        <w:numPr>
          <w:ilvl w:val="0"/>
          <w:numId w:val="35"/>
        </w:numPr>
        <w:contextualSpacing w:val="0"/>
      </w:pPr>
      <w:r w:rsidRPr="005B6B12">
        <w:t>contain a clear rationale; and</w:t>
      </w:r>
    </w:p>
    <w:p w14:paraId="30D73002" w14:textId="77777777" w:rsidR="00E70E2E" w:rsidRPr="005B6B12" w:rsidRDefault="00E70E2E" w:rsidP="008F14FF">
      <w:pPr>
        <w:pStyle w:val="ListParagraph"/>
        <w:numPr>
          <w:ilvl w:val="0"/>
          <w:numId w:val="35"/>
        </w:numPr>
        <w:contextualSpacing w:val="0"/>
      </w:pPr>
      <w:r w:rsidRPr="005B6B12">
        <w:t>describe any alternatives ESMA should consider.</w:t>
      </w:r>
    </w:p>
    <w:p w14:paraId="4A599464" w14:textId="493D89BF" w:rsidR="00E70E2E" w:rsidRDefault="00E70E2E" w:rsidP="00E70E2E">
      <w:pPr>
        <w:rPr>
          <w:b/>
        </w:rPr>
      </w:pPr>
      <w:r w:rsidRPr="002D3D2C">
        <w:t xml:space="preserve">ESMA will consider all comments received by </w:t>
      </w:r>
      <w:r w:rsidR="00AB0A0F" w:rsidRPr="002D3D2C">
        <w:rPr>
          <w:b/>
        </w:rPr>
        <w:t>28</w:t>
      </w:r>
      <w:r w:rsidR="005A775C" w:rsidRPr="002D3D2C">
        <w:rPr>
          <w:b/>
        </w:rPr>
        <w:t xml:space="preserve"> </w:t>
      </w:r>
      <w:r w:rsidR="00AB0A0F" w:rsidRPr="002D3D2C">
        <w:rPr>
          <w:b/>
        </w:rPr>
        <w:t>August</w:t>
      </w:r>
      <w:r w:rsidR="005A775C" w:rsidRPr="002D3D2C">
        <w:rPr>
          <w:b/>
        </w:rPr>
        <w:t xml:space="preserve"> 202</w:t>
      </w:r>
      <w:r w:rsidR="004934BA" w:rsidRPr="002D3D2C">
        <w:rPr>
          <w:b/>
        </w:rPr>
        <w:t>4</w:t>
      </w:r>
      <w:r w:rsidRPr="002D3D2C">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8F14FF">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4E1A0B2" w:rsidR="009D6E99" w:rsidRPr="00863BFD" w:rsidRDefault="009D6E99" w:rsidP="008F14FF">
      <w:pPr>
        <w:pStyle w:val="ListParagraph"/>
        <w:numPr>
          <w:ilvl w:val="0"/>
          <w:numId w:val="35"/>
        </w:numPr>
        <w:contextualSpacing w:val="0"/>
      </w:pPr>
      <w:r w:rsidRPr="00863BFD">
        <w:t>Please do not remove tags of the type &lt;ESMA_QUESTION</w:t>
      </w:r>
      <w:r w:rsidR="00C05202">
        <w:t>_</w:t>
      </w:r>
      <w:r w:rsidR="00DD54B5">
        <w:t>CP1</w:t>
      </w:r>
      <w:r w:rsidR="00C05202">
        <w:t>_</w:t>
      </w:r>
      <w:r w:rsidRPr="00863BFD">
        <w:t>1&gt;. Your response to each question has to be framed by the two tags corresponding to the question.</w:t>
      </w:r>
    </w:p>
    <w:p w14:paraId="534A9E90" w14:textId="77777777" w:rsidR="009D6E99" w:rsidRPr="00863BFD" w:rsidRDefault="009D6E99" w:rsidP="008F14FF">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ABB41AC" w:rsidR="009D6E99" w:rsidRDefault="009D6E99" w:rsidP="008F14FF">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D54B5">
        <w:t>CP1</w:t>
      </w:r>
      <w:r w:rsidRPr="00863BFD">
        <w:t xml:space="preserve">_nameofrespondent. </w:t>
      </w:r>
    </w:p>
    <w:p w14:paraId="115A7ABF" w14:textId="0BE7CD3A"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D54B5">
        <w:t>CP1</w:t>
      </w:r>
      <w:r>
        <w:t>_</w:t>
      </w:r>
      <w:r w:rsidRPr="00863BFD">
        <w:t>ABCD.</w:t>
      </w:r>
    </w:p>
    <w:p w14:paraId="175B3887" w14:textId="22A43A3A" w:rsidR="009D6E99" w:rsidRDefault="009D6E99" w:rsidP="008F14FF">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45D950E1" w:rsidR="00C2682A" w:rsidRPr="00104E00" w:rsidRDefault="00505F26" w:rsidP="00104E00">
                <w:pPr>
                  <w:jc w:val="left"/>
                  <w:rPr>
                    <w:rStyle w:val="PlaceholderText"/>
                  </w:rPr>
                </w:pPr>
                <w:r>
                  <w:rPr>
                    <w:rStyle w:val="PlaceholderText"/>
                  </w:rPr>
                  <w:t>FIA European Princip</w:t>
                </w:r>
                <w:r w:rsidR="0028259A">
                  <w:rPr>
                    <w:rStyle w:val="PlaceholderText"/>
                  </w:rPr>
                  <w:t>al Traders Association</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1D18828C"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28259A">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4F760345" w:rsidR="00C2682A" w:rsidRPr="00104E00" w:rsidRDefault="0028259A"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294D092D" w:rsidR="00C2682A" w:rsidRPr="00104E00" w:rsidRDefault="0028259A"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054B2B">
      <w:pPr>
        <w:pStyle w:val="Heading1"/>
      </w:pPr>
      <w:r>
        <w:t>Questions</w:t>
      </w:r>
      <w:bookmarkStart w:id="10" w:name="_Hlk124780170"/>
    </w:p>
    <w:p w14:paraId="387EBE1D" w14:textId="77777777" w:rsidR="00A95314" w:rsidRPr="00A95314" w:rsidRDefault="00A95314" w:rsidP="00A95314">
      <w:pPr>
        <w:rPr>
          <w:rFonts w:eastAsiaTheme="majorEastAsia"/>
          <w:b/>
          <w:bCs/>
          <w:color w:val="00379F"/>
          <w:sz w:val="24"/>
          <w:szCs w:val="22"/>
          <w:u w:val="single"/>
        </w:rPr>
      </w:pPr>
      <w:r w:rsidRPr="00A95314">
        <w:rPr>
          <w:rFonts w:eastAsiaTheme="majorEastAsia"/>
          <w:b/>
          <w:bCs/>
          <w:color w:val="00379F"/>
          <w:sz w:val="24"/>
          <w:szCs w:val="22"/>
          <w:u w:val="single"/>
        </w:rPr>
        <w:t>CP on the amendment of RTS 2</w:t>
      </w:r>
    </w:p>
    <w:bookmarkEnd w:id="9"/>
    <w:bookmarkEnd w:id="10"/>
    <w:p w14:paraId="5DA4D64B" w14:textId="3D4CE0B1" w:rsidR="00CC59BB" w:rsidRDefault="00FA4100" w:rsidP="003F7C22">
      <w:pPr>
        <w:pStyle w:val="Questionstyle"/>
        <w:spacing w:after="240" w:line="259" w:lineRule="auto"/>
        <w:ind w:left="851" w:hanging="851"/>
        <w:contextualSpacing w:val="0"/>
      </w:pPr>
      <w:r w:rsidRPr="00FA4100">
        <w:t>Do you agree with the definition of CLOB trading systems proposed above? If not, please explain why</w:t>
      </w:r>
      <w:r w:rsidR="00CC59BB" w:rsidRPr="00185ADA">
        <w:t>.</w:t>
      </w:r>
    </w:p>
    <w:p w14:paraId="17BDD96F" w14:textId="1053F04A" w:rsidR="00CC59BB" w:rsidRDefault="00CC59BB" w:rsidP="00C54034">
      <w:pPr>
        <w:spacing w:after="0"/>
      </w:pPr>
      <w:r>
        <w:t>&lt;ESMA_QUESTION</w:t>
      </w:r>
      <w:r w:rsidR="00F93646">
        <w:t>_</w:t>
      </w:r>
      <w:r w:rsidR="00DD54B5">
        <w:t>CP1</w:t>
      </w:r>
      <w:r w:rsidR="00F93646">
        <w:t>_</w:t>
      </w:r>
      <w:r>
        <w:t>1&gt;</w:t>
      </w:r>
    </w:p>
    <w:p w14:paraId="059016CF" w14:textId="6571AED5" w:rsidR="00CC59BB" w:rsidRDefault="00B21FE3" w:rsidP="00C54034">
      <w:pPr>
        <w:spacing w:after="0"/>
      </w:pPr>
      <w:permStart w:id="124340805" w:edGrp="everyone"/>
      <w:r>
        <w:t xml:space="preserve">Whilst the definitions of Continuous Lit Order Book and Frequent Batch Auctions/periodic auction trading systems appear to </w:t>
      </w:r>
      <w:proofErr w:type="spellStart"/>
      <w:r>
        <w:t>based</w:t>
      </w:r>
      <w:proofErr w:type="spellEnd"/>
      <w:r>
        <w:t xml:space="preserve"> on a view founded in equities markets, our members do not see any material issues with these insofar as they are relevant to  matters dealt with in RTS 2, subject to our comments in response to question 2 below.</w:t>
      </w:r>
      <w:permEnd w:id="124340805"/>
      <w:r w:rsidR="00CC59BB">
        <w:t>&lt;ESMA_QUESTION</w:t>
      </w:r>
      <w:r w:rsidR="00F93646">
        <w:t>_</w:t>
      </w:r>
      <w:r w:rsidR="00DD54B5">
        <w:t>CP1</w:t>
      </w:r>
      <w:r w:rsidR="00F93646">
        <w:t>_</w:t>
      </w:r>
      <w:r w:rsidR="00CC59BB">
        <w:t>1&gt;</w:t>
      </w:r>
    </w:p>
    <w:p w14:paraId="0445A411" w14:textId="628C6B54" w:rsidR="00B25E0D" w:rsidRDefault="00B25E0D" w:rsidP="00F716D4"/>
    <w:p w14:paraId="213BEB10" w14:textId="1269A7E9" w:rsidR="00CC59BB" w:rsidRDefault="00FA4100" w:rsidP="00A0386B">
      <w:pPr>
        <w:pStyle w:val="Questionstyle"/>
        <w:spacing w:after="240" w:line="259" w:lineRule="auto"/>
        <w:ind w:left="851" w:hanging="851"/>
        <w:contextualSpacing w:val="0"/>
      </w:pPr>
      <w:r w:rsidRPr="00FA4100">
        <w:t>Do you consider that the definition should include other trading systems? Please elaborate</w:t>
      </w:r>
      <w:r>
        <w:t>.</w:t>
      </w:r>
    </w:p>
    <w:p w14:paraId="12B58AF3" w14:textId="7D6724AA" w:rsidR="00CC59BB" w:rsidRDefault="00CC59BB" w:rsidP="00C54034">
      <w:pPr>
        <w:spacing w:after="0"/>
      </w:pPr>
      <w:r>
        <w:t>&lt;ESMA_QUESTION</w:t>
      </w:r>
      <w:r w:rsidR="00F93646">
        <w:t>_</w:t>
      </w:r>
      <w:r w:rsidR="00DD54B5">
        <w:t>CP1</w:t>
      </w:r>
      <w:r w:rsidR="00F93646">
        <w:t>_</w:t>
      </w:r>
      <w:r>
        <w:t>2&gt;</w:t>
      </w:r>
    </w:p>
    <w:p w14:paraId="7061A5C9" w14:textId="77777777" w:rsidR="00161F3B" w:rsidRDefault="00161F3B" w:rsidP="0098337B">
      <w:pPr>
        <w:contextualSpacing/>
      </w:pPr>
      <w:permStart w:id="1947404220" w:edGrp="everyone"/>
      <w:r>
        <w:t xml:space="preserve">FIA EPTA members support the proposed definition of Continuous Lit Order Book (“CLOB”), in particular noting that it encompasses trading systems combining elements of a continuous auction trading system and periodic auction trading system. However,  it is our understanding, in speaking with some ETD trading venues, that there are instances where the system that accepts pre-arranged trades subject to the rules of the trading venue is not considered to be part of the CLOB but is a separate and distinct trading system purely for crossing orders </w:t>
      </w:r>
      <w:r w:rsidRPr="00406517">
        <w:t>and thus would be considered a hybrid system (</w:t>
      </w:r>
      <w:proofErr w:type="spellStart"/>
      <w:r w:rsidRPr="00406517">
        <w:t>ie</w:t>
      </w:r>
      <w:proofErr w:type="spellEnd"/>
      <w:r w:rsidRPr="00406517">
        <w:t>, “trading system not falling within the first five rows”) under the current RTS 2</w:t>
      </w:r>
      <w:r>
        <w:t xml:space="preserve">. In order to ensure that pre-arranged trades submitted subject to the rules of a trading venue </w:t>
      </w:r>
      <w:r w:rsidRPr="00D14318">
        <w:t>meet appropriate levels of pre-trade transparency</w:t>
      </w:r>
      <w:r w:rsidRPr="00D14318">
        <w:rPr>
          <w:i/>
          <w:iCs/>
        </w:rPr>
        <w:t xml:space="preserve"> </w:t>
      </w:r>
      <w:r>
        <w:t xml:space="preserve">(i.e., either by availing of a pre-trade transparency waiver or by being matched on the trading venue with a reasonable chance for other </w:t>
      </w:r>
      <w:r>
        <w:lastRenderedPageBreak/>
        <w:t>market participants to interact in a competitive way with the crossing as per ESMA Q&amp;A 13</w:t>
      </w:r>
      <w:r>
        <w:rPr>
          <w:rStyle w:val="FootnoteReference"/>
        </w:rPr>
        <w:footnoteReference w:id="2"/>
      </w:r>
      <w:r>
        <w:t xml:space="preserve"> ), the definition of CLOB should include any trading system that accepts pre-arranged trades (cross orders) subject to the rules of a trading venue that operates a CLOB. </w:t>
      </w:r>
    </w:p>
    <w:p w14:paraId="6D220475" w14:textId="77777777" w:rsidR="00161F3B" w:rsidRDefault="00161F3B" w:rsidP="0098337B">
      <w:pPr>
        <w:contextualSpacing/>
      </w:pPr>
    </w:p>
    <w:p w14:paraId="73D19FBF" w14:textId="4D11E0D5" w:rsidR="00CC59BB" w:rsidRDefault="00161F3B" w:rsidP="00C54034">
      <w:pPr>
        <w:spacing w:after="0"/>
      </w:pPr>
      <w:r>
        <w:t>We would, also, recommend that ESMA remain open to the possibility of revisiting the definitions when it consults on proposed changes to RTS 2 concerning derivatives in case there are implications arising from those proposals that are not presently foreseeable.</w:t>
      </w:r>
      <w:permEnd w:id="1947404220"/>
      <w:r w:rsidR="00CC59BB">
        <w:t>&lt;ESMA_QUESTION</w:t>
      </w:r>
      <w:r w:rsidR="00F93646">
        <w:t>_</w:t>
      </w:r>
      <w:r w:rsidR="00DD54B5">
        <w:t>CP1</w:t>
      </w:r>
      <w:r w:rsidR="00F93646">
        <w:t>_</w:t>
      </w:r>
      <w:r w:rsidR="00CC59BB">
        <w:t>2&gt;</w:t>
      </w:r>
    </w:p>
    <w:p w14:paraId="4BEA6789" w14:textId="77777777" w:rsidR="00CC59BB" w:rsidRDefault="00CC59BB" w:rsidP="00F716D4"/>
    <w:p w14:paraId="7A92C410" w14:textId="0581349F" w:rsidR="00CC59BB" w:rsidRDefault="00FA4100" w:rsidP="00A0386B">
      <w:pPr>
        <w:pStyle w:val="Questionstyle"/>
        <w:spacing w:after="240" w:line="259" w:lineRule="auto"/>
        <w:ind w:left="851" w:hanging="851"/>
        <w:contextualSpacing w:val="0"/>
      </w:pPr>
      <w:r w:rsidRPr="00FA4100">
        <w:t>Do you agree that the description of periodic auction trading systems set out in Annex I of RTS 2 is relevant for specifying the characteristics of those trading systems in the revised RTS? If not, please elaborate</w:t>
      </w:r>
      <w:r>
        <w:t>.</w:t>
      </w:r>
    </w:p>
    <w:p w14:paraId="6B789D16" w14:textId="6980F4B6" w:rsidR="00CC59BB" w:rsidRDefault="00CC59BB" w:rsidP="00C54034">
      <w:pPr>
        <w:spacing w:after="0"/>
      </w:pPr>
      <w:r>
        <w:t>&lt;ESMA_QUESTION</w:t>
      </w:r>
      <w:r w:rsidR="00F93646">
        <w:t>_</w:t>
      </w:r>
      <w:r w:rsidR="00DD54B5">
        <w:t>CP1</w:t>
      </w:r>
      <w:r w:rsidR="00F93646">
        <w:t>_</w:t>
      </w:r>
      <w:r>
        <w:t>3&gt;</w:t>
      </w:r>
    </w:p>
    <w:p w14:paraId="0D2F37D3" w14:textId="77777777" w:rsidR="00CC59BB" w:rsidRDefault="00CC59BB" w:rsidP="00C54034">
      <w:pPr>
        <w:spacing w:after="0"/>
      </w:pPr>
      <w:permStart w:id="2005885194" w:edGrp="everyone"/>
      <w:r>
        <w:t>TYPE YOUR TEXT HERE</w:t>
      </w:r>
    </w:p>
    <w:permEnd w:id="2005885194"/>
    <w:p w14:paraId="677D639B" w14:textId="09541F89" w:rsidR="00CC59BB" w:rsidRDefault="00CC59BB" w:rsidP="00C54034">
      <w:pPr>
        <w:spacing w:after="0"/>
      </w:pPr>
      <w:r>
        <w:t>&lt;ESMA_QUESTION</w:t>
      </w:r>
      <w:r w:rsidR="00F93646">
        <w:t>_</w:t>
      </w:r>
      <w:r w:rsidR="00DD54B5">
        <w:t>CP1</w:t>
      </w:r>
      <w:r w:rsidR="00F93646">
        <w:t>_</w:t>
      </w:r>
      <w:r>
        <w:t>3&gt;</w:t>
      </w:r>
    </w:p>
    <w:p w14:paraId="506315DD" w14:textId="77777777" w:rsidR="00CC59BB" w:rsidRDefault="00CC59BB" w:rsidP="00F716D4"/>
    <w:p w14:paraId="044A8FFD" w14:textId="0A1E7630" w:rsidR="00CC59BB" w:rsidRDefault="00FA4100" w:rsidP="00A0386B">
      <w:pPr>
        <w:pStyle w:val="Questionstyle"/>
        <w:spacing w:after="240" w:line="259" w:lineRule="auto"/>
        <w:ind w:left="851" w:hanging="851"/>
        <w:contextualSpacing w:val="0"/>
      </w:pPr>
      <w:r w:rsidRPr="00FA4100">
        <w:t>Do you agree to use ESA 2010 to classify bond issuers If not, please explain and provide alternatives on how clarify how to classify sovereign, other public and corporate issuers</w:t>
      </w:r>
      <w:r>
        <w:t>.</w:t>
      </w:r>
    </w:p>
    <w:p w14:paraId="3B828213" w14:textId="722ADBF4" w:rsidR="00CC59BB" w:rsidRDefault="00CC59BB" w:rsidP="00C54034">
      <w:pPr>
        <w:spacing w:after="0"/>
      </w:pPr>
      <w:r>
        <w:t>&lt;ESMA_QUESTION</w:t>
      </w:r>
      <w:r w:rsidR="00F93646">
        <w:t>_</w:t>
      </w:r>
      <w:r w:rsidR="00DD54B5">
        <w:t>CP1</w:t>
      </w:r>
      <w:r w:rsidR="00F93646">
        <w:t>_</w:t>
      </w:r>
      <w:r>
        <w:t>4&gt;</w:t>
      </w:r>
    </w:p>
    <w:p w14:paraId="5645007D" w14:textId="5650031D" w:rsidR="00CC59BB" w:rsidRDefault="00E04655" w:rsidP="00C54034">
      <w:pPr>
        <w:spacing w:after="0"/>
      </w:pPr>
      <w:permStart w:id="1235513680" w:edGrp="everyone"/>
      <w:r>
        <w:t xml:space="preserve">FIA EPTA members support ESMA’s proposals. </w:t>
      </w:r>
      <w:permEnd w:id="1235513680"/>
      <w:r w:rsidR="00CC59BB">
        <w:t>&lt;ESMA_QUESTION</w:t>
      </w:r>
      <w:r w:rsidR="00F93646">
        <w:t>_</w:t>
      </w:r>
      <w:r w:rsidR="00DD54B5">
        <w:t>CP1</w:t>
      </w:r>
      <w:r w:rsidR="00F93646">
        <w:t>_</w:t>
      </w:r>
      <w:r w:rsidR="00CC59BB">
        <w:t>4&gt;</w:t>
      </w:r>
    </w:p>
    <w:p w14:paraId="6A5562F7" w14:textId="7B74717E" w:rsidR="00BB1973" w:rsidRDefault="00BB1973" w:rsidP="00F716D4"/>
    <w:p w14:paraId="51E3550B" w14:textId="1C8C3790" w:rsidR="00CC59BB" w:rsidRDefault="00FA4100" w:rsidP="00C5156C">
      <w:pPr>
        <w:pStyle w:val="Questionstyle"/>
        <w:spacing w:after="240" w:line="259" w:lineRule="auto"/>
        <w:ind w:left="851" w:hanging="851"/>
        <w:contextualSpacing w:val="0"/>
      </w:pPr>
      <w:r w:rsidRPr="00FA4100">
        <w:t>Do you agree with the proposed LiS pre-trade thresholds for bonds? In your answer, please also consider the analysis provided in sections 4.2.1</w:t>
      </w:r>
      <w:r>
        <w:t>.</w:t>
      </w:r>
    </w:p>
    <w:p w14:paraId="19426988" w14:textId="06392F21" w:rsidR="00CC59BB" w:rsidRDefault="00CC59BB" w:rsidP="00C54034">
      <w:pPr>
        <w:spacing w:after="0"/>
      </w:pPr>
      <w:r>
        <w:t>&lt;ESMA_QUESTION</w:t>
      </w:r>
      <w:r w:rsidR="00F93646">
        <w:t>_</w:t>
      </w:r>
      <w:r w:rsidR="00DD54B5">
        <w:t>CP1</w:t>
      </w:r>
      <w:r w:rsidR="00F93646">
        <w:t>_</w:t>
      </w:r>
      <w:r>
        <w:t>5&gt;</w:t>
      </w:r>
    </w:p>
    <w:p w14:paraId="2FB4FD2B" w14:textId="77777777" w:rsidR="00757326" w:rsidRDefault="00757326" w:rsidP="00757326">
      <w:pPr>
        <w:contextualSpacing/>
      </w:pPr>
      <w:permStart w:id="864513806" w:edGrp="everyone"/>
      <w:r>
        <w:t>FIA EPTA members support ESMA’s proposals.</w:t>
      </w:r>
    </w:p>
    <w:permEnd w:id="864513806"/>
    <w:p w14:paraId="12028E38" w14:textId="393FCEAE" w:rsidR="00CC59BB" w:rsidRDefault="00CC59BB" w:rsidP="00C54034">
      <w:pPr>
        <w:spacing w:after="0"/>
      </w:pPr>
      <w:r>
        <w:t>&lt;ESMA_QUESTION</w:t>
      </w:r>
      <w:r w:rsidR="00F93646">
        <w:t>_</w:t>
      </w:r>
      <w:r w:rsidR="00DD54B5">
        <w:t>CP1</w:t>
      </w:r>
      <w:r w:rsidR="00F93646">
        <w:t>_</w:t>
      </w:r>
      <w:r>
        <w:t>5&gt;</w:t>
      </w:r>
    </w:p>
    <w:p w14:paraId="0716A74E" w14:textId="12CDEECF" w:rsidR="00CC59BB" w:rsidRDefault="00CC59BB" w:rsidP="00F716D4"/>
    <w:p w14:paraId="0B1D0E37" w14:textId="45960BF4" w:rsidR="00CC59BB" w:rsidRDefault="00FA4100" w:rsidP="00C5156C">
      <w:pPr>
        <w:pStyle w:val="Questionstyle"/>
        <w:spacing w:after="240" w:line="259" w:lineRule="auto"/>
        <w:ind w:left="851" w:hanging="851"/>
        <w:contextualSpacing w:val="0"/>
      </w:pPr>
      <w:r w:rsidRPr="00FA4100">
        <w:lastRenderedPageBreak/>
        <w:t>Do you agree with the proposed LiS pre-trade thresholds for SFPs and EUAs? In your answer, please also consider the analysis provided in section 4.2.2</w:t>
      </w:r>
      <w:r w:rsidR="00BB1973">
        <w:t>.</w:t>
      </w:r>
    </w:p>
    <w:p w14:paraId="74B71444" w14:textId="00199531" w:rsidR="00CC59BB" w:rsidRDefault="00CC59BB" w:rsidP="00C54034">
      <w:pPr>
        <w:spacing w:after="0"/>
      </w:pPr>
      <w:r>
        <w:t>&lt;ESMA_QUESTION</w:t>
      </w:r>
      <w:r w:rsidR="00F93646">
        <w:t>_</w:t>
      </w:r>
      <w:r w:rsidR="00DD54B5">
        <w:t>CP1</w:t>
      </w:r>
      <w:r w:rsidR="00F93646">
        <w:t>_</w:t>
      </w:r>
      <w:r>
        <w:t>6&gt;</w:t>
      </w:r>
    </w:p>
    <w:p w14:paraId="2E916F10" w14:textId="77777777" w:rsidR="00CC59BB" w:rsidRDefault="00CC59BB" w:rsidP="00C54034">
      <w:pPr>
        <w:spacing w:after="0"/>
      </w:pPr>
      <w:permStart w:id="1293775397" w:edGrp="everyone"/>
      <w:r>
        <w:t>TYPE YOUR TEXT HERE</w:t>
      </w:r>
    </w:p>
    <w:permEnd w:id="1293775397"/>
    <w:p w14:paraId="1C5E841E" w14:textId="0C213C97" w:rsidR="00CC59BB" w:rsidRDefault="00CC59BB" w:rsidP="00C54034">
      <w:pPr>
        <w:spacing w:after="0"/>
      </w:pPr>
      <w:r>
        <w:t>&lt;ESMA_QUESTION</w:t>
      </w:r>
      <w:r w:rsidR="00F93646">
        <w:t>_</w:t>
      </w:r>
      <w:r w:rsidR="00DD54B5">
        <w:t>CP1</w:t>
      </w:r>
      <w:r w:rsidR="00F93646">
        <w:t>_</w:t>
      </w:r>
      <w:r>
        <w:t>6&gt;</w:t>
      </w:r>
    </w:p>
    <w:p w14:paraId="70FF3B6D" w14:textId="45071471" w:rsidR="00CC59BB" w:rsidRDefault="00CC59BB" w:rsidP="00F716D4"/>
    <w:p w14:paraId="0A97BE36" w14:textId="1FC6B26F" w:rsidR="00CC59BB" w:rsidRDefault="00FA4100" w:rsidP="00C5156C">
      <w:pPr>
        <w:pStyle w:val="Questionstyle"/>
        <w:spacing w:after="240" w:line="259" w:lineRule="auto"/>
        <w:ind w:left="851" w:hanging="851"/>
        <w:contextualSpacing w:val="0"/>
      </w:pPr>
      <w:r w:rsidRPr="00FA4100">
        <w:t>Do you agree with the approach taken for the illiquid waiver for bonds, SFPs and EUA? If you disagree with how the liquidity threshold is determined, please include your comments in Q11 for bonds, Q14 for SFPs and/or Q17 for EUAs</w:t>
      </w:r>
      <w:r w:rsidR="00BB1973">
        <w:t>.</w:t>
      </w:r>
    </w:p>
    <w:p w14:paraId="7A68C999" w14:textId="0C2987C2" w:rsidR="00CC59BB" w:rsidRDefault="00CC59BB" w:rsidP="00C54034">
      <w:pPr>
        <w:spacing w:after="0"/>
      </w:pPr>
      <w:r>
        <w:t>&lt;ESMA_QUESTION</w:t>
      </w:r>
      <w:r w:rsidR="00F93646">
        <w:t>_</w:t>
      </w:r>
      <w:r w:rsidR="00DD54B5">
        <w:t>CP1</w:t>
      </w:r>
      <w:r w:rsidR="00F93646">
        <w:t>_</w:t>
      </w:r>
      <w:r>
        <w:t>7&gt;</w:t>
      </w:r>
    </w:p>
    <w:p w14:paraId="2E7680BD" w14:textId="77777777" w:rsidR="00F35E75" w:rsidRDefault="00F35E75" w:rsidP="00F35E75">
      <w:pPr>
        <w:contextualSpacing/>
      </w:pPr>
      <w:permStart w:id="1076438526" w:edGrp="everyone"/>
      <w:r>
        <w:t>FIA EPTA members support ESMA’s proposals.</w:t>
      </w:r>
    </w:p>
    <w:permEnd w:id="1076438526"/>
    <w:p w14:paraId="39E613CD" w14:textId="198901D6" w:rsidR="00CC59BB" w:rsidRDefault="00CC59BB" w:rsidP="00C54034">
      <w:pPr>
        <w:spacing w:after="0"/>
      </w:pPr>
      <w:r>
        <w:t>&lt;ESMA_QUESTION</w:t>
      </w:r>
      <w:r w:rsidR="00F93646">
        <w:t>_</w:t>
      </w:r>
      <w:r w:rsidR="00DD54B5">
        <w:t>CP1</w:t>
      </w:r>
      <w:r w:rsidR="00F93646">
        <w:t>_</w:t>
      </w:r>
      <w:r>
        <w:t>7&gt;</w:t>
      </w:r>
    </w:p>
    <w:p w14:paraId="449DAC74" w14:textId="77777777" w:rsidR="00D37858" w:rsidRDefault="00D37858" w:rsidP="00D37858"/>
    <w:p w14:paraId="70C05E2C" w14:textId="50E0D3A6" w:rsidR="00CC59BB" w:rsidRDefault="00FA4100" w:rsidP="00C5156C">
      <w:pPr>
        <w:pStyle w:val="Questionstyle"/>
        <w:spacing w:after="240" w:line="259" w:lineRule="auto"/>
        <w:ind w:left="851" w:hanging="851"/>
        <w:contextualSpacing w:val="0"/>
      </w:pPr>
      <w:r w:rsidRPr="00FA4100">
        <w:t>Do you agree with the changes to post-trade fields summarised in Table 5? Please identify the proposal ID in your response</w:t>
      </w:r>
      <w:r w:rsidR="00CC59BB" w:rsidRPr="00185ADA">
        <w:t>.</w:t>
      </w:r>
    </w:p>
    <w:p w14:paraId="1EE9A5FD" w14:textId="10335809" w:rsidR="00CC59BB" w:rsidRDefault="00CC59BB" w:rsidP="00C54034">
      <w:pPr>
        <w:spacing w:after="0"/>
      </w:pPr>
      <w:r>
        <w:t>&lt;ESMA_QUESTION</w:t>
      </w:r>
      <w:r w:rsidR="00F93646">
        <w:t>_</w:t>
      </w:r>
      <w:r w:rsidR="00DD54B5">
        <w:t>CP1</w:t>
      </w:r>
      <w:r w:rsidR="00F93646">
        <w:t>_</w:t>
      </w:r>
      <w:r>
        <w:t>8&gt;</w:t>
      </w:r>
    </w:p>
    <w:p w14:paraId="2A83838B" w14:textId="77777777" w:rsidR="009B56C2" w:rsidRDefault="009B56C2" w:rsidP="009B56C2">
      <w:pPr>
        <w:spacing w:before="100" w:beforeAutospacing="1" w:after="100" w:afterAutospacing="1"/>
      </w:pPr>
      <w:permStart w:id="1516253385" w:edGrp="everyone"/>
      <w:r>
        <w:t>We support the proposed measures. In particular, the proposals to harmonise and improve the clarity of the trade reporting output of execution and publication venues are important measures to improve access and experience for reporting data consumers and to consequently improve price discovery. Similarly, measures to deprecate instrument reference data fields, where this information is already available in centralised sources (</w:t>
      </w:r>
      <w:proofErr w:type="spellStart"/>
      <w:r>
        <w:t>eg.</w:t>
      </w:r>
      <w:proofErr w:type="spellEnd"/>
      <w:r>
        <w:t xml:space="preserve"> FIRDS), would sensibly reduce the per trade reporting burden on reporting firms and increase the accuracy and consistency of instrument reference data provided to data consumers.</w:t>
      </w:r>
    </w:p>
    <w:permEnd w:id="1516253385"/>
    <w:p w14:paraId="5FBCB5E0" w14:textId="510E3A1F" w:rsidR="00CC59BB" w:rsidRDefault="00CC59BB" w:rsidP="00C54034">
      <w:pPr>
        <w:spacing w:after="0"/>
      </w:pPr>
      <w:r>
        <w:t>&lt;ESMA_QUESTION</w:t>
      </w:r>
      <w:r w:rsidR="00F93646">
        <w:t>_</w:t>
      </w:r>
      <w:r w:rsidR="00DD54B5">
        <w:t>CP1</w:t>
      </w:r>
      <w:r w:rsidR="00F93646">
        <w:t>_</w:t>
      </w:r>
      <w:r>
        <w:t>8&gt;</w:t>
      </w:r>
    </w:p>
    <w:p w14:paraId="659A410B" w14:textId="08A6DFDD" w:rsidR="00CC59BB" w:rsidRDefault="00CC59BB" w:rsidP="00F716D4"/>
    <w:p w14:paraId="69BE27B3" w14:textId="2BDE328C" w:rsidR="00CC59BB" w:rsidRDefault="00FA4100" w:rsidP="00C5156C">
      <w:pPr>
        <w:pStyle w:val="Questionstyle"/>
        <w:spacing w:after="240" w:line="259" w:lineRule="auto"/>
        <w:ind w:left="851" w:hanging="851"/>
        <w:contextualSpacing w:val="0"/>
      </w:pPr>
      <w:r w:rsidRPr="00FA4100">
        <w:t>Do you agree not to change the concept of “as close to real-time as technically possible”? If not, what would be in your view the maximum permissible delay</w:t>
      </w:r>
      <w:r w:rsidR="00C05202" w:rsidRPr="00C05202">
        <w:t>?</w:t>
      </w:r>
    </w:p>
    <w:p w14:paraId="3F05DCAA" w14:textId="76208EA5" w:rsidR="00CC59BB" w:rsidRDefault="00CC59BB" w:rsidP="00C54034">
      <w:pPr>
        <w:spacing w:after="0"/>
      </w:pPr>
      <w:r>
        <w:t>&lt;ESMA_QUESTION</w:t>
      </w:r>
      <w:r w:rsidR="00F93646">
        <w:t>_</w:t>
      </w:r>
      <w:r w:rsidR="00DD54B5">
        <w:t>CP1</w:t>
      </w:r>
      <w:r w:rsidR="00F93646">
        <w:t>_</w:t>
      </w:r>
      <w:r>
        <w:t>9&gt;</w:t>
      </w:r>
    </w:p>
    <w:p w14:paraId="12491391" w14:textId="77777777" w:rsidR="003A7AF3" w:rsidRDefault="003A7AF3" w:rsidP="0098337B">
      <w:pPr>
        <w:contextualSpacing/>
      </w:pPr>
      <w:permStart w:id="869493798" w:edGrp="everyone"/>
      <w:r>
        <w:t xml:space="preserve">Yes, we agree with not changing the concept of “as close to real-time as technically possible” and agree with ESMA that it is essential that the maximum permissible delay should only be used by market participants that, for technical reasons, are not able to achieve real-time publication. Where real-time publication is achievable, post-trade reporting should occur immediately and not be systematically/artificially delayed. </w:t>
      </w:r>
    </w:p>
    <w:p w14:paraId="18806A0F" w14:textId="77777777" w:rsidR="003A7AF3" w:rsidRDefault="003A7AF3" w:rsidP="0098337B">
      <w:pPr>
        <w:contextualSpacing/>
      </w:pPr>
    </w:p>
    <w:p w14:paraId="1806692F" w14:textId="117186C3" w:rsidR="00CC59BB" w:rsidRDefault="003A7AF3" w:rsidP="00C54034">
      <w:pPr>
        <w:spacing w:after="0"/>
      </w:pPr>
      <w:r>
        <w:lastRenderedPageBreak/>
        <w:t>Additionally, whilst we agree with ESMA’s proposal to set the maximum delay at 5 minutes, we emphasise the importance of setting an expectation that this continue to be reviewed and adjusted downwards over time. Ongoing technological advancements and improved efficiency should result in overall faster publication with a reduction in technical reasons preventing real-time publication. The industry has shown its ability to adjust to a shorter timeframe as demonstrated by the permissible timeframe being adjusted downwards from 15 minutes to 5. Further, we observe the current FINRA proposals to reduce deferral periods under the US TRACE system applicable to corporate bonds from 15 minutes to 1 minute, demonstrating further reduction of publication times is not only desirable but also achievable</w:t>
      </w:r>
      <w:r>
        <w:rPr>
          <w:rStyle w:val="FootnoteReference"/>
        </w:rPr>
        <w:footnoteReference w:id="3"/>
      </w:r>
      <w:r>
        <w:t>. Accordingly, we expect this trend to continue and be reflected in regulatory expectations.</w:t>
      </w:r>
      <w:permEnd w:id="869493798"/>
      <w:r w:rsidR="00CC59BB">
        <w:t>&lt;ESMA_QUESTION</w:t>
      </w:r>
      <w:r w:rsidR="00F93646">
        <w:t>_</w:t>
      </w:r>
      <w:r w:rsidR="00DD54B5">
        <w:t>CP1</w:t>
      </w:r>
      <w:r w:rsidR="00F93646">
        <w:t>_</w:t>
      </w:r>
      <w:r w:rsidR="00CC59BB">
        <w:t>9&gt;</w:t>
      </w:r>
    </w:p>
    <w:p w14:paraId="5D61442C" w14:textId="7781388D" w:rsidR="00C05202" w:rsidRDefault="00C05202" w:rsidP="00F716D4"/>
    <w:p w14:paraId="50E9B48E" w14:textId="1D440BE4" w:rsidR="00CC59BB" w:rsidRDefault="00FA4100" w:rsidP="00C5156C">
      <w:pPr>
        <w:pStyle w:val="Questionstyle"/>
        <w:spacing w:after="240" w:line="259" w:lineRule="auto"/>
        <w:ind w:left="851" w:hanging="851"/>
        <w:contextualSpacing w:val="0"/>
      </w:pPr>
      <w:r w:rsidRPr="00FA4100">
        <w:t>Do you agree with the changes proposed for the purpose of the reporting of OTC transactions</w:t>
      </w:r>
      <w:r>
        <w:t>?</w:t>
      </w:r>
    </w:p>
    <w:p w14:paraId="30C08F8B" w14:textId="3FAB2E6F" w:rsidR="00CC59BB" w:rsidRDefault="00CC59BB" w:rsidP="00C54034">
      <w:pPr>
        <w:spacing w:after="0"/>
      </w:pPr>
      <w:r>
        <w:t>&lt;ESMA_QUESTION</w:t>
      </w:r>
      <w:r w:rsidR="00F93646">
        <w:t>_</w:t>
      </w:r>
      <w:r w:rsidR="00DD54B5">
        <w:t>CP1</w:t>
      </w:r>
      <w:r w:rsidR="00F93646">
        <w:t>_</w:t>
      </w:r>
      <w:r>
        <w:t>10&gt;</w:t>
      </w:r>
    </w:p>
    <w:p w14:paraId="08417AFA" w14:textId="77777777" w:rsidR="00B400E3" w:rsidRDefault="00B400E3" w:rsidP="00B400E3">
      <w:pPr>
        <w:contextualSpacing/>
      </w:pPr>
      <w:permStart w:id="1673160559" w:edGrp="everyone"/>
      <w:r>
        <w:t>FIA EPTA members support ESMA’s proposals.</w:t>
      </w:r>
    </w:p>
    <w:permEnd w:id="1673160559"/>
    <w:p w14:paraId="13F39FB3" w14:textId="07461326" w:rsidR="00CC59BB" w:rsidRDefault="00CC59BB" w:rsidP="00C54034">
      <w:pPr>
        <w:spacing w:after="0"/>
      </w:pPr>
      <w:r>
        <w:t>&lt;ESMA_QUESTION</w:t>
      </w:r>
      <w:r w:rsidR="00F93646">
        <w:t>_</w:t>
      </w:r>
      <w:r w:rsidR="00DD54B5">
        <w:t>CP1</w:t>
      </w:r>
      <w:r w:rsidR="00F93646">
        <w:t>_</w:t>
      </w:r>
      <w:r>
        <w:t>10&gt;</w:t>
      </w:r>
    </w:p>
    <w:p w14:paraId="04424A1B" w14:textId="77777777" w:rsidR="00CC59BB" w:rsidRDefault="00CC59BB" w:rsidP="00F716D4"/>
    <w:p w14:paraId="7E21AA7F" w14:textId="43BE87DE" w:rsidR="00CC59BB" w:rsidRDefault="00FA4100" w:rsidP="00C5156C">
      <w:pPr>
        <w:pStyle w:val="Questionstyle"/>
        <w:spacing w:after="240" w:line="259" w:lineRule="auto"/>
        <w:ind w:left="851" w:hanging="851"/>
        <w:contextualSpacing w:val="0"/>
      </w:pPr>
      <w:r w:rsidRPr="00FA4100">
        <w:t>Do you agree with the liquidity thresholds set out in Table 7 above? If not, please provide an alternative approach</w:t>
      </w:r>
      <w:r w:rsidR="00CC59BB" w:rsidRPr="00185ADA">
        <w:t>.</w:t>
      </w:r>
    </w:p>
    <w:p w14:paraId="6C96CF48" w14:textId="483DF572" w:rsidR="00CC59BB" w:rsidRDefault="00CC59BB" w:rsidP="00C54034">
      <w:pPr>
        <w:spacing w:after="0"/>
      </w:pPr>
      <w:r>
        <w:t>&lt;ESMA_QUESTION</w:t>
      </w:r>
      <w:r w:rsidR="00F93646">
        <w:t>_</w:t>
      </w:r>
      <w:r w:rsidR="00DD54B5">
        <w:t>CP1</w:t>
      </w:r>
      <w:r w:rsidR="00F93646">
        <w:t>_</w:t>
      </w:r>
      <w:r>
        <w:t>11&gt;</w:t>
      </w:r>
    </w:p>
    <w:p w14:paraId="07BB6C77" w14:textId="77777777" w:rsidR="00A749F0" w:rsidRDefault="00A749F0" w:rsidP="00A749F0">
      <w:pPr>
        <w:contextualSpacing/>
      </w:pPr>
      <w:permStart w:id="1628839836" w:edGrp="everyone"/>
      <w:r>
        <w:t>FIA EPTA members broadly agree with the liquidity thresholds proposed by ESMA. We consider these to be generally reasonable and in line with accepted industry metrics.</w:t>
      </w:r>
    </w:p>
    <w:p w14:paraId="3C3CCF59" w14:textId="77777777" w:rsidR="00A749F0" w:rsidRDefault="00A749F0" w:rsidP="00A749F0">
      <w:pPr>
        <w:contextualSpacing/>
      </w:pPr>
    </w:p>
    <w:p w14:paraId="03EB5311" w14:textId="77777777" w:rsidR="00A749F0" w:rsidRDefault="00A749F0" w:rsidP="00A749F0">
      <w:pPr>
        <w:contextualSpacing/>
      </w:pPr>
      <w:r>
        <w:t xml:space="preserve">In addition, we agree that bond issuance amount outstanding is the appropriate criterion for assessing liquidity. This metric reflects the change in the </w:t>
      </w:r>
      <w:r>
        <w:rPr>
          <w:lang w:val="en-IE"/>
        </w:rPr>
        <w:t>liquidity profile of a particular issuance over time and is commonly used by fixed income indices.</w:t>
      </w:r>
    </w:p>
    <w:permEnd w:id="1628839836"/>
    <w:p w14:paraId="03AED2EA" w14:textId="25983A93" w:rsidR="00CC59BB" w:rsidRDefault="00CC59BB" w:rsidP="00C54034">
      <w:pPr>
        <w:spacing w:after="0"/>
      </w:pPr>
      <w:r>
        <w:t>&lt;ESMA_QUESTION</w:t>
      </w:r>
      <w:r w:rsidR="00F93646">
        <w:t>_</w:t>
      </w:r>
      <w:r w:rsidR="00DD54B5">
        <w:t>CP1</w:t>
      </w:r>
      <w:r w:rsidR="00F93646">
        <w:t>_</w:t>
      </w:r>
      <w:r>
        <w:t>11&gt;</w:t>
      </w:r>
    </w:p>
    <w:p w14:paraId="64DE1E84" w14:textId="77777777" w:rsidR="00CC59BB" w:rsidRDefault="00CC59BB" w:rsidP="00F716D4"/>
    <w:p w14:paraId="3845A10B" w14:textId="68D63D5A" w:rsidR="00CC59BB" w:rsidRDefault="00FA4100" w:rsidP="00C5156C">
      <w:pPr>
        <w:pStyle w:val="Questionstyle"/>
        <w:spacing w:after="240" w:line="259" w:lineRule="auto"/>
        <w:ind w:left="851" w:hanging="851"/>
        <w:contextualSpacing w:val="0"/>
      </w:pPr>
      <w:r w:rsidRPr="00FA4100">
        <w:t>Do you agree with the proposed thresholds specified in the above Tables? If not, please justify by providing qualitative data to your analysis and differentiating per asset class</w:t>
      </w:r>
      <w:r w:rsidR="00CC59BB" w:rsidRPr="00185ADA">
        <w:t>.</w:t>
      </w:r>
    </w:p>
    <w:p w14:paraId="623FFCD5" w14:textId="4F829A16" w:rsidR="00CC59BB" w:rsidRDefault="00CC59BB" w:rsidP="00C54034">
      <w:pPr>
        <w:spacing w:after="0"/>
      </w:pPr>
      <w:r>
        <w:lastRenderedPageBreak/>
        <w:t>&lt;ESMA_QUESTION</w:t>
      </w:r>
      <w:r w:rsidR="00F93646">
        <w:t>_</w:t>
      </w:r>
      <w:r w:rsidR="00DD54B5">
        <w:t>CP1</w:t>
      </w:r>
      <w:r w:rsidR="00F93646">
        <w:t>_</w:t>
      </w:r>
      <w:r>
        <w:t>12&gt;</w:t>
      </w:r>
    </w:p>
    <w:p w14:paraId="13502C11" w14:textId="77777777" w:rsidR="00D04F63" w:rsidRDefault="00D04F63" w:rsidP="00D04F63">
      <w:pPr>
        <w:contextualSpacing/>
      </w:pPr>
      <w:permStart w:id="1550012690" w:edGrp="everyone"/>
      <w:r>
        <w:t>FIA EPTA members agree with ESMA that the vast majority of transactions should be subject to real time reporting and that only a very small proportion of truly exceptional trades should be subject to the longest deferral period.</w:t>
      </w:r>
    </w:p>
    <w:p w14:paraId="05B74D30" w14:textId="77777777" w:rsidR="00D04F63" w:rsidRDefault="00D04F63" w:rsidP="00D04F63">
      <w:pPr>
        <w:contextualSpacing/>
      </w:pPr>
    </w:p>
    <w:p w14:paraId="6418E913" w14:textId="77777777" w:rsidR="00D04F63" w:rsidRDefault="00D04F63" w:rsidP="00D04F63">
      <w:pPr>
        <w:rPr>
          <w:b/>
        </w:rPr>
      </w:pPr>
      <w:r>
        <w:t xml:space="preserve">Accordingly, we recommend that for corporate bonds the threshold for the maximum deferral period be set at EUR25 million to ensure only the most exceptional trades are captured. Referring to data published by </w:t>
      </w:r>
      <w:proofErr w:type="spellStart"/>
      <w:r>
        <w:t>Propellant.digital</w:t>
      </w:r>
      <w:proofErr w:type="spellEnd"/>
      <w:r>
        <w:t xml:space="preserve"> and ICMA for FY2023</w:t>
      </w:r>
      <w:r>
        <w:rPr>
          <w:rStyle w:val="FootnoteReference"/>
        </w:rPr>
        <w:footnoteReference w:id="4"/>
      </w:r>
      <w:r>
        <w:t xml:space="preserve">, in relation to EU Investment Grade corporate bonds, setting the threshold at EUR25 million would result in 6% traded notional falling within this category in contrast to 12% being captured when the threshold is at the proposed EUR15 million. This is a significant difference with 6% seemingly more appropriate as a reflection of trades to be considered truly exceptional. We would also suggest that the price deferral for category 3 corporate bonds is reduced from the End of Trading Day to 15 minutes. </w:t>
      </w:r>
    </w:p>
    <w:p w14:paraId="366735C9" w14:textId="69EEED28" w:rsidR="00B34C0C" w:rsidRPr="003C1C7B" w:rsidRDefault="00B34C0C" w:rsidP="00B34C0C">
      <w:pPr>
        <w:contextualSpacing/>
        <w:rPr>
          <w:b/>
        </w:rPr>
      </w:pPr>
      <w:r>
        <w:t xml:space="preserve">Whilst we do not disagree with using EUR50m as the higher threshold for sovereign bonds (at least as a starting point), EPTA members believe there is scope for this threshold to be considerably higher when one considers the market liquidity. For example, the main German bond future can have EUR200m on the Best Bid and Offer and, therefore, </w:t>
      </w:r>
      <w:r w:rsidRPr="00C16C0F">
        <w:rPr>
          <w:lang w:val="en-IE"/>
        </w:rPr>
        <w:t xml:space="preserve">German bond trades up to that size can </w:t>
      </w:r>
      <w:r>
        <w:t xml:space="preserve">be immediately </w:t>
      </w:r>
      <w:proofErr w:type="spellStart"/>
      <w:r>
        <w:t>hedgable</w:t>
      </w:r>
      <w:proofErr w:type="spellEnd"/>
      <w:r>
        <w:t xml:space="preserve"> implying that the higher threshold for that German bond should be above EUR200m. We would, therefore, encourage ESMA to continue to set as ambitious levels as possible when it comes to reviewing these thresholds.  </w:t>
      </w:r>
    </w:p>
    <w:p w14:paraId="30873510" w14:textId="77777777" w:rsidR="00B34C0C" w:rsidRDefault="00B34C0C" w:rsidP="00B34C0C">
      <w:pPr>
        <w:contextualSpacing/>
      </w:pPr>
    </w:p>
    <w:p w14:paraId="4E0B86DF" w14:textId="77777777" w:rsidR="00B34C0C" w:rsidRDefault="00B34C0C" w:rsidP="00B34C0C">
      <w:pPr>
        <w:contextualSpacing/>
      </w:pPr>
      <w:r>
        <w:t xml:space="preserve">In this regard we cite the premise that deferral periods should be based on the time a firm takes to hedge a position rather than the time to taken to economically unwind that position. We acknowledge that an important consideration in setting deferral thresholds is protecting capital at risk. However, balanced against the benefits to the market of greater transparency as the counter-point to capital protection, risk management is appropriately addressed via efficient hedging practices rather than exiting a position altogether.  </w:t>
      </w:r>
    </w:p>
    <w:p w14:paraId="2B41ED9B" w14:textId="77777777" w:rsidR="00B34C0C" w:rsidRDefault="00B34C0C" w:rsidP="00B34C0C">
      <w:pPr>
        <w:contextualSpacing/>
      </w:pPr>
    </w:p>
    <w:p w14:paraId="1B452FEC" w14:textId="130F9350" w:rsidR="00B34C0C" w:rsidRDefault="00B34C0C" w:rsidP="00B34C0C">
      <w:pPr>
        <w:contextualSpacing/>
      </w:pPr>
      <w:r>
        <w:t xml:space="preserve">In addition, we strongly recommend that the publication thresholds should be set at “less than </w:t>
      </w:r>
      <w:r w:rsidRPr="0092483B">
        <w:rPr>
          <w:b/>
          <w:bCs/>
          <w:u w:val="single"/>
        </w:rPr>
        <w:t>or equal to</w:t>
      </w:r>
      <w:r>
        <w:t>”, not merely “less than”. Trade sizes tend to towards round increments, particularly at the threshold levels proposed by ESMA. Therefore this distinction will have a significant impact at the margins in terms of the notional value subject to greater transparency.</w:t>
      </w:r>
    </w:p>
    <w:p w14:paraId="484C37B1" w14:textId="77777777" w:rsidR="00B34C0C" w:rsidRDefault="00B34C0C" w:rsidP="00B34C0C">
      <w:pPr>
        <w:contextualSpacing/>
      </w:pPr>
    </w:p>
    <w:p w14:paraId="2F015BAA" w14:textId="77777777" w:rsidR="00B34C0C" w:rsidRDefault="00B34C0C" w:rsidP="00B34C0C">
      <w:pPr>
        <w:contextualSpacing/>
        <w:rPr>
          <w:rFonts w:eastAsia="Times New Roman"/>
          <w:b/>
        </w:rPr>
      </w:pPr>
      <w:r>
        <w:t xml:space="preserve">By way of illustration, again using the </w:t>
      </w:r>
      <w:proofErr w:type="spellStart"/>
      <w:r>
        <w:t>Propellant.digital</w:t>
      </w:r>
      <w:proofErr w:type="spellEnd"/>
      <w:r>
        <w:t xml:space="preserve"> and ICMA data referred to above and regarding corporate bonds only, activity at trade sizes</w:t>
      </w:r>
      <w:r>
        <w:rPr>
          <w:rFonts w:eastAsia="Times New Roman"/>
        </w:rPr>
        <w:t xml:space="preserve"> between 950k-999k and 1000001-1049999 </w:t>
      </w:r>
      <w:r>
        <w:rPr>
          <w:rFonts w:eastAsia="Times New Roman"/>
        </w:rPr>
        <w:lastRenderedPageBreak/>
        <w:t>is responsible for only 0.2% and 0.1% of notional respectively. However, trading at EUR1 million precisely is 6.1% of the traded notional.</w:t>
      </w:r>
    </w:p>
    <w:p w14:paraId="4B8FA5A1" w14:textId="77777777" w:rsidR="002B3477" w:rsidRDefault="002B3477" w:rsidP="00B34C0C">
      <w:pPr>
        <w:contextualSpacing/>
      </w:pPr>
    </w:p>
    <w:tbl>
      <w:tblPr>
        <w:tblW w:w="4820" w:type="dxa"/>
        <w:tblLayout w:type="fixed"/>
        <w:tblCellMar>
          <w:left w:w="0" w:type="dxa"/>
          <w:right w:w="0" w:type="dxa"/>
        </w:tblCellMar>
        <w:tblLook w:val="04A0" w:firstRow="1" w:lastRow="0" w:firstColumn="1" w:lastColumn="0" w:noHBand="0" w:noVBand="1"/>
      </w:tblPr>
      <w:tblGrid>
        <w:gridCol w:w="1500"/>
        <w:gridCol w:w="1660"/>
        <w:gridCol w:w="1660"/>
      </w:tblGrid>
      <w:tr w:rsidR="002B3477" w14:paraId="552334C3" w14:textId="77777777" w:rsidTr="0098337B">
        <w:trPr>
          <w:trHeight w:val="870"/>
        </w:trPr>
        <w:tc>
          <w:tcPr>
            <w:tcW w:w="1500" w:type="dxa"/>
            <w:tcBorders>
              <w:top w:val="single" w:sz="4" w:space="0" w:color="auto"/>
              <w:left w:val="single" w:sz="4" w:space="0" w:color="auto"/>
              <w:bottom w:val="single" w:sz="4" w:space="0" w:color="auto"/>
              <w:right w:val="single" w:sz="4" w:space="0" w:color="auto"/>
            </w:tcBorders>
            <w:shd w:val="clear" w:color="auto" w:fill="EEECE1" w:themeFill="background2"/>
            <w:tcMar>
              <w:top w:w="15" w:type="dxa"/>
              <w:left w:w="15" w:type="dxa"/>
              <w:bottom w:w="0" w:type="dxa"/>
              <w:right w:w="15" w:type="dxa"/>
            </w:tcMar>
            <w:vAlign w:val="bottom"/>
            <w:hideMark/>
          </w:tcPr>
          <w:p w14:paraId="469D2C43" w14:textId="77777777" w:rsidR="002B3477" w:rsidRDefault="002B3477" w:rsidP="0098337B">
            <w:pPr>
              <w:rPr>
                <w:rFonts w:ascii="Calibri" w:eastAsia="Times New Roman" w:hAnsi="Calibri" w:cs="Calibri"/>
                <w:color w:val="000000"/>
              </w:rPr>
            </w:pPr>
            <w:r>
              <w:rPr>
                <w:rFonts w:ascii="Calibri" w:eastAsia="Times New Roman" w:hAnsi="Calibri" w:cs="Calibri"/>
                <w:color w:val="000000"/>
              </w:rPr>
              <w:t>Trade Size (EUR)</w:t>
            </w:r>
          </w:p>
        </w:tc>
        <w:tc>
          <w:tcPr>
            <w:tcW w:w="1660" w:type="dxa"/>
            <w:tcBorders>
              <w:top w:val="single" w:sz="4" w:space="0" w:color="auto"/>
              <w:left w:val="nil"/>
              <w:bottom w:val="single" w:sz="4" w:space="0" w:color="auto"/>
              <w:right w:val="single" w:sz="4" w:space="0" w:color="auto"/>
            </w:tcBorders>
            <w:shd w:val="clear" w:color="auto" w:fill="EEECE1" w:themeFill="background2"/>
            <w:tcMar>
              <w:top w:w="15" w:type="dxa"/>
              <w:left w:w="15" w:type="dxa"/>
              <w:bottom w:w="0" w:type="dxa"/>
              <w:right w:w="15" w:type="dxa"/>
            </w:tcMar>
            <w:vAlign w:val="bottom"/>
            <w:hideMark/>
          </w:tcPr>
          <w:p w14:paraId="16B7EF9F" w14:textId="77777777" w:rsidR="002B3477" w:rsidRDefault="002B3477" w:rsidP="0098337B">
            <w:pPr>
              <w:rPr>
                <w:rFonts w:ascii="Calibri" w:eastAsia="Times New Roman" w:hAnsi="Calibri" w:cs="Calibri"/>
                <w:color w:val="000000"/>
              </w:rPr>
            </w:pPr>
            <w:r>
              <w:rPr>
                <w:rFonts w:ascii="Calibri" w:eastAsia="Times New Roman" w:hAnsi="Calibri" w:cs="Calibri"/>
                <w:color w:val="000000"/>
              </w:rPr>
              <w:t>Percent of Total Notional (EUR)</w:t>
            </w:r>
          </w:p>
        </w:tc>
        <w:tc>
          <w:tcPr>
            <w:tcW w:w="1660" w:type="dxa"/>
            <w:tcBorders>
              <w:top w:val="single" w:sz="4" w:space="0" w:color="auto"/>
              <w:left w:val="nil"/>
              <w:bottom w:val="single" w:sz="4" w:space="0" w:color="auto"/>
              <w:right w:val="single" w:sz="4" w:space="0" w:color="auto"/>
            </w:tcBorders>
            <w:shd w:val="clear" w:color="auto" w:fill="EEECE1" w:themeFill="background2"/>
            <w:tcMar>
              <w:top w:w="15" w:type="dxa"/>
              <w:left w:w="15" w:type="dxa"/>
              <w:bottom w:w="0" w:type="dxa"/>
              <w:right w:w="15" w:type="dxa"/>
            </w:tcMar>
            <w:vAlign w:val="bottom"/>
            <w:hideMark/>
          </w:tcPr>
          <w:p w14:paraId="297052BF" w14:textId="77777777" w:rsidR="002B3477" w:rsidRDefault="002B3477" w:rsidP="0098337B">
            <w:pPr>
              <w:rPr>
                <w:rFonts w:ascii="Calibri" w:eastAsia="Times New Roman" w:hAnsi="Calibri" w:cs="Calibri"/>
                <w:color w:val="000000"/>
              </w:rPr>
            </w:pPr>
            <w:r>
              <w:rPr>
                <w:rFonts w:ascii="Calibri" w:eastAsia="Times New Roman" w:hAnsi="Calibri" w:cs="Calibri"/>
                <w:color w:val="000000"/>
              </w:rPr>
              <w:t>Percent of Total Transaction Count</w:t>
            </w:r>
          </w:p>
        </w:tc>
      </w:tr>
      <w:tr w:rsidR="002B3477" w14:paraId="472828D5" w14:textId="77777777" w:rsidTr="0098337B">
        <w:trPr>
          <w:trHeight w:val="380"/>
        </w:trPr>
        <w:tc>
          <w:tcPr>
            <w:tcW w:w="15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2AC12B4" w14:textId="77777777" w:rsidR="002B3477" w:rsidRDefault="002B3477" w:rsidP="0098337B">
            <w:pPr>
              <w:rPr>
                <w:rFonts w:ascii="Calibri" w:eastAsia="Times New Roman" w:hAnsi="Calibri" w:cs="Calibri"/>
                <w:color w:val="000000"/>
              </w:rPr>
            </w:pPr>
            <w:r>
              <w:rPr>
                <w:rFonts w:ascii="Calibri" w:eastAsia="Times New Roman" w:hAnsi="Calibri" w:cs="Calibri"/>
                <w:color w:val="000000"/>
              </w:rPr>
              <w:t>          1,000,000</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E565283" w14:textId="77777777" w:rsidR="002B3477" w:rsidRDefault="002B3477" w:rsidP="0098337B">
            <w:pPr>
              <w:jc w:val="right"/>
              <w:rPr>
                <w:rFonts w:ascii="Calibri" w:eastAsia="Times New Roman" w:hAnsi="Calibri" w:cs="Calibri"/>
                <w:color w:val="000000"/>
              </w:rPr>
            </w:pPr>
            <w:r>
              <w:rPr>
                <w:rFonts w:ascii="Calibri" w:eastAsia="Times New Roman" w:hAnsi="Calibri" w:cs="Calibri"/>
                <w:color w:val="000000"/>
              </w:rPr>
              <w:t>6.1%</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0A8649A" w14:textId="77777777" w:rsidR="002B3477" w:rsidRDefault="002B3477" w:rsidP="0098337B">
            <w:pPr>
              <w:jc w:val="right"/>
              <w:rPr>
                <w:rFonts w:ascii="Calibri" w:eastAsia="Times New Roman" w:hAnsi="Calibri" w:cs="Calibri"/>
                <w:color w:val="000000"/>
              </w:rPr>
            </w:pPr>
            <w:r>
              <w:rPr>
                <w:rFonts w:ascii="Calibri" w:eastAsia="Times New Roman" w:hAnsi="Calibri" w:cs="Calibri"/>
                <w:color w:val="000000"/>
              </w:rPr>
              <w:t>4.9%</w:t>
            </w:r>
          </w:p>
        </w:tc>
      </w:tr>
      <w:tr w:rsidR="002B3477" w14:paraId="4111BCFF" w14:textId="77777777" w:rsidTr="0098337B">
        <w:trPr>
          <w:trHeight w:val="380"/>
        </w:trPr>
        <w:tc>
          <w:tcPr>
            <w:tcW w:w="15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AB358C1" w14:textId="77777777" w:rsidR="002B3477" w:rsidRDefault="002B3477" w:rsidP="0098337B">
            <w:pPr>
              <w:rPr>
                <w:rFonts w:ascii="Calibri" w:eastAsia="Times New Roman" w:hAnsi="Calibri" w:cs="Calibri"/>
                <w:color w:val="000000"/>
              </w:rPr>
            </w:pPr>
            <w:r>
              <w:rPr>
                <w:rFonts w:ascii="Calibri" w:eastAsia="Times New Roman" w:hAnsi="Calibri" w:cs="Calibri"/>
                <w:color w:val="000000"/>
              </w:rPr>
              <w:t>          2,000,000</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D60DB19" w14:textId="77777777" w:rsidR="002B3477" w:rsidRDefault="002B3477" w:rsidP="0098337B">
            <w:pPr>
              <w:jc w:val="right"/>
              <w:rPr>
                <w:rFonts w:ascii="Calibri" w:eastAsia="Times New Roman" w:hAnsi="Calibri" w:cs="Calibri"/>
                <w:color w:val="000000"/>
              </w:rPr>
            </w:pPr>
            <w:r>
              <w:rPr>
                <w:rFonts w:ascii="Calibri" w:eastAsia="Times New Roman" w:hAnsi="Calibri" w:cs="Calibri"/>
                <w:color w:val="000000"/>
              </w:rPr>
              <w:t>5.3%</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7C23902" w14:textId="77777777" w:rsidR="002B3477" w:rsidRDefault="002B3477" w:rsidP="0098337B">
            <w:pPr>
              <w:jc w:val="right"/>
              <w:rPr>
                <w:rFonts w:ascii="Calibri" w:eastAsia="Times New Roman" w:hAnsi="Calibri" w:cs="Calibri"/>
                <w:color w:val="000000"/>
              </w:rPr>
            </w:pPr>
            <w:r>
              <w:rPr>
                <w:rFonts w:ascii="Calibri" w:eastAsia="Times New Roman" w:hAnsi="Calibri" w:cs="Calibri"/>
                <w:color w:val="000000"/>
              </w:rPr>
              <w:t>2.1%</w:t>
            </w:r>
          </w:p>
        </w:tc>
      </w:tr>
      <w:tr w:rsidR="002B3477" w14:paraId="3188A888" w14:textId="77777777" w:rsidTr="0098337B">
        <w:trPr>
          <w:trHeight w:val="380"/>
        </w:trPr>
        <w:tc>
          <w:tcPr>
            <w:tcW w:w="15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08C501C" w14:textId="77777777" w:rsidR="002B3477" w:rsidRDefault="002B3477" w:rsidP="0098337B">
            <w:pPr>
              <w:rPr>
                <w:rFonts w:ascii="Calibri" w:eastAsia="Times New Roman" w:hAnsi="Calibri" w:cs="Calibri"/>
                <w:color w:val="000000"/>
              </w:rPr>
            </w:pPr>
            <w:r>
              <w:rPr>
                <w:rFonts w:ascii="Calibri" w:eastAsia="Times New Roman" w:hAnsi="Calibri" w:cs="Calibri"/>
                <w:color w:val="000000"/>
              </w:rPr>
              <w:t>          5,000,000</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1EA3B56" w14:textId="77777777" w:rsidR="002B3477" w:rsidRDefault="002B3477" w:rsidP="0098337B">
            <w:pPr>
              <w:jc w:val="right"/>
              <w:rPr>
                <w:rFonts w:ascii="Calibri" w:eastAsia="Times New Roman" w:hAnsi="Calibri" w:cs="Calibri"/>
                <w:color w:val="000000"/>
              </w:rPr>
            </w:pPr>
            <w:r>
              <w:rPr>
                <w:rFonts w:ascii="Calibri" w:eastAsia="Times New Roman" w:hAnsi="Calibri" w:cs="Calibri"/>
                <w:color w:val="000000"/>
              </w:rPr>
              <w:t>6.7%</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1F2FAB5" w14:textId="77777777" w:rsidR="002B3477" w:rsidRDefault="002B3477" w:rsidP="0098337B">
            <w:pPr>
              <w:jc w:val="right"/>
              <w:rPr>
                <w:rFonts w:ascii="Calibri" w:eastAsia="Times New Roman" w:hAnsi="Calibri" w:cs="Calibri"/>
                <w:color w:val="000000"/>
              </w:rPr>
            </w:pPr>
            <w:r>
              <w:rPr>
                <w:rFonts w:ascii="Calibri" w:eastAsia="Times New Roman" w:hAnsi="Calibri" w:cs="Calibri"/>
                <w:color w:val="000000"/>
              </w:rPr>
              <w:t>1.1%</w:t>
            </w:r>
          </w:p>
        </w:tc>
      </w:tr>
      <w:tr w:rsidR="002B3477" w14:paraId="7067235A" w14:textId="77777777" w:rsidTr="0098337B">
        <w:trPr>
          <w:trHeight w:val="380"/>
        </w:trPr>
        <w:tc>
          <w:tcPr>
            <w:tcW w:w="15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2B62B6B" w14:textId="77777777" w:rsidR="002B3477" w:rsidRDefault="002B3477" w:rsidP="0098337B">
            <w:pPr>
              <w:rPr>
                <w:rFonts w:ascii="Calibri" w:eastAsia="Times New Roman" w:hAnsi="Calibri" w:cs="Calibri"/>
                <w:color w:val="000000"/>
              </w:rPr>
            </w:pPr>
            <w:r>
              <w:rPr>
                <w:rFonts w:ascii="Calibri" w:eastAsia="Times New Roman" w:hAnsi="Calibri" w:cs="Calibri"/>
                <w:color w:val="000000"/>
              </w:rPr>
              <w:t>        10,000,000</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1AC82B0" w14:textId="77777777" w:rsidR="002B3477" w:rsidRDefault="002B3477" w:rsidP="0098337B">
            <w:pPr>
              <w:jc w:val="right"/>
              <w:rPr>
                <w:rFonts w:ascii="Calibri" w:eastAsia="Times New Roman" w:hAnsi="Calibri" w:cs="Calibri"/>
                <w:color w:val="000000"/>
              </w:rPr>
            </w:pPr>
            <w:r>
              <w:rPr>
                <w:rFonts w:ascii="Calibri" w:eastAsia="Times New Roman" w:hAnsi="Calibri" w:cs="Calibri"/>
                <w:color w:val="000000"/>
              </w:rPr>
              <w:t>4.8%</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21E531B" w14:textId="77777777" w:rsidR="002B3477" w:rsidRDefault="002B3477" w:rsidP="0098337B">
            <w:pPr>
              <w:jc w:val="right"/>
              <w:rPr>
                <w:rFonts w:ascii="Calibri" w:eastAsia="Times New Roman" w:hAnsi="Calibri" w:cs="Calibri"/>
                <w:color w:val="000000"/>
              </w:rPr>
            </w:pPr>
            <w:r>
              <w:rPr>
                <w:rFonts w:ascii="Calibri" w:eastAsia="Times New Roman" w:hAnsi="Calibri" w:cs="Calibri"/>
                <w:color w:val="000000"/>
              </w:rPr>
              <w:t>0.4%</w:t>
            </w:r>
          </w:p>
        </w:tc>
      </w:tr>
      <w:tr w:rsidR="002B3477" w14:paraId="1F2F8347" w14:textId="77777777" w:rsidTr="0098337B">
        <w:trPr>
          <w:trHeight w:val="380"/>
        </w:trPr>
        <w:tc>
          <w:tcPr>
            <w:tcW w:w="15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FC41DCB" w14:textId="77777777" w:rsidR="002B3477" w:rsidRDefault="002B3477" w:rsidP="0098337B">
            <w:pPr>
              <w:rPr>
                <w:rFonts w:ascii="Calibri" w:eastAsia="Times New Roman" w:hAnsi="Calibri" w:cs="Calibri"/>
                <w:color w:val="000000"/>
              </w:rPr>
            </w:pPr>
            <w:r>
              <w:rPr>
                <w:rFonts w:ascii="Calibri" w:eastAsia="Times New Roman" w:hAnsi="Calibri" w:cs="Calibri"/>
                <w:color w:val="000000"/>
              </w:rPr>
              <w:t>        15,000,000</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1B7D660" w14:textId="77777777" w:rsidR="002B3477" w:rsidRDefault="002B3477" w:rsidP="0098337B">
            <w:pPr>
              <w:jc w:val="right"/>
              <w:rPr>
                <w:rFonts w:ascii="Calibri" w:eastAsia="Times New Roman" w:hAnsi="Calibri" w:cs="Calibri"/>
                <w:color w:val="000000"/>
              </w:rPr>
            </w:pPr>
            <w:r>
              <w:rPr>
                <w:rFonts w:ascii="Calibri" w:eastAsia="Times New Roman" w:hAnsi="Calibri" w:cs="Calibri"/>
                <w:color w:val="000000"/>
              </w:rPr>
              <w:t>1.3%</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4A814B6" w14:textId="77777777" w:rsidR="002B3477" w:rsidRDefault="002B3477" w:rsidP="0098337B">
            <w:pPr>
              <w:jc w:val="right"/>
              <w:rPr>
                <w:rFonts w:ascii="Calibri" w:eastAsia="Times New Roman" w:hAnsi="Calibri" w:cs="Calibri"/>
                <w:color w:val="000000"/>
              </w:rPr>
            </w:pPr>
            <w:r>
              <w:rPr>
                <w:rFonts w:ascii="Calibri" w:eastAsia="Times New Roman" w:hAnsi="Calibri" w:cs="Calibri"/>
                <w:color w:val="000000"/>
              </w:rPr>
              <w:t>0.1%</w:t>
            </w:r>
          </w:p>
        </w:tc>
      </w:tr>
      <w:tr w:rsidR="002B3477" w14:paraId="6AFF04D3" w14:textId="77777777" w:rsidTr="0098337B">
        <w:trPr>
          <w:trHeight w:val="380"/>
        </w:trPr>
        <w:tc>
          <w:tcPr>
            <w:tcW w:w="15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CCC099D" w14:textId="77777777" w:rsidR="002B3477" w:rsidRDefault="002B3477" w:rsidP="0098337B">
            <w:pPr>
              <w:rPr>
                <w:rFonts w:ascii="Calibri" w:eastAsia="Times New Roman" w:hAnsi="Calibri" w:cs="Calibri"/>
                <w:color w:val="000000"/>
              </w:rPr>
            </w:pPr>
            <w:r>
              <w:rPr>
                <w:rFonts w:ascii="Calibri" w:eastAsia="Times New Roman" w:hAnsi="Calibri" w:cs="Calibri"/>
                <w:color w:val="000000"/>
              </w:rPr>
              <w:t>        20,000,000</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A99CF89" w14:textId="77777777" w:rsidR="002B3477" w:rsidRDefault="002B3477" w:rsidP="0098337B">
            <w:pPr>
              <w:jc w:val="right"/>
              <w:rPr>
                <w:rFonts w:ascii="Calibri" w:eastAsia="Times New Roman" w:hAnsi="Calibri" w:cs="Calibri"/>
                <w:color w:val="000000"/>
              </w:rPr>
            </w:pPr>
            <w:r>
              <w:rPr>
                <w:rFonts w:ascii="Calibri" w:eastAsia="Times New Roman" w:hAnsi="Calibri" w:cs="Calibri"/>
                <w:color w:val="000000"/>
              </w:rPr>
              <w:t>1.4%</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9BB8C38" w14:textId="77777777" w:rsidR="002B3477" w:rsidRDefault="002B3477" w:rsidP="0098337B">
            <w:pPr>
              <w:jc w:val="right"/>
              <w:rPr>
                <w:rFonts w:ascii="Calibri" w:eastAsia="Times New Roman" w:hAnsi="Calibri" w:cs="Calibri"/>
                <w:color w:val="000000"/>
              </w:rPr>
            </w:pPr>
            <w:r>
              <w:rPr>
                <w:rFonts w:ascii="Calibri" w:eastAsia="Times New Roman" w:hAnsi="Calibri" w:cs="Calibri"/>
                <w:color w:val="000000"/>
              </w:rPr>
              <w:t>0.1%</w:t>
            </w:r>
          </w:p>
        </w:tc>
      </w:tr>
    </w:tbl>
    <w:p w14:paraId="10D317C4" w14:textId="77777777" w:rsidR="002B3477" w:rsidRDefault="002B3477" w:rsidP="00D04F63"/>
    <w:permEnd w:id="1550012690"/>
    <w:p w14:paraId="09660EE7" w14:textId="14C7F7ED" w:rsidR="00CC59BB" w:rsidRDefault="00CC59BB" w:rsidP="00C54034">
      <w:pPr>
        <w:spacing w:after="0"/>
      </w:pPr>
      <w:r>
        <w:t>&lt;ESMA_QUESTION</w:t>
      </w:r>
      <w:r w:rsidR="00F93646">
        <w:t>_</w:t>
      </w:r>
      <w:r w:rsidR="00DD54B5">
        <w:t>CP1</w:t>
      </w:r>
      <w:r w:rsidR="00F93646">
        <w:t>_</w:t>
      </w:r>
      <w:r>
        <w:t>12&gt;</w:t>
      </w:r>
    </w:p>
    <w:p w14:paraId="3D3A2DC1" w14:textId="31E5A79F" w:rsidR="00692ADF" w:rsidRDefault="00692ADF" w:rsidP="00D37858"/>
    <w:p w14:paraId="2B0BD369" w14:textId="20E20C3B" w:rsidR="00CC59BB" w:rsidRDefault="00FA4100" w:rsidP="00C5156C">
      <w:pPr>
        <w:pStyle w:val="Questionstyle"/>
        <w:spacing w:after="240" w:line="259" w:lineRule="auto"/>
        <w:ind w:left="851" w:hanging="851"/>
        <w:contextualSpacing w:val="0"/>
      </w:pPr>
      <w:r w:rsidRPr="00FA4100">
        <w:t>Do you agree with the maximum deferral period set out in the tables above</w:t>
      </w:r>
      <w:r>
        <w:t>?</w:t>
      </w:r>
    </w:p>
    <w:p w14:paraId="7FBA2F1E" w14:textId="5E7D6AF6" w:rsidR="00CC59BB" w:rsidRDefault="00CC59BB" w:rsidP="00C54034">
      <w:pPr>
        <w:spacing w:after="0"/>
      </w:pPr>
      <w:r>
        <w:t>&lt;ESMA_QUESTION</w:t>
      </w:r>
      <w:r w:rsidR="00F93646">
        <w:t>_</w:t>
      </w:r>
      <w:r w:rsidR="00DD54B5">
        <w:t>CP1</w:t>
      </w:r>
      <w:r w:rsidR="00F93646">
        <w:t>_</w:t>
      </w:r>
      <w:r>
        <w:t>13&gt;</w:t>
      </w:r>
    </w:p>
    <w:p w14:paraId="0D0E6538" w14:textId="77777777" w:rsidR="00683917" w:rsidRDefault="00683917" w:rsidP="00683917">
      <w:pPr>
        <w:contextualSpacing/>
      </w:pPr>
      <w:permStart w:id="1951602752" w:edGrp="everyone"/>
      <w:r>
        <w:t xml:space="preserve">FIA EPTA members are very supportive of ESMA proposal not to take up the maximum deferral period allowed under the text of the </w:t>
      </w:r>
      <w:proofErr w:type="spellStart"/>
      <w:r>
        <w:t>MiFIR</w:t>
      </w:r>
      <w:proofErr w:type="spellEnd"/>
      <w:r>
        <w:t xml:space="preserve"> Review and to only defer price publication until the end of the trading day with respect to large trades. Whilst in all cases, our members have a strong preference for publication of both price and volume information, we nevertheless see these proposals as a step in the right direction towards meeting the </w:t>
      </w:r>
      <w:proofErr w:type="spellStart"/>
      <w:r>
        <w:t>MiFIR</w:t>
      </w:r>
      <w:proofErr w:type="spellEnd"/>
      <w:r>
        <w:t xml:space="preserve"> Review’s objectives of bringing greater transparency to non-equity markets. This timely provision of pricing information will aid trading and price discovery and contributes valuable simplicity to the regime.</w:t>
      </w:r>
    </w:p>
    <w:p w14:paraId="7C4DCFB6" w14:textId="77777777" w:rsidR="00683917" w:rsidRDefault="00683917" w:rsidP="00683917">
      <w:pPr>
        <w:contextualSpacing/>
      </w:pPr>
    </w:p>
    <w:p w14:paraId="50266610" w14:textId="77777777" w:rsidR="00683917" w:rsidRDefault="00683917" w:rsidP="00683917">
      <w:pPr>
        <w:contextualSpacing/>
      </w:pPr>
      <w:r>
        <w:t>In addition to supporting the objective of increasing transparency in aid of price formation, it will also make more data available to assess execution quality, enhance competition through reducing information asymmetry and enable sounder risk management through supporting more accurate data-driven decision making. Facilitating more timely publication of price and volume information will also support the value and efficacy of the bonds consolidated tape.</w:t>
      </w:r>
    </w:p>
    <w:p w14:paraId="6C2651D8" w14:textId="77777777" w:rsidR="00683917" w:rsidRDefault="00683917" w:rsidP="00683917">
      <w:pPr>
        <w:contextualSpacing/>
      </w:pPr>
    </w:p>
    <w:p w14:paraId="151ECA1A" w14:textId="77777777" w:rsidR="00683917" w:rsidRDefault="00683917" w:rsidP="00683917">
      <w:pPr>
        <w:contextualSpacing/>
        <w:rPr>
          <w:b/>
        </w:rPr>
      </w:pPr>
      <w:r>
        <w:t xml:space="preserve">Longer deferral periods result in large information asymmetries forcing market participants to maintain wider spreads than would be needed if they had access to all relevant information. This </w:t>
      </w:r>
      <w:r>
        <w:lastRenderedPageBreak/>
        <w:t xml:space="preserve">results in liquidity deterioration and higher costs for end investors and is contrary to the objectives of </w:t>
      </w:r>
      <w:proofErr w:type="spellStart"/>
      <w:r>
        <w:t>MiFIR</w:t>
      </w:r>
      <w:proofErr w:type="spellEnd"/>
      <w:r>
        <w:t xml:space="preserve">. </w:t>
      </w:r>
    </w:p>
    <w:p w14:paraId="2951A197" w14:textId="77777777" w:rsidR="002429F0" w:rsidRDefault="002429F0" w:rsidP="00683917">
      <w:pPr>
        <w:contextualSpacing/>
        <w:rPr>
          <w:b/>
        </w:rPr>
      </w:pPr>
    </w:p>
    <w:p w14:paraId="147A414E" w14:textId="77777777" w:rsidR="002429F0" w:rsidRDefault="002429F0" w:rsidP="002429F0">
      <w:pPr>
        <w:contextualSpacing/>
      </w:pPr>
      <w:r>
        <w:t>We see no logical justification for delaying price publication past End of Day and refer to the US TRACE model as demonstrating the effectiveness of an approach with real-time reporting of prices across all trade sizes. A four week deferral for publication of price and size is far too long even for the largest sized trades and presents no material difference from the existing transparency regime. We refer to the following studies which illustrate the benefits of a more ambitious transparency regime as represented by the US TRACE model:</w:t>
      </w:r>
    </w:p>
    <w:p w14:paraId="31280F0D" w14:textId="77777777" w:rsidR="002429F0" w:rsidRPr="00C43E70" w:rsidRDefault="002429F0" w:rsidP="00153D59">
      <w:pPr>
        <w:pStyle w:val="ListParagraph"/>
        <w:numPr>
          <w:ilvl w:val="0"/>
          <w:numId w:val="40"/>
        </w:numPr>
        <w:autoSpaceDE w:val="0"/>
        <w:autoSpaceDN w:val="0"/>
        <w:spacing w:after="160" w:line="259" w:lineRule="auto"/>
        <w:contextualSpacing w:val="0"/>
        <w:rPr>
          <w:rFonts w:eastAsia="Times New Roman" w:cstheme="minorHAnsi"/>
        </w:rPr>
      </w:pPr>
      <w:proofErr w:type="spellStart"/>
      <w:r w:rsidRPr="00C43E70">
        <w:rPr>
          <w:rFonts w:eastAsia="Times New Roman" w:cstheme="minorHAnsi"/>
        </w:rPr>
        <w:t>Bessembinder</w:t>
      </w:r>
      <w:proofErr w:type="spellEnd"/>
      <w:r w:rsidRPr="00C43E70">
        <w:rPr>
          <w:rFonts w:eastAsia="Times New Roman" w:cstheme="minorHAnsi"/>
        </w:rPr>
        <w:t xml:space="preserve">, H., et al., “Market transparency, liquidity externalities, and institutional trading costs in corporate bonds” (2006) Journal of Financial Economics, available at: </w:t>
      </w:r>
      <w:hyperlink r:id="rId24" w:history="1">
        <w:r w:rsidRPr="00C43E70">
          <w:rPr>
            <w:rStyle w:val="Hyperlink"/>
            <w:rFonts w:eastAsia="Times New Roman" w:cstheme="minorHAnsi"/>
            <w:color w:val="auto"/>
          </w:rPr>
          <w:t>https://www.researchgate.net/publication/222515781_Market_Transparency_Liquidity_Externalities_and_Institutional_Trading_Costs_in_Corporate_Bonds</w:t>
        </w:r>
      </w:hyperlink>
    </w:p>
    <w:p w14:paraId="68D624A9" w14:textId="77777777" w:rsidR="002429F0" w:rsidRPr="00C43E70" w:rsidRDefault="002429F0" w:rsidP="00153D59">
      <w:pPr>
        <w:pStyle w:val="ListParagraph"/>
        <w:numPr>
          <w:ilvl w:val="0"/>
          <w:numId w:val="40"/>
        </w:numPr>
        <w:autoSpaceDE w:val="0"/>
        <w:autoSpaceDN w:val="0"/>
        <w:spacing w:after="160" w:line="259" w:lineRule="auto"/>
        <w:contextualSpacing w:val="0"/>
        <w:rPr>
          <w:rStyle w:val="Hyperlink"/>
          <w:rFonts w:eastAsia="Times New Roman" w:cstheme="minorHAnsi"/>
          <w:color w:val="auto"/>
        </w:rPr>
      </w:pPr>
      <w:r w:rsidRPr="00C43E70">
        <w:rPr>
          <w:rFonts w:eastAsia="Times New Roman" w:cstheme="minorHAnsi"/>
        </w:rPr>
        <w:t xml:space="preserve">Edwards, A. K., et al., “Corporate bond market transaction costs and transparency” (2007) The Journal of Finance, available at: </w:t>
      </w:r>
      <w:hyperlink r:id="rId25" w:history="1">
        <w:r w:rsidRPr="00C43E70">
          <w:rPr>
            <w:rStyle w:val="Hyperlink"/>
            <w:rFonts w:eastAsia="Times New Roman" w:cstheme="minorHAnsi"/>
            <w:color w:val="auto"/>
          </w:rPr>
          <w:t>https://papers.ssrn.com/sol3/papers.cfm?abstract_id=593823</w:t>
        </w:r>
      </w:hyperlink>
    </w:p>
    <w:p w14:paraId="7A495769" w14:textId="77777777" w:rsidR="002429F0" w:rsidRPr="00C43E70" w:rsidRDefault="002429F0" w:rsidP="00153D59">
      <w:pPr>
        <w:pStyle w:val="ListParagraph"/>
        <w:numPr>
          <w:ilvl w:val="0"/>
          <w:numId w:val="40"/>
        </w:numPr>
        <w:autoSpaceDE w:val="0"/>
        <w:autoSpaceDN w:val="0"/>
        <w:spacing w:after="160" w:line="259" w:lineRule="auto"/>
        <w:contextualSpacing w:val="0"/>
        <w:rPr>
          <w:rStyle w:val="Hyperlink"/>
          <w:rFonts w:eastAsia="Times New Roman" w:cstheme="minorHAnsi"/>
          <w:color w:val="auto"/>
        </w:rPr>
      </w:pPr>
      <w:r w:rsidRPr="00C43E70">
        <w:rPr>
          <w:rFonts w:eastAsia="Times New Roman" w:cstheme="minorHAnsi"/>
        </w:rPr>
        <w:t xml:space="preserve">Goldstein, M. A., et al., “Transparency and liquidity: A controlled experiment on corporate bonds” (2007) Review of Financial Studies, available at: </w:t>
      </w:r>
      <w:hyperlink r:id="rId26" w:history="1">
        <w:r w:rsidRPr="00C43E70">
          <w:rPr>
            <w:rStyle w:val="Hyperlink"/>
            <w:rFonts w:eastAsia="Times New Roman" w:cstheme="minorHAnsi"/>
            <w:color w:val="auto"/>
          </w:rPr>
          <w:t>https://papers.ssrn.com/sol3/papers.cfm?abstract_id=686324</w:t>
        </w:r>
      </w:hyperlink>
    </w:p>
    <w:p w14:paraId="6AAB4630" w14:textId="77777777" w:rsidR="002429F0" w:rsidRPr="00C43E70" w:rsidRDefault="002429F0" w:rsidP="00153D59">
      <w:pPr>
        <w:pStyle w:val="ListParagraph"/>
        <w:numPr>
          <w:ilvl w:val="0"/>
          <w:numId w:val="40"/>
        </w:numPr>
        <w:autoSpaceDE w:val="0"/>
        <w:autoSpaceDN w:val="0"/>
        <w:spacing w:after="160" w:line="259" w:lineRule="auto"/>
        <w:contextualSpacing w:val="0"/>
        <w:rPr>
          <w:rStyle w:val="Hyperlink"/>
          <w:rFonts w:eastAsia="Times New Roman" w:cstheme="minorHAnsi"/>
          <w:color w:val="auto"/>
        </w:rPr>
      </w:pPr>
      <w:r w:rsidRPr="00C43E70">
        <w:rPr>
          <w:rFonts w:eastAsia="Times New Roman" w:cstheme="minorHAnsi"/>
        </w:rPr>
        <w:t xml:space="preserve">Asquith, P., et al., “The Effects of Mandatory Transparency in Financial Market Design: Evidence from the Corporate Bond Market” (April 2019), available at: </w:t>
      </w:r>
      <w:hyperlink r:id="rId27" w:history="1">
        <w:r w:rsidRPr="00C43E70">
          <w:rPr>
            <w:rStyle w:val="Hyperlink"/>
            <w:rFonts w:eastAsia="Times New Roman" w:cstheme="minorHAnsi"/>
            <w:color w:val="auto"/>
          </w:rPr>
          <w:t>https://www.nber.org/papers/w19417</w:t>
        </w:r>
      </w:hyperlink>
    </w:p>
    <w:p w14:paraId="47B080C5" w14:textId="77777777" w:rsidR="002429F0" w:rsidRPr="00C43E70" w:rsidRDefault="002429F0" w:rsidP="00153D59">
      <w:pPr>
        <w:pStyle w:val="ListParagraph"/>
        <w:numPr>
          <w:ilvl w:val="0"/>
          <w:numId w:val="40"/>
        </w:numPr>
        <w:autoSpaceDE w:val="0"/>
        <w:autoSpaceDN w:val="0"/>
        <w:spacing w:after="160" w:line="259" w:lineRule="auto"/>
        <w:contextualSpacing w:val="0"/>
        <w:rPr>
          <w:rFonts w:eastAsia="Times New Roman" w:cstheme="minorHAnsi"/>
        </w:rPr>
      </w:pPr>
      <w:r w:rsidRPr="00C43E70">
        <w:rPr>
          <w:rFonts w:eastAsia="Times New Roman" w:cstheme="minorHAnsi"/>
        </w:rPr>
        <w:t xml:space="preserve">Jacobsen, S., et al., “Does trade reporting improve market quality in an institutional market? Evidence from 144A corporate bonds” (2018) at pages 1 and 7, available at: </w:t>
      </w:r>
      <w:hyperlink r:id="rId28" w:history="1">
        <w:r w:rsidRPr="00C43E70">
          <w:rPr>
            <w:rStyle w:val="Hyperlink"/>
            <w:rFonts w:eastAsia="Times New Roman" w:cstheme="minorHAnsi"/>
            <w:color w:val="auto"/>
          </w:rPr>
          <w:t>https://papers.ssrn.com/sol3/papers.cfm?abstract_id=3171056</w:t>
        </w:r>
      </w:hyperlink>
      <w:r w:rsidRPr="00C43E70">
        <w:rPr>
          <w:rFonts w:eastAsia="Times New Roman" w:cstheme="minorHAnsi"/>
        </w:rPr>
        <w:t xml:space="preserve"> </w:t>
      </w:r>
    </w:p>
    <w:p w14:paraId="4D78A25E" w14:textId="65EDC7C8" w:rsidR="003A6637" w:rsidRDefault="001758E7" w:rsidP="001758E7">
      <w:pPr>
        <w:ind w:left="360"/>
      </w:pPr>
      <w:r>
        <w:t xml:space="preserve">We acknowledge that ESMA is empowered under the </w:t>
      </w:r>
      <w:proofErr w:type="spellStart"/>
      <w:r>
        <w:t>MiFIR</w:t>
      </w:r>
      <w:proofErr w:type="spellEnd"/>
      <w:r>
        <w:t xml:space="preserve"> Review pursuant to amended article 11(3)(h) to recalibrate deferral duration on a periodic basis with the aim of gradually decreasing it. We support this measure and encourage ESMA to be ambitious in its approach in order to realise the benefits of a more ambitious transparency regime as evidenced by the US experience. We believe a pragmatic and ambitious approach will be facilitated by the improved data available from the enhanced transparency regime and the emergence of the bond consolidated tape.</w:t>
      </w:r>
    </w:p>
    <w:permEnd w:id="1951602752"/>
    <w:p w14:paraId="5935F509" w14:textId="3E24B41A" w:rsidR="00CC59BB" w:rsidRDefault="00CC59BB" w:rsidP="00C54034">
      <w:pPr>
        <w:spacing w:after="0"/>
      </w:pPr>
      <w:r>
        <w:t>&lt;ESMA_QUESTION</w:t>
      </w:r>
      <w:r w:rsidR="00F93646">
        <w:t>_</w:t>
      </w:r>
      <w:r w:rsidR="00DD54B5">
        <w:t>CP1</w:t>
      </w:r>
      <w:r w:rsidR="00F93646">
        <w:t>_</w:t>
      </w:r>
      <w:r>
        <w:t>13&gt;</w:t>
      </w:r>
    </w:p>
    <w:p w14:paraId="060636E2" w14:textId="77777777" w:rsidR="00CC59BB" w:rsidRDefault="00CC59BB" w:rsidP="00F716D4"/>
    <w:p w14:paraId="3774430F" w14:textId="7D49298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SFPs are illiquid? If not, can you suggest any alternative methodology on how to define liquidity for SFPs</w:t>
      </w:r>
      <w:r w:rsidR="00CC59BB" w:rsidRPr="00185ADA">
        <w:t>?</w:t>
      </w:r>
    </w:p>
    <w:p w14:paraId="023D70D1" w14:textId="1D9289CE" w:rsidR="00CC59BB" w:rsidRDefault="00CC59BB" w:rsidP="00C54034">
      <w:pPr>
        <w:spacing w:after="0"/>
      </w:pPr>
      <w:r>
        <w:lastRenderedPageBreak/>
        <w:t>&lt;ESMA_QUESTION</w:t>
      </w:r>
      <w:r w:rsidR="00F93646">
        <w:t>_</w:t>
      </w:r>
      <w:r w:rsidR="00DD54B5">
        <w:t>CP1</w:t>
      </w:r>
      <w:r w:rsidR="00F93646">
        <w:t>_</w:t>
      </w:r>
      <w:r>
        <w:t>14&gt;</w:t>
      </w:r>
    </w:p>
    <w:p w14:paraId="0A1DB7A7" w14:textId="77777777" w:rsidR="00CC59BB" w:rsidRDefault="00CC59BB" w:rsidP="00C54034">
      <w:pPr>
        <w:spacing w:after="0"/>
      </w:pPr>
      <w:permStart w:id="871322226" w:edGrp="everyone"/>
      <w:r>
        <w:t>TYPE YOUR TEXT HERE</w:t>
      </w:r>
    </w:p>
    <w:permEnd w:id="871322226"/>
    <w:p w14:paraId="311B3E37" w14:textId="10F93C29" w:rsidR="00CC59BB" w:rsidRDefault="00CC59BB" w:rsidP="00C54034">
      <w:pPr>
        <w:spacing w:after="0"/>
      </w:pPr>
      <w:r>
        <w:t>&lt;ESMA_QUESTION</w:t>
      </w:r>
      <w:r w:rsidR="00F93646">
        <w:t>_</w:t>
      </w:r>
      <w:r w:rsidR="00DD54B5">
        <w:t>CP1</w:t>
      </w:r>
      <w:r w:rsidR="00F93646">
        <w:t>_</w:t>
      </w:r>
      <w:r>
        <w:t>14&gt;</w:t>
      </w:r>
    </w:p>
    <w:p w14:paraId="7D2E8574" w14:textId="77777777" w:rsidR="00CC59BB" w:rsidRDefault="00CC59BB" w:rsidP="00F716D4"/>
    <w:p w14:paraId="7CC2C104" w14:textId="3830A985" w:rsidR="00CC59BB" w:rsidRDefault="00FA4100" w:rsidP="00C5156C">
      <w:pPr>
        <w:pStyle w:val="Questionstyle"/>
        <w:spacing w:after="240" w:line="259" w:lineRule="auto"/>
        <w:ind w:left="851" w:hanging="851"/>
        <w:contextualSpacing w:val="0"/>
      </w:pPr>
      <w:r w:rsidRPr="00FA4100">
        <w:t>Do you agree not to introduce changes to the threshold size currently applicable to SFPs as provided in RTS 2</w:t>
      </w:r>
      <w:r>
        <w:t>?</w:t>
      </w:r>
    </w:p>
    <w:p w14:paraId="5673A113" w14:textId="54535574" w:rsidR="00CC59BB" w:rsidRDefault="00CC59BB" w:rsidP="00C54034">
      <w:pPr>
        <w:spacing w:after="0"/>
      </w:pPr>
      <w:r>
        <w:t>&lt;ESMA_QUESTION</w:t>
      </w:r>
      <w:r w:rsidR="00F93646">
        <w:t>_</w:t>
      </w:r>
      <w:r w:rsidR="00DD54B5">
        <w:t>CP1</w:t>
      </w:r>
      <w:r w:rsidR="00F93646">
        <w:t>_</w:t>
      </w:r>
      <w:r>
        <w:t>15&gt;</w:t>
      </w:r>
    </w:p>
    <w:p w14:paraId="2CF74206" w14:textId="77777777" w:rsidR="00CC59BB" w:rsidRDefault="00CC59BB" w:rsidP="00C54034">
      <w:pPr>
        <w:spacing w:after="0"/>
      </w:pPr>
      <w:permStart w:id="1530005966" w:edGrp="everyone"/>
      <w:r>
        <w:t>TYPE YOUR TEXT HERE</w:t>
      </w:r>
    </w:p>
    <w:permEnd w:id="1530005966"/>
    <w:p w14:paraId="24ACBE24" w14:textId="1815FB3F" w:rsidR="00CC59BB" w:rsidRDefault="00CC59BB" w:rsidP="00C54034">
      <w:pPr>
        <w:spacing w:after="0"/>
      </w:pPr>
      <w:r>
        <w:t>&lt;ESMA_QUESTION</w:t>
      </w:r>
      <w:r w:rsidR="00F93646">
        <w:t>_</w:t>
      </w:r>
      <w:r w:rsidR="00DD54B5">
        <w:t>CP1</w:t>
      </w:r>
      <w:r w:rsidR="00F93646">
        <w:t>_</w:t>
      </w:r>
      <w:r>
        <w:t>15&gt;</w:t>
      </w:r>
    </w:p>
    <w:p w14:paraId="746337AF" w14:textId="77777777" w:rsidR="00FA4100" w:rsidRDefault="00FA4100" w:rsidP="00D37858"/>
    <w:p w14:paraId="3AA40BC9" w14:textId="720E38EC" w:rsidR="00CC59BB" w:rsidRDefault="00FA4100" w:rsidP="00C5156C">
      <w:pPr>
        <w:pStyle w:val="Questionstyle"/>
        <w:spacing w:after="240" w:line="259" w:lineRule="auto"/>
        <w:ind w:left="851" w:hanging="851"/>
        <w:contextualSpacing w:val="0"/>
      </w:pPr>
      <w:r w:rsidRPr="00FA4100">
        <w:t>Do you agree with the maximum duration proposed</w:t>
      </w:r>
      <w:r>
        <w:t>?</w:t>
      </w:r>
    </w:p>
    <w:p w14:paraId="426500DA" w14:textId="25D7F3E5" w:rsidR="00CC59BB" w:rsidRDefault="00CC59BB" w:rsidP="00C54034">
      <w:pPr>
        <w:spacing w:after="0"/>
      </w:pPr>
      <w:r>
        <w:t>&lt;ESMA_QUESTION</w:t>
      </w:r>
      <w:r w:rsidR="00F93646">
        <w:t>_</w:t>
      </w:r>
      <w:r w:rsidR="00DD54B5">
        <w:t>CP1</w:t>
      </w:r>
      <w:r w:rsidR="00F93646">
        <w:t>_</w:t>
      </w:r>
      <w:r>
        <w:t>16&gt;</w:t>
      </w:r>
    </w:p>
    <w:p w14:paraId="37DE7513" w14:textId="77777777" w:rsidR="00CC59BB" w:rsidRDefault="00CC59BB" w:rsidP="00C54034">
      <w:pPr>
        <w:spacing w:after="0"/>
      </w:pPr>
      <w:permStart w:id="1731550419" w:edGrp="everyone"/>
      <w:r>
        <w:t>TYPE YOUR TEXT HERE</w:t>
      </w:r>
    </w:p>
    <w:permEnd w:id="1731550419"/>
    <w:p w14:paraId="6C3E377C" w14:textId="6D0054A7" w:rsidR="00CC59BB" w:rsidRDefault="00CC59BB" w:rsidP="00C54034">
      <w:pPr>
        <w:spacing w:after="0"/>
      </w:pPr>
      <w:r>
        <w:t>&lt;ESMA_QUESTION</w:t>
      </w:r>
      <w:r w:rsidR="00F93646">
        <w:t>_</w:t>
      </w:r>
      <w:r w:rsidR="00DD54B5">
        <w:t>CP1</w:t>
      </w:r>
      <w:r w:rsidR="00F93646">
        <w:t>_</w:t>
      </w:r>
      <w:r>
        <w:t>16&gt;</w:t>
      </w:r>
    </w:p>
    <w:p w14:paraId="29E38B3B" w14:textId="77777777" w:rsidR="00CC59BB" w:rsidRDefault="00CC59BB" w:rsidP="00F716D4"/>
    <w:p w14:paraId="19612197" w14:textId="7F5E995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EUA are liquid? If not, can you suggest any alternative methodology on how to define liquidity for EUAs</w:t>
      </w:r>
      <w:r w:rsidR="00CC59BB" w:rsidRPr="00185ADA">
        <w:t>?</w:t>
      </w:r>
    </w:p>
    <w:p w14:paraId="3E525873" w14:textId="1C5EFC61" w:rsidR="00CC59BB" w:rsidRDefault="00CC59BB" w:rsidP="00C54034">
      <w:pPr>
        <w:spacing w:after="0"/>
      </w:pPr>
      <w:r>
        <w:t>&lt;ESMA_QUESTION</w:t>
      </w:r>
      <w:r w:rsidR="00F93646">
        <w:t>_</w:t>
      </w:r>
      <w:r w:rsidR="00DD54B5">
        <w:t>CP1</w:t>
      </w:r>
      <w:r w:rsidR="00F93646">
        <w:t>_</w:t>
      </w:r>
      <w:r>
        <w:t>17&gt;</w:t>
      </w:r>
    </w:p>
    <w:p w14:paraId="78180F43" w14:textId="77777777" w:rsidR="00CC59BB" w:rsidRDefault="00CC59BB" w:rsidP="00C54034">
      <w:pPr>
        <w:spacing w:after="0"/>
      </w:pPr>
      <w:permStart w:id="1212295819" w:edGrp="everyone"/>
      <w:r>
        <w:t>TYPE YOUR TEXT HERE</w:t>
      </w:r>
    </w:p>
    <w:permEnd w:id="1212295819"/>
    <w:p w14:paraId="4E0E7539" w14:textId="6B5DF196" w:rsidR="00CC59BB" w:rsidRDefault="00CC59BB" w:rsidP="00C54034">
      <w:pPr>
        <w:spacing w:after="0"/>
      </w:pPr>
      <w:r>
        <w:t>&lt;ESMA_QUESTION</w:t>
      </w:r>
      <w:r w:rsidR="00F93646">
        <w:t>_</w:t>
      </w:r>
      <w:r w:rsidR="00DD54B5">
        <w:t>CP1</w:t>
      </w:r>
      <w:r w:rsidR="00F93646">
        <w:t>_</w:t>
      </w:r>
      <w:r>
        <w:t>17&gt;</w:t>
      </w:r>
    </w:p>
    <w:p w14:paraId="7BFA240B" w14:textId="5CAAB2A7" w:rsidR="00692ADF" w:rsidRDefault="00692ADF" w:rsidP="00D37858"/>
    <w:p w14:paraId="6311D425" w14:textId="481A2946" w:rsidR="00CC59BB" w:rsidRDefault="00FA4100" w:rsidP="00C5156C">
      <w:pPr>
        <w:pStyle w:val="Questionstyle"/>
        <w:spacing w:after="240" w:line="259" w:lineRule="auto"/>
        <w:ind w:left="851" w:hanging="851"/>
        <w:contextualSpacing w:val="0"/>
      </w:pPr>
      <w:r w:rsidRPr="00FA4100">
        <w:t>Do you agree with the proposed framework for the deferral regime for EUAs? If not, please suggest an alternative methodology</w:t>
      </w:r>
      <w:r w:rsidR="00C05202">
        <w:t>.</w:t>
      </w:r>
    </w:p>
    <w:p w14:paraId="3E0480CF" w14:textId="314F067E" w:rsidR="00CC59BB" w:rsidRDefault="00CC59BB" w:rsidP="00C54034">
      <w:pPr>
        <w:spacing w:after="0"/>
      </w:pPr>
      <w:r>
        <w:t>&lt;ESMA_QUESTION</w:t>
      </w:r>
      <w:r w:rsidR="00F93646">
        <w:t>_</w:t>
      </w:r>
      <w:r w:rsidR="00DD54B5">
        <w:t>CP1</w:t>
      </w:r>
      <w:r w:rsidR="00F93646">
        <w:t>_</w:t>
      </w:r>
      <w:r>
        <w:t>18&gt;</w:t>
      </w:r>
    </w:p>
    <w:p w14:paraId="4DCE5838" w14:textId="77777777" w:rsidR="00CC59BB" w:rsidRDefault="00CC59BB" w:rsidP="00C54034">
      <w:pPr>
        <w:spacing w:after="0"/>
      </w:pPr>
      <w:permStart w:id="1367754514" w:edGrp="everyone"/>
      <w:r>
        <w:t>TYPE YOUR TEXT HERE</w:t>
      </w:r>
    </w:p>
    <w:permEnd w:id="1367754514"/>
    <w:p w14:paraId="001B4014" w14:textId="33CD1EDF" w:rsidR="00CC59BB" w:rsidRDefault="00CC59BB" w:rsidP="00C54034">
      <w:pPr>
        <w:spacing w:after="0"/>
      </w:pPr>
      <w:r>
        <w:t>&lt;ESMA_QUESTION</w:t>
      </w:r>
      <w:r w:rsidR="00F93646">
        <w:t>_</w:t>
      </w:r>
      <w:r w:rsidR="00DD54B5">
        <w:t>CP1</w:t>
      </w:r>
      <w:r w:rsidR="00F93646">
        <w:t>_</w:t>
      </w:r>
      <w:r>
        <w:t>18&gt;</w:t>
      </w:r>
    </w:p>
    <w:p w14:paraId="7CD11F2A" w14:textId="77777777" w:rsidR="00692ADF" w:rsidRDefault="00692ADF" w:rsidP="00D37858"/>
    <w:p w14:paraId="36926459" w14:textId="5CDEC5CB" w:rsidR="00CC59BB" w:rsidRDefault="00FA4100" w:rsidP="00C5156C">
      <w:pPr>
        <w:pStyle w:val="Questionstyle"/>
        <w:spacing w:after="240" w:line="259" w:lineRule="auto"/>
        <w:ind w:left="851" w:hanging="851"/>
        <w:contextualSpacing w:val="0"/>
      </w:pPr>
      <w:r w:rsidRPr="00FA4100">
        <w:t>Do you agree with the classification of ETCs and ETNs as types of bonds</w:t>
      </w:r>
      <w:r>
        <w:t>?</w:t>
      </w:r>
    </w:p>
    <w:p w14:paraId="29206BAC" w14:textId="5604A1D7" w:rsidR="00CC59BB" w:rsidRDefault="00CC59BB" w:rsidP="00C54034">
      <w:pPr>
        <w:spacing w:after="0"/>
      </w:pPr>
      <w:r>
        <w:t>&lt;ESMA_QUESTION</w:t>
      </w:r>
      <w:r w:rsidR="00F93646">
        <w:t>_</w:t>
      </w:r>
      <w:r w:rsidR="00DD54B5">
        <w:t>CP1</w:t>
      </w:r>
      <w:r w:rsidR="00F93646">
        <w:t>_</w:t>
      </w:r>
      <w:r>
        <w:t>19&gt;</w:t>
      </w:r>
    </w:p>
    <w:p w14:paraId="2F8A1A97" w14:textId="77777777" w:rsidR="006B4299" w:rsidRDefault="006B4299" w:rsidP="006B4299">
      <w:pPr>
        <w:spacing w:before="100" w:beforeAutospacing="1" w:after="100" w:afterAutospacing="1"/>
      </w:pPr>
      <w:permStart w:id="1244420503" w:edGrp="everyone"/>
      <w:r>
        <w:t>We support the proposal to continue to treat ETCs and ETNs as types of bonds where post-trade deferral thresholds are in line with ETFs.</w:t>
      </w:r>
    </w:p>
    <w:permEnd w:id="1244420503"/>
    <w:p w14:paraId="3ED38D2D" w14:textId="41392D32" w:rsidR="00CC59BB" w:rsidRDefault="00CC59BB" w:rsidP="00C54034">
      <w:pPr>
        <w:spacing w:after="0"/>
      </w:pPr>
      <w:r>
        <w:lastRenderedPageBreak/>
        <w:t>&lt;ESMA_QUESTION</w:t>
      </w:r>
      <w:r w:rsidR="00F93646">
        <w:t>_</w:t>
      </w:r>
      <w:r w:rsidR="00DD54B5">
        <w:t>CP1</w:t>
      </w:r>
      <w:r w:rsidR="00F93646">
        <w:t>_</w:t>
      </w:r>
      <w:r>
        <w:t>19&gt;</w:t>
      </w:r>
    </w:p>
    <w:p w14:paraId="54DBBE27" w14:textId="48F30A10" w:rsidR="00CC59BB" w:rsidRDefault="00CC59BB" w:rsidP="00F716D4"/>
    <w:p w14:paraId="0D1AD0F6" w14:textId="32AE053B" w:rsidR="00CC59BB" w:rsidRDefault="00FA4100" w:rsidP="00104DA1">
      <w:pPr>
        <w:pStyle w:val="Questionstyle"/>
        <w:spacing w:after="240" w:line="259" w:lineRule="auto"/>
        <w:ind w:left="851" w:hanging="851"/>
        <w:contextualSpacing w:val="0"/>
      </w:pPr>
      <w:r w:rsidRPr="00FA4100">
        <w:t>Do you agree with the liquidity determination for ETCs and ETNs. If not, please suggest an alternative approach to the liquidity determination</w:t>
      </w:r>
      <w:r w:rsidR="00C05202">
        <w:t>.</w:t>
      </w:r>
    </w:p>
    <w:p w14:paraId="58CF2B55" w14:textId="7425B5F9" w:rsidR="00CC59BB" w:rsidRDefault="00CC59BB" w:rsidP="00C54034">
      <w:pPr>
        <w:spacing w:after="0"/>
      </w:pPr>
      <w:r>
        <w:t>&lt;ESMA_QUESTION</w:t>
      </w:r>
      <w:r w:rsidR="00F93646">
        <w:t>_</w:t>
      </w:r>
      <w:r w:rsidR="00DD54B5">
        <w:t>CP1</w:t>
      </w:r>
      <w:r w:rsidR="00F93646">
        <w:t>_</w:t>
      </w:r>
      <w:r>
        <w:t>20&gt;</w:t>
      </w:r>
    </w:p>
    <w:p w14:paraId="66DE322E" w14:textId="77777777" w:rsidR="00C92326" w:rsidRDefault="00C92326" w:rsidP="00C92326">
      <w:pPr>
        <w:spacing w:before="100" w:beforeAutospacing="1" w:after="100" w:afterAutospacing="1"/>
      </w:pPr>
      <w:permStart w:id="356003362" w:edGrp="everyone"/>
      <w:r>
        <w:t>We support the proposal. This is an appropriate simplification for reporting firms and report data consumers given the expected liquidity profile of instruments of this kind.</w:t>
      </w:r>
    </w:p>
    <w:permEnd w:id="356003362"/>
    <w:p w14:paraId="035EB72A" w14:textId="07E26E36" w:rsidR="00CC59BB" w:rsidRDefault="00CC59BB" w:rsidP="00C54034">
      <w:pPr>
        <w:spacing w:after="0"/>
      </w:pPr>
      <w:r>
        <w:t>&lt;ESMA_QUESTION</w:t>
      </w:r>
      <w:r w:rsidR="00F93646">
        <w:t>_</w:t>
      </w:r>
      <w:r w:rsidR="00DD54B5">
        <w:t>CP1</w:t>
      </w:r>
      <w:r w:rsidR="00F93646">
        <w:t>_</w:t>
      </w:r>
      <w:r>
        <w:t>20&gt;</w:t>
      </w:r>
    </w:p>
    <w:p w14:paraId="63A57C34" w14:textId="48CD184D" w:rsidR="00CC59BB" w:rsidRDefault="00CC59BB" w:rsidP="00F716D4"/>
    <w:p w14:paraId="5E9ACEB3" w14:textId="0CF1442A" w:rsidR="00CC59BB" w:rsidRDefault="00FA4100" w:rsidP="00104DA1">
      <w:pPr>
        <w:pStyle w:val="Questionstyle"/>
        <w:spacing w:after="240" w:line="259" w:lineRule="auto"/>
        <w:ind w:left="851" w:hanging="851"/>
        <w:contextualSpacing w:val="0"/>
      </w:pPr>
      <w:r w:rsidRPr="00FA4100">
        <w:t>Do you agree with the pre- and post-trade thresholds? If not, please suggest an alternative methodology</w:t>
      </w:r>
      <w:r w:rsidR="00C05202">
        <w:t>.</w:t>
      </w:r>
    </w:p>
    <w:p w14:paraId="73F893DF" w14:textId="75DE25F7" w:rsidR="00CC59BB" w:rsidRDefault="00CC59BB" w:rsidP="00C54034">
      <w:pPr>
        <w:spacing w:after="0"/>
      </w:pPr>
      <w:r>
        <w:t>&lt;ESMA_QUESTION</w:t>
      </w:r>
      <w:r w:rsidR="00F93646">
        <w:t>_</w:t>
      </w:r>
      <w:r w:rsidR="00DD54B5">
        <w:t>CP1</w:t>
      </w:r>
      <w:r w:rsidR="00F93646">
        <w:t>_</w:t>
      </w:r>
      <w:r>
        <w:t>21&gt;</w:t>
      </w:r>
    </w:p>
    <w:p w14:paraId="5255972F" w14:textId="77777777" w:rsidR="00D41D38" w:rsidRDefault="00D41D38" w:rsidP="00D41D38">
      <w:pPr>
        <w:spacing w:before="100" w:beforeAutospacing="1" w:after="100" w:afterAutospacing="1"/>
      </w:pPr>
      <w:permStart w:id="780153713" w:edGrp="everyone"/>
      <w:r>
        <w:t>We support the proposed new thresholds. We note that, as RTS 2 instruments, ETCs and ETNs would continue to be subject to a longer deferral period than ETFs. In the absence of supplementary deferrals, our view is that this T+2 deferral is appropriate given the illiquidity of the instrument and the generally narrower base of underliers exhibited by instruments of this kind. </w:t>
      </w:r>
    </w:p>
    <w:permEnd w:id="780153713"/>
    <w:p w14:paraId="1EA31870" w14:textId="0F6D334D" w:rsidR="00CC59BB" w:rsidRDefault="00CC59BB" w:rsidP="00C54034">
      <w:pPr>
        <w:spacing w:after="0"/>
      </w:pPr>
      <w:r>
        <w:t>&lt;ESMA_QUESTION</w:t>
      </w:r>
      <w:r w:rsidR="00F93646">
        <w:t>_</w:t>
      </w:r>
      <w:r w:rsidR="00DD54B5">
        <w:t>CP1</w:t>
      </w:r>
      <w:r w:rsidR="00F93646">
        <w:t>_</w:t>
      </w:r>
      <w:r>
        <w:t>21&gt;</w:t>
      </w:r>
    </w:p>
    <w:p w14:paraId="2E6F99E7" w14:textId="0A700019" w:rsidR="00C05202" w:rsidRDefault="00C05202" w:rsidP="00F716D4"/>
    <w:p w14:paraId="3483DA98" w14:textId="35E32D67" w:rsidR="00CC59BB" w:rsidRDefault="00FA4100" w:rsidP="00F3144E">
      <w:pPr>
        <w:pStyle w:val="Questionstyle"/>
        <w:spacing w:after="240" w:line="259" w:lineRule="auto"/>
        <w:ind w:left="851" w:hanging="851"/>
        <w:contextualSpacing w:val="0"/>
      </w:pPr>
      <w:r w:rsidRPr="00FA4100">
        <w:t>What is your view in relation to the implementation of the supplementary deferral regime for sovereign bonds</w:t>
      </w:r>
      <w:r>
        <w:t>?</w:t>
      </w:r>
    </w:p>
    <w:p w14:paraId="4165C891" w14:textId="57F33831" w:rsidR="00CC59BB" w:rsidRDefault="00CC59BB" w:rsidP="00C54034">
      <w:pPr>
        <w:spacing w:after="0"/>
      </w:pPr>
      <w:r>
        <w:t>&lt;ESMA_QUESTION</w:t>
      </w:r>
      <w:r w:rsidR="00F93646">
        <w:t>_</w:t>
      </w:r>
      <w:r w:rsidR="00DD54B5">
        <w:t>CP1</w:t>
      </w:r>
      <w:r w:rsidR="00F93646">
        <w:t>_</w:t>
      </w:r>
      <w:r>
        <w:t>22&gt;</w:t>
      </w:r>
    </w:p>
    <w:p w14:paraId="78CC4A39" w14:textId="77777777" w:rsidR="00CC59BB" w:rsidRDefault="00CC59BB" w:rsidP="00C54034">
      <w:pPr>
        <w:spacing w:after="0"/>
      </w:pPr>
      <w:permStart w:id="1310265670" w:edGrp="everyone"/>
      <w:r>
        <w:t>TYPE YOUR TEXT HERE</w:t>
      </w:r>
    </w:p>
    <w:permEnd w:id="1310265670"/>
    <w:p w14:paraId="50486DF5" w14:textId="5B37BA66" w:rsidR="00CC59BB" w:rsidRDefault="00CC59BB" w:rsidP="00C54034">
      <w:pPr>
        <w:spacing w:after="0"/>
      </w:pPr>
      <w:r>
        <w:t>&lt;ESMA_QUESTION</w:t>
      </w:r>
      <w:r w:rsidR="00F93646">
        <w:t>_</w:t>
      </w:r>
      <w:r w:rsidR="00DD54B5">
        <w:t>CP1</w:t>
      </w:r>
      <w:r w:rsidR="00F93646">
        <w:t>_</w:t>
      </w:r>
      <w:r>
        <w:t>22&gt;</w:t>
      </w:r>
    </w:p>
    <w:p w14:paraId="7DA583E4" w14:textId="5CBF4B1B" w:rsidR="00692ADF" w:rsidRDefault="00692ADF" w:rsidP="00D37858"/>
    <w:p w14:paraId="2DCDBF28" w14:textId="5D801E25" w:rsidR="00CC59BB" w:rsidRDefault="00FA4100" w:rsidP="00F3144E">
      <w:pPr>
        <w:pStyle w:val="Questionstyle"/>
        <w:spacing w:after="240" w:line="259" w:lineRule="auto"/>
        <w:ind w:left="851" w:hanging="851"/>
        <w:contextualSpacing w:val="0"/>
      </w:pPr>
      <w:r w:rsidRPr="00FA4100">
        <w:t>Do you agree not to make any changes to the temporary suspension of transparency obligations framework as it currently in RTS 2</w:t>
      </w:r>
      <w:r>
        <w:t>?</w:t>
      </w:r>
    </w:p>
    <w:p w14:paraId="492B30E1" w14:textId="2BEAF6D4" w:rsidR="00CC59BB" w:rsidRDefault="00CC59BB" w:rsidP="00C54034">
      <w:pPr>
        <w:spacing w:after="0"/>
      </w:pPr>
      <w:r>
        <w:t>&lt;ESMA_QUESTION</w:t>
      </w:r>
      <w:r w:rsidR="00F93646">
        <w:t>_</w:t>
      </w:r>
      <w:r w:rsidR="00DD54B5">
        <w:t>CP1</w:t>
      </w:r>
      <w:r w:rsidR="00F93646">
        <w:t>_</w:t>
      </w:r>
      <w:r>
        <w:t>23&gt;</w:t>
      </w:r>
    </w:p>
    <w:p w14:paraId="18FF0F4B" w14:textId="77777777" w:rsidR="00CC59BB" w:rsidRDefault="00CC59BB" w:rsidP="00C54034">
      <w:pPr>
        <w:spacing w:after="0"/>
      </w:pPr>
      <w:permStart w:id="1711693936" w:edGrp="everyone"/>
      <w:r>
        <w:t>TYPE YOUR TEXT HERE</w:t>
      </w:r>
    </w:p>
    <w:permEnd w:id="1711693936"/>
    <w:p w14:paraId="0BFA64C6" w14:textId="15078538" w:rsidR="00CC59BB" w:rsidRDefault="00CC59BB" w:rsidP="00C54034">
      <w:pPr>
        <w:spacing w:after="0"/>
      </w:pPr>
      <w:r>
        <w:t>&lt;ESMA_QUESTION</w:t>
      </w:r>
      <w:r w:rsidR="00F93646">
        <w:t>_</w:t>
      </w:r>
      <w:r w:rsidR="00DD54B5">
        <w:t>CP1</w:t>
      </w:r>
      <w:r w:rsidR="00F93646">
        <w:t>_</w:t>
      </w:r>
      <w:r>
        <w:t>23&gt;</w:t>
      </w:r>
    </w:p>
    <w:p w14:paraId="1FF8C012" w14:textId="19050DD2" w:rsidR="00CC59BB" w:rsidRDefault="00CC59BB" w:rsidP="00F716D4"/>
    <w:p w14:paraId="24ED3899" w14:textId="7003D085" w:rsidR="00CC59BB" w:rsidRDefault="00FA4100" w:rsidP="00F3144E">
      <w:pPr>
        <w:pStyle w:val="Questionstyle"/>
        <w:spacing w:after="240" w:line="259" w:lineRule="auto"/>
        <w:ind w:left="851" w:hanging="851"/>
        <w:contextualSpacing w:val="0"/>
      </w:pPr>
      <w:r w:rsidRPr="00FA4100">
        <w:lastRenderedPageBreak/>
        <w:t>Do you have any further comment or suggestion on the draft RTS? Please elaborate your answer</w:t>
      </w:r>
      <w:r w:rsidR="00C05202">
        <w:t>.</w:t>
      </w:r>
    </w:p>
    <w:p w14:paraId="3BA1190E" w14:textId="5FC80168" w:rsidR="00CC59BB" w:rsidRDefault="00CC59BB" w:rsidP="00C54034">
      <w:pPr>
        <w:spacing w:after="0"/>
      </w:pPr>
      <w:r>
        <w:t>&lt;ESMA_QUESTION</w:t>
      </w:r>
      <w:r w:rsidR="00F93646">
        <w:t>_</w:t>
      </w:r>
      <w:r w:rsidR="00DD54B5">
        <w:t>CP1</w:t>
      </w:r>
      <w:r w:rsidR="00F93646">
        <w:t>_</w:t>
      </w:r>
      <w:r>
        <w:t>24&gt;</w:t>
      </w:r>
    </w:p>
    <w:p w14:paraId="70445A10" w14:textId="40993EC1" w:rsidR="00F51AE9" w:rsidRDefault="00F51AE9" w:rsidP="00F51AE9">
      <w:pPr>
        <w:contextualSpacing/>
        <w:rPr>
          <w:rFonts w:cstheme="minorHAnsi"/>
          <w:color w:val="000000"/>
        </w:rPr>
      </w:pPr>
      <w:permStart w:id="1126446852" w:edGrp="everyone"/>
      <w:r>
        <w:rPr>
          <w:rFonts w:cstheme="minorHAnsi"/>
          <w:color w:val="000000"/>
        </w:rPr>
        <w:t xml:space="preserve">Our members support the objectives of the </w:t>
      </w:r>
      <w:proofErr w:type="spellStart"/>
      <w:r>
        <w:rPr>
          <w:rFonts w:cstheme="minorHAnsi"/>
          <w:color w:val="000000"/>
        </w:rPr>
        <w:t>MiFIR</w:t>
      </w:r>
      <w:proofErr w:type="spellEnd"/>
      <w:r>
        <w:rPr>
          <w:rFonts w:cstheme="minorHAnsi"/>
          <w:color w:val="000000"/>
        </w:rPr>
        <w:t xml:space="preserve"> Review to enhance pre and post trade transparency in non-equity instruments. </w:t>
      </w:r>
      <w:r w:rsidR="00D3349F">
        <w:rPr>
          <w:rFonts w:cstheme="minorHAnsi"/>
          <w:color w:val="000000"/>
        </w:rPr>
        <w:t>We</w:t>
      </w:r>
      <w:r>
        <w:rPr>
          <w:rFonts w:cstheme="minorHAnsi"/>
          <w:color w:val="000000"/>
        </w:rPr>
        <w:t xml:space="preserve"> believe that f</w:t>
      </w:r>
      <w:r w:rsidRPr="00D043F7">
        <w:rPr>
          <w:rFonts w:cstheme="minorHAnsi"/>
          <w:color w:val="000000"/>
        </w:rPr>
        <w:t>ully operative and genuine post-trade transparency provides significant advantages for both retail and institutional investors such as better, more reliable pricing, lower transaction costs and better liquidity</w:t>
      </w:r>
      <w:r>
        <w:rPr>
          <w:rFonts w:cstheme="minorHAnsi"/>
          <w:color w:val="000000"/>
        </w:rPr>
        <w:t xml:space="preserve"> across all trade sizes, including the largest sized block trades. We point to academic studies analysing the impact of the US TRACE regime for corporate bonds and the positive impact on competition and price formation yielded from real time price and volume publication. In this regard, we support a post-trade deferral model which prioritises real time publication of price and volume with deferrals of no longer than End of Day, with any longer deferral period only being made available in respect of truly exceptional trades by reference to size. </w:t>
      </w:r>
    </w:p>
    <w:p w14:paraId="09401672" w14:textId="77777777" w:rsidR="00F51AE9" w:rsidRDefault="00F51AE9" w:rsidP="00F51AE9">
      <w:pPr>
        <w:contextualSpacing/>
      </w:pPr>
    </w:p>
    <w:p w14:paraId="7AA9C5FD" w14:textId="77777777" w:rsidR="00F51AE9" w:rsidRDefault="00F51AE9" w:rsidP="00F51AE9">
      <w:pPr>
        <w:contextualSpacing/>
      </w:pPr>
      <w:r>
        <w:t xml:space="preserve">An ambitious transparency regime will also support the success of the European consolidated tapes for bonds and derivatives by providing meaningful data for publication. A successful CT will further support the growth, resilience and competitiveness of European capital markets. </w:t>
      </w:r>
    </w:p>
    <w:p w14:paraId="5E1D6C0D" w14:textId="77777777" w:rsidR="00F51AE9" w:rsidRDefault="00F51AE9" w:rsidP="00F51AE9">
      <w:pPr>
        <w:contextualSpacing/>
      </w:pPr>
    </w:p>
    <w:p w14:paraId="29C7135A" w14:textId="77777777" w:rsidR="00F51AE9" w:rsidRDefault="00F51AE9" w:rsidP="00F51AE9">
      <w:pPr>
        <w:contextualSpacing/>
      </w:pPr>
      <w:r>
        <w:t>Supporting evolution towards a more ambitious transparency regime will also aid European competitiveness. Other major financial markets are currently exploring significant reforms to enhance transparency. In the US, FINRA has recently proposed reducing deferral periods under the TRACE system applicable to corporate bonds from 15 minutes to 1 minute</w:t>
      </w:r>
      <w:r>
        <w:rPr>
          <w:rStyle w:val="FootnoteReference"/>
        </w:rPr>
        <w:footnoteReference w:id="5"/>
      </w:r>
      <w:r>
        <w:t xml:space="preserve">. For further information on the positive impact the TRACE regime has had on liquidity and price formation in the US corporate bond market, please see our response to question 13. The UK has also recently consulted on material reforms to non-equity transparency which will make a far greater proportion of traded volumes subject to real time publication.  </w:t>
      </w:r>
    </w:p>
    <w:p w14:paraId="553E3B5C" w14:textId="77777777" w:rsidR="00F51AE9" w:rsidRDefault="00F51AE9" w:rsidP="00F51AE9">
      <w:pPr>
        <w:contextualSpacing/>
      </w:pPr>
    </w:p>
    <w:p w14:paraId="4F5E039C" w14:textId="6E9B65AE" w:rsidR="00F51AE9" w:rsidRDefault="00F51AE9" w:rsidP="00F51AE9">
      <w:pPr>
        <w:contextualSpacing/>
      </w:pPr>
      <w:r>
        <w:t>In this regard, it is important that consideration is given to ensuring there is not material divergence in transparency thresholds or deferral periods with a view to ensuring the respective EU and UK consolidated tapes function in alignment to effectively ameliorate regional liquidity fragmentation.</w:t>
      </w:r>
      <w:r w:rsidR="0016758A">
        <w:br/>
      </w:r>
    </w:p>
    <w:p w14:paraId="64BD6165" w14:textId="1849EC72" w:rsidR="00F51AE9" w:rsidRDefault="00F51AE9" w:rsidP="00F51AE9">
      <w:r>
        <w:t>FIA EPTA members support the ambition and simplicity embodied in ESMA’s proposals regarding deferral periods and consider the data driven approach taken to calibrating thresholds has resulted in broadly sensible, pragmatic levels, subject to a few recommended adjustments addressed in our response</w:t>
      </w:r>
      <w:r w:rsidR="0016758A">
        <w:t>, above</w:t>
      </w:r>
      <w:r>
        <w:t xml:space="preserve">. We encourage ESMA to continue with this ambitious and data driven </w:t>
      </w:r>
      <w:r>
        <w:lastRenderedPageBreak/>
        <w:t xml:space="preserve">approach when undertaking their periodic review of deferrals as provided under </w:t>
      </w:r>
      <w:proofErr w:type="spellStart"/>
      <w:r>
        <w:t>MiFIR</w:t>
      </w:r>
      <w:proofErr w:type="spellEnd"/>
      <w:r>
        <w:t xml:space="preserve"> in order to realise the potential for more liquid and efficient non-equity markets embodied in the objectives of the </w:t>
      </w:r>
      <w:proofErr w:type="spellStart"/>
      <w:r>
        <w:t>MiFIR</w:t>
      </w:r>
      <w:proofErr w:type="spellEnd"/>
      <w:r>
        <w:t xml:space="preserve"> Review.</w:t>
      </w:r>
    </w:p>
    <w:permEnd w:id="1126446852"/>
    <w:p w14:paraId="0BBBCBF8" w14:textId="4A1771A8" w:rsidR="00CC59BB" w:rsidRDefault="00CC59BB" w:rsidP="00C54034">
      <w:pPr>
        <w:spacing w:after="0"/>
      </w:pPr>
      <w:r>
        <w:t>&lt;ESMA_QUESTION</w:t>
      </w:r>
      <w:r w:rsidR="00F93646">
        <w:t>_</w:t>
      </w:r>
      <w:r w:rsidR="00DD54B5">
        <w:t>CP1</w:t>
      </w:r>
      <w:r w:rsidR="00F93646">
        <w:t>_</w:t>
      </w:r>
      <w:r>
        <w:t>24&gt;</w:t>
      </w:r>
    </w:p>
    <w:p w14:paraId="3E8C977A" w14:textId="4421F2F7" w:rsidR="00CC59BB" w:rsidRDefault="00CC59BB" w:rsidP="00F716D4"/>
    <w:p w14:paraId="329BE782" w14:textId="0A95FE11" w:rsidR="00CC59BB" w:rsidRDefault="00FA4100" w:rsidP="00F3144E">
      <w:pPr>
        <w:pStyle w:val="Questionstyle"/>
        <w:spacing w:after="240" w:line="259" w:lineRule="auto"/>
        <w:ind w:left="851" w:hanging="851"/>
        <w:contextualSpacing w:val="0"/>
      </w:pPr>
      <w:r w:rsidRPr="00FA4100">
        <w:t>What level of resources (financial and other) would be required to implement and comply with the draft amended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20D24F2" w14:textId="660AAB71" w:rsidR="00CC59BB" w:rsidRDefault="00CC59BB" w:rsidP="00C54034">
      <w:pPr>
        <w:spacing w:after="0"/>
      </w:pPr>
      <w:r>
        <w:t>&lt;ESMA_QUESTION</w:t>
      </w:r>
      <w:r w:rsidR="00F93646">
        <w:t>_</w:t>
      </w:r>
      <w:r w:rsidR="00DD54B5">
        <w:t>CP1</w:t>
      </w:r>
      <w:r w:rsidR="00F93646">
        <w:t>_</w:t>
      </w:r>
      <w:r>
        <w:t>25&gt;</w:t>
      </w:r>
    </w:p>
    <w:p w14:paraId="6D4F0CA9" w14:textId="77777777" w:rsidR="00CC59BB" w:rsidRDefault="00CC59BB" w:rsidP="00C54034">
      <w:pPr>
        <w:spacing w:after="0"/>
      </w:pPr>
      <w:permStart w:id="1428125549" w:edGrp="everyone"/>
      <w:r>
        <w:t>TYPE YOUR TEXT HERE</w:t>
      </w:r>
    </w:p>
    <w:permEnd w:id="1428125549"/>
    <w:p w14:paraId="5B23956B" w14:textId="57EC005E" w:rsidR="00692ADF" w:rsidRDefault="00CC59BB" w:rsidP="00C54034">
      <w:pPr>
        <w:spacing w:after="0"/>
      </w:pPr>
      <w:r>
        <w:t>&lt;ESMA_QUESTION</w:t>
      </w:r>
      <w:r w:rsidR="00F93646">
        <w:t>_</w:t>
      </w:r>
      <w:r w:rsidR="00DD54B5">
        <w:t>CP1</w:t>
      </w:r>
      <w:r w:rsidR="00F93646">
        <w:t>_</w:t>
      </w:r>
      <w:r>
        <w:t>25&gt;</w:t>
      </w:r>
    </w:p>
    <w:p w14:paraId="51C1C8EC" w14:textId="29D2D535" w:rsidR="00692ADF" w:rsidRDefault="00692ADF" w:rsidP="008B164D"/>
    <w:p w14:paraId="18032355" w14:textId="59AB480D" w:rsidR="003213F2" w:rsidRPr="00013978" w:rsidRDefault="003213F2" w:rsidP="008B164D">
      <w:pPr>
        <w:rPr>
          <w:rFonts w:eastAsiaTheme="majorEastAsia"/>
          <w:b/>
          <w:bCs/>
          <w:color w:val="00379F"/>
          <w:sz w:val="24"/>
          <w:szCs w:val="22"/>
          <w:u w:val="single"/>
        </w:rPr>
      </w:pPr>
      <w:r w:rsidRPr="00013978">
        <w:rPr>
          <w:rFonts w:eastAsiaTheme="majorEastAsia"/>
          <w:b/>
          <w:bCs/>
          <w:color w:val="00379F"/>
          <w:sz w:val="24"/>
          <w:szCs w:val="22"/>
          <w:u w:val="single"/>
        </w:rPr>
        <w:t>CP on the RTS on reasonable commercial basis</w:t>
      </w:r>
    </w:p>
    <w:p w14:paraId="051EC7E0" w14:textId="2F70756C" w:rsidR="00CC59BB" w:rsidRDefault="00AC7E8A" w:rsidP="00F3144E">
      <w:pPr>
        <w:pStyle w:val="Questionstyle"/>
        <w:spacing w:after="240" w:line="259" w:lineRule="auto"/>
        <w:ind w:left="851" w:hanging="851"/>
        <w:contextualSpacing w:val="0"/>
      </w:pPr>
      <w:r w:rsidRPr="00AC7E8A">
        <w:t>Do you agree to the general approach used to specify the costs and margin attributable to the production and distribution of market data? Please elaborate</w:t>
      </w:r>
      <w:r w:rsidR="00C05202">
        <w:t>.</w:t>
      </w:r>
    </w:p>
    <w:p w14:paraId="08E68E81" w14:textId="2465B957" w:rsidR="00CC59BB" w:rsidRDefault="00CC59BB" w:rsidP="00C54034">
      <w:pPr>
        <w:spacing w:after="0"/>
      </w:pPr>
      <w:r>
        <w:t>&lt;ESMA_QUESTION</w:t>
      </w:r>
      <w:r w:rsidR="00F93646">
        <w:t>_</w:t>
      </w:r>
      <w:r w:rsidR="00DD54B5">
        <w:t>CP1</w:t>
      </w:r>
      <w:r w:rsidR="00F93646">
        <w:t>_</w:t>
      </w:r>
      <w:r>
        <w:t>26&gt;</w:t>
      </w:r>
    </w:p>
    <w:p w14:paraId="732872AB" w14:textId="77777777" w:rsidR="00F70050" w:rsidRDefault="00F70050" w:rsidP="00F70050">
      <w:permStart w:id="1672500431" w:edGrp="everyone"/>
      <w:r>
        <w:t xml:space="preserve">In order to effectively make markets and provide liquidity FIA EPTA members require comprehensive pre-trade (order book) and post-trade (trade ticker) market data provided at the lowest latency for trading and risk decisions, sourced directly from the trading venue via colocation facilities. </w:t>
      </w:r>
    </w:p>
    <w:p w14:paraId="0485B540" w14:textId="77777777" w:rsidR="00F70050" w:rsidRDefault="00F70050" w:rsidP="00F70050">
      <w:r>
        <w:t>For other, less latency sensitive processes such as fulfilling regulatory obligations, transaction cost analysis, post trade reconciliation and research our members also obtain data from APAs and a variety of data vendors. As high volume consumers of a variety of wholesale market data products, our members support regulatory efforts to bring more transparency to market data pricing and fairness to commercial practices.</w:t>
      </w:r>
    </w:p>
    <w:p w14:paraId="11779D9F" w14:textId="77777777" w:rsidR="00F70050" w:rsidRDefault="00F70050" w:rsidP="00F70050">
      <w:r>
        <w:t xml:space="preserve">Market data is inherently monopolistic in nature, with each trading venue operating as a de-facto mini-monopoly in respect of the raw market data, i.e. the orders, quotes and trades that are sent to and occur on their venue. There can be no competition between trading venues when it comes to pre-trade market data as it is not possible to substitute the order book data from one trading venue where an investor wishes to trade in that of another. </w:t>
      </w:r>
    </w:p>
    <w:p w14:paraId="34E6A42B" w14:textId="77777777" w:rsidR="00F70050" w:rsidRDefault="00F70050" w:rsidP="00F70050"/>
    <w:p w14:paraId="0F34E36F" w14:textId="77777777" w:rsidR="00F70050" w:rsidRDefault="00F70050" w:rsidP="00F70050">
      <w:r>
        <w:lastRenderedPageBreak/>
        <w:t>Accordingly, it should be acknowledged that these market dynamics give rise to pricing power on behalf of many data providers, particularly trading venues, which necessitates regulation of pricing frameworks as envisaged by the Reasonable Commercial Basis framework. We welcome ESMA’s proposals and the efforts to strengthen this framework through the proposals set out in the consultation paper and draft RTS.</w:t>
      </w:r>
    </w:p>
    <w:p w14:paraId="2AF00ABB" w14:textId="77777777" w:rsidR="00F70050" w:rsidRDefault="00F70050" w:rsidP="00F70050">
      <w:r>
        <w:t xml:space="preserve">However, in order for these proposals to be effective in practice, supervisory convergence is essential particularly regarding scrutiny of data providers’ approach to implementing the fees, costs and margin provision. Adequate supervision and enforcement of this RTS across all NCAs is also essential for it to be effective. Whilst we acknowledge and appreciate the great progress in making the RCB framework more robust, it will only </w:t>
      </w:r>
      <w:proofErr w:type="spellStart"/>
      <w:r>
        <w:t>fulfill</w:t>
      </w:r>
      <w:proofErr w:type="spellEnd"/>
      <w:r>
        <w:t xml:space="preserve"> its potential if NCAs are consistent and vigilant in their supervision and enforcement.</w:t>
      </w:r>
    </w:p>
    <w:p w14:paraId="21660FE0" w14:textId="77777777" w:rsidR="0064720B" w:rsidRDefault="0038452C" w:rsidP="0038452C">
      <w:pPr>
        <w:contextualSpacing/>
        <w:rPr>
          <w:b/>
        </w:rPr>
      </w:pPr>
      <w:r>
        <w:t>FIA EPTA members are supportive of the general approach taken by ESMA regarding specifying costs and margin attributable to the production and dissemination of market data. We have a strong expectation that fees for market data should decrease as a result of applying this methodology. However, we believe that ESMA should be as prescriptive as possible in setting out the accounting methodology data providers are required to apply in order to derive a cost for producing and disseminating market data. This is particularly important in relation to the apportionment of joint costs and allocation of costs to specific “cost categories” as proposed in paragraph 190 and reflected in article 3 of the draft RTS (see our response to Q28 for further detail).</w:t>
      </w:r>
    </w:p>
    <w:p w14:paraId="1D378D23" w14:textId="77777777" w:rsidR="0064720B" w:rsidRDefault="0064720B" w:rsidP="0038452C">
      <w:pPr>
        <w:contextualSpacing/>
        <w:rPr>
          <w:b/>
        </w:rPr>
      </w:pPr>
    </w:p>
    <w:p w14:paraId="2B720583" w14:textId="637BBE11" w:rsidR="0038452C" w:rsidRDefault="0038452C" w:rsidP="0038452C">
      <w:pPr>
        <w:contextualSpacing/>
      </w:pPr>
      <w:r>
        <w:t>We are supportive of the proposal that data providers give relevant information to NCAs in a standardized format so that changes can be tracked and assessed by NCAs and scrutiny applied to assess whether a data providers’ calculation of market data fees is consistent with the RTS.</w:t>
      </w:r>
    </w:p>
    <w:p w14:paraId="4AE1E679" w14:textId="77777777" w:rsidR="0038452C" w:rsidRDefault="0038452C" w:rsidP="0038452C">
      <w:r>
        <w:t>Any increase above a suitable index in the cost to produce and distribute, or the revenues generated from market data should trigger an audit of the disclosures and an RCB assessment by the NCA which should be publicly disclosed to ensure confidence that the regulatory framework is operating effectively. It is incumbent upon ESMA to ensure that these RCB provisions are applied consistently by NCAs by providing appropriate guidance.</w:t>
      </w:r>
    </w:p>
    <w:p w14:paraId="3A86CC88" w14:textId="77777777" w:rsidR="0038452C" w:rsidRDefault="0038452C" w:rsidP="0038452C">
      <w:r>
        <w:t xml:space="preserve">In order to ensure compliance with the RCB framework as defined under the proposed RTS, the role and responsibilities of NCAs should be made clear and they should be both empowered to review and challenge data providers and have a clearly articulated expectation that they do so. The proposed framework will only be effective if it is subject to rigorous and consistent supervision by NCAs. We would also recommend including a mechanism whereby market data clients can raise concerns to the applicable NCA which gives rise to an investigation of the relevant data provider. </w:t>
      </w:r>
    </w:p>
    <w:permEnd w:id="1672500431"/>
    <w:p w14:paraId="5FC1FF01" w14:textId="7E37CFC4" w:rsidR="00CC59BB" w:rsidRDefault="00CC59BB" w:rsidP="00C54034">
      <w:pPr>
        <w:spacing w:after="0"/>
      </w:pPr>
      <w:r>
        <w:t>&lt;ESMA_QUESTION</w:t>
      </w:r>
      <w:r w:rsidR="00F93646">
        <w:t>_</w:t>
      </w:r>
      <w:r w:rsidR="00DD54B5">
        <w:t>CP1</w:t>
      </w:r>
      <w:r w:rsidR="00F93646">
        <w:t>_</w:t>
      </w:r>
      <w:r>
        <w:t>26&gt;</w:t>
      </w:r>
    </w:p>
    <w:p w14:paraId="67599B58" w14:textId="73A98038" w:rsidR="00157BC9" w:rsidRDefault="00157BC9" w:rsidP="008B164D"/>
    <w:p w14:paraId="1D34A573" w14:textId="0B100328" w:rsidR="00FA4100" w:rsidRDefault="00AC7E8A" w:rsidP="00F3144E">
      <w:pPr>
        <w:pStyle w:val="Questionstyle"/>
        <w:spacing w:after="240" w:line="259" w:lineRule="auto"/>
        <w:ind w:left="851" w:hanging="851"/>
        <w:contextualSpacing w:val="0"/>
      </w:pPr>
      <w:r w:rsidRPr="00AC7E8A">
        <w:lastRenderedPageBreak/>
        <w:t>Do you agree with the proposed approach to cost calculation based on the identification of different cost categories attributable to the production and dissemination of market data (i.e. (i) infrastructure costs; (ii) connectivity costs; (iii) personnel costs; (iv) financial costs; (v) administrative costs)? Please elaborate</w:t>
      </w:r>
      <w:r w:rsidR="00FA4100">
        <w:t>.</w:t>
      </w:r>
    </w:p>
    <w:p w14:paraId="07BBE19B" w14:textId="015F3B9F" w:rsidR="00FA4100" w:rsidRDefault="00FA4100" w:rsidP="00FA4100">
      <w:pPr>
        <w:spacing w:after="0"/>
      </w:pPr>
      <w:r>
        <w:t>&lt;ESMA_QUESTION</w:t>
      </w:r>
      <w:r w:rsidR="00F93646">
        <w:t>_</w:t>
      </w:r>
      <w:r w:rsidR="00DD54B5">
        <w:t>CP1</w:t>
      </w:r>
      <w:r w:rsidR="00F93646">
        <w:t>_</w:t>
      </w:r>
      <w:r>
        <w:t>2</w:t>
      </w:r>
      <w:r w:rsidR="00737DD9">
        <w:t>7</w:t>
      </w:r>
      <w:r>
        <w:t>&gt;</w:t>
      </w:r>
    </w:p>
    <w:p w14:paraId="735A0EF0" w14:textId="312DED5C" w:rsidR="00FA4100" w:rsidRDefault="00C0474B" w:rsidP="00FA4100">
      <w:pPr>
        <w:spacing w:after="0"/>
      </w:pPr>
      <w:permStart w:id="1840853704" w:edGrp="everyone"/>
      <w:r>
        <w:t xml:space="preserve">We generally agree with the proposed approach to cost calculation subject to our comments at Q28 below. We are particularly supportive of it being made clear that audit costs are not to be borne by the data user.  </w:t>
      </w:r>
      <w:permEnd w:id="1840853704"/>
      <w:r w:rsidR="00FA4100">
        <w:t>&lt;ESMA_QUESTION</w:t>
      </w:r>
      <w:r w:rsidR="00F93646">
        <w:t>_</w:t>
      </w:r>
      <w:r w:rsidR="00DD54B5">
        <w:t>CP1</w:t>
      </w:r>
      <w:r w:rsidR="00F93646">
        <w:t>_</w:t>
      </w:r>
      <w:r w:rsidR="00FA4100">
        <w:t>2</w:t>
      </w:r>
      <w:r w:rsidR="00737DD9">
        <w:t>7</w:t>
      </w:r>
      <w:r w:rsidR="00FA4100">
        <w:t>&gt;</w:t>
      </w:r>
    </w:p>
    <w:p w14:paraId="65817743" w14:textId="77777777" w:rsidR="00FA4100" w:rsidRDefault="00FA4100" w:rsidP="008B164D"/>
    <w:p w14:paraId="2642CDA4" w14:textId="59B99216" w:rsidR="00FA4100" w:rsidRDefault="00AC7E8A" w:rsidP="00F3144E">
      <w:pPr>
        <w:pStyle w:val="Questionstyle"/>
        <w:spacing w:after="240" w:line="259" w:lineRule="auto"/>
        <w:ind w:left="851" w:hanging="851"/>
        <w:contextualSpacing w:val="0"/>
      </w:pPr>
      <w:r w:rsidRPr="00AC7E8A">
        <w:t>Do you agree with the proposal of apportioning costs based on the use of resources (i.e., infrastructure, personnel, software…) for each service provided? Do you think the methodology to be used to apportion costs should be further specified? Please elaborate</w:t>
      </w:r>
      <w:r w:rsidR="00FA4100">
        <w:t>.</w:t>
      </w:r>
    </w:p>
    <w:p w14:paraId="6BD7C393" w14:textId="122A202B" w:rsidR="00FA4100" w:rsidRDefault="00FA4100" w:rsidP="00FA4100">
      <w:pPr>
        <w:spacing w:after="0"/>
      </w:pPr>
      <w:r>
        <w:t>&lt;ESMA_QUESTION</w:t>
      </w:r>
      <w:r w:rsidR="00F93646">
        <w:t>_</w:t>
      </w:r>
      <w:r w:rsidR="00DD54B5">
        <w:t>CP1</w:t>
      </w:r>
      <w:r w:rsidR="00F93646">
        <w:t>_</w:t>
      </w:r>
      <w:r>
        <w:t>2</w:t>
      </w:r>
      <w:r w:rsidR="00737DD9">
        <w:t>8</w:t>
      </w:r>
      <w:r>
        <w:t>&gt;</w:t>
      </w:r>
    </w:p>
    <w:p w14:paraId="2A9C2277" w14:textId="77777777" w:rsidR="00740178" w:rsidRDefault="00740178" w:rsidP="0098337B">
      <w:pPr>
        <w:contextualSpacing/>
      </w:pPr>
      <w:permStart w:id="636686123" w:edGrp="everyone"/>
      <w:r>
        <w:t xml:space="preserve">Yes, we believe the methodology for apportioning costs should be further specified to ensure a consistent approach is taken by data providers in order to support transparency of pricing models and enable comparison both between data providers and of prices over time from the same data provider. </w:t>
      </w:r>
    </w:p>
    <w:p w14:paraId="42E2EAB9" w14:textId="77777777" w:rsidR="00740178" w:rsidRDefault="00740178" w:rsidP="0098337B">
      <w:pPr>
        <w:contextualSpacing/>
      </w:pPr>
    </w:p>
    <w:p w14:paraId="0AD545F0" w14:textId="77777777" w:rsidR="000D3DC7" w:rsidRDefault="00740178" w:rsidP="00FA4100">
      <w:pPr>
        <w:spacing w:after="0"/>
      </w:pPr>
      <w:r>
        <w:t>Further prescription should be provided by ESMA on amortization standards and the appropriate sharing of joint costs. For example, thresholds should be established for allocating costs for employees who do not work exclusively in market data and data providers should disclose to NCAs their methodology for apportioning joint costs.</w:t>
      </w:r>
    </w:p>
    <w:p w14:paraId="237A5131" w14:textId="77777777" w:rsidR="000D3DC7" w:rsidRDefault="000D3DC7" w:rsidP="00FA4100">
      <w:pPr>
        <w:spacing w:after="0"/>
      </w:pPr>
    </w:p>
    <w:p w14:paraId="1A641ECE" w14:textId="32E8AE7A" w:rsidR="00FA4100" w:rsidRDefault="00740178" w:rsidP="00FA4100">
      <w:pPr>
        <w:spacing w:after="0"/>
      </w:pPr>
      <w:r w:rsidRPr="00696238">
        <w:rPr>
          <w:rFonts w:cstheme="minorHAnsi"/>
          <w:color w:val="000000"/>
        </w:rPr>
        <w:t>Only by incorporating uniformity in the model will the aims of comparability and assessment of compliance with the RCB provisions be achieved.</w:t>
      </w:r>
      <w:permEnd w:id="636686123"/>
      <w:r w:rsidR="00FA4100">
        <w:t>&lt;ESMA_QUESTION</w:t>
      </w:r>
      <w:r w:rsidR="00F93646">
        <w:t>_</w:t>
      </w:r>
      <w:r w:rsidR="00DD54B5">
        <w:t>CP1</w:t>
      </w:r>
      <w:r w:rsidR="00F93646">
        <w:t>_</w:t>
      </w:r>
      <w:r w:rsidR="00FA4100">
        <w:t>2</w:t>
      </w:r>
      <w:r w:rsidR="00737DD9">
        <w:t>8</w:t>
      </w:r>
      <w:r w:rsidR="00FA4100">
        <w:t>&gt;</w:t>
      </w:r>
    </w:p>
    <w:p w14:paraId="6CB66BAB" w14:textId="77777777" w:rsidR="00FA4100" w:rsidRDefault="00FA4100" w:rsidP="008B164D"/>
    <w:p w14:paraId="19F46DD0" w14:textId="4D0609BF" w:rsidR="00FA4100" w:rsidRDefault="00AC7E8A" w:rsidP="00F3144E">
      <w:pPr>
        <w:pStyle w:val="Questionstyle"/>
        <w:spacing w:after="240" w:line="259" w:lineRule="auto"/>
        <w:ind w:left="851" w:hanging="851"/>
        <w:contextualSpacing w:val="0"/>
      </w:pPr>
      <w:r w:rsidRPr="00AC7E8A">
        <w:t>Do you agree that the net profit as defined in Article 3 of the draft RTS can be a representative proxy of the margin applicable to data fees and would you include additional principles to define when a margin can be considered reasonable? Please elaborate</w:t>
      </w:r>
      <w:r w:rsidR="00FA4100">
        <w:t>.</w:t>
      </w:r>
    </w:p>
    <w:p w14:paraId="51257258" w14:textId="00D026DD" w:rsidR="00FA4100" w:rsidRDefault="00FA4100" w:rsidP="00FA4100">
      <w:pPr>
        <w:spacing w:after="0"/>
      </w:pPr>
      <w:r>
        <w:t>&lt;ESMA_QUESTION</w:t>
      </w:r>
      <w:r w:rsidR="00F93646">
        <w:t>_</w:t>
      </w:r>
      <w:r w:rsidR="00DD54B5">
        <w:t>CP1</w:t>
      </w:r>
      <w:r w:rsidR="00F93646">
        <w:t>_</w:t>
      </w:r>
      <w:r>
        <w:t>2</w:t>
      </w:r>
      <w:r w:rsidR="00737DD9">
        <w:t>9</w:t>
      </w:r>
      <w:r>
        <w:t>&gt;</w:t>
      </w:r>
    </w:p>
    <w:p w14:paraId="61CC16ED" w14:textId="77777777" w:rsidR="00AA5AFA" w:rsidRDefault="00AA5AFA" w:rsidP="00AA5AFA">
      <w:pPr>
        <w:contextualSpacing/>
      </w:pPr>
      <w:permStart w:id="1539128939" w:edGrp="everyone"/>
      <w:r>
        <w:t xml:space="preserve">This formulation is contingent upon the level at which fees for market data are set (implicitly acknowledged in paragraph 3 of article 3). Whilst we see that the principles set out in article 3(2) operate as a constraint on what amounts to “reasonable margin” we do not consider these to be adequate for ensuring market data fees themselves are reasonable, particularly given the lack of granularity in the methodology for determining costs. </w:t>
      </w:r>
    </w:p>
    <w:p w14:paraId="6D9859C3" w14:textId="77777777" w:rsidR="00AA5AFA" w:rsidRDefault="00AA5AFA" w:rsidP="00AA5AFA">
      <w:pPr>
        <w:contextualSpacing/>
      </w:pPr>
    </w:p>
    <w:p w14:paraId="08B87B9D" w14:textId="77777777" w:rsidR="00AA5AFA" w:rsidRDefault="00AA5AFA" w:rsidP="00AA5AFA">
      <w:pPr>
        <w:contextualSpacing/>
      </w:pPr>
      <w:r>
        <w:lastRenderedPageBreak/>
        <w:t xml:space="preserve">Further it is not entirely clear what the principle set out in paragraph 3 of article 3 aims to achieve. Market data consumption is non-discretionary for many trading firms, including our members. If a firm wishes to trade on a given trading venue, it must consume market data from that venue. By its nature and underlying many of the issues in this area is the fact that demand for market data is largely inelastic. </w:t>
      </w:r>
    </w:p>
    <w:p w14:paraId="286AED8F" w14:textId="77777777" w:rsidR="00AA5AFA" w:rsidRDefault="00AA5AFA" w:rsidP="00AA5AFA">
      <w:pPr>
        <w:contextualSpacing/>
      </w:pPr>
    </w:p>
    <w:p w14:paraId="29285148" w14:textId="77777777" w:rsidR="00AA5AFA" w:rsidRDefault="00AA5AFA" w:rsidP="00AA5AFA">
      <w:pPr>
        <w:contextualSpacing/>
      </w:pPr>
      <w:r>
        <w:t>It should be made clear in article 3 that a reasonable margin can only be applied to the aggregate cost for a given data product, not per cost heading. There is a significant risk that consumers with the least elastic demand for market data will be forced to bear the greatest cost burden. Accordingly, what is considered “reasonable” should also be subject to looking at the total cost paid by a given consumer.</w:t>
      </w:r>
    </w:p>
    <w:p w14:paraId="0AC2F1D4" w14:textId="77777777" w:rsidR="00AA5AFA" w:rsidRDefault="00AA5AFA" w:rsidP="00AA5AFA">
      <w:pPr>
        <w:contextualSpacing/>
        <w:rPr>
          <w:b/>
          <w:bCs/>
        </w:rPr>
      </w:pPr>
    </w:p>
    <w:p w14:paraId="73C40E1B" w14:textId="77777777" w:rsidR="00AA5AFA" w:rsidRDefault="00AA5AFA" w:rsidP="00AA5AFA">
      <w:pPr>
        <w:contextualSpacing/>
      </w:pPr>
      <w:r>
        <w:t xml:space="preserve">FIA EPTA members would recommend that additional parameters be included by reference to which “reasonable margin” is to be determined as the current approach is too vague to effectively address consumers’ valid concerns around value based pricing. In particular, we recommend including in article 3 a stipulation that “reasonable margin” cannot be determined by reference to factors such as capacity to pay or inelasticity of </w:t>
      </w:r>
      <w:r w:rsidRPr="00492144">
        <w:t>demand and that ESMA establish a metric or percentage of the total production and dissemination costs deemed to be “reasonable margin”</w:t>
      </w:r>
      <w:r>
        <w:t xml:space="preserve"> issued as Level 3 Guidance. Whilst we acknowledge ESMA does not have power to prescribe the level of margin charged, this would establish a commonly agreed benchmark to which market data clients and NCAs could have reference when assessing whether margin is indeed “reasonable”</w:t>
      </w:r>
      <w:r w:rsidRPr="00492144">
        <w:t>.</w:t>
      </w:r>
    </w:p>
    <w:p w14:paraId="435E1593" w14:textId="77777777" w:rsidR="00AA5AFA" w:rsidRDefault="00AA5AFA" w:rsidP="00AA5AFA">
      <w:pPr>
        <w:contextualSpacing/>
      </w:pPr>
    </w:p>
    <w:p w14:paraId="0B6E744F" w14:textId="77777777" w:rsidR="00AA5AFA" w:rsidRPr="00492144" w:rsidRDefault="00AA5AFA" w:rsidP="00AA5AFA">
      <w:pPr>
        <w:contextualSpacing/>
      </w:pPr>
      <w:r>
        <w:t xml:space="preserve">To ensure consistency with the requirement at Level 1 that the level of fees should be determined by the cost of producing and disseminating data plus a reasonable margin, we recommend that the appropriate benchmark be set as a percentage of costs which should be the same across all consumers with cost being the main variable in determining </w:t>
      </w:r>
      <w:r w:rsidRPr="004A41CC">
        <w:t xml:space="preserve">fees </w:t>
      </w:r>
      <w:r w:rsidRPr="004A41CC">
        <w:rPr>
          <w:lang w:val="en-IE"/>
        </w:rPr>
        <w:t>(i.e., rather than a different/separate reasonable margin being permitted to be set for each category of users as proposed in paragraph 232)</w:t>
      </w:r>
      <w:r w:rsidRPr="004A41CC">
        <w:t xml:space="preserve">. </w:t>
      </w:r>
      <w:r>
        <w:t>This would protect against consumers who have the least elastic demand being charged fees incorporating materially higher margin.</w:t>
      </w:r>
    </w:p>
    <w:permEnd w:id="1539128939"/>
    <w:p w14:paraId="3A6DBF09" w14:textId="6FB89FE0" w:rsidR="00FA4100" w:rsidRDefault="00FA4100" w:rsidP="00FA4100">
      <w:pPr>
        <w:spacing w:after="0"/>
      </w:pPr>
      <w:r>
        <w:t>&lt;ESMA_QUESTION</w:t>
      </w:r>
      <w:r w:rsidR="00F93646">
        <w:t>_</w:t>
      </w:r>
      <w:r w:rsidR="00DD54B5">
        <w:t>CP1</w:t>
      </w:r>
      <w:r w:rsidR="00F93646">
        <w:t>_</w:t>
      </w:r>
      <w:r>
        <w:t>2</w:t>
      </w:r>
      <w:r w:rsidR="00737DD9">
        <w:t>9</w:t>
      </w:r>
      <w:r>
        <w:t>&gt;</w:t>
      </w:r>
    </w:p>
    <w:p w14:paraId="1245F2C2" w14:textId="40247683" w:rsidR="00692ADF" w:rsidRDefault="00692ADF" w:rsidP="008B164D"/>
    <w:p w14:paraId="3B1A378E" w14:textId="3EA1EC7C" w:rsidR="00FA4100" w:rsidRDefault="00E474BD" w:rsidP="00F3144E">
      <w:pPr>
        <w:pStyle w:val="Questionstyle"/>
        <w:spacing w:after="240" w:line="259" w:lineRule="auto"/>
        <w:ind w:left="851" w:hanging="851"/>
        <w:contextualSpacing w:val="0"/>
      </w:pPr>
      <w:r w:rsidRPr="00E474BD">
        <w:t>Do you agree with the proposed template for the purpose of information reporting to NCAs on the cost of producing and disseminating data and on the margin applied to data? Please elaborate, including if further information should in your view be added to the template</w:t>
      </w:r>
      <w:r w:rsidR="00FA4100">
        <w:t>.</w:t>
      </w:r>
    </w:p>
    <w:p w14:paraId="77D215FA" w14:textId="084801D5" w:rsidR="00FA4100" w:rsidRDefault="00FA4100" w:rsidP="00FA4100">
      <w:pPr>
        <w:spacing w:after="0"/>
      </w:pPr>
      <w:r>
        <w:t>&lt;ESMA_QUESTION</w:t>
      </w:r>
      <w:r w:rsidR="00F93646">
        <w:t>_</w:t>
      </w:r>
      <w:r w:rsidR="00DD54B5">
        <w:t>CP1</w:t>
      </w:r>
      <w:r w:rsidR="00F93646">
        <w:t>_</w:t>
      </w:r>
      <w:r w:rsidR="00737DD9">
        <w:t>30</w:t>
      </w:r>
      <w:r>
        <w:t>&gt;</w:t>
      </w:r>
    </w:p>
    <w:p w14:paraId="5D58DD7B" w14:textId="7B9A9AA6" w:rsidR="008947B0" w:rsidRDefault="008947B0" w:rsidP="008947B0">
      <w:pPr>
        <w:contextualSpacing/>
      </w:pPr>
      <w:permStart w:id="307052998" w:edGrp="everyone"/>
      <w:r>
        <w:t xml:space="preserve">We generally agree with the approach taken in the proposed template and support the idea of standardized reporting by </w:t>
      </w:r>
      <w:r w:rsidR="00B67D42">
        <w:t>data providers</w:t>
      </w:r>
      <w:r>
        <w:t>. However, we believe there should be greater specification of how joint costs are apportioned and corresponding accountability on behalf of the data provider for justifying the approach taken to apportioning joint costs.</w:t>
      </w:r>
    </w:p>
    <w:p w14:paraId="35359AAA" w14:textId="77777777" w:rsidR="008947B0" w:rsidRDefault="008947B0" w:rsidP="008947B0">
      <w:pPr>
        <w:contextualSpacing/>
      </w:pPr>
    </w:p>
    <w:p w14:paraId="647B4392" w14:textId="2D5FD52A" w:rsidR="008947B0" w:rsidRDefault="00B67D42" w:rsidP="008947B0">
      <w:pPr>
        <w:contextualSpacing/>
      </w:pPr>
      <w:r>
        <w:t>T</w:t>
      </w:r>
      <w:r w:rsidR="008947B0">
        <w:t xml:space="preserve">his approach will only be beneficial if there is a clear and concrete expectation that NCAs take an active role in ensuring data providers are complying with the requirements of the RTS. We see ESMA playing an important role in this regard both in setting that expectation and providing guidance to ensure supervisory convergence. </w:t>
      </w:r>
    </w:p>
    <w:permEnd w:id="307052998"/>
    <w:p w14:paraId="5374C4DC" w14:textId="0372E2D8" w:rsidR="00FA4100" w:rsidRDefault="00FA4100" w:rsidP="00FA4100">
      <w:pPr>
        <w:spacing w:after="0"/>
      </w:pPr>
      <w:r>
        <w:t>&lt;ESMA_QUESTION</w:t>
      </w:r>
      <w:r w:rsidR="00F93646">
        <w:t>_</w:t>
      </w:r>
      <w:r w:rsidR="00DD54B5">
        <w:t>CP1</w:t>
      </w:r>
      <w:r w:rsidR="00F93646">
        <w:t>_</w:t>
      </w:r>
      <w:r w:rsidR="00737DD9">
        <w:t>30</w:t>
      </w:r>
      <w:r>
        <w:t>&gt;</w:t>
      </w:r>
    </w:p>
    <w:p w14:paraId="3A8F8E3D" w14:textId="77777777" w:rsidR="00FA4100" w:rsidRDefault="00FA4100" w:rsidP="008B164D"/>
    <w:p w14:paraId="79891AB7" w14:textId="686373FF" w:rsidR="00FA4100" w:rsidRDefault="00E474BD" w:rsidP="00F3144E">
      <w:pPr>
        <w:pStyle w:val="Questionstyle"/>
        <w:spacing w:after="240" w:line="259" w:lineRule="auto"/>
        <w:ind w:left="851" w:hanging="851"/>
        <w:contextualSpacing w:val="0"/>
      </w:pPr>
      <w:r w:rsidRPr="00E474BD">
        <w:t>What are in your view the obstacles to non-discriminatory access to data taking into consideration the current data market data policies and agreements</w:t>
      </w:r>
      <w:r>
        <w:t>?</w:t>
      </w:r>
    </w:p>
    <w:p w14:paraId="1BD2E774" w14:textId="50518702" w:rsidR="00FA4100" w:rsidRDefault="00FA4100" w:rsidP="00FA4100">
      <w:pPr>
        <w:spacing w:after="0"/>
      </w:pPr>
      <w:r>
        <w:t>&lt;ESMA_QUESTION</w:t>
      </w:r>
      <w:r w:rsidR="00F93646">
        <w:t>_</w:t>
      </w:r>
      <w:r w:rsidR="00DD54B5">
        <w:t>CP1</w:t>
      </w:r>
      <w:r w:rsidR="00F93646">
        <w:t>_</w:t>
      </w:r>
      <w:r w:rsidR="00737DD9">
        <w:t>31</w:t>
      </w:r>
      <w:r>
        <w:t>&gt;</w:t>
      </w:r>
    </w:p>
    <w:p w14:paraId="561A2765" w14:textId="77777777" w:rsidR="00E7752E" w:rsidRDefault="00E7752E" w:rsidP="00E7752E">
      <w:pPr>
        <w:contextualSpacing/>
      </w:pPr>
      <w:permStart w:id="884149456" w:edGrp="everyone"/>
      <w:r>
        <w:t>FIA EPTA members agree that the complexity of licensing structures and proliferation of additional overlapping licenses for market data result in a commercial environment where it is difficult to ascertain exact licensing categories applicable to a given consumer and also result in the same data being charged for several times under multiple licenses even though it may have the same end user. This is contrary to the requirement of article 5 of the draft RTS that only one category be applicable per client in line with the principle that a user only be charged once for data.</w:t>
      </w:r>
    </w:p>
    <w:p w14:paraId="44663E62" w14:textId="77777777" w:rsidR="00E7752E" w:rsidRDefault="00E7752E" w:rsidP="00E7752E">
      <w:pPr>
        <w:contextualSpacing/>
      </w:pPr>
    </w:p>
    <w:p w14:paraId="217416A3" w14:textId="77777777" w:rsidR="00E7752E" w:rsidRPr="00C91295" w:rsidRDefault="00E7752E" w:rsidP="00E7752E">
      <w:pPr>
        <w:rPr>
          <w:rFonts w:eastAsia="Times New Roman"/>
        </w:rPr>
      </w:pPr>
      <w:r>
        <w:t xml:space="preserve">Our members therefore believe </w:t>
      </w:r>
      <w:r w:rsidRPr="00F44903">
        <w:t>that u</w:t>
      </w:r>
      <w:r w:rsidRPr="00F44903">
        <w:rPr>
          <w:rFonts w:eastAsia="Times New Roman"/>
        </w:rPr>
        <w:t>sage/pricing categories</w:t>
      </w:r>
      <w:r w:rsidRPr="000B0C59">
        <w:rPr>
          <w:rFonts w:eastAsia="Times New Roman"/>
        </w:rPr>
        <w:t xml:space="preserve"> </w:t>
      </w:r>
      <w:r>
        <w:rPr>
          <w:rFonts w:eastAsia="Times New Roman"/>
        </w:rPr>
        <w:t>should be simplified and standardized across data providers and should be limited to</w:t>
      </w:r>
      <w:r w:rsidRPr="000B0C59">
        <w:rPr>
          <w:rFonts w:eastAsia="Times New Roman"/>
        </w:rPr>
        <w:t xml:space="preserve"> display</w:t>
      </w:r>
      <w:r>
        <w:rPr>
          <w:rFonts w:eastAsia="Times New Roman"/>
        </w:rPr>
        <w:t xml:space="preserve">, </w:t>
      </w:r>
      <w:r w:rsidRPr="000B0C59">
        <w:rPr>
          <w:rFonts w:eastAsia="Times New Roman"/>
        </w:rPr>
        <w:t>non-display</w:t>
      </w:r>
      <w:r>
        <w:rPr>
          <w:rFonts w:eastAsia="Times New Roman"/>
        </w:rPr>
        <w:t xml:space="preserve"> </w:t>
      </w:r>
      <w:r w:rsidRPr="000B0C59">
        <w:rPr>
          <w:rFonts w:eastAsia="Times New Roman"/>
        </w:rPr>
        <w:t>and potentially one other category</w:t>
      </w:r>
      <w:r>
        <w:rPr>
          <w:rFonts w:eastAsia="Times New Roman"/>
        </w:rPr>
        <w:t xml:space="preserve"> (we suggest “derived data” – see our response to Q42 below)</w:t>
      </w:r>
      <w:r w:rsidRPr="000B0C59">
        <w:rPr>
          <w:rFonts w:eastAsia="Times New Roman"/>
        </w:rPr>
        <w:t xml:space="preserve"> </w:t>
      </w:r>
      <w:r>
        <w:rPr>
          <w:rFonts w:eastAsia="Times New Roman"/>
        </w:rPr>
        <w:t>to</w:t>
      </w:r>
      <w:r w:rsidRPr="000B0C59">
        <w:rPr>
          <w:rFonts w:eastAsia="Times New Roman"/>
        </w:rPr>
        <w:t xml:space="preserve"> facilitate comparison, competition and scalability</w:t>
      </w:r>
      <w:r>
        <w:rPr>
          <w:rFonts w:eastAsia="Times New Roman"/>
        </w:rPr>
        <w:t xml:space="preserve"> by data users</w:t>
      </w:r>
      <w:r w:rsidRPr="000B0C59">
        <w:rPr>
          <w:rFonts w:eastAsia="Times New Roman"/>
        </w:rPr>
        <w:t>.</w:t>
      </w:r>
      <w:r>
        <w:rPr>
          <w:rFonts w:eastAsia="Times New Roman"/>
        </w:rPr>
        <w:t xml:space="preserve"> </w:t>
      </w:r>
      <w:r>
        <w:t>In particular, data providers should not charge multiple times for the same data depending on use case (e.g. levying separate charges for use of non-display data when trading as principal and when using data for risk and compliance purposes).</w:t>
      </w:r>
    </w:p>
    <w:p w14:paraId="5E11CF19" w14:textId="77777777" w:rsidR="00E7752E" w:rsidRPr="004514A3" w:rsidRDefault="00E7752E" w:rsidP="00E7752E">
      <w:r w:rsidRPr="008B6A07">
        <w:rPr>
          <w:rFonts w:eastAsia="Times New Roman"/>
        </w:rPr>
        <w:t>Da</w:t>
      </w:r>
      <w:r>
        <w:rPr>
          <w:rFonts w:eastAsia="Times New Roman"/>
        </w:rPr>
        <w:t xml:space="preserve">ta should also only be charged for once by reference to the “Natural User” as the unit of count for measuring consumption in relation to display data. An end user receiving the same data via different devices or channels should not be charged multiple times for receiving the same data, in line with the </w:t>
      </w:r>
      <w:proofErr w:type="spellStart"/>
      <w:r>
        <w:rPr>
          <w:rFonts w:eastAsia="Times New Roman"/>
        </w:rPr>
        <w:t>MiFIR</w:t>
      </w:r>
      <w:proofErr w:type="spellEnd"/>
      <w:r>
        <w:rPr>
          <w:rFonts w:eastAsia="Times New Roman"/>
        </w:rPr>
        <w:t xml:space="preserve"> requirements that </w:t>
      </w:r>
      <w:r>
        <w:t>data costs be based on the cost of producing and disseminating the data</w:t>
      </w:r>
      <w:r>
        <w:rPr>
          <w:rFonts w:eastAsia="Times New Roman"/>
        </w:rPr>
        <w:t xml:space="preserve">. For example, where there is only one natural user of display data, only one person is benefitting from the same data even if received via multiple channels or on multiple devices or applications. Please see our response to Q43 for further detail. </w:t>
      </w:r>
    </w:p>
    <w:p w14:paraId="5D3F043F" w14:textId="4917399A" w:rsidR="00E7752E" w:rsidRDefault="00E7752E" w:rsidP="00E7752E">
      <w:pPr>
        <w:contextualSpacing/>
      </w:pPr>
      <w:r>
        <w:t>Different channels can only justify different pricing arrangements if directly associated with the cost of production and dissemination</w:t>
      </w:r>
      <w:r w:rsidR="00FF7DD0">
        <w:t xml:space="preserve"> of data</w:t>
      </w:r>
      <w:r>
        <w:t>.</w:t>
      </w:r>
    </w:p>
    <w:permEnd w:id="884149456"/>
    <w:p w14:paraId="528BFC7C" w14:textId="5A8F0C9E" w:rsidR="00FA4100" w:rsidRDefault="00FA4100" w:rsidP="00FA4100">
      <w:pPr>
        <w:spacing w:after="0"/>
      </w:pPr>
      <w:r>
        <w:t>&lt;ESMA_QUESTION</w:t>
      </w:r>
      <w:r w:rsidR="00F93646">
        <w:t>_</w:t>
      </w:r>
      <w:r w:rsidR="00DD54B5">
        <w:t>CP1</w:t>
      </w:r>
      <w:r w:rsidR="00F93646">
        <w:t>_</w:t>
      </w:r>
      <w:r w:rsidR="00737DD9">
        <w:t>31</w:t>
      </w:r>
      <w:r>
        <w:t>&gt;</w:t>
      </w:r>
    </w:p>
    <w:p w14:paraId="21A49323" w14:textId="77777777" w:rsidR="00FA4100" w:rsidRDefault="00FA4100" w:rsidP="008B164D"/>
    <w:p w14:paraId="459FE465" w14:textId="5188AFCC" w:rsidR="00FA4100" w:rsidRDefault="00E474BD" w:rsidP="00F3144E">
      <w:pPr>
        <w:pStyle w:val="Questionstyle"/>
        <w:spacing w:after="240" w:line="259" w:lineRule="auto"/>
        <w:ind w:left="851" w:hanging="851"/>
        <w:contextualSpacing w:val="0"/>
      </w:pPr>
      <w:r w:rsidRPr="00E474BD">
        <w:t>What are the elements which could affect prices in data provision (e.g. connectivity, volume)? Do they vary according to the use of data made by the user or the type of user? Please elaborate</w:t>
      </w:r>
      <w:r w:rsidR="00FA4100">
        <w:t>.</w:t>
      </w:r>
    </w:p>
    <w:p w14:paraId="2209DF71" w14:textId="0D88CD39" w:rsidR="00FA4100" w:rsidRDefault="00FA4100" w:rsidP="00FA4100">
      <w:pPr>
        <w:spacing w:after="0"/>
      </w:pPr>
      <w:r>
        <w:lastRenderedPageBreak/>
        <w:t>&lt;ESMA_QUESTION</w:t>
      </w:r>
      <w:r w:rsidR="00F93646">
        <w:t>_</w:t>
      </w:r>
      <w:r w:rsidR="00DD54B5">
        <w:t>CP1</w:t>
      </w:r>
      <w:r w:rsidR="00F93646">
        <w:t>_</w:t>
      </w:r>
      <w:r w:rsidR="00737DD9">
        <w:t>32</w:t>
      </w:r>
      <w:r>
        <w:t>&gt;</w:t>
      </w:r>
    </w:p>
    <w:p w14:paraId="7C8F8430" w14:textId="24BE04A3" w:rsidR="003B07F4" w:rsidRDefault="003B07F4" w:rsidP="003B07F4">
      <w:pPr>
        <w:contextualSpacing/>
        <w:rPr>
          <w:rFonts w:cstheme="minorHAnsi"/>
        </w:rPr>
      </w:pPr>
      <w:permStart w:id="1310215157" w:edGrp="everyone"/>
      <w:r>
        <w:rPr>
          <w:rFonts w:cstheme="minorHAnsi"/>
        </w:rPr>
        <w:t>It is evident that data products offering different levels of granularity would entail different costs and therefore justify different pricing. For example, top of book data is substantively different to full order book data. However, our members disagree that factors determining how the user consumes the data such as connectivity, volume or internal latency should be considered a legitimate factor impacting price. Typically, a market data client will already be paying separately for a faster leased line and/or co-location facility through which to receive low latency data. This suggests two principles that should be considered in this context:</w:t>
      </w:r>
    </w:p>
    <w:p w14:paraId="28CF2352" w14:textId="77777777" w:rsidR="003B07F4" w:rsidRDefault="003B07F4" w:rsidP="003B07F4">
      <w:pPr>
        <w:pStyle w:val="ListParagraph"/>
        <w:numPr>
          <w:ilvl w:val="0"/>
          <w:numId w:val="41"/>
        </w:numPr>
        <w:spacing w:after="160" w:line="259" w:lineRule="auto"/>
        <w:rPr>
          <w:rFonts w:cstheme="minorHAnsi"/>
        </w:rPr>
      </w:pPr>
      <w:r>
        <w:rPr>
          <w:rFonts w:cstheme="minorHAnsi"/>
        </w:rPr>
        <w:t>Costs already charged to/borne by the market data client as a separate line item should not be included in the cost base for market data and therefore in the price. By way of example, a rental fee for rack space in a data centre as part of a co-location facility will be charged for separately to and should remain independent from market data. This cost is already being borne by the client and therefore including it as a cost for producing and disseminating market data is double-counting. We understand this is consistent with how data providers determine P&amp;L targets for each division within their broader organisation, including ensuring that revenues for each division cover the costs of that division rather relying on cross-subsidisation from other areas.</w:t>
      </w:r>
    </w:p>
    <w:p w14:paraId="2D8ABA43" w14:textId="77777777" w:rsidR="003B07F4" w:rsidRPr="00FC17B7" w:rsidRDefault="003B07F4" w:rsidP="003B07F4">
      <w:pPr>
        <w:pStyle w:val="ListParagraph"/>
        <w:rPr>
          <w:rFonts w:cstheme="minorHAnsi"/>
        </w:rPr>
      </w:pPr>
    </w:p>
    <w:p w14:paraId="478F6184" w14:textId="51598EF7" w:rsidR="003B07F4" w:rsidRPr="00D94F7E" w:rsidRDefault="003B07F4" w:rsidP="00D94F7E">
      <w:pPr>
        <w:pStyle w:val="ListParagraph"/>
        <w:numPr>
          <w:ilvl w:val="0"/>
          <w:numId w:val="41"/>
        </w:numPr>
        <w:spacing w:after="160" w:line="259" w:lineRule="auto"/>
        <w:rPr>
          <w:rFonts w:cstheme="minorHAnsi"/>
        </w:rPr>
      </w:pPr>
      <w:r>
        <w:rPr>
          <w:rFonts w:cstheme="minorHAnsi"/>
        </w:rPr>
        <w:t xml:space="preserve">Once data is received by a market data client, how it is used and distributed internally should not impact price regardless of how many applications, “devices” or users access that data or how it is applied internally by the market data client. The client has already been fully borne the cost of delivery at the point of entry/receipt. </w:t>
      </w:r>
    </w:p>
    <w:p w14:paraId="629CF126" w14:textId="77777777" w:rsidR="003B07F4" w:rsidRDefault="003B07F4" w:rsidP="003B07F4">
      <w:pPr>
        <w:contextualSpacing/>
        <w:rPr>
          <w:rFonts w:cstheme="minorHAnsi"/>
        </w:rPr>
      </w:pPr>
      <w:r w:rsidRPr="00215633">
        <w:rPr>
          <w:rFonts w:cstheme="minorHAnsi"/>
        </w:rPr>
        <w:t xml:space="preserve">Regarding 2 above, FIA EPTA members strongly </w:t>
      </w:r>
      <w:r>
        <w:rPr>
          <w:rFonts w:cstheme="minorHAnsi"/>
        </w:rPr>
        <w:t>support the principle established by article 5 of the draft RTS that a user should only pay once for a set of data.</w:t>
      </w:r>
      <w:r w:rsidRPr="00215633">
        <w:rPr>
          <w:rFonts w:cstheme="minorHAnsi"/>
        </w:rPr>
        <w:t xml:space="preserve"> </w:t>
      </w:r>
    </w:p>
    <w:p w14:paraId="39DC23BC" w14:textId="77777777" w:rsidR="003B07F4" w:rsidRDefault="003B07F4" w:rsidP="003B07F4">
      <w:pPr>
        <w:contextualSpacing/>
        <w:rPr>
          <w:rFonts w:cstheme="minorHAnsi"/>
        </w:rPr>
      </w:pPr>
    </w:p>
    <w:p w14:paraId="4D53B079" w14:textId="77777777" w:rsidR="003B07F4" w:rsidRDefault="003B07F4" w:rsidP="003B07F4">
      <w:pPr>
        <w:contextualSpacing/>
        <w:rPr>
          <w:rFonts w:cstheme="minorHAnsi"/>
          <w:b/>
        </w:rPr>
      </w:pPr>
      <w:r>
        <w:rPr>
          <w:rFonts w:cstheme="minorHAnsi"/>
        </w:rPr>
        <w:t xml:space="preserve">To the extent that a user requires different arrangements for data provision due to the way they may use that data, this should only be reflected in price to the extent that it impacts the cost of production and dissemination of data, consistent with article 13 of </w:t>
      </w:r>
      <w:proofErr w:type="spellStart"/>
      <w:r>
        <w:rPr>
          <w:rFonts w:cstheme="minorHAnsi"/>
        </w:rPr>
        <w:t>MiFIR</w:t>
      </w:r>
      <w:proofErr w:type="spellEnd"/>
      <w:r>
        <w:rPr>
          <w:rFonts w:cstheme="minorHAnsi"/>
        </w:rPr>
        <w:t>. For example, low latency connectivity may be more costly to support by the data provider and therefore justify a higher price that reflects that additional cost, but only that additional cost and no component of value based pricing.</w:t>
      </w:r>
    </w:p>
    <w:p w14:paraId="468993C2" w14:textId="77777777" w:rsidR="00B64515" w:rsidRDefault="00B64515" w:rsidP="003B07F4">
      <w:pPr>
        <w:contextualSpacing/>
        <w:rPr>
          <w:rFonts w:cstheme="minorHAnsi"/>
          <w:b/>
        </w:rPr>
      </w:pPr>
    </w:p>
    <w:p w14:paraId="6AB273D0" w14:textId="77777777" w:rsidR="00714D83" w:rsidRDefault="00714D83" w:rsidP="00714D83">
      <w:pPr>
        <w:autoSpaceDE w:val="0"/>
        <w:autoSpaceDN w:val="0"/>
        <w:adjustRightInd w:val="0"/>
        <w:rPr>
          <w:rFonts w:cstheme="minorHAnsi"/>
          <w:color w:val="000000"/>
        </w:rPr>
      </w:pPr>
      <w:r w:rsidRPr="00510403">
        <w:rPr>
          <w:rFonts w:cstheme="minorHAnsi"/>
          <w:color w:val="000000"/>
        </w:rPr>
        <w:t>O</w:t>
      </w:r>
      <w:r w:rsidRPr="006A749F">
        <w:rPr>
          <w:rFonts w:cstheme="minorHAnsi"/>
          <w:color w:val="000000"/>
        </w:rPr>
        <w:t xml:space="preserve">ver the past 15 years </w:t>
      </w:r>
      <w:r w:rsidRPr="00510403">
        <w:rPr>
          <w:rFonts w:cstheme="minorHAnsi"/>
          <w:color w:val="000000"/>
        </w:rPr>
        <w:t>our members have observed that</w:t>
      </w:r>
      <w:r w:rsidRPr="006A749F">
        <w:rPr>
          <w:rFonts w:cstheme="minorHAnsi"/>
          <w:color w:val="000000"/>
        </w:rPr>
        <w:t xml:space="preserve"> </w:t>
      </w:r>
      <w:r>
        <w:rPr>
          <w:rFonts w:cstheme="minorHAnsi"/>
          <w:color w:val="000000"/>
        </w:rPr>
        <w:t>trading venues</w:t>
      </w:r>
      <w:r w:rsidRPr="006A749F">
        <w:rPr>
          <w:rFonts w:cstheme="minorHAnsi"/>
          <w:color w:val="000000"/>
        </w:rPr>
        <w:t xml:space="preserve"> have consistently added additional usage categories to their market data schedules and once one or two venues successfully pioneer a new approach, it is often rapidly adopted across the industry and becomes the new status quo. Often end-users of market data do not have any other option than to accept these new charges given the lack of viable alternative sources to obtain this critical input that guides both trading and risk management practices. </w:t>
      </w:r>
    </w:p>
    <w:p w14:paraId="573701EE" w14:textId="77777777" w:rsidR="00714D83" w:rsidRPr="00510403" w:rsidRDefault="00714D83" w:rsidP="00714D83">
      <w:pPr>
        <w:contextualSpacing/>
        <w:rPr>
          <w:rFonts w:cstheme="minorHAnsi"/>
          <w:color w:val="000000"/>
        </w:rPr>
      </w:pPr>
      <w:r>
        <w:rPr>
          <w:rFonts w:cstheme="minorHAnsi"/>
          <w:color w:val="000000"/>
        </w:rPr>
        <w:lastRenderedPageBreak/>
        <w:t>Since the implementation of</w:t>
      </w:r>
      <w:r w:rsidRPr="00510403">
        <w:rPr>
          <w:rFonts w:cstheme="minorHAnsi"/>
          <w:color w:val="000000"/>
        </w:rPr>
        <w:t xml:space="preserve"> MiFID II, the two most significant </w:t>
      </w:r>
      <w:r>
        <w:rPr>
          <w:rFonts w:cstheme="minorHAnsi"/>
          <w:color w:val="000000"/>
        </w:rPr>
        <w:t xml:space="preserve">new usage based </w:t>
      </w:r>
      <w:r w:rsidRPr="00510403">
        <w:rPr>
          <w:rFonts w:cstheme="minorHAnsi"/>
          <w:color w:val="000000"/>
        </w:rPr>
        <w:t>fee categories adopted were (1) those relating to the use of market data for risk/compliance and other non-trading purposes and (2) those related to systematic internalisation.</w:t>
      </w:r>
    </w:p>
    <w:p w14:paraId="7451F1C8" w14:textId="77777777" w:rsidR="00714D83" w:rsidRPr="00510403" w:rsidRDefault="00714D83" w:rsidP="00714D83">
      <w:pPr>
        <w:contextualSpacing/>
        <w:rPr>
          <w:rFonts w:cstheme="minorHAnsi"/>
          <w:color w:val="000000"/>
        </w:rPr>
      </w:pPr>
    </w:p>
    <w:p w14:paraId="06B57C32" w14:textId="77777777" w:rsidR="00714D83" w:rsidRDefault="00714D83" w:rsidP="00714D83">
      <w:pPr>
        <w:contextualSpacing/>
        <w:rPr>
          <w:rFonts w:cstheme="minorHAnsi"/>
          <w:b/>
        </w:rPr>
      </w:pPr>
      <w:r>
        <w:rPr>
          <w:rFonts w:cstheme="minorHAnsi"/>
        </w:rPr>
        <w:t>Regarding</w:t>
      </w:r>
      <w:r w:rsidRPr="00510403">
        <w:rPr>
          <w:rFonts w:cstheme="minorHAnsi"/>
        </w:rPr>
        <w:t xml:space="preserve"> (1): Prior to MiFID II, only a handful of exchange groups applied explicit fee categories for risk and other usage. MiFID II (Article 17(7) and subsequently RTS 6) introduced new and granular regulatory obligations on investment firms, with respect to real-time risk and compliance controls. In the period leading up to the implementation of MiFID II</w:t>
      </w:r>
      <w:r>
        <w:rPr>
          <w:rFonts w:cstheme="minorHAnsi"/>
        </w:rPr>
        <w:t xml:space="preserve">, </w:t>
      </w:r>
      <w:r w:rsidRPr="00510403">
        <w:rPr>
          <w:rFonts w:cstheme="minorHAnsi"/>
        </w:rPr>
        <w:t xml:space="preserve">EU trading venues often significantly increased these fees (on a percentage basis) or adopted the practice of explicitly charging for such use for the first time. </w:t>
      </w:r>
      <w:r>
        <w:rPr>
          <w:rFonts w:cstheme="minorHAnsi"/>
        </w:rPr>
        <w:t>Based on previous calculations performed by our members, t</w:t>
      </w:r>
      <w:r w:rsidRPr="00510403">
        <w:rPr>
          <w:rFonts w:cstheme="minorHAnsi"/>
        </w:rPr>
        <w:t xml:space="preserve">his practice resulted in the largest percentage fee increase </w:t>
      </w:r>
      <w:r>
        <w:rPr>
          <w:rFonts w:cstheme="minorHAnsi"/>
        </w:rPr>
        <w:t>over</w:t>
      </w:r>
      <w:r w:rsidRPr="00510403">
        <w:rPr>
          <w:rFonts w:cstheme="minorHAnsi"/>
        </w:rPr>
        <w:t xml:space="preserve"> the 2016-19 period.</w:t>
      </w:r>
    </w:p>
    <w:p w14:paraId="4957B824" w14:textId="77777777" w:rsidR="00D74B6E" w:rsidRPr="00510403" w:rsidRDefault="00D74B6E" w:rsidP="00714D83">
      <w:pPr>
        <w:contextualSpacing/>
        <w:rPr>
          <w:rFonts w:cstheme="minorHAnsi"/>
        </w:rPr>
      </w:pPr>
    </w:p>
    <w:p w14:paraId="7D8FFACB" w14:textId="77777777" w:rsidR="00D74B6E" w:rsidRPr="00CF4F5D" w:rsidRDefault="00D74B6E" w:rsidP="00D74B6E">
      <w:pPr>
        <w:contextualSpacing/>
        <w:rPr>
          <w:rFonts w:cstheme="minorHAnsi"/>
        </w:rPr>
      </w:pPr>
      <w:r>
        <w:rPr>
          <w:rFonts w:cstheme="minorHAnsi"/>
        </w:rPr>
        <w:t>Regarding</w:t>
      </w:r>
      <w:r w:rsidRPr="00510403">
        <w:rPr>
          <w:rFonts w:cstheme="minorHAnsi"/>
        </w:rPr>
        <w:t xml:space="preserve"> (2): As has been </w:t>
      </w:r>
      <w:r>
        <w:rPr>
          <w:rFonts w:cstheme="minorHAnsi"/>
        </w:rPr>
        <w:t>widely acknowledged</w:t>
      </w:r>
      <w:r w:rsidRPr="00510403">
        <w:rPr>
          <w:rFonts w:cstheme="minorHAnsi"/>
        </w:rPr>
        <w:t>, the MiFID II legislation prompted both investment banks and principal trading firms to operate their own SIs. At the same time, most exchanges introduced new fee categories or amended existing premium fee tiers to cover the use of their market data to operate an SI.</w:t>
      </w:r>
      <w:r>
        <w:rPr>
          <w:rFonts w:cstheme="minorHAnsi"/>
        </w:rPr>
        <w:t xml:space="preserve"> Regulation mandates that SIs publish continuous quotes that are close in price to the most relevant market and so are required to use primary market data to ensure they meet this obligation. Also, </w:t>
      </w:r>
      <w:r w:rsidRPr="00D708E1">
        <w:t xml:space="preserve">regulation mandates that trading venues, such as those relying on the reference price waiver, use primary market data as a reference to support their prices. Exchanges that provide primary market data can hinder competition by imposing unreasonable data fees and duplicative usage categories, potentially to challenge these other trading venues. This may also be the case for investment firms that are systematic </w:t>
      </w:r>
      <w:proofErr w:type="spellStart"/>
      <w:r w:rsidRPr="00D708E1">
        <w:t>internalisers</w:t>
      </w:r>
      <w:proofErr w:type="spellEnd"/>
      <w:r w:rsidRPr="00D708E1">
        <w:t xml:space="preserve"> in relation to non-display data.</w:t>
      </w:r>
      <w:r>
        <w:t xml:space="preserve"> This is another market feature which makes demand for this data largely inelastic and therefore underscores the need for pricing constraints.</w:t>
      </w:r>
    </w:p>
    <w:p w14:paraId="17952FDD" w14:textId="77777777" w:rsidR="00D74B6E" w:rsidRDefault="00D74B6E" w:rsidP="00D74B6E">
      <w:pPr>
        <w:contextualSpacing/>
        <w:rPr>
          <w:rFonts w:cstheme="minorHAnsi"/>
        </w:rPr>
      </w:pPr>
    </w:p>
    <w:p w14:paraId="5159FD56" w14:textId="77777777" w:rsidR="00D74B6E" w:rsidRDefault="00D74B6E" w:rsidP="00D74B6E">
      <w:pPr>
        <w:contextualSpacing/>
        <w:rPr>
          <w:rFonts w:cstheme="minorHAnsi"/>
        </w:rPr>
      </w:pPr>
      <w:r>
        <w:rPr>
          <w:rFonts w:cstheme="minorHAnsi"/>
        </w:rPr>
        <w:t xml:space="preserve">In addition to these usage based categories, data providers often have additional and costly licenses for “derived data” where the consumer uses raw data for internal applications which may involve a variety of different use cases ranging from running P&amp;L calculations on a trading book to creating a new product from that data. The pricing associated with these licenses is another case where it is driven by the value to the consumer rather than the cost of production and dissemination of data. </w:t>
      </w:r>
      <w:r w:rsidRPr="00D708E1">
        <w:t>Automated risk management and P&amp;L calculation</w:t>
      </w:r>
      <w:r>
        <w:t>s</w:t>
      </w:r>
      <w:r w:rsidRPr="00D708E1">
        <w:t xml:space="preserve"> are a by-product of trading and should not be charged</w:t>
      </w:r>
      <w:r>
        <w:t xml:space="preserve"> for</w:t>
      </w:r>
      <w:r w:rsidRPr="00D708E1">
        <w:t xml:space="preserve"> separately.</w:t>
      </w:r>
    </w:p>
    <w:p w14:paraId="0458B419" w14:textId="77777777" w:rsidR="00D74B6E" w:rsidRPr="00510403" w:rsidRDefault="00D74B6E" w:rsidP="00D74B6E">
      <w:pPr>
        <w:contextualSpacing/>
        <w:rPr>
          <w:rFonts w:cstheme="minorHAnsi"/>
        </w:rPr>
      </w:pPr>
    </w:p>
    <w:p w14:paraId="6CB7E418" w14:textId="19AF06CC" w:rsidR="00714D83" w:rsidRPr="00510403" w:rsidRDefault="00D74B6E" w:rsidP="003B07F4">
      <w:pPr>
        <w:contextualSpacing/>
        <w:rPr>
          <w:rFonts w:cstheme="minorHAnsi"/>
        </w:rPr>
      </w:pPr>
      <w:r>
        <w:rPr>
          <w:rFonts w:cstheme="minorHAnsi"/>
        </w:rPr>
        <w:t xml:space="preserve">In terms of the data being consumed, this does not differ from general display or non-display data separately obtained under licenses specific to those products. It is just the use case that drives the demand for an additional license by data providers. </w:t>
      </w:r>
    </w:p>
    <w:permEnd w:id="1310215157"/>
    <w:p w14:paraId="44B1FFE6" w14:textId="2D8A632F" w:rsidR="00FA4100" w:rsidRDefault="00FA4100" w:rsidP="00FA4100">
      <w:pPr>
        <w:spacing w:after="0"/>
      </w:pPr>
      <w:r>
        <w:t>&lt;ESMA_QUESTION</w:t>
      </w:r>
      <w:r w:rsidR="00F93646">
        <w:t>_</w:t>
      </w:r>
      <w:r w:rsidR="00DD54B5">
        <w:t>CP1</w:t>
      </w:r>
      <w:r w:rsidR="00F93646">
        <w:t>_</w:t>
      </w:r>
      <w:r w:rsidR="00737DD9">
        <w:t>32</w:t>
      </w:r>
      <w:r>
        <w:t>&gt;</w:t>
      </w:r>
    </w:p>
    <w:p w14:paraId="72745F76" w14:textId="77777777" w:rsidR="00FA4100" w:rsidRDefault="00FA4100" w:rsidP="008B164D"/>
    <w:p w14:paraId="3D16B195" w14:textId="2157EB1B" w:rsidR="00FA4100" w:rsidRDefault="00E474BD" w:rsidP="00F3144E">
      <w:pPr>
        <w:pStyle w:val="Questionstyle"/>
        <w:spacing w:after="240" w:line="259" w:lineRule="auto"/>
        <w:ind w:left="851" w:hanging="851"/>
        <w:contextualSpacing w:val="0"/>
      </w:pPr>
      <w:r w:rsidRPr="00E474BD">
        <w:t>Do you agree with ESMA’s proposal on how to set up fee categories. Please justify your answer</w:t>
      </w:r>
      <w:r w:rsidR="00FA4100">
        <w:t>.</w:t>
      </w:r>
    </w:p>
    <w:p w14:paraId="2AA780BD" w14:textId="2E7957C2" w:rsidR="00FA4100" w:rsidRDefault="00FA4100" w:rsidP="00FA4100">
      <w:pPr>
        <w:spacing w:after="0"/>
      </w:pPr>
      <w:r>
        <w:lastRenderedPageBreak/>
        <w:t>&lt;ESMA_QUESTION</w:t>
      </w:r>
      <w:r w:rsidR="00F93646">
        <w:t>_</w:t>
      </w:r>
      <w:r w:rsidR="00DD54B5">
        <w:t>CP1</w:t>
      </w:r>
      <w:r w:rsidR="00F93646">
        <w:t>_</w:t>
      </w:r>
      <w:r w:rsidR="00737DD9">
        <w:t>33</w:t>
      </w:r>
      <w:r>
        <w:t>&gt;</w:t>
      </w:r>
    </w:p>
    <w:p w14:paraId="21D9239D" w14:textId="77777777" w:rsidR="00BD2770" w:rsidRPr="00BD3E7D" w:rsidRDefault="00BD2770" w:rsidP="00BD2770">
      <w:pPr>
        <w:autoSpaceDE w:val="0"/>
        <w:autoSpaceDN w:val="0"/>
        <w:adjustRightInd w:val="0"/>
        <w:rPr>
          <w:rFonts w:cstheme="minorHAnsi"/>
        </w:rPr>
      </w:pPr>
      <w:permStart w:id="1461735347" w:edGrp="everyone"/>
      <w:r w:rsidRPr="00BD3E7D">
        <w:rPr>
          <w:rFonts w:cstheme="minorHAnsi"/>
          <w:color w:val="000000"/>
        </w:rPr>
        <w:t xml:space="preserve">In principle, FIA EPTA members agree with the proposal market data providers to ensure the same technical arrangements for customers belonging to the same category. However, </w:t>
      </w:r>
      <w:r w:rsidRPr="00BD3E7D">
        <w:rPr>
          <w:rFonts w:cstheme="minorHAnsi"/>
        </w:rPr>
        <w:t>we recognise that there may be significant practical barriers to ensuring the same level of latency and connectivity for a customer base that may be widely dispersed geographically. As a result, any discrepancies in latency or connectivity should be justifiable by the market data provider based on technical constraints and the capacities of their customers.</w:t>
      </w:r>
      <w:r>
        <w:rPr>
          <w:rFonts w:cstheme="minorHAnsi"/>
        </w:rPr>
        <w:t xml:space="preserve"> Subject to this exception clearly tied to differential cost bases, we would support more simple and standardised fee categories, as described above.</w:t>
      </w:r>
    </w:p>
    <w:permEnd w:id="1461735347"/>
    <w:p w14:paraId="3B530B2D" w14:textId="2E129DA4" w:rsidR="00FA4100" w:rsidRDefault="00FA4100" w:rsidP="00FA4100">
      <w:pPr>
        <w:spacing w:after="0"/>
      </w:pPr>
      <w:r>
        <w:t>&lt;ESMA_QUESTION</w:t>
      </w:r>
      <w:r w:rsidR="00F93646">
        <w:t>_</w:t>
      </w:r>
      <w:r w:rsidR="00DD54B5">
        <w:t>CP1</w:t>
      </w:r>
      <w:r w:rsidR="00F93646">
        <w:t>_</w:t>
      </w:r>
      <w:r w:rsidR="00737DD9">
        <w:t>33</w:t>
      </w:r>
      <w:r>
        <w:t>&gt;</w:t>
      </w:r>
    </w:p>
    <w:p w14:paraId="2BFF0314" w14:textId="77777777" w:rsidR="00FA4100" w:rsidRDefault="00FA4100" w:rsidP="008B164D"/>
    <w:p w14:paraId="4A79DB36" w14:textId="11DFCAB0" w:rsidR="00FA4100" w:rsidRDefault="00E474BD" w:rsidP="00F3144E">
      <w:pPr>
        <w:pStyle w:val="Questionstyle"/>
        <w:spacing w:after="240" w:line="259" w:lineRule="auto"/>
        <w:ind w:left="851" w:hanging="851"/>
        <w:contextualSpacing w:val="0"/>
      </w:pPr>
      <w:r w:rsidRPr="00E474BD">
        <w:t>Regarding redistribution of market data, do you agree with the analysis of ESMA? If not, please elaborate on the possible risks you identify and possible venues to mitigate these. In your response please elaborate on actual redistribution models</w:t>
      </w:r>
      <w:r w:rsidR="00FA4100">
        <w:t>.</w:t>
      </w:r>
    </w:p>
    <w:p w14:paraId="3FDB778A" w14:textId="131C2A6D" w:rsidR="00FA4100" w:rsidRDefault="00FA4100" w:rsidP="00FA4100">
      <w:pPr>
        <w:spacing w:after="0"/>
      </w:pPr>
      <w:r>
        <w:t>&lt;ESMA_QUESTION</w:t>
      </w:r>
      <w:r w:rsidR="00F93646">
        <w:t>_</w:t>
      </w:r>
      <w:r w:rsidR="00DD54B5">
        <w:t>CP1</w:t>
      </w:r>
      <w:r w:rsidR="00F93646">
        <w:t>_</w:t>
      </w:r>
      <w:r w:rsidR="00737DD9">
        <w:t>34</w:t>
      </w:r>
      <w:r>
        <w:t>&gt;</w:t>
      </w:r>
    </w:p>
    <w:p w14:paraId="48E6AE76" w14:textId="77777777" w:rsidR="001305AE" w:rsidRDefault="001305AE" w:rsidP="001305AE">
      <w:pPr>
        <w:contextualSpacing/>
      </w:pPr>
      <w:permStart w:id="526140180" w:edGrp="everyone"/>
      <w:r>
        <w:t xml:space="preserve">FIA EPTA members experience some additional cost and complexity when receiving market data via a redistributor (or “data vendor”) however, the core of the problems driving high prices for market data and the complexity and opacity surrounding commercial arrangements lies primarily with data providers, not redistributors. </w:t>
      </w:r>
    </w:p>
    <w:p w14:paraId="54BFBBDC" w14:textId="77777777" w:rsidR="001305AE" w:rsidRDefault="001305AE" w:rsidP="001305AE">
      <w:pPr>
        <w:contextualSpacing/>
      </w:pPr>
    </w:p>
    <w:p w14:paraId="5A96BC57" w14:textId="1D0EDC7F" w:rsidR="001305AE" w:rsidRDefault="001305AE" w:rsidP="001305AE">
      <w:pPr>
        <w:contextualSpacing/>
      </w:pPr>
      <w:r>
        <w:t xml:space="preserve">Ultimately, we see this being a matter of applying the principle evident in </w:t>
      </w:r>
      <w:proofErr w:type="spellStart"/>
      <w:r>
        <w:t>MiFIR</w:t>
      </w:r>
      <w:proofErr w:type="spellEnd"/>
      <w:r>
        <w:t xml:space="preserve"> and ESMA’s proposals, that a user should only be charged for the same data once subject to a reasonable price differential reflecting any additional cost of providing and disseminating that data, as reflected in article 5 of the draft RTS. We do not see that broad</w:t>
      </w:r>
      <w:r w:rsidR="00ED7CD5">
        <w:t>-</w:t>
      </w:r>
      <w:r>
        <w:t xml:space="preserve">reaching new legislation is necessary to address the fundamental problems in this market, particularly at a time when there is discussion about streamlining EU regulation to improve international competitiveness. </w:t>
      </w:r>
    </w:p>
    <w:p w14:paraId="63C43224" w14:textId="77777777" w:rsidR="001305AE" w:rsidRDefault="001305AE" w:rsidP="001305AE">
      <w:pPr>
        <w:contextualSpacing/>
      </w:pPr>
    </w:p>
    <w:p w14:paraId="78C4756D" w14:textId="2FA27CFE" w:rsidR="001305AE" w:rsidRDefault="001305AE" w:rsidP="001305AE">
      <w:pPr>
        <w:contextualSpacing/>
      </w:pPr>
      <w:r>
        <w:t>Under most (if not all) redistributor models used by our members, members are able to track and verify the number of end users which can be made visible to the data provider and is often done so under so called “Per User Programmes” or “netting programmes”. Therefore</w:t>
      </w:r>
      <w:r w:rsidR="005A20EF">
        <w:t>,</w:t>
      </w:r>
      <w:r>
        <w:t xml:space="preserve"> requiring a redistributor to verify or confirm the number of end users who will receive the data is typically within the gift of the data provider, for example by imposing a contractual obligation on the redistributor to provide this information. Nevertheless, if the data provider is only incurring the cost of disseminating data to a single recipient when providing to a redistributor, it is not bearing the cost of onward dissemination to multiple end users. That is the function and cost burden of the redistributor. Accordingly, it is not clear why the redistribution model is inconsistent with the overarching principle of ensuring the price of market data reflects the cost of production and dissemination rather than the value to the end-user. This extends to distribution of data within a firm. As discussed above, </w:t>
      </w:r>
      <w:r>
        <w:lastRenderedPageBreak/>
        <w:t>any redistribution fees should only be applicable to distribution to the firm recipient, not distribution to end users within the firm.</w:t>
      </w:r>
    </w:p>
    <w:permEnd w:id="526140180"/>
    <w:p w14:paraId="649290BF" w14:textId="64B51938" w:rsidR="00FA4100" w:rsidRDefault="00FA4100" w:rsidP="00FA4100">
      <w:pPr>
        <w:spacing w:after="0"/>
      </w:pPr>
      <w:r>
        <w:t>&lt;ESMA_QUESTION</w:t>
      </w:r>
      <w:r w:rsidR="00F93646">
        <w:t>_</w:t>
      </w:r>
      <w:r w:rsidR="00DD54B5">
        <w:t>CP1</w:t>
      </w:r>
      <w:r w:rsidR="00F93646">
        <w:t>_</w:t>
      </w:r>
      <w:r w:rsidR="00737DD9">
        <w:t>34</w:t>
      </w:r>
      <w:r>
        <w:t>&gt;</w:t>
      </w:r>
    </w:p>
    <w:p w14:paraId="207EBAF8" w14:textId="6D801647" w:rsidR="00692ADF" w:rsidRDefault="00692ADF" w:rsidP="008B164D"/>
    <w:p w14:paraId="6853A49D" w14:textId="6823437E" w:rsidR="00FA4100" w:rsidRDefault="00AF502B" w:rsidP="00F3144E">
      <w:pPr>
        <w:pStyle w:val="Questionstyle"/>
        <w:spacing w:after="240" w:line="259" w:lineRule="auto"/>
        <w:ind w:left="851" w:hanging="851"/>
        <w:contextualSpacing w:val="0"/>
      </w:pPr>
      <w:r w:rsidRPr="00AF502B">
        <w:t>Are there any other terms and conditions in market data agreements beyond the ones listed in this section which you perceive to be biased and/or unfair? If yes, please list them and elaborate your answer</w:t>
      </w:r>
      <w:r w:rsidR="00FA4100">
        <w:t>.</w:t>
      </w:r>
    </w:p>
    <w:p w14:paraId="6BDEFCE4" w14:textId="0B50A271" w:rsidR="00FA4100" w:rsidRDefault="00FA4100" w:rsidP="00FA4100">
      <w:pPr>
        <w:spacing w:after="0"/>
      </w:pPr>
      <w:r>
        <w:t>&lt;ESMA_QUESTION</w:t>
      </w:r>
      <w:r w:rsidR="00F93646">
        <w:t>_</w:t>
      </w:r>
      <w:r w:rsidR="00DD54B5">
        <w:t>CP1</w:t>
      </w:r>
      <w:r w:rsidR="00F93646">
        <w:t>_</w:t>
      </w:r>
      <w:r w:rsidR="00737DD9">
        <w:t>35</w:t>
      </w:r>
      <w:r>
        <w:t>&gt;</w:t>
      </w:r>
    </w:p>
    <w:p w14:paraId="64989935" w14:textId="77777777" w:rsidR="00FA4100" w:rsidRDefault="00FA4100" w:rsidP="00FA4100">
      <w:pPr>
        <w:spacing w:after="0"/>
      </w:pPr>
      <w:permStart w:id="657797640" w:edGrp="everyone"/>
      <w:r>
        <w:t>TYPE YOUR TEXT HERE</w:t>
      </w:r>
    </w:p>
    <w:permEnd w:id="657797640"/>
    <w:p w14:paraId="4D3A7320" w14:textId="215BC9EB" w:rsidR="00FA4100" w:rsidRDefault="00FA4100" w:rsidP="00FA4100">
      <w:pPr>
        <w:spacing w:after="0"/>
      </w:pPr>
      <w:r>
        <w:t>&lt;ESMA_QUESTION</w:t>
      </w:r>
      <w:r w:rsidR="00F93646">
        <w:t>_</w:t>
      </w:r>
      <w:r w:rsidR="00DD54B5">
        <w:t>CP1</w:t>
      </w:r>
      <w:r w:rsidR="00F93646">
        <w:t>_</w:t>
      </w:r>
      <w:r w:rsidR="00737DD9">
        <w:t>35</w:t>
      </w:r>
      <w:r>
        <w:t>&gt;</w:t>
      </w:r>
    </w:p>
    <w:p w14:paraId="198FBE4F" w14:textId="77777777" w:rsidR="00FA4100" w:rsidRDefault="00FA4100" w:rsidP="008B164D"/>
    <w:p w14:paraId="4DAA1309" w14:textId="7B4C8011" w:rsidR="00FA4100" w:rsidRDefault="00AF502B" w:rsidP="00F3144E">
      <w:pPr>
        <w:pStyle w:val="Questionstyle"/>
        <w:spacing w:after="240" w:line="259" w:lineRule="auto"/>
        <w:ind w:left="851" w:hanging="851"/>
        <w:contextualSpacing w:val="0"/>
      </w:pPr>
      <w:r w:rsidRPr="00AF502B">
        <w:t>Please provide your view on ESMA’s proposal in respect to (i) the obligation to provide pre-contractual information, (ii) general principle on fair terms, (iii) the language of the market data agreement, (iv) the market data agreement conformity with published policies and (v) the provision on fees and additional costs</w:t>
      </w:r>
      <w:r w:rsidR="00FA4100">
        <w:t>.</w:t>
      </w:r>
    </w:p>
    <w:p w14:paraId="10A92E6B" w14:textId="055C7746" w:rsidR="00FA4100" w:rsidRDefault="00FA4100" w:rsidP="00FA4100">
      <w:pPr>
        <w:spacing w:after="0"/>
      </w:pPr>
      <w:r>
        <w:t>&lt;ESMA_QUESTION</w:t>
      </w:r>
      <w:r w:rsidR="00F93646">
        <w:t>_</w:t>
      </w:r>
      <w:r w:rsidR="00DD54B5">
        <w:t>CP1</w:t>
      </w:r>
      <w:r w:rsidR="00F93646">
        <w:t>_</w:t>
      </w:r>
      <w:r w:rsidR="00737DD9">
        <w:t>3</w:t>
      </w:r>
      <w:r>
        <w:t>6&gt;</w:t>
      </w:r>
    </w:p>
    <w:p w14:paraId="033EC409" w14:textId="77777777" w:rsidR="007F4E55" w:rsidRDefault="007F4E55" w:rsidP="007F4E55">
      <w:pPr>
        <w:contextualSpacing/>
      </w:pPr>
      <w:permStart w:id="1477078338" w:edGrp="everyone"/>
      <w:r>
        <w:t>Our members generally agree with the proposals regarding contractual terms, in particular the proposal to prohibit double application of fees for the same data.</w:t>
      </w:r>
    </w:p>
    <w:p w14:paraId="19F3507C" w14:textId="77777777" w:rsidR="007F4E55" w:rsidRDefault="007F4E55" w:rsidP="007F4E55">
      <w:pPr>
        <w:contextualSpacing/>
      </w:pPr>
    </w:p>
    <w:p w14:paraId="266355E8" w14:textId="77777777" w:rsidR="007F4E55" w:rsidRDefault="007F4E55" w:rsidP="007F4E55">
      <w:pPr>
        <w:contextualSpacing/>
      </w:pPr>
      <w:r>
        <w:t xml:space="preserve">FIA EPTA members acknowledge that for some data consumers, it will be useful to be provided with pre-contractual information. However, our members have no choice but to acquire market data directly from trading venues on which they trade. Accordingly, the provision of pre-contractual information will have no bearing on the fact they cannot switch providers. Each trading venue is the single non-substitutable source of market data necessary for Proprietary Trading Firms to trade on that venue. This underscores the need for pricing to be subject to regulation due to the anti-competitive dynamic inherent in this relationship. </w:t>
      </w:r>
    </w:p>
    <w:p w14:paraId="4BE359E1" w14:textId="77777777" w:rsidR="007F4E55" w:rsidRDefault="007F4E55" w:rsidP="007F4E55">
      <w:pPr>
        <w:contextualSpacing/>
      </w:pPr>
    </w:p>
    <w:p w14:paraId="6BFBFA35" w14:textId="77777777" w:rsidR="007F4E55" w:rsidRDefault="007F4E55" w:rsidP="007F4E55">
      <w:pPr>
        <w:contextualSpacing/>
      </w:pPr>
      <w:r>
        <w:t xml:space="preserve">The same issue is relevant to the proposal for notice to be given of fee increases and be accompanied by a right of termination by the consumer. </w:t>
      </w:r>
    </w:p>
    <w:p w14:paraId="3CBAAB8E" w14:textId="77777777" w:rsidR="007F4E55" w:rsidRDefault="007F4E55" w:rsidP="007F4E55">
      <w:pPr>
        <w:contextualSpacing/>
      </w:pPr>
    </w:p>
    <w:p w14:paraId="60543A6E" w14:textId="77777777" w:rsidR="007F4E55" w:rsidRDefault="007F4E55" w:rsidP="007F4E55">
      <w:pPr>
        <w:contextualSpacing/>
      </w:pPr>
      <w:r>
        <w:t xml:space="preserve">Regarding fee increases, our members would stress these should only be once per year and take effect at a time that coincides with budget cycles given the significant impact of market data fees on the cost base of trading firms. </w:t>
      </w:r>
    </w:p>
    <w:permEnd w:id="1477078338"/>
    <w:p w14:paraId="064ED13B" w14:textId="25479F6E" w:rsidR="00FA4100" w:rsidRDefault="00FA4100" w:rsidP="00FA4100">
      <w:pPr>
        <w:spacing w:after="0"/>
      </w:pPr>
      <w:r>
        <w:t>&lt;ESMA_QUESTION</w:t>
      </w:r>
      <w:r w:rsidR="00F93646">
        <w:t>_</w:t>
      </w:r>
      <w:r w:rsidR="00DD54B5">
        <w:t>CP1</w:t>
      </w:r>
      <w:r w:rsidR="00F93646">
        <w:t>_</w:t>
      </w:r>
      <w:r w:rsidR="00737DD9">
        <w:t>3</w:t>
      </w:r>
      <w:r>
        <w:t>6&gt;</w:t>
      </w:r>
    </w:p>
    <w:p w14:paraId="2A02C35A" w14:textId="77777777" w:rsidR="00FA4100" w:rsidRDefault="00FA4100" w:rsidP="008B164D"/>
    <w:p w14:paraId="53B8C680" w14:textId="4C32305E" w:rsidR="00FA4100" w:rsidRDefault="00AF502B" w:rsidP="00F3144E">
      <w:pPr>
        <w:pStyle w:val="Questionstyle"/>
        <w:spacing w:after="240" w:line="259" w:lineRule="auto"/>
        <w:ind w:left="851" w:hanging="851"/>
        <w:contextualSpacing w:val="0"/>
      </w:pPr>
      <w:r w:rsidRPr="00AF502B">
        <w:t xml:space="preserve">According to your experience, has the per-user model been inserted in the market data agreements as an option for billing? If yes, do you have experience in the </w:t>
      </w:r>
      <w:r w:rsidRPr="00AF502B">
        <w:lastRenderedPageBreak/>
        <w:t>usage of this option? Is the proposed wording of this option in the draft RTS useful?  What are in your views the obstacles to its use</w:t>
      </w:r>
      <w:r>
        <w:t>?</w:t>
      </w:r>
    </w:p>
    <w:p w14:paraId="72A3F942" w14:textId="144736B6" w:rsidR="00FA4100" w:rsidRDefault="00FA4100" w:rsidP="00FA4100">
      <w:pPr>
        <w:spacing w:after="0"/>
      </w:pPr>
      <w:r>
        <w:t>&lt;ESMA_QUESTION</w:t>
      </w:r>
      <w:r w:rsidR="00F93646">
        <w:t>_</w:t>
      </w:r>
      <w:r w:rsidR="00DD54B5">
        <w:t>CP1</w:t>
      </w:r>
      <w:r w:rsidR="00F93646">
        <w:t>_</w:t>
      </w:r>
      <w:r w:rsidR="00737DD9">
        <w:t>37</w:t>
      </w:r>
      <w:r>
        <w:t>&gt;</w:t>
      </w:r>
    </w:p>
    <w:p w14:paraId="68F2E928" w14:textId="77777777" w:rsidR="00B23266" w:rsidRDefault="00B23266" w:rsidP="00B23266">
      <w:pPr>
        <w:contextualSpacing/>
      </w:pPr>
      <w:permStart w:id="1201633413" w:edGrp="everyone"/>
      <w:r>
        <w:t xml:space="preserve">Yes, it has but has been subject to some complications. </w:t>
      </w:r>
    </w:p>
    <w:p w14:paraId="49E7834A" w14:textId="77777777" w:rsidR="00B23266" w:rsidRDefault="00B23266" w:rsidP="00B23266">
      <w:pPr>
        <w:contextualSpacing/>
      </w:pPr>
    </w:p>
    <w:p w14:paraId="30C0CCD4" w14:textId="1621613C" w:rsidR="00B23266" w:rsidRDefault="00B23266" w:rsidP="00B23266">
      <w:pPr>
        <w:contextualSpacing/>
        <w:rPr>
          <w:b/>
        </w:rPr>
      </w:pPr>
      <w:r>
        <w:t>FIA EPTA members believe that an “actual usage” standard should apply for assessing compliance with a per user count and that “per user” should be the standard default measurement unit of cost for display data. Provided firms have the necessary tools to identify end users and report on a per user basis, there should not be any impediment to them being charged on this basis, including by data vendors.</w:t>
      </w:r>
    </w:p>
    <w:p w14:paraId="0EA07EA3" w14:textId="77777777" w:rsidR="000A4577" w:rsidRDefault="000A4577" w:rsidP="00B23266">
      <w:pPr>
        <w:contextualSpacing/>
      </w:pPr>
    </w:p>
    <w:p w14:paraId="6F7EA679" w14:textId="77777777" w:rsidR="00B23266" w:rsidRDefault="00B23266" w:rsidP="00B23266">
      <w:r>
        <w:t>Under the “potential access” standard which is currently adopted by several trading venues a display user is considered fee-liable if they potentially had the ability to access market data from a source, regardless of whether or not they actually had accessed the data. This means that simple administrative oversights or overlooked changes to the “fine print” contractual clauses for specific market data products in market data policies can render subscribers liable for substantial penalty fees, sometimes backdated without limitation, for potential access charges regardless of whether the participant can prove that the data was not accessed. This would be comparable to requiring a household to pay for the potential electricity consumption of all appliances that are connected to the mains supply rather than the energy actually consumed.</w:t>
      </w:r>
    </w:p>
    <w:permEnd w:id="1201633413"/>
    <w:p w14:paraId="301253FF" w14:textId="30CB0F5E" w:rsidR="00FA4100" w:rsidRDefault="00FA4100" w:rsidP="00FA4100">
      <w:pPr>
        <w:spacing w:after="0"/>
      </w:pPr>
      <w:r>
        <w:t>&lt;ESMA_QUESTION</w:t>
      </w:r>
      <w:r w:rsidR="00F93646">
        <w:t>_</w:t>
      </w:r>
      <w:r w:rsidR="00DD54B5">
        <w:t>CP1</w:t>
      </w:r>
      <w:r w:rsidR="00F93646">
        <w:t>_</w:t>
      </w:r>
      <w:r w:rsidR="00737DD9">
        <w:t>37</w:t>
      </w:r>
      <w:r>
        <w:t>&gt;</w:t>
      </w:r>
    </w:p>
    <w:p w14:paraId="5D3FED78" w14:textId="77777777" w:rsidR="00FA4100" w:rsidRDefault="00FA4100" w:rsidP="008B164D"/>
    <w:p w14:paraId="3C90DD34" w14:textId="0E4FD06B" w:rsidR="00FA4100" w:rsidRDefault="00AF502B" w:rsidP="00F3144E">
      <w:pPr>
        <w:pStyle w:val="Questionstyle"/>
        <w:spacing w:after="240" w:line="259" w:lineRule="auto"/>
        <w:ind w:left="851" w:hanging="851"/>
        <w:contextualSpacing w:val="0"/>
      </w:pPr>
      <w:r w:rsidRPr="00AF502B">
        <w:t>Do you agree with ESMA’s proposal on penalties? Please elaborate your answer</w:t>
      </w:r>
      <w:r w:rsidR="00FA4100">
        <w:t>.</w:t>
      </w:r>
    </w:p>
    <w:p w14:paraId="1C82DBD3" w14:textId="5987E8AA" w:rsidR="00FA4100" w:rsidRDefault="00FA4100" w:rsidP="00FA4100">
      <w:pPr>
        <w:spacing w:after="0"/>
      </w:pPr>
      <w:r>
        <w:t>&lt;ESMA_QUESTION</w:t>
      </w:r>
      <w:r w:rsidR="00F93646">
        <w:t>_</w:t>
      </w:r>
      <w:r w:rsidR="00DD54B5">
        <w:t>CP1</w:t>
      </w:r>
      <w:r w:rsidR="00F93646">
        <w:t>_</w:t>
      </w:r>
      <w:r w:rsidR="00737DD9">
        <w:t>38</w:t>
      </w:r>
      <w:r>
        <w:t>&gt;</w:t>
      </w:r>
    </w:p>
    <w:p w14:paraId="1F697461" w14:textId="77777777" w:rsidR="0099703F" w:rsidRDefault="0099703F" w:rsidP="0099703F">
      <w:pPr>
        <w:contextualSpacing/>
      </w:pPr>
      <w:permStart w:id="1252924652" w:edGrp="everyone"/>
      <w:r>
        <w:t xml:space="preserve">Penalties are generally not standard practice amongst providers of other goods and services used by our members. Accordingly, we recommend ESMA make clear that penalties are not considered appropriate in the context of market data agreements as we see no justification for them. </w:t>
      </w:r>
    </w:p>
    <w:permEnd w:id="1252924652"/>
    <w:p w14:paraId="73EC67D4" w14:textId="64CBF251" w:rsidR="00FA4100" w:rsidRDefault="00FA4100" w:rsidP="00FA4100">
      <w:pPr>
        <w:spacing w:after="0"/>
      </w:pPr>
      <w:r>
        <w:t>&lt;ESMA_QUESTION</w:t>
      </w:r>
      <w:r w:rsidR="00F93646">
        <w:t>_</w:t>
      </w:r>
      <w:r w:rsidR="00DD54B5">
        <w:t>CP1</w:t>
      </w:r>
      <w:r w:rsidR="00F93646">
        <w:t>_</w:t>
      </w:r>
      <w:r w:rsidR="00737DD9">
        <w:t>38</w:t>
      </w:r>
      <w:r>
        <w:t>&gt;</w:t>
      </w:r>
    </w:p>
    <w:p w14:paraId="3BB609F6" w14:textId="77777777" w:rsidR="00FA4100" w:rsidRDefault="00FA4100" w:rsidP="008B164D"/>
    <w:p w14:paraId="3B70DEF6" w14:textId="70AD8F06" w:rsidR="00FA4100" w:rsidRDefault="00AF502B" w:rsidP="00F3144E">
      <w:pPr>
        <w:pStyle w:val="Questionstyle"/>
        <w:spacing w:after="240" w:line="259" w:lineRule="auto"/>
        <w:ind w:left="851" w:hanging="851"/>
        <w:contextualSpacing w:val="0"/>
      </w:pPr>
      <w:r w:rsidRPr="00AF502B">
        <w:t>Do you agree with ESMA’s proposal on audits? Please elaborate your answer</w:t>
      </w:r>
      <w:r w:rsidR="00FA4100">
        <w:t>.</w:t>
      </w:r>
    </w:p>
    <w:p w14:paraId="7426466D" w14:textId="71077962" w:rsidR="00FA4100" w:rsidRDefault="00FA4100" w:rsidP="00FA4100">
      <w:pPr>
        <w:spacing w:after="0"/>
      </w:pPr>
      <w:r>
        <w:t>&lt;ESMA_QUESTION</w:t>
      </w:r>
      <w:r w:rsidR="00F93646">
        <w:t>_</w:t>
      </w:r>
      <w:r w:rsidR="00DD54B5">
        <w:t>CP1</w:t>
      </w:r>
      <w:r w:rsidR="00F93646">
        <w:t>_</w:t>
      </w:r>
      <w:r w:rsidR="00737DD9">
        <w:t>39</w:t>
      </w:r>
      <w:r>
        <w:t>&gt;</w:t>
      </w:r>
    </w:p>
    <w:p w14:paraId="6E2DFA0C" w14:textId="357D8D98" w:rsidR="00787EDB" w:rsidRDefault="00787EDB" w:rsidP="00787EDB">
      <w:pPr>
        <w:rPr>
          <w:rFonts w:eastAsia="Times New Roman"/>
        </w:rPr>
      </w:pPr>
      <w:permStart w:id="2034649205" w:edGrp="everyone"/>
      <w:r>
        <w:rPr>
          <w:rFonts w:eastAsia="Times New Roman"/>
        </w:rPr>
        <w:t xml:space="preserve">FIA EPTA members appreciate the thought behind the audit proposals made by ESMA. However, we believe they should go further to rebalance the relationship between data providers and consumers so it more closely reflects the basis of any good faith commercial relationship. </w:t>
      </w:r>
    </w:p>
    <w:p w14:paraId="74DE9172" w14:textId="77777777" w:rsidR="00787EDB" w:rsidRDefault="00787EDB" w:rsidP="00787EDB">
      <w:pPr>
        <w:rPr>
          <w:rFonts w:eastAsia="Times New Roman"/>
        </w:rPr>
      </w:pPr>
      <w:r>
        <w:rPr>
          <w:rFonts w:eastAsia="Times New Roman"/>
        </w:rPr>
        <w:lastRenderedPageBreak/>
        <w:t>On this basis, our members support ESMA’s proposal that</w:t>
      </w:r>
      <w:r>
        <w:rPr>
          <w:rFonts w:eastAsia="Times New Roman"/>
        </w:rPr>
        <w:t xml:space="preserve"> </w:t>
      </w:r>
      <w:r>
        <w:rPr>
          <w:rFonts w:eastAsia="Times New Roman"/>
        </w:rPr>
        <w:t xml:space="preserve">audits should be an exception rather than a commonly accepted practice, only permitted when there is evidence or a reasonable belief founded in fact of a material breach of the market data agreement. </w:t>
      </w:r>
    </w:p>
    <w:p w14:paraId="2EFCF926" w14:textId="3C38D241" w:rsidR="00787EDB" w:rsidRPr="00CE2A4B" w:rsidRDefault="00787EDB" w:rsidP="00787EDB">
      <w:pPr>
        <w:rPr>
          <w:rFonts w:eastAsia="Times New Roman"/>
        </w:rPr>
      </w:pPr>
      <w:r>
        <w:rPr>
          <w:rFonts w:eastAsia="Times New Roman"/>
        </w:rPr>
        <w:t xml:space="preserve">In any event, our members believe audit practices should be subject to the following </w:t>
      </w:r>
      <w:r>
        <w:rPr>
          <w:rFonts w:eastAsia="Times New Roman"/>
        </w:rPr>
        <w:t xml:space="preserve">additional </w:t>
      </w:r>
      <w:r>
        <w:rPr>
          <w:rFonts w:eastAsia="Times New Roman"/>
        </w:rPr>
        <w:t>requirements:</w:t>
      </w:r>
    </w:p>
    <w:p w14:paraId="282A6F54" w14:textId="77777777" w:rsidR="00587932" w:rsidRPr="00587932" w:rsidRDefault="00787EDB" w:rsidP="00587932">
      <w:pPr>
        <w:pStyle w:val="ListParagraph"/>
        <w:numPr>
          <w:ilvl w:val="0"/>
          <w:numId w:val="42"/>
        </w:numPr>
        <w:spacing w:after="160" w:line="259" w:lineRule="auto"/>
        <w:jc w:val="left"/>
        <w:rPr>
          <w:rFonts w:eastAsia="Times New Roman"/>
        </w:rPr>
      </w:pPr>
      <w:r w:rsidRPr="00E35D28">
        <w:rPr>
          <w:rFonts w:eastAsia="Times New Roman"/>
        </w:rPr>
        <w:t xml:space="preserve">The </w:t>
      </w:r>
      <w:r w:rsidRPr="00E35D28">
        <w:rPr>
          <w:rFonts w:eastAsia="Times New Roman"/>
          <w:b/>
          <w:bCs/>
        </w:rPr>
        <w:t>scope</w:t>
      </w:r>
      <w:r w:rsidRPr="00E35D28">
        <w:rPr>
          <w:rFonts w:eastAsia="Times New Roman"/>
        </w:rPr>
        <w:t xml:space="preserve"> of an audit (business lines, feeds, time period/look-back) should be defined prior to the audit commencing and be binding throughout the audit to prevent scope creep over time</w:t>
      </w:r>
      <w:r>
        <w:rPr>
          <w:rFonts w:eastAsia="Times New Roman"/>
        </w:rPr>
        <w:t>, including specifying which contract the data provider is using as the basis for an audit</w:t>
      </w:r>
      <w:r w:rsidRPr="00E35D28">
        <w:rPr>
          <w:rFonts w:eastAsia="Times New Roman"/>
        </w:rPr>
        <w:t>. The audit look-back period should be capped at 2 years</w:t>
      </w:r>
      <w:r>
        <w:rPr>
          <w:rFonts w:eastAsia="Times New Roman"/>
        </w:rPr>
        <w:t>, rather than the 3 years suggested by ESMA</w:t>
      </w:r>
      <w:r w:rsidRPr="00E35D28">
        <w:rPr>
          <w:rFonts w:eastAsia="Times New Roman"/>
        </w:rPr>
        <w:t>. In our members’ experience, audits often expand in scope and time period after they have commenced so these parameters should be set up front and adhered to.</w:t>
      </w:r>
      <w:r>
        <w:rPr>
          <w:rFonts w:eastAsia="Times New Roman"/>
        </w:rPr>
        <w:t xml:space="preserve"> Audit scope should respect contractual privity. If the market data client has a data agreement only with a redistributor then it is the redistributor’s responsibility to ensure any conditions of the venue are complied with.</w:t>
      </w:r>
      <w:r w:rsidRPr="00E35D28">
        <w:rPr>
          <w:rFonts w:eastAsia="Times New Roman"/>
        </w:rPr>
        <w:t xml:space="preserve"> </w:t>
      </w:r>
    </w:p>
    <w:p w14:paraId="6550ED5A" w14:textId="77777777" w:rsidR="00587932" w:rsidRPr="00587932" w:rsidRDefault="00587932" w:rsidP="00587932">
      <w:pPr>
        <w:pStyle w:val="ListParagraph"/>
        <w:spacing w:after="160" w:line="259" w:lineRule="auto"/>
        <w:jc w:val="left"/>
        <w:rPr>
          <w:rFonts w:eastAsia="Times New Roman"/>
        </w:rPr>
      </w:pPr>
    </w:p>
    <w:p w14:paraId="61977229" w14:textId="786A73FD" w:rsidR="00BE0539" w:rsidRPr="00BE0539" w:rsidRDefault="00587932" w:rsidP="00BE0539">
      <w:pPr>
        <w:pStyle w:val="ListParagraph"/>
        <w:numPr>
          <w:ilvl w:val="0"/>
          <w:numId w:val="42"/>
        </w:numPr>
        <w:spacing w:after="160" w:line="259" w:lineRule="auto"/>
        <w:jc w:val="left"/>
        <w:rPr>
          <w:rFonts w:eastAsia="Times New Roman"/>
        </w:rPr>
      </w:pPr>
      <w:r w:rsidRPr="00E35D28">
        <w:rPr>
          <w:rFonts w:eastAsia="Times New Roman"/>
          <w:b/>
          <w:bCs/>
        </w:rPr>
        <w:t>Time limited</w:t>
      </w:r>
      <w:r>
        <w:rPr>
          <w:rFonts w:eastAsia="Times New Roman"/>
          <w:b/>
          <w:bCs/>
        </w:rPr>
        <w:t>:</w:t>
      </w:r>
      <w:r w:rsidRPr="00E35D28">
        <w:rPr>
          <w:rFonts w:eastAsia="Times New Roman"/>
          <w:b/>
          <w:bCs/>
        </w:rPr>
        <w:t xml:space="preserve"> </w:t>
      </w:r>
      <w:r w:rsidRPr="00E35D28">
        <w:rPr>
          <w:rFonts w:eastAsia="Times New Roman"/>
        </w:rPr>
        <w:t>A reasonable fixed time should be set in advance within which the audit must be completed, including follow-up questions to prevent ongoing audits over many months.</w:t>
      </w:r>
      <w:r w:rsidR="00E65AA7">
        <w:rPr>
          <w:rFonts w:eastAsia="Times New Roman"/>
        </w:rPr>
        <w:br/>
      </w:r>
    </w:p>
    <w:p w14:paraId="0792B006" w14:textId="77777777" w:rsidR="00587932" w:rsidRDefault="00587932" w:rsidP="00587932">
      <w:pPr>
        <w:pStyle w:val="ListParagraph"/>
        <w:numPr>
          <w:ilvl w:val="0"/>
          <w:numId w:val="42"/>
        </w:numPr>
        <w:spacing w:after="160" w:line="259" w:lineRule="auto"/>
        <w:jc w:val="left"/>
        <w:rPr>
          <w:rFonts w:eastAsia="Times New Roman"/>
        </w:rPr>
      </w:pPr>
      <w:r w:rsidRPr="00B26973">
        <w:rPr>
          <w:rFonts w:eastAsia="Times New Roman"/>
          <w:b/>
          <w:bCs/>
        </w:rPr>
        <w:t xml:space="preserve">Data policy scope: </w:t>
      </w:r>
      <w:r w:rsidRPr="00B26973">
        <w:rPr>
          <w:rFonts w:eastAsia="Times New Roman"/>
        </w:rPr>
        <w:t xml:space="preserve">a data provider should make clear in advance which policies apply to the period subject to audit and align </w:t>
      </w:r>
      <w:r>
        <w:rPr>
          <w:rFonts w:eastAsia="Times New Roman"/>
        </w:rPr>
        <w:t>the</w:t>
      </w:r>
      <w:r w:rsidRPr="00B26973">
        <w:rPr>
          <w:rFonts w:eastAsia="Times New Roman"/>
        </w:rPr>
        <w:t xml:space="preserve"> audit period to </w:t>
      </w:r>
      <w:r>
        <w:rPr>
          <w:rFonts w:eastAsia="Times New Roman"/>
        </w:rPr>
        <w:t xml:space="preserve">the </w:t>
      </w:r>
      <w:r w:rsidRPr="00B26973">
        <w:rPr>
          <w:rFonts w:eastAsia="Times New Roman"/>
        </w:rPr>
        <w:t xml:space="preserve">policy application period. Historical policies relevant to the audit </w:t>
      </w:r>
      <w:r>
        <w:rPr>
          <w:rFonts w:eastAsia="Times New Roman"/>
        </w:rPr>
        <w:t>should be</w:t>
      </w:r>
      <w:r w:rsidRPr="00B26973">
        <w:rPr>
          <w:rFonts w:eastAsia="Times New Roman"/>
        </w:rPr>
        <w:t xml:space="preserve"> made available to users to support compliance. </w:t>
      </w:r>
    </w:p>
    <w:p w14:paraId="21777D98" w14:textId="77777777" w:rsidR="00587932" w:rsidRPr="00B45547" w:rsidRDefault="00587932" w:rsidP="00587932">
      <w:pPr>
        <w:pStyle w:val="ListParagraph"/>
        <w:rPr>
          <w:rFonts w:eastAsia="Times New Roman"/>
        </w:rPr>
      </w:pPr>
    </w:p>
    <w:p w14:paraId="0019F887" w14:textId="77777777" w:rsidR="00587932" w:rsidRDefault="00587932" w:rsidP="00587932">
      <w:pPr>
        <w:pStyle w:val="ListParagraph"/>
        <w:numPr>
          <w:ilvl w:val="0"/>
          <w:numId w:val="42"/>
        </w:numPr>
        <w:spacing w:after="160" w:line="259" w:lineRule="auto"/>
        <w:jc w:val="left"/>
        <w:rPr>
          <w:rFonts w:eastAsia="Times New Roman"/>
        </w:rPr>
      </w:pPr>
      <w:r w:rsidRPr="00A25513">
        <w:rPr>
          <w:rFonts w:eastAsia="Times New Roman"/>
          <w:b/>
          <w:bCs/>
        </w:rPr>
        <w:t>Limited frequency:</w:t>
      </w:r>
      <w:r>
        <w:rPr>
          <w:rFonts w:eastAsia="Times New Roman"/>
        </w:rPr>
        <w:t xml:space="preserve"> based on the premise outlined above that an audit should only be undertaken on an exceptional basis, there should be at least 2-3 years between audits (the conclusion of one and the commencement of another).</w:t>
      </w:r>
    </w:p>
    <w:p w14:paraId="7F601161" w14:textId="77777777" w:rsidR="00587932" w:rsidRPr="00A25F38" w:rsidRDefault="00587932" w:rsidP="00587932">
      <w:pPr>
        <w:pStyle w:val="ListParagraph"/>
        <w:rPr>
          <w:rFonts w:eastAsia="Times New Roman"/>
        </w:rPr>
      </w:pPr>
    </w:p>
    <w:p w14:paraId="4FB56791" w14:textId="6A39BD3D" w:rsidR="004A0EDB" w:rsidRPr="004A0EDB" w:rsidRDefault="00587932" w:rsidP="004A0EDB">
      <w:pPr>
        <w:pStyle w:val="ListParagraph"/>
        <w:numPr>
          <w:ilvl w:val="0"/>
          <w:numId w:val="42"/>
        </w:numPr>
        <w:spacing w:after="160" w:line="259" w:lineRule="auto"/>
        <w:jc w:val="left"/>
        <w:rPr>
          <w:rFonts w:eastAsia="Times New Roman"/>
        </w:rPr>
      </w:pPr>
      <w:r w:rsidRPr="00893797">
        <w:rPr>
          <w:rFonts w:eastAsia="Times New Roman"/>
          <w:b/>
          <w:bCs/>
        </w:rPr>
        <w:t>Information handling standards</w:t>
      </w:r>
      <w:r>
        <w:rPr>
          <w:rFonts w:eastAsia="Times New Roman"/>
        </w:rPr>
        <w:t>: data providers and, if used, external third party auditors, should be subject to reasonable professional standards regarding use and handling of information. The body conducting the audit should be required to handle information consistently with applicable data protection regulation (including GDPR). Data providers often use a third party to conduct audits and the same third party is often used by several different data providers. These third parties should be subject to reasonable professional standards regarding use and handling of information so there’s not improper use of firm information across different data provider clients</w:t>
      </w:r>
      <w:r w:rsidR="007E7A15">
        <w:rPr>
          <w:rFonts w:eastAsia="Times New Roman"/>
        </w:rPr>
        <w:t xml:space="preserve"> of the third party auditor</w:t>
      </w:r>
      <w:r>
        <w:rPr>
          <w:rFonts w:eastAsia="Times New Roman"/>
        </w:rPr>
        <w:t>.</w:t>
      </w:r>
      <w:r w:rsidR="004A0EDB">
        <w:rPr>
          <w:rFonts w:eastAsia="Times New Roman"/>
        </w:rPr>
        <w:br/>
      </w:r>
    </w:p>
    <w:p w14:paraId="39D6A50E" w14:textId="77777777" w:rsidR="00BC5E3C" w:rsidRDefault="00BC5E3C" w:rsidP="00BC5E3C">
      <w:pPr>
        <w:pStyle w:val="ListParagraph"/>
        <w:numPr>
          <w:ilvl w:val="0"/>
          <w:numId w:val="42"/>
        </w:numPr>
        <w:spacing w:after="160" w:line="259" w:lineRule="auto"/>
        <w:jc w:val="left"/>
        <w:rPr>
          <w:rFonts w:eastAsia="Times New Roman"/>
        </w:rPr>
      </w:pPr>
      <w:r w:rsidRPr="00E84B88">
        <w:rPr>
          <w:rFonts w:eastAsia="Times New Roman"/>
          <w:b/>
          <w:bCs/>
        </w:rPr>
        <w:t>Audit findings should potentially benefit the consumer:</w:t>
      </w:r>
      <w:r>
        <w:rPr>
          <w:rFonts w:eastAsia="Times New Roman"/>
        </w:rPr>
        <w:t xml:space="preserve"> typically a data consumer will be required to pay additional fees as a consequence of findings arising from an audit. If an audit reveals that a consumer has overpaid for market data, there should be scope for the consumer to be reimbursed for that overpayment. This is not typically the case today. </w:t>
      </w:r>
      <w:r>
        <w:rPr>
          <w:rFonts w:eastAsia="Times New Roman"/>
        </w:rPr>
        <w:lastRenderedPageBreak/>
        <w:t>Any time limit on retrospective liability should be mutual as should the application of interest to outstanding liabilities, whether payable to or by the market data client.</w:t>
      </w:r>
    </w:p>
    <w:p w14:paraId="7A86DCE1" w14:textId="77777777" w:rsidR="00BC5E3C" w:rsidRPr="005F7635" w:rsidRDefault="00BC5E3C" w:rsidP="00BC5E3C">
      <w:pPr>
        <w:pStyle w:val="ListParagraph"/>
        <w:rPr>
          <w:rFonts w:eastAsia="Times New Roman"/>
        </w:rPr>
      </w:pPr>
    </w:p>
    <w:p w14:paraId="39EEE0CD" w14:textId="58C40F2D" w:rsidR="00787EDB" w:rsidRPr="008E084D" w:rsidRDefault="00BC5E3C" w:rsidP="008E084D">
      <w:pPr>
        <w:pStyle w:val="ListParagraph"/>
        <w:numPr>
          <w:ilvl w:val="0"/>
          <w:numId w:val="42"/>
        </w:numPr>
        <w:spacing w:after="160" w:line="259" w:lineRule="auto"/>
        <w:jc w:val="left"/>
        <w:rPr>
          <w:rFonts w:eastAsia="Times New Roman"/>
        </w:rPr>
      </w:pPr>
      <w:r w:rsidRPr="005F7635">
        <w:rPr>
          <w:rFonts w:eastAsia="Times New Roman"/>
          <w:b/>
          <w:bCs/>
        </w:rPr>
        <w:t>Third party auditors to receive fixed fees only:</w:t>
      </w:r>
      <w:r>
        <w:rPr>
          <w:rFonts w:eastAsia="Times New Roman"/>
        </w:rPr>
        <w:t xml:space="preserve"> </w:t>
      </w:r>
      <w:r>
        <w:t xml:space="preserve">Engagement of external auditors should be subject to a fixed fee regime rather than being incentive based by reference to penalty recovery. </w:t>
      </w:r>
      <w:r w:rsidRPr="00D95539">
        <w:t>Furthermore, third party auditors should only be used in</w:t>
      </w:r>
      <w:r>
        <w:t xml:space="preserve"> very</w:t>
      </w:r>
      <w:r w:rsidRPr="00D95539">
        <w:t xml:space="preserve"> limited circumstances,</w:t>
      </w:r>
      <w:r>
        <w:t xml:space="preserve"> where it is not practicable for the exchange to conduct the audit itself,</w:t>
      </w:r>
      <w:r w:rsidRPr="00D95539">
        <w:t xml:space="preserve"> such as</w:t>
      </w:r>
      <w:r>
        <w:t xml:space="preserve"> where an audit is conducted in a different region/time-zone to where the exchange is based (e.g. a European exchange auditing an Asia-based consumer).</w:t>
      </w:r>
      <w:r w:rsidRPr="00D95539">
        <w:t xml:space="preserve"> </w:t>
      </w:r>
      <w:r>
        <w:t xml:space="preserve"> </w:t>
      </w:r>
    </w:p>
    <w:permEnd w:id="2034649205"/>
    <w:p w14:paraId="7AB11DDF" w14:textId="1947D185" w:rsidR="00FA4100" w:rsidRDefault="00FA4100" w:rsidP="00FA4100">
      <w:pPr>
        <w:spacing w:after="0"/>
      </w:pPr>
      <w:r>
        <w:t>&lt;ESMA_QUESTION</w:t>
      </w:r>
      <w:r w:rsidR="00F93646">
        <w:t>_</w:t>
      </w:r>
      <w:r w:rsidR="00DD54B5">
        <w:t>CP1</w:t>
      </w:r>
      <w:r w:rsidR="00F93646">
        <w:t>_</w:t>
      </w:r>
      <w:r w:rsidR="00737DD9">
        <w:t>39</w:t>
      </w:r>
      <w:r>
        <w:t>&gt;</w:t>
      </w:r>
    </w:p>
    <w:p w14:paraId="38D7824D" w14:textId="5520E4A9" w:rsidR="00692ADF" w:rsidRDefault="00692ADF" w:rsidP="008B164D"/>
    <w:p w14:paraId="53B6EDB9" w14:textId="381486C6" w:rsidR="00FA4100" w:rsidRDefault="00AF502B" w:rsidP="00F3144E">
      <w:pPr>
        <w:pStyle w:val="Questionstyle"/>
        <w:spacing w:after="240" w:line="259" w:lineRule="auto"/>
        <w:ind w:left="851" w:hanging="851"/>
        <w:contextualSpacing w:val="0"/>
      </w:pPr>
      <w:r w:rsidRPr="00AF502B">
        <w:t>Would you adopt any additional safeguards to ensure market data agreements terms and conditions are fair and unbiased? Please elaborate your answer</w:t>
      </w:r>
      <w:r w:rsidR="00FA4100">
        <w:t>.</w:t>
      </w:r>
    </w:p>
    <w:p w14:paraId="2BCAA8D3" w14:textId="1B1A793D" w:rsidR="00FA4100" w:rsidRDefault="00FA4100" w:rsidP="00FA4100">
      <w:pPr>
        <w:spacing w:after="0"/>
      </w:pPr>
      <w:r>
        <w:t>&lt;ESMA_QUESTION</w:t>
      </w:r>
      <w:r w:rsidR="00F93646">
        <w:t>_</w:t>
      </w:r>
      <w:r w:rsidR="00DD54B5">
        <w:t>CP1</w:t>
      </w:r>
      <w:r w:rsidR="00F93646">
        <w:t>_</w:t>
      </w:r>
      <w:r w:rsidR="00737DD9">
        <w:t>40</w:t>
      </w:r>
      <w:r>
        <w:t>&gt;</w:t>
      </w:r>
    </w:p>
    <w:p w14:paraId="18BB7F98" w14:textId="77777777" w:rsidR="00FA4100" w:rsidRDefault="00FA4100" w:rsidP="00FA4100">
      <w:pPr>
        <w:spacing w:after="0"/>
      </w:pPr>
      <w:permStart w:id="1583374814" w:edGrp="everyone"/>
      <w:r>
        <w:t>TYPE YOUR TEXT HERE</w:t>
      </w:r>
    </w:p>
    <w:permEnd w:id="1583374814"/>
    <w:p w14:paraId="6C1AB4FF" w14:textId="4ED96450" w:rsidR="00FA4100" w:rsidRDefault="00FA4100" w:rsidP="00FA4100">
      <w:pPr>
        <w:spacing w:after="0"/>
      </w:pPr>
      <w:r>
        <w:t>&lt;ESMA_QUESTION</w:t>
      </w:r>
      <w:r w:rsidR="00F93646">
        <w:t>_</w:t>
      </w:r>
      <w:r w:rsidR="00DD54B5">
        <w:t>CP1</w:t>
      </w:r>
      <w:r w:rsidR="00F93646">
        <w:t>_</w:t>
      </w:r>
      <w:r w:rsidR="00737DD9">
        <w:t>40</w:t>
      </w:r>
      <w:r>
        <w:t>&gt;</w:t>
      </w:r>
    </w:p>
    <w:p w14:paraId="1EB7D05F" w14:textId="77777777" w:rsidR="00AF502B" w:rsidRDefault="00AF502B" w:rsidP="008B164D"/>
    <w:p w14:paraId="57124A91" w14:textId="2235F67A" w:rsidR="00FA4100" w:rsidRDefault="00AF502B" w:rsidP="00F3144E">
      <w:pPr>
        <w:pStyle w:val="Questionstyle"/>
        <w:spacing w:after="240" w:line="259" w:lineRule="auto"/>
        <w:ind w:left="851" w:hanging="851"/>
        <w:contextualSpacing w:val="0"/>
      </w:pPr>
      <w:r w:rsidRPr="00AF502B">
        <w:t>Do you agree with the standardised publication template set out in Annex I of the draft RTS? Do you have any comments and suggestions to improve the standardised publication format and the accompanying instructions? Please elaborate your answer</w:t>
      </w:r>
      <w:r w:rsidR="00FA4100">
        <w:t>.</w:t>
      </w:r>
    </w:p>
    <w:p w14:paraId="73C37F21" w14:textId="2482C85A" w:rsidR="00FA4100" w:rsidRDefault="00FA4100" w:rsidP="00FA4100">
      <w:pPr>
        <w:spacing w:after="0"/>
      </w:pPr>
      <w:r>
        <w:t>&lt;ESMA_QUESTION</w:t>
      </w:r>
      <w:r w:rsidR="00F93646">
        <w:t>_</w:t>
      </w:r>
      <w:r w:rsidR="00DD54B5">
        <w:t>CP1</w:t>
      </w:r>
      <w:r w:rsidR="00F93646">
        <w:t>_</w:t>
      </w:r>
      <w:r w:rsidR="00737DD9">
        <w:t>41</w:t>
      </w:r>
      <w:r>
        <w:t>&gt;</w:t>
      </w:r>
    </w:p>
    <w:p w14:paraId="2DF108C1" w14:textId="77777777" w:rsidR="00FA4100" w:rsidRDefault="00FA4100" w:rsidP="00FA4100">
      <w:pPr>
        <w:spacing w:after="0"/>
      </w:pPr>
      <w:permStart w:id="1168114055" w:edGrp="everyone"/>
      <w:r>
        <w:t>TYPE YOUR TEXT HERE</w:t>
      </w:r>
    </w:p>
    <w:permEnd w:id="1168114055"/>
    <w:p w14:paraId="12E9A005" w14:textId="4C32666D" w:rsidR="00FA4100" w:rsidRDefault="00FA4100" w:rsidP="00FA4100">
      <w:pPr>
        <w:spacing w:after="0"/>
      </w:pPr>
      <w:r>
        <w:t>&lt;ESMA_QUESTION</w:t>
      </w:r>
      <w:r w:rsidR="00F93646">
        <w:t>_</w:t>
      </w:r>
      <w:r w:rsidR="00DD54B5">
        <w:t>CP1</w:t>
      </w:r>
      <w:r w:rsidR="00F93646">
        <w:t>_</w:t>
      </w:r>
      <w:r w:rsidR="00737DD9">
        <w:t>41</w:t>
      </w:r>
      <w:r>
        <w:t>&gt;</w:t>
      </w:r>
    </w:p>
    <w:p w14:paraId="64E8A7F3" w14:textId="77777777" w:rsidR="00FA4100" w:rsidRDefault="00FA4100" w:rsidP="008B164D"/>
    <w:p w14:paraId="30092211" w14:textId="22E4E6FF" w:rsidR="00FA4100" w:rsidRDefault="00AF502B" w:rsidP="006F2474">
      <w:pPr>
        <w:pStyle w:val="Questionstyle"/>
        <w:spacing w:after="240" w:line="259" w:lineRule="auto"/>
        <w:ind w:left="851" w:hanging="851"/>
        <w:contextualSpacing w:val="0"/>
      </w:pPr>
      <w:r w:rsidRPr="00AF502B">
        <w:t>Do you agree with the proposed list of standard terminology and definitions? Is there any other terminology used in market data policies that would need to be standardised? If yes, please give examples and suggestions of definitions</w:t>
      </w:r>
      <w:r w:rsidR="00FA4100">
        <w:t>.</w:t>
      </w:r>
    </w:p>
    <w:p w14:paraId="696CC1A9" w14:textId="6B5B5153" w:rsidR="00FA4100" w:rsidRDefault="00FA4100" w:rsidP="00FA4100">
      <w:pPr>
        <w:spacing w:after="0"/>
      </w:pPr>
      <w:r>
        <w:t>&lt;ESMA_QUESTION</w:t>
      </w:r>
      <w:r w:rsidR="00F93646">
        <w:t>_</w:t>
      </w:r>
      <w:r w:rsidR="00DD54B5">
        <w:t>CP1</w:t>
      </w:r>
      <w:r w:rsidR="00F93646">
        <w:t>_</w:t>
      </w:r>
      <w:r w:rsidR="00737DD9">
        <w:t>42</w:t>
      </w:r>
      <w:r>
        <w:t>&gt;</w:t>
      </w:r>
    </w:p>
    <w:p w14:paraId="51299193" w14:textId="77777777" w:rsidR="00A96058" w:rsidRDefault="00A96058" w:rsidP="00A96058">
      <w:pPr>
        <w:contextualSpacing/>
      </w:pPr>
      <w:permStart w:id="658192178" w:edGrp="everyone"/>
      <w:r>
        <w:t xml:space="preserve">FIA EPTA members believe a definition of “derived data” should be included to facilitate standardization of this concept. </w:t>
      </w:r>
    </w:p>
    <w:p w14:paraId="42C29642" w14:textId="77777777" w:rsidR="00A96058" w:rsidRDefault="00A96058" w:rsidP="00A96058">
      <w:pPr>
        <w:contextualSpacing/>
      </w:pPr>
    </w:p>
    <w:p w14:paraId="3E0B445C" w14:textId="77777777" w:rsidR="00A96058" w:rsidRDefault="00A96058" w:rsidP="00A96058">
      <w:pPr>
        <w:contextualSpacing/>
      </w:pPr>
      <w:r>
        <w:t xml:space="preserve">As discussed above, many market data providers currently require users to pay for an additional license for “derived data” which is typically costly and expansive in scope, such that it can capture simple modifications made to core market data for internal purposes including application of a simple formula for P&amp;L calculations. </w:t>
      </w:r>
    </w:p>
    <w:p w14:paraId="514A43DB" w14:textId="77777777" w:rsidR="00A96058" w:rsidRDefault="00A96058" w:rsidP="00A96058">
      <w:pPr>
        <w:contextualSpacing/>
      </w:pPr>
    </w:p>
    <w:p w14:paraId="2919F882" w14:textId="77777777" w:rsidR="00A96058" w:rsidRDefault="00A96058" w:rsidP="00A96058">
      <w:pPr>
        <w:contextualSpacing/>
        <w:rPr>
          <w:b/>
        </w:rPr>
      </w:pPr>
      <w:r>
        <w:lastRenderedPageBreak/>
        <w:t>Nevertheless, FIA EPTA members acknowledge data providers have a valid commercial interest in derived data when used to create products for sale and distribution to third parties for commercial purposes which justifies an exception to the principle that users pay the same fee regardless of what the data will be used for. Here there is a vital distinction between redistribution externally (which we agree can validly be charged for) and redistribution internally (which is unduly restrictive and results in punitive costs charged to the consumer). However, this exception should be construed narrowly and consistently across providers. Thus, we propose the following definition for “derived data”:</w:t>
      </w:r>
    </w:p>
    <w:p w14:paraId="3E4AE185" w14:textId="77777777" w:rsidR="001D7E97" w:rsidRDefault="001D7E97" w:rsidP="00A96058">
      <w:pPr>
        <w:contextualSpacing/>
        <w:rPr>
          <w:b/>
        </w:rPr>
      </w:pPr>
    </w:p>
    <w:p w14:paraId="7FB57A88" w14:textId="6C7BC8B3" w:rsidR="001D7E97" w:rsidRPr="00E84A2F" w:rsidRDefault="001D7E97" w:rsidP="001D7E97">
      <w:pPr>
        <w:contextualSpacing/>
        <w:rPr>
          <w:i/>
          <w:iCs/>
        </w:rPr>
      </w:pPr>
      <w:r w:rsidRPr="00E84A2F">
        <w:rPr>
          <w:i/>
          <w:iCs/>
        </w:rPr>
        <w:t>“</w:t>
      </w:r>
      <w:r w:rsidRPr="00E84A2F">
        <w:rPr>
          <w:b/>
          <w:bCs/>
          <w:i/>
          <w:iCs/>
        </w:rPr>
        <w:t>Derived data</w:t>
      </w:r>
      <w:r w:rsidRPr="00E84A2F">
        <w:rPr>
          <w:i/>
          <w:iCs/>
        </w:rPr>
        <w:t>” shall indicate market data used in the creation, settlement maintenance or support of derivative works by a market data client for commercial purposes connected to sale or use of those derivative works by third parties, including in relation to indices or financial products. It shall not include use of market data by the market data client for internal purposes including</w:t>
      </w:r>
      <w:r w:rsidR="00300E3F">
        <w:rPr>
          <w:i/>
          <w:iCs/>
        </w:rPr>
        <w:t xml:space="preserve"> but not limited to</w:t>
      </w:r>
      <w:r w:rsidRPr="00E84A2F">
        <w:rPr>
          <w:i/>
          <w:iCs/>
        </w:rPr>
        <w:t xml:space="preserve"> risk management and accounting functions.</w:t>
      </w:r>
    </w:p>
    <w:p w14:paraId="702ABDA5" w14:textId="77777777" w:rsidR="001D7E97" w:rsidRDefault="001D7E97" w:rsidP="001D7E97">
      <w:pPr>
        <w:contextualSpacing/>
      </w:pPr>
    </w:p>
    <w:p w14:paraId="0E1BAB0D" w14:textId="795300AD" w:rsidR="001D7E97" w:rsidRDefault="001D7E97" w:rsidP="00A96058">
      <w:pPr>
        <w:contextualSpacing/>
      </w:pPr>
      <w:r>
        <w:t>Definitions of “Display Data” and “Non-display Data” would need to be adjusted accordingly.</w:t>
      </w:r>
    </w:p>
    <w:permEnd w:id="658192178"/>
    <w:p w14:paraId="37035D9C" w14:textId="5C1C18F6" w:rsidR="00FA4100" w:rsidRDefault="00FA4100" w:rsidP="00FA4100">
      <w:pPr>
        <w:spacing w:after="0"/>
      </w:pPr>
      <w:r>
        <w:t>&lt;ESMA_QUESTION</w:t>
      </w:r>
      <w:r w:rsidR="00F93646">
        <w:t>_</w:t>
      </w:r>
      <w:r w:rsidR="00DD54B5">
        <w:t>CP1</w:t>
      </w:r>
      <w:r w:rsidR="00F93646">
        <w:t>_</w:t>
      </w:r>
      <w:r w:rsidR="00737DD9">
        <w:t>42</w:t>
      </w:r>
      <w:r>
        <w:t>&gt;</w:t>
      </w:r>
    </w:p>
    <w:p w14:paraId="4256109A" w14:textId="77777777" w:rsidR="00FA4100" w:rsidRDefault="00FA4100" w:rsidP="008B164D"/>
    <w:p w14:paraId="7AEA9870" w14:textId="7207F22F" w:rsidR="00FA4100" w:rsidRDefault="00AF502B" w:rsidP="006F2474">
      <w:pPr>
        <w:pStyle w:val="Questionstyle"/>
        <w:spacing w:after="240" w:line="259" w:lineRule="auto"/>
        <w:ind w:left="851" w:hanging="851"/>
        <w:contextualSpacing w:val="0"/>
      </w:pPr>
      <w:r w:rsidRPr="00AF502B">
        <w:t>Do you consider that the “user-id” and the “device” should still be considered as “unit of count” for the display and non-display data respectively?  Do you think (an)other unit(s) of count can better identify the occurrence of costs in data provision and dissemination and if yes, which</w:t>
      </w:r>
      <w:r>
        <w:t>?</w:t>
      </w:r>
    </w:p>
    <w:p w14:paraId="14E70444" w14:textId="594545B0" w:rsidR="00FA4100" w:rsidRDefault="00FA4100" w:rsidP="00FA4100">
      <w:pPr>
        <w:spacing w:after="0"/>
      </w:pPr>
      <w:r>
        <w:t>&lt;ESMA_QUESTION</w:t>
      </w:r>
      <w:r w:rsidR="00F93646">
        <w:t>_</w:t>
      </w:r>
      <w:r w:rsidR="00DD54B5">
        <w:t>CP1</w:t>
      </w:r>
      <w:r w:rsidR="00F93646">
        <w:t>_</w:t>
      </w:r>
      <w:r w:rsidR="00737DD9">
        <w:t>43</w:t>
      </w:r>
      <w:r>
        <w:t>&gt;</w:t>
      </w:r>
    </w:p>
    <w:p w14:paraId="6ACE517E" w14:textId="77777777" w:rsidR="00EC69D5" w:rsidRDefault="00EC69D5" w:rsidP="00EC69D5">
      <w:pPr>
        <w:contextualSpacing/>
      </w:pPr>
      <w:permStart w:id="1196837781" w:edGrp="everyone"/>
      <w:r>
        <w:t xml:space="preserve">In relation to display data, “Natural User”, which should equate to an individual person, should be the unit of count. Provided a market data client is able to control access such that they can identify the individual corresponding to a user ID, this should be the sole unit of count applicable regardless of how many screens, terminals, applications or other “devices” those individuals may use to access the data. To the extent that a market data consumer uses their own infrastructure to disseminate data internally, this should not result in additional cost to the consumer, in line with the terms of article 5 of the draft RTS. </w:t>
      </w:r>
    </w:p>
    <w:p w14:paraId="081941DE" w14:textId="77777777" w:rsidR="00EC69D5" w:rsidRDefault="00EC69D5" w:rsidP="00EC69D5">
      <w:pPr>
        <w:contextualSpacing/>
      </w:pPr>
    </w:p>
    <w:p w14:paraId="4C009520" w14:textId="77777777" w:rsidR="00EC69D5" w:rsidRPr="00F9540E" w:rsidRDefault="00EC69D5" w:rsidP="00EC69D5">
      <w:pPr>
        <w:contextualSpacing/>
      </w:pPr>
      <w:r w:rsidRPr="00492144">
        <w:t>In relation to non-display</w:t>
      </w:r>
      <w:r>
        <w:t xml:space="preserve"> data, FIA EPTA members consider the concept of “device” to be problematic (at least in its current application by data providers) and somewhat outdated. We go into further detail regarding its shortcomings below. However, whilst “device” is f</w:t>
      </w:r>
      <w:r w:rsidRPr="00F9540E">
        <w:t>ar from ideal</w:t>
      </w:r>
      <w:r>
        <w:t xml:space="preserve">, it is </w:t>
      </w:r>
      <w:r w:rsidRPr="00F9540E">
        <w:t>extremely challenging to determine an acceptable alternative, particularly one that caters for different sized consumer firms with different usage patterns. Ideally</w:t>
      </w:r>
      <w:r>
        <w:t>,</w:t>
      </w:r>
      <w:r w:rsidRPr="00F9540E">
        <w:t xml:space="preserve"> a</w:t>
      </w:r>
      <w:r>
        <w:t xml:space="preserve">n entirely </w:t>
      </w:r>
      <w:r w:rsidRPr="00F9540E">
        <w:t xml:space="preserve">conceptually different approach would be adopted but </w:t>
      </w:r>
      <w:r>
        <w:t xml:space="preserve">we </w:t>
      </w:r>
      <w:r w:rsidRPr="00F9540E">
        <w:t xml:space="preserve">acknowledge this is a challenging task and difficult to arrive upon a model which meets interests of both small and large data consumers. However, given how central it is to fairness in pricing and commercial arrangements and also to transparency and </w:t>
      </w:r>
      <w:r w:rsidRPr="00F9540E">
        <w:lastRenderedPageBreak/>
        <w:t>predictability of charges</w:t>
      </w:r>
      <w:r>
        <w:t xml:space="preserve"> for data consumers</w:t>
      </w:r>
      <w:r w:rsidRPr="00F9540E">
        <w:t xml:space="preserve">, </w:t>
      </w:r>
      <w:r>
        <w:t>it</w:t>
      </w:r>
      <w:r w:rsidRPr="00F9540E">
        <w:t xml:space="preserve"> is an issue worth further consideration. We therefore recommend that ESMA continue to work with market participants to develop a fair, simple and comprehensive alternative unit of count for non-display data after this consultation period has closed, which could form the basis of ESMA Level 3 guidance to supplement the proposed RTS. </w:t>
      </w:r>
    </w:p>
    <w:p w14:paraId="4D65BE4C" w14:textId="77777777" w:rsidR="00EC69D5" w:rsidRDefault="00EC69D5" w:rsidP="00EC69D5">
      <w:pPr>
        <w:contextualSpacing/>
      </w:pPr>
      <w:r>
        <w:t xml:space="preserve"> </w:t>
      </w:r>
    </w:p>
    <w:p w14:paraId="3011253A" w14:textId="77777777" w:rsidR="00EC69D5" w:rsidRPr="006A5410" w:rsidRDefault="00EC69D5" w:rsidP="00EC69D5">
      <w:pPr>
        <w:contextualSpacing/>
        <w:rPr>
          <w:b/>
          <w:bCs/>
        </w:rPr>
      </w:pPr>
      <w:r w:rsidRPr="006A5410">
        <w:rPr>
          <w:b/>
          <w:bCs/>
        </w:rPr>
        <w:t>Problems with “device” as a unit of count:</w:t>
      </w:r>
    </w:p>
    <w:p w14:paraId="1CCDEDD3" w14:textId="77777777" w:rsidR="00EC69D5" w:rsidRDefault="00EC69D5" w:rsidP="00EC69D5">
      <w:pPr>
        <w:contextualSpacing/>
        <w:rPr>
          <w:b/>
        </w:rPr>
      </w:pPr>
      <w:r>
        <w:t>D</w:t>
      </w:r>
      <w:r w:rsidRPr="00790653">
        <w:t>efinitions</w:t>
      </w:r>
      <w:r>
        <w:t xml:space="preserve"> of “device” adopted by data providers</w:t>
      </w:r>
      <w:r w:rsidRPr="00790653">
        <w:t xml:space="preserve"> are extremely broad and so vague as to create uncertainty on behalf of the data consumer </w:t>
      </w:r>
      <w:r>
        <w:t>regarding</w:t>
      </w:r>
      <w:r w:rsidRPr="00790653">
        <w:t xml:space="preserve"> their ultimate fee liability</w:t>
      </w:r>
      <w:r>
        <w:t>. This often isn’t known until an audit has been conducted and a consumer will either face penalties for underpayment or find they have overpaid but cannot recoup the excess</w:t>
      </w:r>
      <w:r w:rsidRPr="00790653">
        <w:t xml:space="preserve">. </w:t>
      </w:r>
    </w:p>
    <w:p w14:paraId="32A839BB" w14:textId="77777777" w:rsidR="00F742B2" w:rsidRDefault="00F742B2" w:rsidP="00EC69D5">
      <w:pPr>
        <w:contextualSpacing/>
        <w:rPr>
          <w:b/>
        </w:rPr>
      </w:pPr>
    </w:p>
    <w:p w14:paraId="70CD41B5" w14:textId="77777777" w:rsidR="00A360F1" w:rsidRDefault="00A360F1" w:rsidP="00A360F1">
      <w:pPr>
        <w:contextualSpacing/>
      </w:pPr>
      <w:r w:rsidRPr="00790653">
        <w:t xml:space="preserve">In addition, it is very difficult to verify/log accurate device count. </w:t>
      </w:r>
      <w:r>
        <w:t>It’s our members’ u</w:t>
      </w:r>
      <w:r w:rsidRPr="00790653">
        <w:t>nderstand</w:t>
      </w:r>
      <w:r>
        <w:t>ing that</w:t>
      </w:r>
      <w:r w:rsidRPr="00790653">
        <w:t xml:space="preserve"> only one </w:t>
      </w:r>
      <w:r>
        <w:t xml:space="preserve">third party </w:t>
      </w:r>
      <w:r w:rsidRPr="00790653">
        <w:t xml:space="preserve">entitlement system currently supports an accurate </w:t>
      </w:r>
      <w:r>
        <w:t xml:space="preserve">device </w:t>
      </w:r>
      <w:r w:rsidRPr="00790653">
        <w:t xml:space="preserve">count and if firms do not have access to this system (or even where they do) they are often open to </w:t>
      </w:r>
      <w:r>
        <w:t xml:space="preserve">penalties via </w:t>
      </w:r>
      <w:r w:rsidRPr="00790653">
        <w:t>audit processes</w:t>
      </w:r>
      <w:r>
        <w:t xml:space="preserve"> due to an inaccurate assessment by the data consumer</w:t>
      </w:r>
      <w:r w:rsidRPr="00790653">
        <w:t xml:space="preserve">. </w:t>
      </w:r>
      <w:r>
        <w:t xml:space="preserve">Furthermore, our members inform us that if an exchange offers a tiered fee model, it is not possible to qualify for any of the lower consumption tiers unless this sole third party entitlement system is used, thus forcing market data consumers to acquire this specific system. Otherwise, they automatically fall within the highest, most expensive fee tier. The definition of “device” should be clear and precise so determining fee liability is a </w:t>
      </w:r>
      <w:r w:rsidRPr="00790653">
        <w:t>simple and verifiable</w:t>
      </w:r>
      <w:r>
        <w:t xml:space="preserve"> process</w:t>
      </w:r>
      <w:r w:rsidRPr="00790653">
        <w:t xml:space="preserve"> </w:t>
      </w:r>
      <w:r>
        <w:t>without having to rely on</w:t>
      </w:r>
      <w:r w:rsidRPr="00790653">
        <w:t xml:space="preserve"> a</w:t>
      </w:r>
      <w:r>
        <w:t xml:space="preserve"> third party</w:t>
      </w:r>
      <w:r w:rsidRPr="00790653">
        <w:t xml:space="preserve"> entitlement system. Ultimately, data consumers should have certainty over how much they will be charged for data in a given period by reference to a clear, concise, verifiable definition.</w:t>
      </w:r>
    </w:p>
    <w:p w14:paraId="0D5EA7E8" w14:textId="77777777" w:rsidR="00A360F1" w:rsidRDefault="00A360F1" w:rsidP="00A360F1">
      <w:pPr>
        <w:contextualSpacing/>
      </w:pPr>
    </w:p>
    <w:p w14:paraId="035C192C" w14:textId="66F965F1" w:rsidR="00A360F1" w:rsidRDefault="00A360F1" w:rsidP="00A360F1">
      <w:pPr>
        <w:contextualSpacing/>
        <w:rPr>
          <w:b/>
        </w:rPr>
      </w:pPr>
      <w:r>
        <w:t xml:space="preserve">Furthermore, the way charging by “device” for non-display currently operates penalises market data clients for the decisions they make regarding their own internal distribution, data centre set-up and operational resilience measures. Any market data client using a separately co-located server as well as their basic non-display trading application will be charged for two devices. If that client chooses to have two data centres for resiliency purposes, they will be charged for three devices. Firms generally split their UAT environment from their production </w:t>
      </w:r>
      <w:r w:rsidRPr="001531A5">
        <w:t xml:space="preserve">environment </w:t>
      </w:r>
      <w:r w:rsidRPr="00D708E1">
        <w:t xml:space="preserve">which is not only good practice but is also generally a regulatory requirement, then that becomes </w:t>
      </w:r>
      <w:r>
        <w:t>six</w:t>
      </w:r>
      <w:r w:rsidRPr="00D708E1">
        <w:t xml:space="preserve"> devices. This multiplies quickly when additional servers are added for different trading strategies. These practices are adopted by firms who are seeking to create stable and resilient trading environments to ensure minimal market disruption, yet they are being penali</w:t>
      </w:r>
      <w:r w:rsidR="009A5813">
        <w:t>s</w:t>
      </w:r>
      <w:r w:rsidRPr="00D708E1">
        <w:t>ed by duplicative market data fees for doing so.</w:t>
      </w:r>
      <w:r>
        <w:t xml:space="preserve"> </w:t>
      </w:r>
    </w:p>
    <w:p w14:paraId="1786F3CE" w14:textId="77777777" w:rsidR="003F740E" w:rsidRDefault="003F740E" w:rsidP="00A360F1">
      <w:pPr>
        <w:contextualSpacing/>
      </w:pPr>
    </w:p>
    <w:p w14:paraId="2177613E" w14:textId="77777777" w:rsidR="003F740E" w:rsidRDefault="003F740E" w:rsidP="003F740E">
      <w:pPr>
        <w:contextualSpacing/>
      </w:pPr>
      <w:r>
        <w:t>Accordingly,</w:t>
      </w:r>
      <w:r w:rsidRPr="00790653">
        <w:t xml:space="preserve"> the concept of “device” as a unit of count should include a carve out for access to non-display for the purposes of development, UAT, support and resilience purposes where consumers are also consuming data for trading purposes. This would be consistent with the principle that consumers only pay once for the same data and </w:t>
      </w:r>
      <w:r>
        <w:t xml:space="preserve">is </w:t>
      </w:r>
      <w:r w:rsidRPr="00790653">
        <w:t>based on the</w:t>
      </w:r>
      <w:r>
        <w:t xml:space="preserve"> suggested</w:t>
      </w:r>
      <w:r w:rsidRPr="00790653">
        <w:t xml:space="preserve"> tiered model outlined below. </w:t>
      </w:r>
    </w:p>
    <w:p w14:paraId="7BDA3BE5" w14:textId="77777777" w:rsidR="003F740E" w:rsidRDefault="003F740E" w:rsidP="003F740E">
      <w:pPr>
        <w:contextualSpacing/>
      </w:pPr>
    </w:p>
    <w:p w14:paraId="7E38BF1E" w14:textId="77777777" w:rsidR="003F740E" w:rsidRPr="00790653" w:rsidRDefault="003F740E" w:rsidP="003F740E">
      <w:pPr>
        <w:contextualSpacing/>
      </w:pPr>
      <w:r>
        <w:lastRenderedPageBreak/>
        <w:t>Finally</w:t>
      </w:r>
      <w:r w:rsidRPr="00790653">
        <w:t>, the concept of “simultaneous access”</w:t>
      </w:r>
      <w:r>
        <w:t xml:space="preserve"> is often incorporated into the definition of “device”. If a device has the ability to access data multiple times simultaneously, each potential simultaneous instance of access is charged for. In this regard, we express a strong preference for application of an “actual usage” standard as outlined in our response to question 37 rather than potential usage as to do otherwise in this context is double-charging.</w:t>
      </w:r>
    </w:p>
    <w:p w14:paraId="6208D6B6" w14:textId="77777777" w:rsidR="003F740E" w:rsidRDefault="003F740E" w:rsidP="003F740E">
      <w:pPr>
        <w:contextualSpacing/>
      </w:pPr>
    </w:p>
    <w:p w14:paraId="0821E4DA" w14:textId="77777777" w:rsidR="003F740E" w:rsidRPr="006A5410" w:rsidRDefault="003F740E" w:rsidP="003F740E">
      <w:pPr>
        <w:contextualSpacing/>
        <w:rPr>
          <w:b/>
          <w:bCs/>
        </w:rPr>
      </w:pPr>
      <w:r w:rsidRPr="006A5410">
        <w:rPr>
          <w:b/>
          <w:bCs/>
        </w:rPr>
        <w:t>Proposed tiered model:</w:t>
      </w:r>
    </w:p>
    <w:p w14:paraId="175545C8" w14:textId="77777777" w:rsidR="003F740E" w:rsidRDefault="003F740E" w:rsidP="003F740E">
      <w:pPr>
        <w:contextualSpacing/>
        <w:rPr>
          <w:b/>
        </w:rPr>
      </w:pPr>
      <w:r>
        <w:t>To further ameliorate the problems with “device” as the unit of count for non-display data, FIA EPTA members recommend that data consumers should instead be charged a flat fee applied to tiers of user category, with a market data client only being eligible for a single category, in line with article 5 of the draft RTS which specifies that only one category shall be applicable per user.</w:t>
      </w:r>
    </w:p>
    <w:p w14:paraId="1CDF85BC" w14:textId="77777777" w:rsidR="00B442F2" w:rsidRDefault="00B442F2" w:rsidP="003F740E">
      <w:pPr>
        <w:contextualSpacing/>
      </w:pPr>
    </w:p>
    <w:p w14:paraId="0DB6FB57" w14:textId="77777777" w:rsidR="00B442F2" w:rsidRDefault="00B442F2" w:rsidP="00B442F2">
      <w:pPr>
        <w:contextualSpacing/>
      </w:pPr>
      <w:r>
        <w:t>FIA EPTA members suggest the tiers for non-display data be simple and limited along the lines of the following:</w:t>
      </w:r>
    </w:p>
    <w:p w14:paraId="3FD4FF43" w14:textId="77777777" w:rsidR="00B442F2" w:rsidRPr="00A41652" w:rsidRDefault="00B442F2" w:rsidP="00B442F2">
      <w:pPr>
        <w:pStyle w:val="ListParagraph"/>
        <w:numPr>
          <w:ilvl w:val="0"/>
          <w:numId w:val="43"/>
        </w:numPr>
        <w:spacing w:after="160" w:line="259" w:lineRule="auto"/>
      </w:pPr>
      <w:r w:rsidRPr="00D4047A">
        <w:t>Operating a trading platform</w:t>
      </w:r>
    </w:p>
    <w:p w14:paraId="69519231" w14:textId="77777777" w:rsidR="00B442F2" w:rsidRPr="00D4047A" w:rsidRDefault="00B442F2" w:rsidP="00B442F2">
      <w:pPr>
        <w:pStyle w:val="ListParagraph"/>
        <w:numPr>
          <w:ilvl w:val="0"/>
          <w:numId w:val="43"/>
        </w:numPr>
        <w:spacing w:after="160" w:line="259" w:lineRule="auto"/>
      </w:pPr>
      <w:r w:rsidRPr="00D4047A">
        <w:t>Trading as broker</w:t>
      </w:r>
    </w:p>
    <w:p w14:paraId="79624E5E" w14:textId="77777777" w:rsidR="00B442F2" w:rsidRPr="00D4047A" w:rsidRDefault="00B442F2" w:rsidP="00B442F2">
      <w:pPr>
        <w:pStyle w:val="ListParagraph"/>
        <w:numPr>
          <w:ilvl w:val="0"/>
          <w:numId w:val="43"/>
        </w:numPr>
        <w:spacing w:after="160" w:line="259" w:lineRule="auto"/>
      </w:pPr>
      <w:r w:rsidRPr="00D4047A">
        <w:t>Trading as principal</w:t>
      </w:r>
    </w:p>
    <w:p w14:paraId="4B6573EB" w14:textId="77777777" w:rsidR="00B442F2" w:rsidRDefault="00B442F2" w:rsidP="00B442F2">
      <w:pPr>
        <w:pStyle w:val="ListParagraph"/>
        <w:numPr>
          <w:ilvl w:val="0"/>
          <w:numId w:val="43"/>
        </w:numPr>
        <w:spacing w:after="160" w:line="259" w:lineRule="auto"/>
      </w:pPr>
      <w:r>
        <w:t>Other non-display.</w:t>
      </w:r>
    </w:p>
    <w:p w14:paraId="5C069594" w14:textId="22D26B7E" w:rsidR="00A360F1" w:rsidRDefault="00B442F2" w:rsidP="00EC69D5">
      <w:r>
        <w:t xml:space="preserve">Descriptions and parameters of each tier should be clear and distinct such that it is obvious to the consumer which tier they fall into and why. This would ensure the user only pays once for non-display data in accordance with article 5 of the draft RTS. To ensure there is not a disproportionate cost burden on smaller firms, it may be appropriate to incorporate bands or brackets representing different prices for different levels of usage as is currently done by some trading venues (e.g. 0-5, 6-10 users, 11-30 users, 31-50 users etc), provided these bands are not overly restrictive so as to constrain a firm’s growth, the highest bracket is set at a sufficiently high level such that a medium sized regional firm does not automatically fall within the highest usage category and “user” is clearly defined, with unit count capable of accurate determination by the consumer (e.g. without having to rely on a single third party entitlement system). The issue with current use of brackets is that use of “device” as a unit of count usually results in a market data consumer firm easily falling within the highest most expensive “enterprise” category. </w:t>
      </w:r>
    </w:p>
    <w:permEnd w:id="1196837781"/>
    <w:p w14:paraId="4B5930F8" w14:textId="00BEAB45" w:rsidR="00FA4100" w:rsidRDefault="00FA4100" w:rsidP="00FA4100">
      <w:pPr>
        <w:spacing w:after="0"/>
      </w:pPr>
      <w:r>
        <w:t>&lt;ESMA_QUESTION</w:t>
      </w:r>
      <w:r w:rsidR="00F93646">
        <w:t>_</w:t>
      </w:r>
      <w:r w:rsidR="00DD54B5">
        <w:t>CP1</w:t>
      </w:r>
      <w:r w:rsidR="00F93646">
        <w:t>_</w:t>
      </w:r>
      <w:r w:rsidR="00737DD9">
        <w:t>43</w:t>
      </w:r>
      <w:r>
        <w:t>&gt;</w:t>
      </w:r>
    </w:p>
    <w:p w14:paraId="2B8EE56A" w14:textId="77777777" w:rsidR="00FA4100" w:rsidRDefault="00FA4100" w:rsidP="008B164D"/>
    <w:p w14:paraId="27214852" w14:textId="12D0EACB" w:rsidR="00FA4100" w:rsidRDefault="00AF502B" w:rsidP="006F2474">
      <w:pPr>
        <w:pStyle w:val="Questionstyle"/>
        <w:spacing w:after="240" w:line="259" w:lineRule="auto"/>
        <w:ind w:left="851" w:hanging="851"/>
        <w:contextualSpacing w:val="0"/>
      </w:pPr>
      <w:r w:rsidRPr="00AF502B">
        <w:t>Do you foresee other types of connectivity that should be defined beside “physical connection” to quantify the level of data consumption? Please elaborate your answer</w:t>
      </w:r>
      <w:r w:rsidR="00FA4100">
        <w:t>.</w:t>
      </w:r>
    </w:p>
    <w:p w14:paraId="42E03B5E" w14:textId="4F31512D" w:rsidR="00FA4100" w:rsidRDefault="00FA4100" w:rsidP="00FA4100">
      <w:pPr>
        <w:spacing w:after="0"/>
      </w:pPr>
      <w:r>
        <w:t>&lt;ESMA_QUESTION</w:t>
      </w:r>
      <w:r w:rsidR="00F93646">
        <w:t>_</w:t>
      </w:r>
      <w:r w:rsidR="00DD54B5">
        <w:t>CP1</w:t>
      </w:r>
      <w:r w:rsidR="00F93646">
        <w:t>_</w:t>
      </w:r>
      <w:r w:rsidR="00737DD9">
        <w:t>44</w:t>
      </w:r>
      <w:r>
        <w:t>&gt;</w:t>
      </w:r>
    </w:p>
    <w:p w14:paraId="2F526D3A" w14:textId="77777777" w:rsidR="00FA4100" w:rsidRDefault="00FA4100" w:rsidP="00FA4100">
      <w:pPr>
        <w:spacing w:after="0"/>
      </w:pPr>
      <w:permStart w:id="1482058120" w:edGrp="everyone"/>
      <w:r>
        <w:t>TYPE YOUR TEXT HERE</w:t>
      </w:r>
    </w:p>
    <w:permEnd w:id="1482058120"/>
    <w:p w14:paraId="08350904" w14:textId="5D88D82E" w:rsidR="00FA4100" w:rsidRDefault="00FA4100" w:rsidP="00FA4100">
      <w:pPr>
        <w:spacing w:after="0"/>
      </w:pPr>
      <w:r>
        <w:t>&lt;ESMA_QUESTION</w:t>
      </w:r>
      <w:r w:rsidR="00F93646">
        <w:t>_</w:t>
      </w:r>
      <w:r w:rsidR="00DD54B5">
        <w:t>CP1</w:t>
      </w:r>
      <w:r w:rsidR="00F93646">
        <w:t>_</w:t>
      </w:r>
      <w:r w:rsidR="00737DD9">
        <w:t>44</w:t>
      </w:r>
      <w:r>
        <w:t>&gt;</w:t>
      </w:r>
    </w:p>
    <w:p w14:paraId="3EAEA561" w14:textId="64A10396" w:rsidR="00692ADF" w:rsidRDefault="00692ADF" w:rsidP="008B164D"/>
    <w:p w14:paraId="17BE50CF" w14:textId="0A7124BF" w:rsidR="00FA4100" w:rsidRDefault="00AF502B" w:rsidP="0079676A">
      <w:pPr>
        <w:pStyle w:val="Questionstyle"/>
        <w:spacing w:after="240" w:line="259" w:lineRule="auto"/>
        <w:ind w:left="851" w:hanging="851"/>
        <w:contextualSpacing w:val="0"/>
      </w:pPr>
      <w:r w:rsidRPr="00AF502B">
        <w:t>Do you think there is any other information that market data providers should disclose to improve the transparency on market data costs and how prices for market data are set? If yes, please provide suggestions</w:t>
      </w:r>
      <w:r w:rsidR="00FA4100">
        <w:t>.</w:t>
      </w:r>
    </w:p>
    <w:p w14:paraId="7B2ED20A" w14:textId="27F93015" w:rsidR="00FA4100" w:rsidRDefault="00FA4100" w:rsidP="00FA4100">
      <w:pPr>
        <w:spacing w:after="0"/>
      </w:pPr>
      <w:r>
        <w:t>&lt;ESMA_QUESTION</w:t>
      </w:r>
      <w:r w:rsidR="00F93646">
        <w:t>_</w:t>
      </w:r>
      <w:r w:rsidR="00DD54B5">
        <w:t>CP1</w:t>
      </w:r>
      <w:r w:rsidR="00F93646">
        <w:t>_</w:t>
      </w:r>
      <w:r w:rsidR="00737DD9">
        <w:t>45</w:t>
      </w:r>
      <w:r>
        <w:t>&gt;</w:t>
      </w:r>
    </w:p>
    <w:p w14:paraId="0A2C8A1E" w14:textId="3601B98D" w:rsidR="00FA4100" w:rsidRDefault="006E6DE6" w:rsidP="00FA4100">
      <w:pPr>
        <w:spacing w:after="0"/>
      </w:pPr>
      <w:permStart w:id="1375092011" w:edGrp="everyone"/>
      <w:r>
        <w:t>Red-lines of market data policies should be made available on the data providers website in an easily accessible place, with versions clearly labelled and dated so it is clear to consumers what changes have been made when in order to support compliance with their terms.</w:t>
      </w:r>
      <w:permEnd w:id="1375092011"/>
      <w:r w:rsidR="00FA4100">
        <w:t>&lt;ESMA_QUESTION</w:t>
      </w:r>
      <w:r w:rsidR="00F93646">
        <w:t>_</w:t>
      </w:r>
      <w:r w:rsidR="00DD54B5">
        <w:t>CP1</w:t>
      </w:r>
      <w:r w:rsidR="00F93646">
        <w:t>_</w:t>
      </w:r>
      <w:r w:rsidR="00737DD9">
        <w:t>45</w:t>
      </w:r>
      <w:r w:rsidR="00FA4100">
        <w:t>&gt;</w:t>
      </w:r>
    </w:p>
    <w:p w14:paraId="1B9A51A4" w14:textId="77777777" w:rsidR="00FA4100" w:rsidRDefault="00FA4100" w:rsidP="008B164D"/>
    <w:p w14:paraId="5211E8E4" w14:textId="5E3CDBBD" w:rsidR="00FA4100" w:rsidRDefault="00AF502B" w:rsidP="00D10F3F">
      <w:pPr>
        <w:pStyle w:val="Questionstyle"/>
        <w:spacing w:after="240" w:line="259" w:lineRule="auto"/>
        <w:ind w:left="851" w:hanging="851"/>
        <w:contextualSpacing w:val="0"/>
      </w:pPr>
      <w:r w:rsidRPr="00AF502B">
        <w:t>Do you agree with the approach on delayed data proposed by ESMA? Please elaborate your answer</w:t>
      </w:r>
      <w:r w:rsidR="00FA4100">
        <w:t>.</w:t>
      </w:r>
    </w:p>
    <w:p w14:paraId="142041BB" w14:textId="288C0C94" w:rsidR="00FA4100" w:rsidRDefault="00FA4100" w:rsidP="00FA4100">
      <w:pPr>
        <w:spacing w:after="0"/>
      </w:pPr>
      <w:r>
        <w:t>&lt;ESMA_QUESTION</w:t>
      </w:r>
      <w:r w:rsidR="00F93646">
        <w:t>_</w:t>
      </w:r>
      <w:r w:rsidR="00DD54B5">
        <w:t>CP1</w:t>
      </w:r>
      <w:r w:rsidR="00F93646">
        <w:t>_</w:t>
      </w:r>
      <w:r w:rsidR="00737DD9">
        <w:t>46</w:t>
      </w:r>
      <w:r>
        <w:t>&gt;</w:t>
      </w:r>
    </w:p>
    <w:p w14:paraId="516605A0" w14:textId="77777777" w:rsidR="00780CB9" w:rsidRDefault="00780CB9" w:rsidP="00780CB9">
      <w:pPr>
        <w:contextualSpacing/>
      </w:pPr>
      <w:permStart w:id="1647450555" w:edGrp="everyone"/>
      <w:r>
        <w:t xml:space="preserve">Delayed data should be available in the same format as the same live market feed and via the same infrastructure as the live data, just delayed by 15 minutes) and available to download for up to one week after creation for free, not just for a very limited period after the 15 minute window has passed. </w:t>
      </w:r>
    </w:p>
    <w:permEnd w:id="1647450555"/>
    <w:p w14:paraId="22379A1A" w14:textId="544F55CE" w:rsidR="00FA4100" w:rsidRDefault="00FA4100" w:rsidP="00FA4100">
      <w:pPr>
        <w:spacing w:after="0"/>
      </w:pPr>
      <w:r>
        <w:t>&lt;ESMA_QUESTION</w:t>
      </w:r>
      <w:r w:rsidR="00F93646">
        <w:t>_</w:t>
      </w:r>
      <w:r w:rsidR="00DD54B5">
        <w:t>CP1</w:t>
      </w:r>
      <w:r w:rsidR="00F93646">
        <w:t>_</w:t>
      </w:r>
      <w:r w:rsidR="00737DD9">
        <w:t>4</w:t>
      </w:r>
      <w:r>
        <w:t>6&gt;</w:t>
      </w:r>
    </w:p>
    <w:p w14:paraId="01C3792A" w14:textId="77777777" w:rsidR="00FA4100" w:rsidRDefault="00FA4100" w:rsidP="008B164D"/>
    <w:p w14:paraId="50556D7C" w14:textId="18D79BFD" w:rsidR="00FA4100" w:rsidRDefault="00AF502B" w:rsidP="00D10F3F">
      <w:pPr>
        <w:pStyle w:val="Questionstyle"/>
        <w:spacing w:after="240" w:line="259" w:lineRule="auto"/>
        <w:ind w:left="851" w:hanging="851"/>
        <w:contextualSpacing w:val="0"/>
      </w:pPr>
      <w:r w:rsidRPr="00AF502B">
        <w:t>Do you agree with the proposal not to require any type of registration to access delayed data? Please elaborate your answer</w:t>
      </w:r>
      <w:r w:rsidR="00FA4100">
        <w:t>.</w:t>
      </w:r>
    </w:p>
    <w:p w14:paraId="78562122" w14:textId="279125F1" w:rsidR="00FA4100" w:rsidRDefault="00FA4100" w:rsidP="00FA4100">
      <w:pPr>
        <w:spacing w:after="0"/>
      </w:pPr>
      <w:r>
        <w:t>&lt;ESMA_QUESTION</w:t>
      </w:r>
      <w:r w:rsidR="00F93646">
        <w:t>_</w:t>
      </w:r>
      <w:r w:rsidR="00DD54B5">
        <w:t>CP1</w:t>
      </w:r>
      <w:r w:rsidR="00F93646">
        <w:t>_</w:t>
      </w:r>
      <w:r w:rsidR="00737DD9">
        <w:t>47</w:t>
      </w:r>
      <w:r>
        <w:t>&gt;</w:t>
      </w:r>
    </w:p>
    <w:p w14:paraId="2D66AA78" w14:textId="77777777" w:rsidR="00B12D29" w:rsidRPr="00D708E1" w:rsidRDefault="00B12D29" w:rsidP="00B12D29">
      <w:pPr>
        <w:contextualSpacing/>
      </w:pPr>
      <w:permStart w:id="738273573" w:edGrp="everyone"/>
      <w:r w:rsidRPr="00D708E1">
        <w:t>We agree with ESMAs view that registration practices should not hamper access to delayed data nor should it  impose unnecessary barriers. To the extent that a data provider needs a contact to service the relevant account, details of a designated administrator at the market data client should suffice. It is not necessary for a data provider to have contact details for all users of delayed data within a firm.</w:t>
      </w:r>
    </w:p>
    <w:permEnd w:id="738273573"/>
    <w:p w14:paraId="5141BA55" w14:textId="132A6047" w:rsidR="00FA4100" w:rsidRDefault="00FA4100" w:rsidP="00FA4100">
      <w:pPr>
        <w:spacing w:after="0"/>
      </w:pPr>
      <w:r>
        <w:t>&lt;ESMA_QUESTION</w:t>
      </w:r>
      <w:r w:rsidR="00F93646">
        <w:t>_</w:t>
      </w:r>
      <w:r w:rsidR="00DD54B5">
        <w:t>CP1</w:t>
      </w:r>
      <w:r w:rsidR="00F93646">
        <w:t>_</w:t>
      </w:r>
      <w:r w:rsidR="00737DD9">
        <w:t>47</w:t>
      </w:r>
      <w:r>
        <w:t>&gt;</w:t>
      </w:r>
    </w:p>
    <w:p w14:paraId="3C1C6A46" w14:textId="77777777" w:rsidR="00FA4100" w:rsidRDefault="00FA4100" w:rsidP="008B164D"/>
    <w:p w14:paraId="7375070C" w14:textId="40BC2896" w:rsidR="00AF502B" w:rsidRDefault="00AF502B" w:rsidP="00D10F3F">
      <w:pPr>
        <w:pStyle w:val="Questionstyle"/>
        <w:spacing w:after="240" w:line="259" w:lineRule="auto"/>
        <w:ind w:left="851" w:hanging="851"/>
        <w:contextualSpacing w:val="0"/>
      </w:pPr>
      <w:r w:rsidRPr="00AF502B">
        <w:t>ESMA proposes the RTS to enter into force 3 months after publication in the OJ to allow for sufficient time for preparation and amendments to be made by the industry. Would you agree? Would you suggest a different or no preparation time? Please elaborate your answer</w:t>
      </w:r>
      <w:r>
        <w:t>.</w:t>
      </w:r>
    </w:p>
    <w:p w14:paraId="6B9C4EB8" w14:textId="5D3CB3C6" w:rsidR="00AF502B" w:rsidRDefault="00AF502B" w:rsidP="00AF502B">
      <w:pPr>
        <w:spacing w:after="0"/>
      </w:pPr>
      <w:r>
        <w:t>&lt;ESMA_QUESTION</w:t>
      </w:r>
      <w:r w:rsidR="00F93646">
        <w:t>_</w:t>
      </w:r>
      <w:r w:rsidR="00DD54B5">
        <w:t>CP1</w:t>
      </w:r>
      <w:r w:rsidR="00F93646">
        <w:t>_</w:t>
      </w:r>
      <w:r>
        <w:t>48&gt;</w:t>
      </w:r>
    </w:p>
    <w:p w14:paraId="1038ADC9" w14:textId="332950E3" w:rsidR="00AF502B" w:rsidRDefault="00B22386" w:rsidP="00AF502B">
      <w:pPr>
        <w:spacing w:after="0"/>
      </w:pPr>
      <w:permStart w:id="213343087" w:edGrp="everyone"/>
      <w:r>
        <w:lastRenderedPageBreak/>
        <w:t xml:space="preserve">On the understanding that the final (or at least near final) text of the RTS would be available at the end of this year, our members don’t consider it necessary to allow for an implementation period longer than the proposed 3 months. However, we acknowledge ESMA’s proposals may require data providers to make substantial changes to their current operations and so we would not object to a longer implementation period if ESMA considers it necessary, for example 6 months. </w:t>
      </w:r>
      <w:permEnd w:id="213343087"/>
      <w:r w:rsidR="00AF502B">
        <w:t>&lt;ESMA_QUESTION</w:t>
      </w:r>
      <w:r w:rsidR="00F93646">
        <w:t>_</w:t>
      </w:r>
      <w:r w:rsidR="00DD54B5">
        <w:t>CP1</w:t>
      </w:r>
      <w:r w:rsidR="00F93646">
        <w:t>_</w:t>
      </w:r>
      <w:r w:rsidR="00AF502B">
        <w:t>48&gt;</w:t>
      </w:r>
    </w:p>
    <w:p w14:paraId="114BBAA9" w14:textId="77777777" w:rsidR="00AF502B" w:rsidRDefault="00AF502B" w:rsidP="008B164D"/>
    <w:p w14:paraId="497390BE" w14:textId="0F43E4AF" w:rsidR="00AF502B" w:rsidRDefault="00AF502B" w:rsidP="00D10F3F">
      <w:pPr>
        <w:pStyle w:val="Questionstyle"/>
        <w:spacing w:after="240" w:line="259" w:lineRule="auto"/>
        <w:ind w:left="851" w:hanging="851"/>
        <w:contextualSpacing w:val="0"/>
      </w:pPr>
      <w:r w:rsidRPr="00AF502B">
        <w:t>Do you have any further comment or suggestion on the draft RTS? Please elaborate your answer</w:t>
      </w:r>
      <w:r>
        <w:t>.</w:t>
      </w:r>
    </w:p>
    <w:p w14:paraId="7184991E" w14:textId="078F637D" w:rsidR="00AF502B" w:rsidRDefault="00AF502B" w:rsidP="00AF502B">
      <w:pPr>
        <w:spacing w:after="0"/>
      </w:pPr>
      <w:r>
        <w:t>&lt;ESMA_QUESTION</w:t>
      </w:r>
      <w:r w:rsidR="00F93646">
        <w:t>_</w:t>
      </w:r>
      <w:r w:rsidR="00DD54B5">
        <w:t>CP1</w:t>
      </w:r>
      <w:r w:rsidR="00F93646">
        <w:t>_</w:t>
      </w:r>
      <w:r>
        <w:t>49&gt;</w:t>
      </w:r>
    </w:p>
    <w:p w14:paraId="06F31AC6" w14:textId="77777777" w:rsidR="00AF502B" w:rsidRDefault="00AF502B" w:rsidP="00AF502B">
      <w:pPr>
        <w:spacing w:after="0"/>
      </w:pPr>
      <w:permStart w:id="1472730622" w:edGrp="everyone"/>
      <w:r>
        <w:t>TYPE YOUR TEXT HERE</w:t>
      </w:r>
    </w:p>
    <w:permEnd w:id="1472730622"/>
    <w:p w14:paraId="3756CF9C" w14:textId="49573E9A" w:rsidR="00AF502B" w:rsidRDefault="00AF502B" w:rsidP="00AF502B">
      <w:pPr>
        <w:spacing w:after="0"/>
      </w:pPr>
      <w:r>
        <w:t>&lt;ESMA_QUESTION</w:t>
      </w:r>
      <w:r w:rsidR="00F93646">
        <w:t>_</w:t>
      </w:r>
      <w:r w:rsidR="00DD54B5">
        <w:t>CP1</w:t>
      </w:r>
      <w:r w:rsidR="00F93646">
        <w:t>_</w:t>
      </w:r>
      <w:r>
        <w:t>49&gt;</w:t>
      </w:r>
    </w:p>
    <w:p w14:paraId="4D0B592C" w14:textId="14EEB40A" w:rsidR="00692ADF" w:rsidRDefault="00692ADF" w:rsidP="008B164D"/>
    <w:p w14:paraId="4E8DA9EC" w14:textId="412273FF" w:rsidR="00AF502B" w:rsidRDefault="00AF502B" w:rsidP="00D10F3F">
      <w:pPr>
        <w:pStyle w:val="Questionstyle"/>
        <w:spacing w:after="240" w:line="259" w:lineRule="auto"/>
        <w:ind w:left="851" w:hanging="851"/>
        <w:contextualSpacing w:val="0"/>
      </w:pPr>
      <w:r w:rsidRPr="00AF502B">
        <w:t>What level of resources (financial and other) would be required to implement and comply with the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BBCADF5" w14:textId="0C163E6B" w:rsidR="00AF502B" w:rsidRDefault="00AF502B" w:rsidP="00AF502B">
      <w:pPr>
        <w:spacing w:after="0"/>
      </w:pPr>
      <w:r>
        <w:t>&lt;ESMA_QUESTION</w:t>
      </w:r>
      <w:r w:rsidR="00F93646">
        <w:t>_</w:t>
      </w:r>
      <w:r w:rsidR="00DD54B5">
        <w:t>CP1</w:t>
      </w:r>
      <w:r w:rsidR="00F93646">
        <w:t>_</w:t>
      </w:r>
      <w:r>
        <w:t>50&gt;</w:t>
      </w:r>
    </w:p>
    <w:p w14:paraId="006A6713" w14:textId="77777777" w:rsidR="00AF502B" w:rsidRDefault="00AF502B" w:rsidP="00AF502B">
      <w:pPr>
        <w:spacing w:after="0"/>
      </w:pPr>
      <w:permStart w:id="104619003" w:edGrp="everyone"/>
      <w:r>
        <w:t>TYPE YOUR TEXT HERE</w:t>
      </w:r>
    </w:p>
    <w:permEnd w:id="104619003"/>
    <w:p w14:paraId="2FF65986" w14:textId="66FC3BFB" w:rsidR="00A732F0" w:rsidRDefault="00AF502B" w:rsidP="00B75265">
      <w:pPr>
        <w:spacing w:after="0"/>
      </w:pPr>
      <w:r>
        <w:t>&lt;ESMA_QUESTION</w:t>
      </w:r>
      <w:r w:rsidR="00F93646">
        <w:t>_</w:t>
      </w:r>
      <w:r w:rsidR="00DD54B5">
        <w:t>CP1</w:t>
      </w:r>
      <w:r w:rsidR="00F93646">
        <w:t>_</w:t>
      </w:r>
      <w:r>
        <w:t>50&gt;</w:t>
      </w:r>
    </w:p>
    <w:p w14:paraId="4768CC25" w14:textId="397A283A" w:rsidR="00692ADF" w:rsidRDefault="00692ADF" w:rsidP="008B164D"/>
    <w:p w14:paraId="5B043CC2" w14:textId="77777777" w:rsidR="00FA21B1" w:rsidRPr="00FB629B" w:rsidRDefault="00FA21B1" w:rsidP="00FA21B1">
      <w:pPr>
        <w:rPr>
          <w:rFonts w:eastAsia="MS PGothic"/>
          <w:b/>
          <w:color w:val="00379F"/>
          <w:u w:val="single"/>
        </w:rPr>
      </w:pPr>
      <w:r w:rsidRPr="00FB629B">
        <w:rPr>
          <w:rFonts w:eastAsiaTheme="majorEastAsia"/>
          <w:b/>
          <w:bCs/>
          <w:color w:val="00379F"/>
          <w:sz w:val="24"/>
          <w:szCs w:val="22"/>
          <w:u w:val="single"/>
        </w:rPr>
        <w:t>CP on the amendment of RTS 23</w:t>
      </w:r>
    </w:p>
    <w:p w14:paraId="5A449CDD" w14:textId="0F04AEC5" w:rsidR="00237775" w:rsidRDefault="00237775" w:rsidP="00D10F3F">
      <w:pPr>
        <w:pStyle w:val="Questionstyle"/>
        <w:spacing w:after="240" w:line="259" w:lineRule="auto"/>
        <w:ind w:left="851" w:hanging="851"/>
        <w:contextualSpacing w:val="0"/>
      </w:pPr>
      <w:r w:rsidRPr="00237775">
        <w:t>Do you agree with the proposal for a daily reporting of reference data for both transaction reporting and transparency purposes</w:t>
      </w:r>
      <w:r>
        <w:t>?</w:t>
      </w:r>
    </w:p>
    <w:p w14:paraId="1542A241" w14:textId="14FC2AF4" w:rsidR="00237775" w:rsidRDefault="00237775" w:rsidP="00237775">
      <w:pPr>
        <w:spacing w:after="0"/>
      </w:pPr>
      <w:r>
        <w:t>&lt;ESMA_QUESTION</w:t>
      </w:r>
      <w:r w:rsidR="00F93646">
        <w:t>_</w:t>
      </w:r>
      <w:r w:rsidR="00DD54B5">
        <w:t>CP1</w:t>
      </w:r>
      <w:r w:rsidR="00F93646">
        <w:t>_</w:t>
      </w:r>
      <w:r>
        <w:t>51&gt;</w:t>
      </w:r>
    </w:p>
    <w:p w14:paraId="38575488" w14:textId="77777777" w:rsidR="00237775" w:rsidRDefault="00237775" w:rsidP="00237775">
      <w:pPr>
        <w:spacing w:after="0"/>
      </w:pPr>
      <w:permStart w:id="130159860" w:edGrp="everyone"/>
      <w:r>
        <w:t>TYPE YOUR TEXT HERE</w:t>
      </w:r>
    </w:p>
    <w:permEnd w:id="130159860"/>
    <w:p w14:paraId="0952B2BC" w14:textId="4AC853A2" w:rsidR="00237775" w:rsidRDefault="00237775" w:rsidP="00237775">
      <w:pPr>
        <w:spacing w:after="0"/>
      </w:pPr>
      <w:r>
        <w:t>&lt;ESMA_QUESTION</w:t>
      </w:r>
      <w:r w:rsidR="00F93646">
        <w:t>_</w:t>
      </w:r>
      <w:r w:rsidR="00DD54B5">
        <w:t>CP1</w:t>
      </w:r>
      <w:r w:rsidR="00F93646">
        <w:t>_</w:t>
      </w:r>
      <w:r>
        <w:t>51&gt;</w:t>
      </w:r>
    </w:p>
    <w:p w14:paraId="1A0AB3F2" w14:textId="77777777" w:rsidR="00AF502B" w:rsidRDefault="00AF502B" w:rsidP="008B164D"/>
    <w:p w14:paraId="6604806A" w14:textId="6FE54AC8" w:rsidR="00237775" w:rsidRDefault="00237775" w:rsidP="00D10F3F">
      <w:pPr>
        <w:pStyle w:val="Questionstyle"/>
        <w:spacing w:after="240" w:line="259" w:lineRule="auto"/>
        <w:ind w:left="851" w:hanging="851"/>
        <w:contextualSpacing w:val="0"/>
      </w:pPr>
      <w:r w:rsidRPr="00237775">
        <w:t>For the purposes of both equity and non-equity transparency, do you prefer to retain the MiFIR identifier as currently defined or to rely on other fields for classification purposes? If latter, please outline the proposed solution</w:t>
      </w:r>
      <w:r>
        <w:t>.</w:t>
      </w:r>
    </w:p>
    <w:p w14:paraId="55BF4ACF" w14:textId="05D14D82" w:rsidR="00237775" w:rsidRDefault="00237775" w:rsidP="00237775">
      <w:pPr>
        <w:spacing w:after="0"/>
      </w:pPr>
      <w:r>
        <w:t>&lt;ESMA_QUESTION</w:t>
      </w:r>
      <w:r w:rsidR="00F93646">
        <w:t>_</w:t>
      </w:r>
      <w:r w:rsidR="00DD54B5">
        <w:t>CP1</w:t>
      </w:r>
      <w:r w:rsidR="00F93646">
        <w:t>_</w:t>
      </w:r>
      <w:r>
        <w:t>52&gt;</w:t>
      </w:r>
    </w:p>
    <w:p w14:paraId="26A5BB0C" w14:textId="77777777" w:rsidR="00237775" w:rsidRDefault="00237775" w:rsidP="00237775">
      <w:pPr>
        <w:spacing w:after="0"/>
      </w:pPr>
      <w:permStart w:id="360449157" w:edGrp="everyone"/>
      <w:r>
        <w:t>TYPE YOUR TEXT HERE</w:t>
      </w:r>
    </w:p>
    <w:permEnd w:id="360449157"/>
    <w:p w14:paraId="3F0578A7" w14:textId="47C102B6" w:rsidR="00237775" w:rsidRDefault="00237775" w:rsidP="00237775">
      <w:pPr>
        <w:spacing w:after="0"/>
      </w:pPr>
      <w:r>
        <w:lastRenderedPageBreak/>
        <w:t>&lt;ESMA_QUESTION</w:t>
      </w:r>
      <w:r w:rsidR="00F93646">
        <w:t>_</w:t>
      </w:r>
      <w:r w:rsidR="00DD54B5">
        <w:t>CP1</w:t>
      </w:r>
      <w:r w:rsidR="00F93646">
        <w:t>_</w:t>
      </w:r>
      <w:r>
        <w:t>52&gt;</w:t>
      </w:r>
    </w:p>
    <w:p w14:paraId="24484B83" w14:textId="77777777" w:rsidR="00237775" w:rsidRDefault="00237775" w:rsidP="008B164D"/>
    <w:p w14:paraId="7DF3E4C7" w14:textId="0DFC21C7" w:rsidR="00237775" w:rsidRDefault="00237775" w:rsidP="00D10F3F">
      <w:pPr>
        <w:pStyle w:val="Questionstyle"/>
        <w:spacing w:after="240" w:line="259" w:lineRule="auto"/>
        <w:ind w:left="851" w:hanging="851"/>
        <w:contextualSpacing w:val="0"/>
      </w:pPr>
      <w:r w:rsidRPr="00237775">
        <w:t>Is in your view, the granularity level of the MiFIR identifier adequate for the purposes of MiFIR transparency in the equity and non-equity space? If not, how should it be adjusted</w:t>
      </w:r>
      <w:r>
        <w:t>?</w:t>
      </w:r>
    </w:p>
    <w:p w14:paraId="109CABF8" w14:textId="3F01CD95" w:rsidR="00237775" w:rsidRDefault="00237775" w:rsidP="00237775">
      <w:pPr>
        <w:spacing w:after="0"/>
      </w:pPr>
      <w:r>
        <w:t>&lt;ESMA_QUESTION</w:t>
      </w:r>
      <w:r w:rsidR="00F93646">
        <w:t>_</w:t>
      </w:r>
      <w:r w:rsidR="00DD54B5">
        <w:t>CP1</w:t>
      </w:r>
      <w:r w:rsidR="00F93646">
        <w:t>_</w:t>
      </w:r>
      <w:r>
        <w:t>53&gt;</w:t>
      </w:r>
    </w:p>
    <w:p w14:paraId="657DFE5E" w14:textId="77777777" w:rsidR="00237775" w:rsidRDefault="00237775" w:rsidP="00237775">
      <w:pPr>
        <w:spacing w:after="0"/>
      </w:pPr>
      <w:permStart w:id="1546738195" w:edGrp="everyone"/>
      <w:r>
        <w:t>TYPE YOUR TEXT HERE</w:t>
      </w:r>
    </w:p>
    <w:permEnd w:id="1546738195"/>
    <w:p w14:paraId="2D943B9C" w14:textId="70925C71" w:rsidR="00237775" w:rsidRDefault="00237775" w:rsidP="00237775">
      <w:pPr>
        <w:spacing w:after="0"/>
      </w:pPr>
      <w:r>
        <w:t>&lt;ESMA_QUESTION</w:t>
      </w:r>
      <w:r w:rsidR="00F93646">
        <w:t>_</w:t>
      </w:r>
      <w:r w:rsidR="00DD54B5">
        <w:t>CP1</w:t>
      </w:r>
      <w:r w:rsidR="00F93646">
        <w:t>_</w:t>
      </w:r>
      <w:r>
        <w:t>53&gt;</w:t>
      </w:r>
    </w:p>
    <w:p w14:paraId="541238A8" w14:textId="77777777" w:rsidR="00237775" w:rsidRDefault="00237775" w:rsidP="008B164D"/>
    <w:p w14:paraId="6837F9E1" w14:textId="3968021E" w:rsidR="00237775" w:rsidRDefault="00237775" w:rsidP="00D10F3F">
      <w:pPr>
        <w:pStyle w:val="Questionstyle"/>
        <w:spacing w:after="240" w:line="259" w:lineRule="auto"/>
        <w:ind w:left="851" w:hanging="851"/>
        <w:contextualSpacing w:val="0"/>
      </w:pPr>
      <w:r w:rsidRPr="00237775">
        <w:t>How do you expect the change in scope of instruments subject to transparency to impact transparency reference data? Would you agree to maintain the current whole set of reference data for non-equity instruments, currently in RTS 2, in RTS 23? If not, please specify which reference data should not be retained in the view of the revised scope</w:t>
      </w:r>
      <w:r>
        <w:t>.</w:t>
      </w:r>
    </w:p>
    <w:p w14:paraId="467A1F01" w14:textId="7AD68353" w:rsidR="00237775" w:rsidRDefault="00237775" w:rsidP="00237775">
      <w:pPr>
        <w:spacing w:after="0"/>
      </w:pPr>
      <w:r>
        <w:t>&lt;ESMA_QUESTION</w:t>
      </w:r>
      <w:r w:rsidR="00F93646">
        <w:t>_</w:t>
      </w:r>
      <w:r w:rsidR="00DD54B5">
        <w:t>CP1</w:t>
      </w:r>
      <w:r w:rsidR="00F93646">
        <w:t>_</w:t>
      </w:r>
      <w:r>
        <w:t>54&gt;</w:t>
      </w:r>
    </w:p>
    <w:p w14:paraId="56044347" w14:textId="77777777" w:rsidR="00237775" w:rsidRDefault="00237775" w:rsidP="00237775">
      <w:pPr>
        <w:spacing w:after="0"/>
      </w:pPr>
      <w:permStart w:id="1006372258" w:edGrp="everyone"/>
      <w:r>
        <w:t>TYPE YOUR TEXT HERE</w:t>
      </w:r>
    </w:p>
    <w:permEnd w:id="1006372258"/>
    <w:p w14:paraId="7C95D36E" w14:textId="4921941D" w:rsidR="00237775" w:rsidRDefault="00237775" w:rsidP="00237775">
      <w:pPr>
        <w:spacing w:after="0"/>
      </w:pPr>
      <w:r>
        <w:t>&lt;ESMA_QUESTION</w:t>
      </w:r>
      <w:r w:rsidR="00F93646">
        <w:t>_</w:t>
      </w:r>
      <w:r w:rsidR="00DD54B5">
        <w:t>CP1</w:t>
      </w:r>
      <w:r w:rsidR="00F93646">
        <w:t>_</w:t>
      </w:r>
      <w:r>
        <w:t>54&gt;</w:t>
      </w:r>
    </w:p>
    <w:p w14:paraId="767E53CA" w14:textId="77777777" w:rsidR="00237775" w:rsidRDefault="00237775" w:rsidP="008B164D"/>
    <w:p w14:paraId="7CF25D8F" w14:textId="6F540E95" w:rsidR="00237775" w:rsidRDefault="00237775" w:rsidP="00D10F3F">
      <w:pPr>
        <w:pStyle w:val="Questionstyle"/>
        <w:spacing w:after="240" w:line="259" w:lineRule="auto"/>
        <w:ind w:left="851" w:hanging="851"/>
        <w:contextualSpacing w:val="0"/>
      </w:pPr>
      <w:r w:rsidRPr="00237775">
        <w:t>Do you agree with deleting Field 5 of RTS 2, Annex IV, and use the CFI code for the purposes of derivatives’ contract type classification</w:t>
      </w:r>
      <w:r>
        <w:t>?</w:t>
      </w:r>
    </w:p>
    <w:p w14:paraId="78FC35F3" w14:textId="1CF7CE9D" w:rsidR="00237775" w:rsidRDefault="00237775" w:rsidP="00237775">
      <w:pPr>
        <w:spacing w:after="0"/>
      </w:pPr>
      <w:r>
        <w:t>&lt;ESMA_QUESTION</w:t>
      </w:r>
      <w:r w:rsidR="00F93646">
        <w:t>_</w:t>
      </w:r>
      <w:r w:rsidR="00DD54B5">
        <w:t>CP1</w:t>
      </w:r>
      <w:r w:rsidR="00F93646">
        <w:t>_</w:t>
      </w:r>
      <w:r>
        <w:t>55&gt;</w:t>
      </w:r>
    </w:p>
    <w:p w14:paraId="7EAEA6FB" w14:textId="77777777" w:rsidR="00237775" w:rsidRDefault="00237775" w:rsidP="00237775">
      <w:pPr>
        <w:spacing w:after="0"/>
      </w:pPr>
      <w:permStart w:id="1513240935" w:edGrp="everyone"/>
      <w:r>
        <w:t>TYPE YOUR TEXT HERE</w:t>
      </w:r>
    </w:p>
    <w:permEnd w:id="1513240935"/>
    <w:p w14:paraId="0D48E731" w14:textId="3D440F7A" w:rsidR="00237775" w:rsidRDefault="00237775" w:rsidP="00237775">
      <w:pPr>
        <w:spacing w:after="0"/>
      </w:pPr>
      <w:r>
        <w:t>&lt;ESMA_QUESTION</w:t>
      </w:r>
      <w:r w:rsidR="00F93646">
        <w:t>_</w:t>
      </w:r>
      <w:r w:rsidR="00DD54B5">
        <w:t>CP1</w:t>
      </w:r>
      <w:r w:rsidR="00F93646">
        <w:t>_</w:t>
      </w:r>
      <w:r>
        <w:t>55&gt;</w:t>
      </w:r>
    </w:p>
    <w:p w14:paraId="1A6C7525" w14:textId="5CB811BC" w:rsidR="00692ADF" w:rsidRDefault="00692ADF" w:rsidP="008B164D"/>
    <w:p w14:paraId="0550370D" w14:textId="4A6C5783" w:rsidR="00237775" w:rsidRDefault="00FE11A0" w:rsidP="00D10F3F">
      <w:pPr>
        <w:pStyle w:val="Questionstyle"/>
        <w:spacing w:after="240" w:line="259" w:lineRule="auto"/>
        <w:ind w:left="851" w:hanging="851"/>
        <w:contextualSpacing w:val="0"/>
      </w:pPr>
      <w:r w:rsidRPr="00FE11A0">
        <w:t>Do you agree with the proposed alignment between RTS 23 and RTS 2 as set out in this section? Please provide details on which alignment is (not) feasible and why, considering the impact in terms of comprehensiveness and consistency of the reported information</w:t>
      </w:r>
      <w:r w:rsidR="00237775">
        <w:t>.</w:t>
      </w:r>
    </w:p>
    <w:p w14:paraId="715C9D27" w14:textId="1C5ED52F" w:rsidR="00237775" w:rsidRDefault="00237775" w:rsidP="00237775">
      <w:pPr>
        <w:spacing w:after="0"/>
      </w:pPr>
      <w:r>
        <w:t>&lt;ESMA_QUESTION</w:t>
      </w:r>
      <w:r w:rsidR="00F93646">
        <w:t>_</w:t>
      </w:r>
      <w:r w:rsidR="00DD54B5">
        <w:t>CP1</w:t>
      </w:r>
      <w:r w:rsidR="00F93646">
        <w:t>_</w:t>
      </w:r>
      <w:r>
        <w:t>5</w:t>
      </w:r>
      <w:r w:rsidR="00FE11A0">
        <w:t>6</w:t>
      </w:r>
      <w:r>
        <w:t>&gt;</w:t>
      </w:r>
    </w:p>
    <w:p w14:paraId="0905D12E" w14:textId="77777777" w:rsidR="00237775" w:rsidRDefault="00237775" w:rsidP="00237775">
      <w:pPr>
        <w:spacing w:after="0"/>
      </w:pPr>
      <w:permStart w:id="42361542" w:edGrp="everyone"/>
      <w:r>
        <w:t>TYPE YOUR TEXT HERE</w:t>
      </w:r>
    </w:p>
    <w:permEnd w:id="42361542"/>
    <w:p w14:paraId="3F368B2E" w14:textId="179C4ED7" w:rsidR="00237775" w:rsidRDefault="00237775" w:rsidP="00237775">
      <w:pPr>
        <w:spacing w:after="0"/>
      </w:pPr>
      <w:r>
        <w:t>&lt;ESMA_QUESTION</w:t>
      </w:r>
      <w:r w:rsidR="00F93646">
        <w:t>_</w:t>
      </w:r>
      <w:r w:rsidR="00DD54B5">
        <w:t>CP1</w:t>
      </w:r>
      <w:r w:rsidR="00F93646">
        <w:t>_</w:t>
      </w:r>
      <w:r>
        <w:t>5</w:t>
      </w:r>
      <w:r w:rsidR="00FE11A0">
        <w:t>6</w:t>
      </w:r>
      <w:r>
        <w:t>&gt;</w:t>
      </w:r>
    </w:p>
    <w:p w14:paraId="5E552704" w14:textId="77777777" w:rsidR="00237775" w:rsidRDefault="00237775" w:rsidP="008B164D"/>
    <w:p w14:paraId="30B8C92B" w14:textId="50537358" w:rsidR="00237775" w:rsidRDefault="00FE11A0" w:rsidP="00D10F3F">
      <w:pPr>
        <w:pStyle w:val="Questionstyle"/>
        <w:spacing w:after="240" w:line="259" w:lineRule="auto"/>
        <w:ind w:left="851" w:hanging="851"/>
        <w:contextualSpacing w:val="0"/>
      </w:pPr>
      <w:r w:rsidRPr="00FE11A0">
        <w:t>As it concerns “underlying type” classification, do you agree with the proposed reliance on CFI and other reporting fields? With specific regards to Field 27, do you have proposals on how that field may be streamlined</w:t>
      </w:r>
      <w:r>
        <w:t>?</w:t>
      </w:r>
    </w:p>
    <w:p w14:paraId="3C0A35F0" w14:textId="49CA9E97" w:rsidR="00237775" w:rsidRDefault="00237775" w:rsidP="00237775">
      <w:pPr>
        <w:spacing w:after="0"/>
      </w:pPr>
      <w:r>
        <w:lastRenderedPageBreak/>
        <w:t>&lt;ESMA_QUESTION</w:t>
      </w:r>
      <w:r w:rsidR="00F93646">
        <w:t>_</w:t>
      </w:r>
      <w:r w:rsidR="00DD54B5">
        <w:t>CP1</w:t>
      </w:r>
      <w:r w:rsidR="00F93646">
        <w:t>_</w:t>
      </w:r>
      <w:r>
        <w:t>5</w:t>
      </w:r>
      <w:r w:rsidR="00FE11A0">
        <w:t>7</w:t>
      </w:r>
      <w:r>
        <w:t>&gt;</w:t>
      </w:r>
    </w:p>
    <w:p w14:paraId="6EC3FE51" w14:textId="77777777" w:rsidR="00237775" w:rsidRDefault="00237775" w:rsidP="00237775">
      <w:pPr>
        <w:spacing w:after="0"/>
      </w:pPr>
      <w:permStart w:id="416765104" w:edGrp="everyone"/>
      <w:r>
        <w:t>TYPE YOUR TEXT HERE</w:t>
      </w:r>
    </w:p>
    <w:permEnd w:id="416765104"/>
    <w:p w14:paraId="70006A3A" w14:textId="235EA449" w:rsidR="00237775" w:rsidRDefault="00237775" w:rsidP="00237775">
      <w:pPr>
        <w:spacing w:after="0"/>
      </w:pPr>
      <w:r>
        <w:t>&lt;ESMA_QUESTION</w:t>
      </w:r>
      <w:r w:rsidR="00F93646">
        <w:t>_</w:t>
      </w:r>
      <w:r w:rsidR="00DD54B5">
        <w:t>CP1</w:t>
      </w:r>
      <w:r w:rsidR="00F93646">
        <w:t>_</w:t>
      </w:r>
      <w:r>
        <w:t>5</w:t>
      </w:r>
      <w:r w:rsidR="00FE11A0">
        <w:t>7</w:t>
      </w:r>
      <w:r>
        <w:t>&gt;</w:t>
      </w:r>
    </w:p>
    <w:p w14:paraId="702456CB" w14:textId="77777777" w:rsidR="00237775" w:rsidRDefault="00237775" w:rsidP="008B164D"/>
    <w:p w14:paraId="6B98738F" w14:textId="332F1086" w:rsidR="00237775" w:rsidRDefault="00FE11A0" w:rsidP="00D10F3F">
      <w:pPr>
        <w:pStyle w:val="Questionstyle"/>
        <w:spacing w:after="240" w:line="259" w:lineRule="auto"/>
        <w:ind w:left="851" w:hanging="851"/>
        <w:contextualSpacing w:val="0"/>
      </w:pPr>
      <w:r w:rsidRPr="00FE11A0">
        <w:t>Do you see additional room for simplification and/or alignment of reference data for transaction reporting and transparency purposes? What would be the impact in terms of one-off and ongoing costs, benefits and change management of such simplifications, in particular with respect to reducing and consolidating data flows to ESMA that exist currently</w:t>
      </w:r>
      <w:r>
        <w:t>?</w:t>
      </w:r>
    </w:p>
    <w:p w14:paraId="5296341A" w14:textId="7AB645BF" w:rsidR="00237775" w:rsidRDefault="00237775" w:rsidP="00237775">
      <w:pPr>
        <w:spacing w:after="0"/>
      </w:pPr>
      <w:r>
        <w:t>&lt;ESMA_QUESTION</w:t>
      </w:r>
      <w:r w:rsidR="00F93646">
        <w:t>_</w:t>
      </w:r>
      <w:r w:rsidR="00DD54B5">
        <w:t>CP1</w:t>
      </w:r>
      <w:r w:rsidR="00F93646">
        <w:t>_</w:t>
      </w:r>
      <w:r>
        <w:t>5</w:t>
      </w:r>
      <w:r w:rsidR="00FE11A0">
        <w:t>8</w:t>
      </w:r>
      <w:r>
        <w:t>&gt;</w:t>
      </w:r>
    </w:p>
    <w:p w14:paraId="6759ACB9" w14:textId="77777777" w:rsidR="00237775" w:rsidRDefault="00237775" w:rsidP="00237775">
      <w:pPr>
        <w:spacing w:after="0"/>
      </w:pPr>
      <w:permStart w:id="1014435575" w:edGrp="everyone"/>
      <w:r>
        <w:t>TYPE YOUR TEXT HERE</w:t>
      </w:r>
    </w:p>
    <w:permEnd w:id="1014435575"/>
    <w:p w14:paraId="764428E5" w14:textId="0B14B7B7" w:rsidR="00237775" w:rsidRDefault="00237775" w:rsidP="00237775">
      <w:pPr>
        <w:spacing w:after="0"/>
      </w:pPr>
      <w:r>
        <w:t>&lt;ESMA_QUESTION</w:t>
      </w:r>
      <w:r w:rsidR="00F93646">
        <w:t>_</w:t>
      </w:r>
      <w:r w:rsidR="00DD54B5">
        <w:t>CP1</w:t>
      </w:r>
      <w:r w:rsidR="00F93646">
        <w:t>_</w:t>
      </w:r>
      <w:r>
        <w:t>5</w:t>
      </w:r>
      <w:r w:rsidR="00FE11A0">
        <w:t>8</w:t>
      </w:r>
      <w:r>
        <w:t>&gt;</w:t>
      </w:r>
    </w:p>
    <w:p w14:paraId="730481DF" w14:textId="77777777" w:rsidR="00237775" w:rsidRDefault="00237775" w:rsidP="008B164D"/>
    <w:p w14:paraId="731D0F75" w14:textId="3B03EAED" w:rsidR="00237775" w:rsidRDefault="009F58FA" w:rsidP="00D10F3F">
      <w:pPr>
        <w:pStyle w:val="Questionstyle"/>
        <w:spacing w:after="240" w:line="259" w:lineRule="auto"/>
        <w:ind w:left="851" w:hanging="851"/>
        <w:contextualSpacing w:val="0"/>
      </w:pPr>
      <w:r w:rsidRPr="009F58FA">
        <w:t>Do you have suggestions on how the fields mentioned above may be improved and streamlined</w:t>
      </w:r>
      <w:r>
        <w:t>?</w:t>
      </w:r>
    </w:p>
    <w:p w14:paraId="3CE6DFAF" w14:textId="75449498" w:rsidR="00237775" w:rsidRDefault="00237775" w:rsidP="00237775">
      <w:pPr>
        <w:spacing w:after="0"/>
      </w:pPr>
      <w:r>
        <w:t>&lt;ESMA_QUESTION</w:t>
      </w:r>
      <w:r w:rsidR="00F93646">
        <w:t>_</w:t>
      </w:r>
      <w:r w:rsidR="00DD54B5">
        <w:t>CP1</w:t>
      </w:r>
      <w:r w:rsidR="00F93646">
        <w:t>_</w:t>
      </w:r>
      <w:r>
        <w:t>5</w:t>
      </w:r>
      <w:r w:rsidR="009F58FA">
        <w:t>9</w:t>
      </w:r>
      <w:r>
        <w:t>&gt;</w:t>
      </w:r>
    </w:p>
    <w:p w14:paraId="002010DF" w14:textId="77777777" w:rsidR="00237775" w:rsidRDefault="00237775" w:rsidP="00237775">
      <w:pPr>
        <w:spacing w:after="0"/>
      </w:pPr>
      <w:permStart w:id="220344249" w:edGrp="everyone"/>
      <w:r>
        <w:t>TYPE YOUR TEXT HERE</w:t>
      </w:r>
    </w:p>
    <w:permEnd w:id="220344249"/>
    <w:p w14:paraId="6933FBBF" w14:textId="666963EA" w:rsidR="00237775" w:rsidRDefault="00237775" w:rsidP="00237775">
      <w:pPr>
        <w:spacing w:after="0"/>
      </w:pPr>
      <w:r>
        <w:t>&lt;ESMA_QUESTION</w:t>
      </w:r>
      <w:r w:rsidR="00F93646">
        <w:t>_</w:t>
      </w:r>
      <w:r w:rsidR="00DD54B5">
        <w:t>CP1</w:t>
      </w:r>
      <w:r w:rsidR="00F93646">
        <w:t>_</w:t>
      </w:r>
      <w:r>
        <w:t>5</w:t>
      </w:r>
      <w:r w:rsidR="009F58FA">
        <w:t>9</w:t>
      </w:r>
      <w:r>
        <w:t>&gt;</w:t>
      </w:r>
    </w:p>
    <w:p w14:paraId="03C946FF" w14:textId="77777777" w:rsidR="00237775" w:rsidRDefault="00237775" w:rsidP="008B164D"/>
    <w:p w14:paraId="5925E4A5" w14:textId="3C1530F5" w:rsidR="00237775" w:rsidRDefault="009F58FA" w:rsidP="00747119">
      <w:pPr>
        <w:pStyle w:val="Questionstyle"/>
        <w:spacing w:after="240" w:line="259" w:lineRule="auto"/>
        <w:ind w:left="851" w:hanging="851"/>
        <w:contextualSpacing w:val="0"/>
      </w:pPr>
      <w:r w:rsidRPr="009F58FA">
        <w:t>Do you agree with the above assessment of the necessary adjustments to be made in the RTS 23 to accommodate for the identifying reference data</w:t>
      </w:r>
      <w:r>
        <w:t>?</w:t>
      </w:r>
    </w:p>
    <w:p w14:paraId="1DC165C3" w14:textId="2DFB9E6D" w:rsidR="00237775" w:rsidRDefault="00237775" w:rsidP="00237775">
      <w:pPr>
        <w:spacing w:after="0"/>
      </w:pPr>
      <w:r>
        <w:t>&lt;ESMA_QUESTION</w:t>
      </w:r>
      <w:r w:rsidR="00F93646">
        <w:t>_</w:t>
      </w:r>
      <w:r w:rsidR="00DD54B5">
        <w:t>CP1</w:t>
      </w:r>
      <w:r w:rsidR="00F93646">
        <w:t>_</w:t>
      </w:r>
      <w:r w:rsidR="009F58FA">
        <w:t>6</w:t>
      </w:r>
      <w:r>
        <w:t>0&gt;</w:t>
      </w:r>
    </w:p>
    <w:p w14:paraId="1F6998D2" w14:textId="77777777" w:rsidR="00237775" w:rsidRDefault="00237775" w:rsidP="00237775">
      <w:pPr>
        <w:spacing w:after="0"/>
      </w:pPr>
      <w:permStart w:id="415780132" w:edGrp="everyone"/>
      <w:r>
        <w:t>TYPE YOUR TEXT HERE</w:t>
      </w:r>
    </w:p>
    <w:permEnd w:id="415780132"/>
    <w:p w14:paraId="311885DC" w14:textId="06EA1DC4" w:rsidR="00237775" w:rsidRDefault="00237775" w:rsidP="00237775">
      <w:pPr>
        <w:spacing w:after="0"/>
      </w:pPr>
      <w:r>
        <w:t>&lt;ESMA_QUESTION</w:t>
      </w:r>
      <w:r w:rsidR="00F93646">
        <w:t>_</w:t>
      </w:r>
      <w:r w:rsidR="00DD54B5">
        <w:t>CP1</w:t>
      </w:r>
      <w:r w:rsidR="00F93646">
        <w:t>_</w:t>
      </w:r>
      <w:r w:rsidR="009F58FA">
        <w:t>6</w:t>
      </w:r>
      <w:r>
        <w:t>0&gt;</w:t>
      </w:r>
    </w:p>
    <w:p w14:paraId="4DD6CDC7" w14:textId="05C53C21" w:rsidR="00692ADF" w:rsidRDefault="00692ADF" w:rsidP="008B164D"/>
    <w:p w14:paraId="060FE03F" w14:textId="529E8914" w:rsidR="00237775" w:rsidRDefault="009F58FA" w:rsidP="008C4396">
      <w:pPr>
        <w:pStyle w:val="Questionstyle"/>
        <w:spacing w:after="240" w:line="259" w:lineRule="auto"/>
        <w:ind w:left="851" w:hanging="851"/>
        <w:contextualSpacing w:val="0"/>
      </w:pPr>
      <w:r w:rsidRPr="009F58FA">
        <w:t>Do you see a need to specify the ‘date by which the reference data are to be reported’ different from the date of application or have other comments with regards to the proposed timeline? If so, please specify</w:t>
      </w:r>
      <w:r w:rsidR="00237775">
        <w:t>.</w:t>
      </w:r>
    </w:p>
    <w:p w14:paraId="2A1A7647" w14:textId="1DD150DB" w:rsidR="00237775" w:rsidRDefault="00237775" w:rsidP="00237775">
      <w:pPr>
        <w:spacing w:after="0"/>
      </w:pPr>
      <w:r>
        <w:t>&lt;ESMA_QUESTION</w:t>
      </w:r>
      <w:r w:rsidR="00F93646">
        <w:t>_</w:t>
      </w:r>
      <w:r w:rsidR="00DD54B5">
        <w:t>CP1</w:t>
      </w:r>
      <w:r w:rsidR="00F93646">
        <w:t>_</w:t>
      </w:r>
      <w:r w:rsidR="009F58FA">
        <w:t>61</w:t>
      </w:r>
      <w:r>
        <w:t>&gt;</w:t>
      </w:r>
    </w:p>
    <w:p w14:paraId="54384DC5" w14:textId="77777777" w:rsidR="00237775" w:rsidRDefault="00237775" w:rsidP="00237775">
      <w:pPr>
        <w:spacing w:after="0"/>
      </w:pPr>
      <w:permStart w:id="838951323" w:edGrp="everyone"/>
      <w:r>
        <w:t>TYPE YOUR TEXT HERE</w:t>
      </w:r>
    </w:p>
    <w:permEnd w:id="838951323"/>
    <w:p w14:paraId="0F0C5F74" w14:textId="5E080894" w:rsidR="00237775" w:rsidRDefault="00237775" w:rsidP="00237775">
      <w:pPr>
        <w:spacing w:after="0"/>
      </w:pPr>
      <w:r>
        <w:t>&lt;ESMA_QUESTION</w:t>
      </w:r>
      <w:r w:rsidR="00F93646">
        <w:t>_</w:t>
      </w:r>
      <w:r w:rsidR="00DD54B5">
        <w:t>CP1</w:t>
      </w:r>
      <w:r w:rsidR="00F93646">
        <w:t>_</w:t>
      </w:r>
      <w:r w:rsidR="009F58FA">
        <w:t>61</w:t>
      </w:r>
      <w:r>
        <w:t>&gt;</w:t>
      </w:r>
    </w:p>
    <w:p w14:paraId="1D6000A8" w14:textId="77777777" w:rsidR="0015061C" w:rsidRDefault="0015061C" w:rsidP="008B164D"/>
    <w:p w14:paraId="0705F365" w14:textId="02CB6C2C" w:rsidR="0015061C" w:rsidRDefault="00967C2B" w:rsidP="00EF40D8">
      <w:pPr>
        <w:pStyle w:val="Questionstyle"/>
        <w:spacing w:after="240" w:line="259" w:lineRule="auto"/>
        <w:ind w:left="851" w:hanging="851"/>
        <w:contextualSpacing w:val="0"/>
      </w:pPr>
      <w:r w:rsidRPr="00967C2B">
        <w:t>Are there any other international developments or standards agreed at Union or international level that should be considered for the purpose of the development of the RTS on reference data</w:t>
      </w:r>
      <w:r>
        <w:t>?</w:t>
      </w:r>
    </w:p>
    <w:p w14:paraId="0A570C50" w14:textId="653D690D" w:rsidR="0015061C" w:rsidRDefault="0015061C" w:rsidP="0015061C">
      <w:pPr>
        <w:spacing w:after="0"/>
      </w:pPr>
      <w:r>
        <w:lastRenderedPageBreak/>
        <w:t>&lt;ESMA_QUESTION</w:t>
      </w:r>
      <w:r w:rsidR="00F93646">
        <w:t>_</w:t>
      </w:r>
      <w:r w:rsidR="00DD54B5">
        <w:t>CP1</w:t>
      </w:r>
      <w:r w:rsidR="00F93646">
        <w:t>_</w:t>
      </w:r>
      <w:r>
        <w:t>6</w:t>
      </w:r>
      <w:r w:rsidR="00AE2A0A">
        <w:t>2</w:t>
      </w:r>
      <w:r>
        <w:t>&gt;</w:t>
      </w:r>
    </w:p>
    <w:p w14:paraId="48800964" w14:textId="77777777" w:rsidR="0015061C" w:rsidRDefault="0015061C" w:rsidP="0015061C">
      <w:pPr>
        <w:spacing w:after="0"/>
      </w:pPr>
      <w:permStart w:id="621418784" w:edGrp="everyone"/>
      <w:r>
        <w:t>TYPE YOUR TEXT HERE</w:t>
      </w:r>
    </w:p>
    <w:permEnd w:id="621418784"/>
    <w:p w14:paraId="72F5213C" w14:textId="4C983235" w:rsidR="0015061C" w:rsidRDefault="0015061C" w:rsidP="0015061C">
      <w:pPr>
        <w:spacing w:after="0"/>
      </w:pPr>
      <w:r>
        <w:t>&lt;ESMA_QUESTION</w:t>
      </w:r>
      <w:r w:rsidR="00F93646">
        <w:t>_</w:t>
      </w:r>
      <w:r w:rsidR="00DD54B5">
        <w:t>CP1</w:t>
      </w:r>
      <w:r w:rsidR="00F93646">
        <w:t>_</w:t>
      </w:r>
      <w:r>
        <w:t>6</w:t>
      </w:r>
      <w:r w:rsidR="00AE2A0A">
        <w:t>2</w:t>
      </w:r>
      <w:r>
        <w:t>&gt;</w:t>
      </w:r>
    </w:p>
    <w:p w14:paraId="32E59F72" w14:textId="77777777" w:rsidR="0015061C" w:rsidRDefault="0015061C" w:rsidP="008B164D"/>
    <w:p w14:paraId="2E22A451" w14:textId="31837E02" w:rsidR="0015061C" w:rsidRDefault="00967C2B" w:rsidP="00137973">
      <w:pPr>
        <w:pStyle w:val="Questionstyle"/>
        <w:spacing w:after="240" w:line="259" w:lineRule="auto"/>
        <w:ind w:left="851" w:hanging="851"/>
        <w:contextualSpacing w:val="0"/>
      </w:pPr>
      <w:r w:rsidRPr="00967C2B">
        <w:t>Do you agree with the changes proposed in the tables above? Should any other changes be considered to align the MiFIR reporting specifications with the international standards, EMIR and / or SFTR</w:t>
      </w:r>
      <w:r>
        <w:t>?</w:t>
      </w:r>
    </w:p>
    <w:p w14:paraId="02069158" w14:textId="582354A1" w:rsidR="0015061C" w:rsidRDefault="0015061C" w:rsidP="0015061C">
      <w:pPr>
        <w:spacing w:after="0"/>
      </w:pPr>
      <w:r>
        <w:t>&lt;ESMA_QUESTION</w:t>
      </w:r>
      <w:r w:rsidR="00F93646">
        <w:t>_</w:t>
      </w:r>
      <w:r w:rsidR="00DD54B5">
        <w:t>CP1</w:t>
      </w:r>
      <w:r w:rsidR="00F93646">
        <w:t>_</w:t>
      </w:r>
      <w:r>
        <w:t>6</w:t>
      </w:r>
      <w:r w:rsidR="00AE2A0A">
        <w:t>3</w:t>
      </w:r>
      <w:r>
        <w:t>&gt;</w:t>
      </w:r>
    </w:p>
    <w:p w14:paraId="51028F3F" w14:textId="77777777" w:rsidR="0015061C" w:rsidRDefault="0015061C" w:rsidP="0015061C">
      <w:pPr>
        <w:spacing w:after="0"/>
      </w:pPr>
      <w:permStart w:id="1336420085" w:edGrp="everyone"/>
      <w:r>
        <w:t>TYPE YOUR TEXT HERE</w:t>
      </w:r>
    </w:p>
    <w:permEnd w:id="1336420085"/>
    <w:p w14:paraId="6A3E3928" w14:textId="69DDE8C1" w:rsidR="0015061C" w:rsidRDefault="0015061C" w:rsidP="0015061C">
      <w:pPr>
        <w:spacing w:after="0"/>
      </w:pPr>
      <w:r>
        <w:t>&lt;ESMA_QUESTION</w:t>
      </w:r>
      <w:r w:rsidR="00F93646">
        <w:t>_</w:t>
      </w:r>
      <w:r w:rsidR="00DD54B5">
        <w:t>CP1</w:t>
      </w:r>
      <w:r w:rsidR="00F93646">
        <w:t>_</w:t>
      </w:r>
      <w:r>
        <w:t>6</w:t>
      </w:r>
      <w:r w:rsidR="00AE2A0A">
        <w:t>3</w:t>
      </w:r>
      <w:r>
        <w:t>&gt;</w:t>
      </w:r>
    </w:p>
    <w:p w14:paraId="61CD95BC" w14:textId="77777777" w:rsidR="0015061C" w:rsidRDefault="0015061C" w:rsidP="008B164D"/>
    <w:p w14:paraId="28BB61CA" w14:textId="75330932" w:rsidR="0015061C" w:rsidRDefault="00967C2B" w:rsidP="00137973">
      <w:pPr>
        <w:pStyle w:val="Questionstyle"/>
        <w:spacing w:after="240" w:line="259" w:lineRule="auto"/>
        <w:ind w:left="851" w:hanging="851"/>
        <w:contextualSpacing w:val="0"/>
      </w:pPr>
      <w:r w:rsidRPr="00967C2B">
        <w:t>Do you foresee any challenges with the proposed approach under which the CSDR publications would be integrated in FIRDS</w:t>
      </w:r>
      <w:r>
        <w:t>?</w:t>
      </w:r>
    </w:p>
    <w:p w14:paraId="37A3570D" w14:textId="3ADC7BC2" w:rsidR="0015061C" w:rsidRDefault="0015061C" w:rsidP="0015061C">
      <w:pPr>
        <w:spacing w:after="0"/>
      </w:pPr>
      <w:r>
        <w:t>&lt;ESMA_QUESTION</w:t>
      </w:r>
      <w:r w:rsidR="00F93646">
        <w:t>_</w:t>
      </w:r>
      <w:r w:rsidR="00DD54B5">
        <w:t>CP1</w:t>
      </w:r>
      <w:r w:rsidR="00F93646">
        <w:t>_</w:t>
      </w:r>
      <w:r>
        <w:t>6</w:t>
      </w:r>
      <w:r w:rsidR="00AE2A0A">
        <w:t>4</w:t>
      </w:r>
      <w:r>
        <w:t>&gt;</w:t>
      </w:r>
    </w:p>
    <w:p w14:paraId="104F714E" w14:textId="77777777" w:rsidR="0015061C" w:rsidRDefault="0015061C" w:rsidP="0015061C">
      <w:pPr>
        <w:spacing w:after="0"/>
      </w:pPr>
      <w:permStart w:id="1816345643" w:edGrp="everyone"/>
      <w:r>
        <w:t>TYPE YOUR TEXT HERE</w:t>
      </w:r>
    </w:p>
    <w:permEnd w:id="1816345643"/>
    <w:p w14:paraId="52BA802C" w14:textId="73FF9E4D" w:rsidR="0015061C" w:rsidRDefault="0015061C" w:rsidP="0015061C">
      <w:pPr>
        <w:spacing w:after="0"/>
      </w:pPr>
      <w:r>
        <w:t>&lt;ESMA_QUESTION</w:t>
      </w:r>
      <w:r w:rsidR="00F93646">
        <w:t>_</w:t>
      </w:r>
      <w:r w:rsidR="00DD54B5">
        <w:t>CP1</w:t>
      </w:r>
      <w:r w:rsidR="00F93646">
        <w:t>_</w:t>
      </w:r>
      <w:r>
        <w:t>6</w:t>
      </w:r>
      <w:r w:rsidR="00AE2A0A">
        <w:t>4</w:t>
      </w:r>
      <w:r>
        <w:t>&gt;</w:t>
      </w:r>
    </w:p>
    <w:p w14:paraId="71148B28" w14:textId="77777777" w:rsidR="0015061C" w:rsidRDefault="0015061C" w:rsidP="008B164D"/>
    <w:p w14:paraId="6FC57866" w14:textId="2C536EB2" w:rsidR="0015061C" w:rsidRDefault="005F7979" w:rsidP="00137973">
      <w:pPr>
        <w:pStyle w:val="Questionstyle"/>
        <w:spacing w:after="240" w:line="259" w:lineRule="auto"/>
        <w:ind w:left="851" w:hanging="851"/>
        <w:contextualSpacing w:val="0"/>
      </w:pPr>
      <w:r w:rsidRPr="005F7979">
        <w:t>Do you have any comments with regards to the inclusion of additional fields in the instrument reference data published by ESMA to indicate whether the instrument is in the scope of CSDR and to specify which MIC corresponds to a venue with the highest turnover or the most relevant market in terms of liquidity</w:t>
      </w:r>
      <w:r>
        <w:t>?</w:t>
      </w:r>
    </w:p>
    <w:p w14:paraId="05A8D7AC" w14:textId="44F81E57" w:rsidR="0015061C" w:rsidRDefault="0015061C" w:rsidP="0015061C">
      <w:pPr>
        <w:spacing w:after="0"/>
      </w:pPr>
      <w:r>
        <w:t>&lt;ESMA_QUESTION</w:t>
      </w:r>
      <w:r w:rsidR="00F93646">
        <w:t>_</w:t>
      </w:r>
      <w:r w:rsidR="00DD54B5">
        <w:t>CP1</w:t>
      </w:r>
      <w:r w:rsidR="00F93646">
        <w:t>_</w:t>
      </w:r>
      <w:r>
        <w:t>6</w:t>
      </w:r>
      <w:r w:rsidR="00AE2A0A">
        <w:t>5</w:t>
      </w:r>
      <w:r>
        <w:t>&gt;</w:t>
      </w:r>
    </w:p>
    <w:p w14:paraId="39668347" w14:textId="77777777" w:rsidR="0015061C" w:rsidRDefault="0015061C" w:rsidP="0015061C">
      <w:pPr>
        <w:spacing w:after="0"/>
      </w:pPr>
      <w:permStart w:id="1261776209" w:edGrp="everyone"/>
      <w:r>
        <w:t>TYPE YOUR TEXT HERE</w:t>
      </w:r>
    </w:p>
    <w:permEnd w:id="1261776209"/>
    <w:p w14:paraId="2CC71190" w14:textId="7FD4271D" w:rsidR="0015061C" w:rsidRDefault="0015061C" w:rsidP="0015061C">
      <w:pPr>
        <w:spacing w:after="0"/>
      </w:pPr>
      <w:r>
        <w:t>&lt;ESMA_QUESTION</w:t>
      </w:r>
      <w:r w:rsidR="00F93646">
        <w:t>_</w:t>
      </w:r>
      <w:r w:rsidR="00DD54B5">
        <w:t>CP1</w:t>
      </w:r>
      <w:r w:rsidR="00F93646">
        <w:t>_</w:t>
      </w:r>
      <w:r>
        <w:t>6</w:t>
      </w:r>
      <w:r w:rsidR="00AE2A0A">
        <w:t>5</w:t>
      </w:r>
      <w:r>
        <w:t>&gt;</w:t>
      </w:r>
    </w:p>
    <w:p w14:paraId="44A1341E" w14:textId="125DBD3B" w:rsidR="00692ADF" w:rsidRDefault="00692ADF" w:rsidP="008B164D"/>
    <w:p w14:paraId="077CB117" w14:textId="75271784" w:rsidR="0014711C" w:rsidRDefault="009A3405" w:rsidP="00137973">
      <w:pPr>
        <w:pStyle w:val="Questionstyle"/>
        <w:spacing w:after="240" w:line="259" w:lineRule="auto"/>
        <w:ind w:left="851" w:hanging="851"/>
        <w:contextualSpacing w:val="0"/>
      </w:pPr>
      <w:r w:rsidRPr="009A3405">
        <w:t>Do you support inclusion of the new fields listed above?</w:t>
      </w:r>
    </w:p>
    <w:p w14:paraId="55A264D2" w14:textId="17ADA066" w:rsidR="0014711C" w:rsidRDefault="0014711C" w:rsidP="0014711C">
      <w:pPr>
        <w:spacing w:after="0"/>
      </w:pPr>
      <w:r>
        <w:t>&lt;ESMA_QUESTION_</w:t>
      </w:r>
      <w:r w:rsidR="00DD54B5">
        <w:t>CP1</w:t>
      </w:r>
      <w:r>
        <w:t>_66&gt;</w:t>
      </w:r>
    </w:p>
    <w:p w14:paraId="52029F3C" w14:textId="77777777" w:rsidR="0014711C" w:rsidRDefault="0014711C" w:rsidP="0014711C">
      <w:pPr>
        <w:spacing w:after="0"/>
      </w:pPr>
      <w:permStart w:id="946935013" w:edGrp="everyone"/>
      <w:r>
        <w:t>TYPE YOUR TEXT HERE</w:t>
      </w:r>
    </w:p>
    <w:permEnd w:id="946935013"/>
    <w:p w14:paraId="49A39D8F" w14:textId="41884631" w:rsidR="0014711C" w:rsidRDefault="0014711C" w:rsidP="0014711C">
      <w:pPr>
        <w:spacing w:after="0"/>
      </w:pPr>
      <w:r>
        <w:t>&lt;ESMA_QUESTION_</w:t>
      </w:r>
      <w:r w:rsidR="00DD54B5">
        <w:t>CP1</w:t>
      </w:r>
      <w:r>
        <w:t>_66&gt;</w:t>
      </w:r>
    </w:p>
    <w:p w14:paraId="3A3D498B" w14:textId="77777777" w:rsidR="0014711C" w:rsidRPr="0014711C" w:rsidRDefault="0014711C" w:rsidP="0014711C"/>
    <w:p w14:paraId="466E17C2" w14:textId="0B7C89C2" w:rsidR="0015061C" w:rsidRDefault="005F7979" w:rsidP="00137973">
      <w:pPr>
        <w:pStyle w:val="Questionstyle"/>
        <w:spacing w:after="240" w:line="259" w:lineRule="auto"/>
        <w:ind w:left="851" w:hanging="851"/>
        <w:contextualSpacing w:val="0"/>
      </w:pPr>
      <w:r w:rsidRPr="005F7979">
        <w:t>Do you agree with the amendment listed above for the existing fields</w:t>
      </w:r>
      <w:r>
        <w:t>?</w:t>
      </w:r>
    </w:p>
    <w:p w14:paraId="08924D3D" w14:textId="39D8AEFA" w:rsidR="0015061C" w:rsidRDefault="0015061C" w:rsidP="0015061C">
      <w:pPr>
        <w:spacing w:after="0"/>
      </w:pPr>
      <w:r>
        <w:t>&lt;ESMA_QUESTION</w:t>
      </w:r>
      <w:r w:rsidR="00F93646">
        <w:t>_</w:t>
      </w:r>
      <w:r w:rsidR="00DD54B5">
        <w:t>CP1</w:t>
      </w:r>
      <w:r w:rsidR="00F93646">
        <w:t>_</w:t>
      </w:r>
      <w:r>
        <w:t>6</w:t>
      </w:r>
      <w:r w:rsidR="0014711C">
        <w:t>7</w:t>
      </w:r>
      <w:r>
        <w:t>&gt;</w:t>
      </w:r>
    </w:p>
    <w:p w14:paraId="6FA9D5E1" w14:textId="77777777" w:rsidR="0015061C" w:rsidRDefault="0015061C" w:rsidP="0015061C">
      <w:pPr>
        <w:spacing w:after="0"/>
      </w:pPr>
      <w:permStart w:id="1485646338" w:edGrp="everyone"/>
      <w:r>
        <w:t>TYPE YOUR TEXT HERE</w:t>
      </w:r>
    </w:p>
    <w:permEnd w:id="1485646338"/>
    <w:p w14:paraId="617F05D5" w14:textId="27712F43" w:rsidR="0015061C" w:rsidRDefault="0015061C" w:rsidP="0015061C">
      <w:pPr>
        <w:spacing w:after="0"/>
      </w:pPr>
      <w:r>
        <w:t>&lt;ESMA_QUESTION</w:t>
      </w:r>
      <w:r w:rsidR="00F93646">
        <w:t>_</w:t>
      </w:r>
      <w:r w:rsidR="00DD54B5">
        <w:t>CP1</w:t>
      </w:r>
      <w:r w:rsidR="00F93646">
        <w:t>_</w:t>
      </w:r>
      <w:r>
        <w:t>6</w:t>
      </w:r>
      <w:r w:rsidR="0014711C">
        <w:t>7</w:t>
      </w:r>
      <w:r>
        <w:t>&gt;</w:t>
      </w:r>
    </w:p>
    <w:p w14:paraId="73E2AB4B" w14:textId="77777777" w:rsidR="0015061C" w:rsidRDefault="0015061C" w:rsidP="008B164D"/>
    <w:p w14:paraId="59D25D0C" w14:textId="468C1259" w:rsidR="0015061C" w:rsidRDefault="005F7979" w:rsidP="00137973">
      <w:pPr>
        <w:pStyle w:val="Questionstyle"/>
        <w:spacing w:after="240" w:line="259" w:lineRule="auto"/>
        <w:ind w:left="851" w:hanging="851"/>
        <w:contextualSpacing w:val="0"/>
      </w:pPr>
      <w:r w:rsidRPr="005F7979">
        <w:t>With regards to monitoring of de-listing and re-admission, which option is preferable in your view: (i) reporting by the trading venue of all previous trading periods in the repeatable fields 10, 11 and 12 or (ii) implementing adequate reporting logic of events impacting the instrument (new, modification, termination etc) in order to enable ESMA to reconstruct all trading periods</w:t>
      </w:r>
      <w:r>
        <w:t>?</w:t>
      </w:r>
    </w:p>
    <w:p w14:paraId="7648787D" w14:textId="6D6398B2" w:rsidR="0015061C" w:rsidRDefault="0015061C" w:rsidP="0015061C">
      <w:pPr>
        <w:spacing w:after="0"/>
      </w:pPr>
      <w:r>
        <w:t>&lt;ESMA_QUESTION</w:t>
      </w:r>
      <w:r w:rsidR="00F93646">
        <w:t>_</w:t>
      </w:r>
      <w:r w:rsidR="00DD54B5">
        <w:t>CP1</w:t>
      </w:r>
      <w:r w:rsidR="00F93646">
        <w:t>_</w:t>
      </w:r>
      <w:r>
        <w:t>6</w:t>
      </w:r>
      <w:r w:rsidR="0014711C">
        <w:t>8</w:t>
      </w:r>
      <w:r>
        <w:t>&gt;</w:t>
      </w:r>
    </w:p>
    <w:p w14:paraId="55433929" w14:textId="77777777" w:rsidR="0015061C" w:rsidRDefault="0015061C" w:rsidP="0015061C">
      <w:pPr>
        <w:spacing w:after="0"/>
      </w:pPr>
      <w:permStart w:id="1830689355" w:edGrp="everyone"/>
      <w:r>
        <w:t>TYPE YOUR TEXT HERE</w:t>
      </w:r>
    </w:p>
    <w:permEnd w:id="1830689355"/>
    <w:p w14:paraId="0EF4CD83" w14:textId="2C7EC1EF" w:rsidR="0015061C" w:rsidRDefault="0015061C" w:rsidP="0015061C">
      <w:pPr>
        <w:spacing w:after="0"/>
      </w:pPr>
      <w:r>
        <w:t>&lt;ESMA_QUESTION</w:t>
      </w:r>
      <w:r w:rsidR="00F93646">
        <w:t>_</w:t>
      </w:r>
      <w:r w:rsidR="00DD54B5">
        <w:t>CP1</w:t>
      </w:r>
      <w:r w:rsidR="00F93646">
        <w:t>_</w:t>
      </w:r>
      <w:r>
        <w:t>6</w:t>
      </w:r>
      <w:r w:rsidR="0014711C">
        <w:t>8</w:t>
      </w:r>
      <w:r>
        <w:t>&gt;</w:t>
      </w:r>
    </w:p>
    <w:p w14:paraId="53A5C3D4" w14:textId="77777777" w:rsidR="0015061C" w:rsidRDefault="0015061C" w:rsidP="008B164D"/>
    <w:p w14:paraId="195688BD" w14:textId="749FB38B" w:rsidR="0015061C" w:rsidRDefault="005F7979" w:rsidP="00137973">
      <w:pPr>
        <w:pStyle w:val="Questionstyle"/>
        <w:spacing w:after="240" w:line="259" w:lineRule="auto"/>
        <w:ind w:left="851" w:hanging="851"/>
        <w:contextualSpacing w:val="0"/>
      </w:pPr>
      <w:r w:rsidRPr="005F7979">
        <w:t>Do you support suppressing the reporting of the fields listed above</w:t>
      </w:r>
      <w:r>
        <w:t>?</w:t>
      </w:r>
    </w:p>
    <w:p w14:paraId="27C883A4" w14:textId="367788ED" w:rsidR="0015061C" w:rsidRDefault="0015061C" w:rsidP="0015061C">
      <w:pPr>
        <w:spacing w:after="0"/>
      </w:pPr>
      <w:r>
        <w:t>&lt;ESMA_QUESTION</w:t>
      </w:r>
      <w:r w:rsidR="00F93646">
        <w:t>_</w:t>
      </w:r>
      <w:r w:rsidR="00DD54B5">
        <w:t>CP1</w:t>
      </w:r>
      <w:r w:rsidR="00F93646">
        <w:t>_</w:t>
      </w:r>
      <w:r>
        <w:t>6</w:t>
      </w:r>
      <w:r w:rsidR="0014711C">
        <w:t>9</w:t>
      </w:r>
      <w:r>
        <w:t>&gt;</w:t>
      </w:r>
    </w:p>
    <w:p w14:paraId="526F0145" w14:textId="77777777" w:rsidR="0015061C" w:rsidRDefault="0015061C" w:rsidP="0015061C">
      <w:pPr>
        <w:spacing w:after="0"/>
      </w:pPr>
      <w:permStart w:id="1893227929" w:edGrp="everyone"/>
      <w:r>
        <w:t>TYPE YOUR TEXT HERE</w:t>
      </w:r>
    </w:p>
    <w:permEnd w:id="1893227929"/>
    <w:p w14:paraId="079093FA" w14:textId="211524ED" w:rsidR="0015061C" w:rsidRDefault="0015061C" w:rsidP="0015061C">
      <w:pPr>
        <w:spacing w:after="0"/>
      </w:pPr>
      <w:r>
        <w:t>&lt;ESMA_QUESTION</w:t>
      </w:r>
      <w:r w:rsidR="00F93646">
        <w:t>_</w:t>
      </w:r>
      <w:r w:rsidR="00DD54B5">
        <w:t>CP1</w:t>
      </w:r>
      <w:r w:rsidR="00F93646">
        <w:t>_</w:t>
      </w:r>
      <w:r>
        <w:t>6</w:t>
      </w:r>
      <w:r w:rsidR="0014711C">
        <w:t>9</w:t>
      </w:r>
      <w:r>
        <w:t>&gt;</w:t>
      </w:r>
    </w:p>
    <w:p w14:paraId="7EAA12A2" w14:textId="77777777" w:rsidR="0015061C" w:rsidRDefault="0015061C" w:rsidP="008B164D"/>
    <w:p w14:paraId="6FBEEC90" w14:textId="213E3C72" w:rsidR="0015061C" w:rsidRDefault="005F7979" w:rsidP="00137973">
      <w:pPr>
        <w:pStyle w:val="Questionstyle"/>
        <w:spacing w:after="240" w:line="259" w:lineRule="auto"/>
        <w:ind w:left="851" w:hanging="851"/>
        <w:contextualSpacing w:val="0"/>
      </w:pPr>
      <w:r w:rsidRPr="005F7979">
        <w:t>Do you foresee any challenges with the use of JSON format comparing to XML? Please provide estimates of the costs, timelines of implementation and benefits (short- and long term) related to potential transition to JSON</w:t>
      </w:r>
      <w:r w:rsidR="0015061C">
        <w:t>.</w:t>
      </w:r>
    </w:p>
    <w:p w14:paraId="0A864BF3" w14:textId="195C45C5" w:rsidR="0015061C" w:rsidRDefault="0015061C" w:rsidP="0015061C">
      <w:pPr>
        <w:spacing w:after="0"/>
      </w:pPr>
      <w:r>
        <w:t>&lt;ESMA_QUESTION</w:t>
      </w:r>
      <w:r w:rsidR="00F93646">
        <w:t>_</w:t>
      </w:r>
      <w:r w:rsidR="00DD54B5">
        <w:t>CP1</w:t>
      </w:r>
      <w:r w:rsidR="00F93646">
        <w:t>_</w:t>
      </w:r>
      <w:r w:rsidR="0014711C">
        <w:t>70</w:t>
      </w:r>
      <w:r>
        <w:t>&gt;</w:t>
      </w:r>
    </w:p>
    <w:p w14:paraId="5D1C51AA" w14:textId="77777777" w:rsidR="0015061C" w:rsidRDefault="0015061C" w:rsidP="0015061C">
      <w:pPr>
        <w:spacing w:after="0"/>
      </w:pPr>
      <w:permStart w:id="1885042034" w:edGrp="everyone"/>
      <w:r>
        <w:t>TYPE YOUR TEXT HERE</w:t>
      </w:r>
    </w:p>
    <w:permEnd w:id="1885042034"/>
    <w:p w14:paraId="2275BCED" w14:textId="42666C59" w:rsidR="0015061C" w:rsidRDefault="0015061C" w:rsidP="0015061C">
      <w:pPr>
        <w:spacing w:after="0"/>
      </w:pPr>
      <w:r>
        <w:t>&lt;ESMA_QUESTION</w:t>
      </w:r>
      <w:r w:rsidR="00F93646">
        <w:t>_</w:t>
      </w:r>
      <w:r w:rsidR="00DD54B5">
        <w:t>CP1</w:t>
      </w:r>
      <w:r w:rsidR="00F93646">
        <w:t>_</w:t>
      </w:r>
      <w:r w:rsidR="0014711C">
        <w:t>70</w:t>
      </w:r>
      <w:r>
        <w:t>&gt;</w:t>
      </w:r>
    </w:p>
    <w:p w14:paraId="7BB8A3DF" w14:textId="77777777" w:rsidR="0015061C" w:rsidRDefault="0015061C" w:rsidP="008B164D"/>
    <w:p w14:paraId="0604C7CC" w14:textId="649D928E" w:rsidR="0015061C" w:rsidRDefault="005F7979" w:rsidP="00137973">
      <w:pPr>
        <w:pStyle w:val="Questionstyle"/>
        <w:spacing w:after="240" w:line="259" w:lineRule="auto"/>
        <w:ind w:left="851" w:hanging="851"/>
        <w:contextualSpacing w:val="0"/>
      </w:pPr>
      <w:r w:rsidRPr="005F7979">
        <w:t>In addition to including a field to identify the DPE, are there any other adjustments needed to enable comprehensive and accurate reporting of reference data by the DPEs</w:t>
      </w:r>
      <w:r>
        <w:t>?</w:t>
      </w:r>
    </w:p>
    <w:p w14:paraId="00719E00" w14:textId="2A6D8AB4" w:rsidR="0015061C" w:rsidRDefault="0015061C" w:rsidP="0015061C">
      <w:pPr>
        <w:spacing w:after="0"/>
      </w:pPr>
      <w:r>
        <w:t>&lt;ESMA_QUESTION</w:t>
      </w:r>
      <w:r w:rsidR="00F93646">
        <w:t>_</w:t>
      </w:r>
      <w:r w:rsidR="00DD54B5">
        <w:t>CP1</w:t>
      </w:r>
      <w:r w:rsidR="00F93646">
        <w:t>_</w:t>
      </w:r>
      <w:r w:rsidR="00AE2A0A">
        <w:t>7</w:t>
      </w:r>
      <w:r w:rsidR="0014711C">
        <w:t>1</w:t>
      </w:r>
      <w:r>
        <w:t>&gt;</w:t>
      </w:r>
    </w:p>
    <w:p w14:paraId="0468E6BD" w14:textId="77777777" w:rsidR="000C1E65" w:rsidRPr="000C1E65" w:rsidRDefault="000C1E65" w:rsidP="000C1E65">
      <w:pPr>
        <w:spacing w:after="0"/>
        <w:divId w:val="1974556145"/>
        <w:rPr>
          <w:lang w:val="x-none"/>
        </w:rPr>
      </w:pPr>
      <w:permStart w:id="1904763643" w:edGrp="everyone"/>
      <w:r w:rsidRPr="000C1E65">
        <w:rPr>
          <w:lang w:val="x-none"/>
        </w:rPr>
        <w:t xml:space="preserve">In general, FIA EPTA members are supportive of the amendment to Level 1 (art 21a </w:t>
      </w:r>
      <w:proofErr w:type="spellStart"/>
      <w:r w:rsidRPr="000C1E65">
        <w:rPr>
          <w:lang w:val="x-none"/>
        </w:rPr>
        <w:t>MiFIR</w:t>
      </w:r>
      <w:proofErr w:type="spellEnd"/>
      <w:r w:rsidRPr="000C1E65">
        <w:rPr>
          <w:lang w:val="x-none"/>
        </w:rPr>
        <w:t xml:space="preserve">) which aims to separate the obligation to trade report from Systematic </w:t>
      </w:r>
      <w:proofErr w:type="spellStart"/>
      <w:r w:rsidRPr="000C1E65">
        <w:rPr>
          <w:lang w:val="x-none"/>
        </w:rPr>
        <w:t>Internaliser</w:t>
      </w:r>
      <w:proofErr w:type="spellEnd"/>
      <w:r w:rsidRPr="000C1E65">
        <w:rPr>
          <w:lang w:val="x-none"/>
        </w:rPr>
        <w:t xml:space="preserve"> (SI) status. However, in our opinion, the current proposal for the RTS contains elements that could potentially undermine this Level 1 objective. By simply replacing the definition of SI with Designated Publishing Entity (DPE), the proposal contains some flaws which do not reflect the fundamental differences between a DPE and an SI:</w:t>
      </w:r>
    </w:p>
    <w:p w14:paraId="476889F2" w14:textId="77777777" w:rsidR="000C1E65" w:rsidRPr="000C1E65" w:rsidRDefault="000C1E65" w:rsidP="00153D59">
      <w:pPr>
        <w:numPr>
          <w:ilvl w:val="0"/>
          <w:numId w:val="37"/>
        </w:numPr>
        <w:spacing w:after="0"/>
        <w:divId w:val="1974556145"/>
        <w:rPr>
          <w:lang w:val="x-none"/>
        </w:rPr>
      </w:pPr>
      <w:r w:rsidRPr="000C1E65">
        <w:rPr>
          <w:lang w:val="x-none"/>
        </w:rPr>
        <w:t>A DPE is an investment firm responsible for</w:t>
      </w:r>
      <w:r w:rsidRPr="000C1E65">
        <w:rPr>
          <w:u w:val="single"/>
          <w:lang w:val="x-none"/>
        </w:rPr>
        <w:t xml:space="preserve"> making transactions public </w:t>
      </w:r>
      <w:r w:rsidRPr="000C1E65">
        <w:rPr>
          <w:lang w:val="x-none"/>
        </w:rPr>
        <w:t>through an APA in accordance with Article 20(1) and Article 21(1).</w:t>
      </w:r>
    </w:p>
    <w:p w14:paraId="1080E5FA" w14:textId="77777777" w:rsidR="000C1E65" w:rsidRPr="000C1E65" w:rsidRDefault="000C1E65" w:rsidP="00153D59">
      <w:pPr>
        <w:numPr>
          <w:ilvl w:val="0"/>
          <w:numId w:val="37"/>
        </w:numPr>
        <w:spacing w:after="0"/>
        <w:divId w:val="1974556145"/>
        <w:rPr>
          <w:lang w:val="x-none"/>
        </w:rPr>
      </w:pPr>
      <w:r w:rsidRPr="000C1E65">
        <w:rPr>
          <w:lang w:val="x-none"/>
        </w:rPr>
        <w:lastRenderedPageBreak/>
        <w:t xml:space="preserve">An SI is an investment firm which, on an organised, frequent and systematic basis, </w:t>
      </w:r>
      <w:r w:rsidRPr="000C1E65">
        <w:rPr>
          <w:u w:val="single"/>
          <w:lang w:val="x-none"/>
        </w:rPr>
        <w:t xml:space="preserve">deals on own account when executing client orders outside a regulated market, an MTF or an OTF, without operating a multilateral system, </w:t>
      </w:r>
      <w:r w:rsidRPr="000C1E65">
        <w:rPr>
          <w:lang w:val="x-none"/>
        </w:rPr>
        <w:t>or which opts in to the status of SI.</w:t>
      </w:r>
    </w:p>
    <w:p w14:paraId="3C03723A" w14:textId="77777777" w:rsidR="000C1E65" w:rsidRPr="000C1E65" w:rsidRDefault="000C1E65" w:rsidP="000C1E65">
      <w:pPr>
        <w:spacing w:after="0"/>
        <w:divId w:val="1974556145"/>
        <w:rPr>
          <w:lang w:val="x-none"/>
        </w:rPr>
      </w:pPr>
      <w:r w:rsidRPr="000C1E65">
        <w:rPr>
          <w:lang w:val="x-none"/>
        </w:rPr>
        <w:br/>
        <w:t xml:space="preserve">Below are a number of concrete examples of inaccuracies that need further clarification especially for the situations where a DPE acts as counterparty to an SI but the DPE is not itself acting as an SI. We believe that the RTS should only refer to Trading Venues so it then aligns with Level 1. </w:t>
      </w:r>
    </w:p>
    <w:p w14:paraId="758EFA89" w14:textId="77777777" w:rsidR="000C1E65" w:rsidRDefault="000C1E65" w:rsidP="000C1E65">
      <w:pPr>
        <w:spacing w:after="0"/>
        <w:ind w:left="720"/>
        <w:divId w:val="1974556145"/>
        <w:rPr>
          <w:b/>
          <w:lang w:val="x-none"/>
        </w:rPr>
      </w:pPr>
    </w:p>
    <w:p w14:paraId="6B41DCB5" w14:textId="451FF1E0" w:rsidR="000C1E65" w:rsidRPr="000C1E65" w:rsidRDefault="000C1E65" w:rsidP="00153D59">
      <w:pPr>
        <w:numPr>
          <w:ilvl w:val="0"/>
          <w:numId w:val="38"/>
        </w:numPr>
        <w:spacing w:after="0"/>
        <w:divId w:val="1974556145"/>
        <w:rPr>
          <w:b/>
          <w:lang w:val="x-none"/>
        </w:rPr>
      </w:pPr>
      <w:r w:rsidRPr="000C1E65">
        <w:rPr>
          <w:b/>
          <w:lang w:val="x-none"/>
        </w:rPr>
        <w:t>Beyond the Level 1</w:t>
      </w:r>
    </w:p>
    <w:p w14:paraId="58BCEA16" w14:textId="77777777" w:rsidR="000C1E65" w:rsidRPr="000C1E65" w:rsidRDefault="000C1E65" w:rsidP="000C1E65">
      <w:pPr>
        <w:spacing w:after="0"/>
        <w:divId w:val="1974556145"/>
        <w:rPr>
          <w:lang w:val="x-none"/>
        </w:rPr>
      </w:pPr>
      <w:r w:rsidRPr="000C1E65">
        <w:rPr>
          <w:lang w:val="x-none"/>
        </w:rPr>
        <w:br/>
        <w:t xml:space="preserve">The Level 1 text, as amended, specifically states in Article 27(1) of </w:t>
      </w:r>
      <w:proofErr w:type="spellStart"/>
      <w:r w:rsidRPr="000C1E65">
        <w:rPr>
          <w:lang w:val="x-none"/>
        </w:rPr>
        <w:t>MiFIR</w:t>
      </w:r>
      <w:proofErr w:type="spellEnd"/>
      <w:r w:rsidRPr="000C1E65">
        <w:rPr>
          <w:lang w:val="x-none"/>
        </w:rPr>
        <w:t xml:space="preserve"> that “</w:t>
      </w:r>
      <w:r w:rsidRPr="000C1E65">
        <w:rPr>
          <w:i/>
          <w:lang w:val="x-none"/>
        </w:rPr>
        <w:t xml:space="preserve">With regard to financial instruments admitted to trading or traded on a trading venue or where the issuer has approved trading of the issued instrument or where a request for admission to trading has been made, </w:t>
      </w:r>
      <w:r w:rsidRPr="000C1E65">
        <w:rPr>
          <w:b/>
          <w:i/>
          <w:u w:val="single"/>
          <w:lang w:val="x-none"/>
        </w:rPr>
        <w:t>trading venues shall provide ESMA</w:t>
      </w:r>
      <w:r w:rsidRPr="000C1E65">
        <w:rPr>
          <w:i/>
          <w:lang w:val="x-none"/>
        </w:rPr>
        <w:t xml:space="preserve"> with identifying reference data for the purposes of transaction reporting pursuant to Article 26</w:t>
      </w:r>
      <w:r w:rsidRPr="000C1E65">
        <w:rPr>
          <w:lang w:val="x-none"/>
        </w:rPr>
        <w:t xml:space="preserve">…”. The requirement that SIs provide competent authorities with reference data has been deleted from </w:t>
      </w:r>
      <w:proofErr w:type="spellStart"/>
      <w:r w:rsidRPr="000C1E65">
        <w:rPr>
          <w:lang w:val="x-none"/>
        </w:rPr>
        <w:t>MiFIR</w:t>
      </w:r>
      <w:proofErr w:type="spellEnd"/>
      <w:r w:rsidRPr="000C1E65">
        <w:rPr>
          <w:lang w:val="x-none"/>
        </w:rPr>
        <w:t xml:space="preserve">. </w:t>
      </w:r>
    </w:p>
    <w:p w14:paraId="626D4234" w14:textId="77777777" w:rsidR="000C1E65" w:rsidRPr="000C1E65" w:rsidRDefault="000C1E65" w:rsidP="000C1E65">
      <w:pPr>
        <w:spacing w:after="0"/>
        <w:divId w:val="1974556145"/>
        <w:rPr>
          <w:lang w:val="x-none"/>
        </w:rPr>
      </w:pPr>
      <w:r w:rsidRPr="000C1E65">
        <w:rPr>
          <w:lang w:val="x-none"/>
        </w:rPr>
        <w:t xml:space="preserve">We argue, therefore, that the draft RTS goes beyond the Level 1 in requiring designated trading venues </w:t>
      </w:r>
      <w:r w:rsidRPr="000C1E65">
        <w:rPr>
          <w:b/>
          <w:u w:val="single"/>
          <w:lang w:val="x-none"/>
        </w:rPr>
        <w:t>and</w:t>
      </w:r>
      <w:r w:rsidRPr="000C1E65">
        <w:rPr>
          <w:lang w:val="x-none"/>
        </w:rPr>
        <w:t xml:space="preserve"> publishing entities to provide reference data when the Level 1 only requires trading venues to provide this. </w:t>
      </w:r>
    </w:p>
    <w:p w14:paraId="4AB60E1B" w14:textId="77777777" w:rsidR="000C1E65" w:rsidRDefault="000C1E65" w:rsidP="000C1E65">
      <w:pPr>
        <w:spacing w:after="0"/>
        <w:ind w:left="720"/>
        <w:divId w:val="1974556145"/>
        <w:rPr>
          <w:b/>
          <w:lang w:val="x-none"/>
        </w:rPr>
      </w:pPr>
    </w:p>
    <w:p w14:paraId="1491BA88" w14:textId="04F1C8EE" w:rsidR="000C1E65" w:rsidRPr="000C1E65" w:rsidRDefault="000C1E65" w:rsidP="00153D59">
      <w:pPr>
        <w:numPr>
          <w:ilvl w:val="0"/>
          <w:numId w:val="38"/>
        </w:numPr>
        <w:spacing w:after="0"/>
        <w:divId w:val="1974556145"/>
        <w:rPr>
          <w:b/>
          <w:lang w:val="x-none"/>
        </w:rPr>
      </w:pPr>
      <w:r w:rsidRPr="000C1E65">
        <w:rPr>
          <w:b/>
          <w:lang w:val="x-none"/>
        </w:rPr>
        <w:t xml:space="preserve">DPEs not necessarily the entity offering the securities </w:t>
      </w:r>
    </w:p>
    <w:p w14:paraId="35ADADA0" w14:textId="77777777" w:rsidR="000C1E65" w:rsidRPr="000C1E65" w:rsidRDefault="000C1E65" w:rsidP="000C1E65">
      <w:pPr>
        <w:spacing w:after="0"/>
        <w:divId w:val="1974556145"/>
        <w:rPr>
          <w:lang w:val="x-none"/>
        </w:rPr>
      </w:pPr>
      <w:r w:rsidRPr="000C1E65">
        <w:rPr>
          <w:lang w:val="x-none"/>
        </w:rPr>
        <w:br/>
        <w:t>We refer to article 1 of the draft consolidated RTS (strike-through as per Annex V of the Consultation Paper):</w:t>
      </w:r>
    </w:p>
    <w:p w14:paraId="62EAB222" w14:textId="77777777" w:rsidR="000C1E65" w:rsidRPr="000C1E65" w:rsidRDefault="000C1E65" w:rsidP="000C1E65">
      <w:pPr>
        <w:spacing w:after="0"/>
        <w:divId w:val="1974556145"/>
        <w:rPr>
          <w:lang w:val="x-none"/>
        </w:rPr>
      </w:pPr>
    </w:p>
    <w:p w14:paraId="60C0A87A" w14:textId="77777777" w:rsidR="000C1E65" w:rsidRPr="000C1E65" w:rsidRDefault="000C1E65" w:rsidP="000C1E65">
      <w:pPr>
        <w:spacing w:after="0"/>
        <w:divId w:val="1974556145"/>
        <w:rPr>
          <w:i/>
          <w:lang w:val="x-none"/>
        </w:rPr>
      </w:pPr>
      <w:r w:rsidRPr="000C1E65">
        <w:rPr>
          <w:i/>
          <w:lang w:val="x-none"/>
        </w:rPr>
        <w:t xml:space="preserve">“Trading venues and designated publishing entities systematic internalises shall provide ESMA competent authorities with all details of financial instrument reference data (‘reference data’) referred to in Table 3 of the Annex that pertain to the financial instrument concerned.” </w:t>
      </w:r>
    </w:p>
    <w:p w14:paraId="5A0C4043" w14:textId="77777777" w:rsidR="000C1E65" w:rsidRPr="000C1E65" w:rsidRDefault="000C1E65" w:rsidP="000C1E65">
      <w:pPr>
        <w:spacing w:after="0"/>
        <w:divId w:val="1974556145"/>
        <w:rPr>
          <w:lang w:val="x-none"/>
        </w:rPr>
      </w:pPr>
      <w:r w:rsidRPr="000C1E65">
        <w:rPr>
          <w:lang w:val="x-none"/>
        </w:rPr>
        <w:t xml:space="preserve">It is not clear to us how (or indeed why) DPEs are expected to be able to provide the details of financial instrument data given that the instruments are not traded on the DPE but by the DPE on an SI. In practice, this would require an additional data stream from the SI to the DPE, which would entail additional operational and cost burden for both parties. </w:t>
      </w:r>
    </w:p>
    <w:p w14:paraId="230A326B" w14:textId="77777777" w:rsidR="000C1E65" w:rsidRPr="000C1E65" w:rsidRDefault="000C1E65" w:rsidP="000C1E65">
      <w:pPr>
        <w:spacing w:after="0"/>
        <w:divId w:val="1974556145"/>
        <w:rPr>
          <w:b/>
          <w:lang w:val="x-none"/>
        </w:rPr>
      </w:pPr>
    </w:p>
    <w:p w14:paraId="593CF1CF" w14:textId="77777777" w:rsidR="000C1E65" w:rsidRPr="000C1E65" w:rsidRDefault="000C1E65" w:rsidP="00153D59">
      <w:pPr>
        <w:numPr>
          <w:ilvl w:val="0"/>
          <w:numId w:val="38"/>
        </w:numPr>
        <w:spacing w:after="0"/>
        <w:divId w:val="1974556145"/>
        <w:rPr>
          <w:b/>
          <w:lang w:val="x-none"/>
        </w:rPr>
      </w:pPr>
      <w:r w:rsidRPr="000C1E65">
        <w:rPr>
          <w:b/>
          <w:lang w:val="x-none"/>
        </w:rPr>
        <w:t>RTS suggests DPEs act as a trading venue, which they are not</w:t>
      </w:r>
    </w:p>
    <w:p w14:paraId="12158238" w14:textId="77777777" w:rsidR="000C1E65" w:rsidRPr="000C1E65" w:rsidRDefault="000C1E65" w:rsidP="000C1E65">
      <w:pPr>
        <w:spacing w:after="0"/>
        <w:divId w:val="1974556145"/>
        <w:rPr>
          <w:lang w:val="x-none"/>
        </w:rPr>
      </w:pPr>
      <w:r w:rsidRPr="000C1E65">
        <w:rPr>
          <w:lang w:val="x-none"/>
        </w:rPr>
        <w:br/>
        <w:t>We refer to article 2 of the draft consolidated RTS (strike-through as per Annex V of the Consultation Paper):</w:t>
      </w:r>
    </w:p>
    <w:p w14:paraId="5E316706" w14:textId="77777777" w:rsidR="000C1E65" w:rsidRPr="000C1E65" w:rsidRDefault="000C1E65" w:rsidP="000C1E65">
      <w:pPr>
        <w:spacing w:after="0"/>
        <w:divId w:val="1974556145"/>
        <w:rPr>
          <w:lang w:val="x-none"/>
        </w:rPr>
      </w:pPr>
      <w:r w:rsidRPr="000C1E65">
        <w:rPr>
          <w:i/>
          <w:lang w:val="x-none"/>
        </w:rPr>
        <w:t>“1.   Trading venues and designated publishing entities systematic internalises shall provide ESMA their competent authority by 21.00 CET on each day they are open for trading</w:t>
      </w:r>
      <w:r w:rsidRPr="000C1E65">
        <w:rPr>
          <w:lang w:val="x-none"/>
        </w:rPr>
        <w:t>…</w:t>
      </w:r>
    </w:p>
    <w:p w14:paraId="284A325D" w14:textId="77777777" w:rsidR="000C1E65" w:rsidRPr="000C1E65" w:rsidRDefault="000C1E65" w:rsidP="000C1E65">
      <w:pPr>
        <w:spacing w:after="0"/>
        <w:divId w:val="1974556145"/>
        <w:rPr>
          <w:lang w:val="x-none"/>
        </w:rPr>
      </w:pPr>
      <w:r w:rsidRPr="000C1E65">
        <w:rPr>
          <w:i/>
          <w:lang w:val="x-none"/>
        </w:rPr>
        <w:lastRenderedPageBreak/>
        <w:t xml:space="preserve">2.   Where a financial instrument is admitted to trading or traded, including where an order or a quote is placed for the first time, after 18.00 CET on a day on which a trading venue or designated publishing entity systematic </w:t>
      </w:r>
      <w:proofErr w:type="spellStart"/>
      <w:r w:rsidRPr="000C1E65">
        <w:rPr>
          <w:i/>
          <w:lang w:val="x-none"/>
        </w:rPr>
        <w:t>internaliser</w:t>
      </w:r>
      <w:proofErr w:type="spellEnd"/>
      <w:r w:rsidRPr="000C1E65">
        <w:rPr>
          <w:i/>
          <w:lang w:val="x-none"/>
        </w:rPr>
        <w:t xml:space="preserve"> is open for trading […]”</w:t>
      </w:r>
      <w:r w:rsidRPr="000C1E65">
        <w:rPr>
          <w:lang w:val="x-none"/>
        </w:rPr>
        <w:t xml:space="preserve"> </w:t>
      </w:r>
    </w:p>
    <w:p w14:paraId="417AE3D1" w14:textId="77777777" w:rsidR="000C1E65" w:rsidRPr="000C1E65" w:rsidRDefault="000C1E65" w:rsidP="00153D59">
      <w:pPr>
        <w:numPr>
          <w:ilvl w:val="0"/>
          <w:numId w:val="39"/>
        </w:numPr>
        <w:spacing w:after="0"/>
        <w:divId w:val="1974556145"/>
        <w:rPr>
          <w:lang w:val="x-none"/>
        </w:rPr>
      </w:pPr>
      <w:r w:rsidRPr="000C1E65">
        <w:rPr>
          <w:lang w:val="x-none"/>
        </w:rPr>
        <w:t xml:space="preserve">This article requires SIs to provide the reference data of the instruments traded on the SI to DPEs so that DPEs are able to provide ESMA with the relevant data. This seems like inefficient accumulation of steps compared to the current situation. The objective was to separate the requirement for reporting from SI status. </w:t>
      </w:r>
    </w:p>
    <w:p w14:paraId="22828E16" w14:textId="77777777" w:rsidR="000C1E65" w:rsidRPr="000C1E65" w:rsidRDefault="000C1E65" w:rsidP="00153D59">
      <w:pPr>
        <w:numPr>
          <w:ilvl w:val="0"/>
          <w:numId w:val="39"/>
        </w:numPr>
        <w:spacing w:after="0"/>
        <w:divId w:val="1974556145"/>
        <w:rPr>
          <w:lang w:val="x-none"/>
        </w:rPr>
      </w:pPr>
      <w:r w:rsidRPr="000C1E65">
        <w:rPr>
          <w:lang w:val="x-none"/>
        </w:rPr>
        <w:t xml:space="preserve">This article refers to ‘each day that they are open for trading’ but the DPE is not open for trading. The DPE is a counterparty of the SI and not required to have designated operating hours in the same way SIs or trading venues are. </w:t>
      </w:r>
    </w:p>
    <w:p w14:paraId="77594128" w14:textId="0591AE93" w:rsidR="00692ADF" w:rsidRDefault="000C1E65" w:rsidP="0014711C">
      <w:pPr>
        <w:spacing w:after="0"/>
      </w:pPr>
      <w:r w:rsidRPr="000C1E65">
        <w:rPr>
          <w:lang w:val="x-none"/>
        </w:rPr>
        <w:t xml:space="preserve">As referred to above, we would recommend the RTS be amended such that only trading venues are required to provide reference data, consistent with Level 1 and </w:t>
      </w:r>
      <w:proofErr w:type="spellStart"/>
      <w:r w:rsidRPr="000C1E65">
        <w:rPr>
          <w:lang w:val="x-none"/>
        </w:rPr>
        <w:t>and</w:t>
      </w:r>
      <w:proofErr w:type="spellEnd"/>
      <w:r w:rsidRPr="000C1E65">
        <w:rPr>
          <w:lang w:val="x-none"/>
        </w:rPr>
        <w:t xml:space="preserve"> also with the scope of trade and transaction reporting requirements (insofar as they reference instruments traded on a trading venue).</w:t>
      </w:r>
      <w:permEnd w:id="1904763643"/>
      <w:r w:rsidR="0015061C">
        <w:t>&lt;ESMA_QUESTION</w:t>
      </w:r>
      <w:r w:rsidR="00F93646">
        <w:t>_</w:t>
      </w:r>
      <w:r w:rsidR="00DD54B5">
        <w:t>CP1</w:t>
      </w:r>
      <w:r w:rsidR="00F93646">
        <w:t>_</w:t>
      </w:r>
      <w:r w:rsidR="00AE2A0A">
        <w:t>7</w:t>
      </w:r>
      <w:r w:rsidR="0014711C">
        <w:t>1</w:t>
      </w:r>
      <w:r w:rsidR="0015061C">
        <w:t>&gt;</w:t>
      </w:r>
    </w:p>
    <w:p w14:paraId="5B25F5CE" w14:textId="77777777" w:rsidR="0014711C" w:rsidRDefault="0014711C" w:rsidP="008B164D"/>
    <w:p w14:paraId="06718B63" w14:textId="45CA5842" w:rsidR="0015061C" w:rsidRDefault="005F7979" w:rsidP="00137973">
      <w:pPr>
        <w:pStyle w:val="Questionstyle"/>
        <w:spacing w:after="240" w:line="259" w:lineRule="auto"/>
        <w:ind w:left="851" w:hanging="851"/>
        <w:contextualSpacing w:val="0"/>
      </w:pPr>
      <w:r w:rsidRPr="005F7979">
        <w:t>With regards to the categorisation of classes of financial instruments for the purpose of the DPE register, how such classes should be designated in the register? Is there any further information that should be included in the register to ensure its usability and interoperability with other relevant systems? Do you foresee any practical implementation challenges, and if so, how they could be mitigated</w:t>
      </w:r>
      <w:r>
        <w:t>?</w:t>
      </w:r>
    </w:p>
    <w:p w14:paraId="4CFD03A5" w14:textId="655B8897" w:rsidR="0015061C" w:rsidRDefault="0015061C" w:rsidP="0015061C">
      <w:pPr>
        <w:spacing w:after="0"/>
      </w:pPr>
      <w:r>
        <w:t>&lt;ESMA_QUESTION</w:t>
      </w:r>
      <w:r w:rsidR="00F93646">
        <w:t>_</w:t>
      </w:r>
      <w:r w:rsidR="00DD54B5">
        <w:t>CP1</w:t>
      </w:r>
      <w:r w:rsidR="00F93646">
        <w:t>_</w:t>
      </w:r>
      <w:r w:rsidR="00AE2A0A">
        <w:t>7</w:t>
      </w:r>
      <w:r w:rsidR="0014711C">
        <w:t>2</w:t>
      </w:r>
      <w:r>
        <w:t>&gt;</w:t>
      </w:r>
    </w:p>
    <w:p w14:paraId="07702199" w14:textId="567F93B1" w:rsidR="0015061C" w:rsidRDefault="0028259A" w:rsidP="0015061C">
      <w:pPr>
        <w:spacing w:after="0"/>
      </w:pPr>
      <w:permStart w:id="1129906537" w:edGrp="everyone"/>
      <w:r w:rsidRPr="0028259A">
        <w:t>Given the time available we haven’t been able to develop a detailed proposal on how instruments should be classified and categorised for this purpose but given how fundamental this process is to the functioning of the DPE regime, we strongly recommend ESMA continue to work on this process</w:t>
      </w:r>
      <w:r w:rsidR="00871D01">
        <w:t xml:space="preserve"> </w:t>
      </w:r>
      <w:r w:rsidRPr="0028259A">
        <w:t>to determine a meaningful and practical taxonomy applying sufficient granularity to enable DPEs and their clients to have certainty over reporting processes.</w:t>
      </w:r>
      <w:permEnd w:id="1129906537"/>
      <w:r w:rsidR="0015061C">
        <w:t>&lt;ESMA_QUESTION</w:t>
      </w:r>
      <w:r w:rsidR="00F93646">
        <w:t>_</w:t>
      </w:r>
      <w:r w:rsidR="00DD54B5">
        <w:t>CP1</w:t>
      </w:r>
      <w:r w:rsidR="00F93646">
        <w:t>_</w:t>
      </w:r>
      <w:r w:rsidR="00AE2A0A">
        <w:t>7</w:t>
      </w:r>
      <w:r w:rsidR="0014711C">
        <w:t>2</w:t>
      </w:r>
      <w:r w:rsidR="0015061C">
        <w:t>&gt;</w:t>
      </w:r>
    </w:p>
    <w:p w14:paraId="290A3331" w14:textId="77777777" w:rsidR="005F7979" w:rsidRDefault="005F7979" w:rsidP="008B164D"/>
    <w:p w14:paraId="075A97E6" w14:textId="36DE3467" w:rsidR="005F7979" w:rsidRDefault="005F7979" w:rsidP="00137973">
      <w:pPr>
        <w:pStyle w:val="Questionstyle"/>
        <w:spacing w:after="240" w:line="259" w:lineRule="auto"/>
        <w:ind w:left="851" w:hanging="851"/>
        <w:contextualSpacing w:val="0"/>
      </w:pPr>
      <w:r w:rsidRPr="005F7979">
        <w:t>Are any other adjustments needed to enable comprehensive and accurate reporting of Article 8a(2) derivatives under RTS 23</w:t>
      </w:r>
      <w:r>
        <w:t>?</w:t>
      </w:r>
    </w:p>
    <w:p w14:paraId="398215C4" w14:textId="5940090E" w:rsidR="005F7979" w:rsidRDefault="005F7979" w:rsidP="005F7979">
      <w:pPr>
        <w:spacing w:after="0"/>
      </w:pPr>
      <w:r>
        <w:t>&lt;ESMA_QUESTION</w:t>
      </w:r>
      <w:r w:rsidR="00F93646">
        <w:t>_</w:t>
      </w:r>
      <w:r w:rsidR="00DD54B5">
        <w:t>CP1</w:t>
      </w:r>
      <w:r w:rsidR="00F93646">
        <w:t>_</w:t>
      </w:r>
      <w:r w:rsidR="00AE2A0A">
        <w:t>7</w:t>
      </w:r>
      <w:r w:rsidR="0014711C">
        <w:t>3</w:t>
      </w:r>
      <w:r>
        <w:t>&gt;</w:t>
      </w:r>
    </w:p>
    <w:p w14:paraId="4E89D76B" w14:textId="77777777" w:rsidR="005F7979" w:rsidRDefault="005F7979" w:rsidP="005F7979">
      <w:pPr>
        <w:spacing w:after="0"/>
      </w:pPr>
      <w:permStart w:id="1106593597" w:edGrp="everyone"/>
      <w:r>
        <w:t>TYPE YOUR TEXT HERE</w:t>
      </w:r>
    </w:p>
    <w:permEnd w:id="1106593597"/>
    <w:p w14:paraId="77D2B3F1" w14:textId="3C30A5D5" w:rsidR="00692ADF" w:rsidRDefault="005F7979" w:rsidP="00692ADF">
      <w:pPr>
        <w:spacing w:after="0"/>
      </w:pPr>
      <w:r>
        <w:t>&lt;ESMA_QUESTION</w:t>
      </w:r>
      <w:r w:rsidR="00F93646">
        <w:t>_</w:t>
      </w:r>
      <w:r w:rsidR="00DD54B5">
        <w:t>CP1</w:t>
      </w:r>
      <w:r w:rsidR="00F93646">
        <w:t>_</w:t>
      </w:r>
      <w:r w:rsidR="00AE2A0A">
        <w:t>7</w:t>
      </w:r>
      <w:r w:rsidR="0014711C">
        <w:t>3</w:t>
      </w:r>
      <w:r>
        <w:t>&gt;</w:t>
      </w: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12348" w14:textId="77777777" w:rsidR="00655A16" w:rsidRDefault="00655A16" w:rsidP="00F716D4">
      <w:r>
        <w:separator/>
      </w:r>
    </w:p>
    <w:p w14:paraId="63B3646F" w14:textId="77777777" w:rsidR="00655A16" w:rsidRDefault="00655A16" w:rsidP="00F716D4"/>
  </w:endnote>
  <w:endnote w:type="continuationSeparator" w:id="0">
    <w:p w14:paraId="2DBE6050" w14:textId="77777777" w:rsidR="00655A16" w:rsidRDefault="00655A16" w:rsidP="00F716D4">
      <w:r>
        <w:continuationSeparator/>
      </w:r>
    </w:p>
    <w:p w14:paraId="7B81B433" w14:textId="77777777" w:rsidR="00655A16" w:rsidRDefault="00655A16" w:rsidP="00F716D4"/>
  </w:endnote>
  <w:endnote w:type="continuationNotice" w:id="1">
    <w:p w14:paraId="0A27CF56" w14:textId="77777777" w:rsidR="00655A16" w:rsidRDefault="00655A16"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37A28" w14:textId="77777777" w:rsidR="00655A16" w:rsidRDefault="00655A16" w:rsidP="00F716D4">
      <w:r>
        <w:separator/>
      </w:r>
    </w:p>
    <w:p w14:paraId="73423CCD" w14:textId="77777777" w:rsidR="00655A16" w:rsidRDefault="00655A16" w:rsidP="00F716D4"/>
  </w:footnote>
  <w:footnote w:type="continuationSeparator" w:id="0">
    <w:p w14:paraId="1D9AB592" w14:textId="77777777" w:rsidR="00655A16" w:rsidRDefault="00655A16" w:rsidP="00F716D4">
      <w:r>
        <w:continuationSeparator/>
      </w:r>
    </w:p>
    <w:p w14:paraId="53345956" w14:textId="77777777" w:rsidR="00655A16" w:rsidRDefault="00655A16" w:rsidP="00F716D4"/>
  </w:footnote>
  <w:footnote w:type="continuationNotice" w:id="1">
    <w:p w14:paraId="26913DF1" w14:textId="77777777" w:rsidR="00655A16" w:rsidRDefault="00655A16" w:rsidP="00F716D4"/>
  </w:footnote>
  <w:footnote w:id="2">
    <w:p w14:paraId="41EB2D9C" w14:textId="77777777" w:rsidR="00161F3B" w:rsidRPr="00406517" w:rsidRDefault="00161F3B" w:rsidP="00161F3B">
      <w:pPr>
        <w:pStyle w:val="FootnoteText"/>
        <w:rPr>
          <w:lang w:val="sv-SE"/>
        </w:rPr>
      </w:pPr>
      <w:r>
        <w:rPr>
          <w:rStyle w:val="FootnoteReference"/>
        </w:rPr>
        <w:footnoteRef/>
      </w:r>
      <w:r w:rsidRPr="00406517">
        <w:rPr>
          <w:lang w:val="sv-SE"/>
        </w:rPr>
        <w:t xml:space="preserve"> </w:t>
      </w:r>
      <w:r w:rsidRPr="00406517">
        <w:rPr>
          <w:i/>
          <w:iCs/>
          <w:sz w:val="22"/>
          <w:szCs w:val="22"/>
          <w:lang w:val="sv-SE"/>
        </w:rPr>
        <w:t xml:space="preserve">Page 71: </w:t>
      </w:r>
      <w:r w:rsidRPr="00406517">
        <w:rPr>
          <w:i/>
          <w:iCs/>
          <w:sz w:val="18"/>
          <w:szCs w:val="18"/>
          <w:lang w:val="sv-SE"/>
        </w:rPr>
        <w:t>https://www.esma.europa.eu/sites/default/files/library/esma70-872942901-35_qas_transparency_is-sues.pdf</w:t>
      </w:r>
    </w:p>
  </w:footnote>
  <w:footnote w:id="3">
    <w:p w14:paraId="4B4B9AFD" w14:textId="77777777" w:rsidR="003A7AF3" w:rsidRPr="00474505" w:rsidRDefault="003A7AF3" w:rsidP="003A7AF3">
      <w:pPr>
        <w:pStyle w:val="FootnoteText"/>
        <w:rPr>
          <w:lang w:val="sv-SE"/>
        </w:rPr>
      </w:pPr>
      <w:r>
        <w:rPr>
          <w:rStyle w:val="FootnoteReference"/>
        </w:rPr>
        <w:footnoteRef/>
      </w:r>
      <w:r w:rsidRPr="00474505">
        <w:rPr>
          <w:lang w:val="sv-SE"/>
        </w:rPr>
        <w:t xml:space="preserve"> </w:t>
      </w:r>
      <w:hyperlink r:id="rId1" w:history="1">
        <w:r w:rsidRPr="00474505">
          <w:rPr>
            <w:rStyle w:val="Hyperlink"/>
            <w:lang w:val="sv-SE"/>
          </w:rPr>
          <w:t>SR-FINRA-2024-004 | FINRA.org</w:t>
        </w:r>
      </w:hyperlink>
    </w:p>
  </w:footnote>
  <w:footnote w:id="4">
    <w:p w14:paraId="2AB27869" w14:textId="77777777" w:rsidR="00D04F63" w:rsidRPr="00474505" w:rsidRDefault="00D04F63" w:rsidP="00D04F63">
      <w:pPr>
        <w:pStyle w:val="FootnoteText"/>
        <w:rPr>
          <w:lang w:val="sv-SE"/>
        </w:rPr>
      </w:pPr>
      <w:r>
        <w:rPr>
          <w:rStyle w:val="FootnoteReference"/>
        </w:rPr>
        <w:footnoteRef/>
      </w:r>
      <w:r w:rsidRPr="00474505">
        <w:rPr>
          <w:lang w:val="sv-SE"/>
        </w:rPr>
        <w:t xml:space="preserve"> </w:t>
      </w:r>
      <w:hyperlink r:id="rId2" w:history="1">
        <w:r w:rsidRPr="00474505">
          <w:rPr>
            <w:rStyle w:val="Hyperlink"/>
            <w:lang w:val="sv-SE"/>
          </w:rPr>
          <w:t>ICMA-SMPC-report-European-Secondary-Bond-Market-Data-H2-2023-March-2024-190324.pdf (icmagroup.org)</w:t>
        </w:r>
      </w:hyperlink>
    </w:p>
  </w:footnote>
  <w:footnote w:id="5">
    <w:p w14:paraId="504E44D8" w14:textId="77777777" w:rsidR="00F51AE9" w:rsidRPr="00406517" w:rsidRDefault="00F51AE9" w:rsidP="00F51AE9">
      <w:pPr>
        <w:pStyle w:val="FootnoteText"/>
        <w:rPr>
          <w:lang w:val="sv-SE"/>
        </w:rPr>
      </w:pPr>
      <w:r>
        <w:rPr>
          <w:rStyle w:val="FootnoteReference"/>
        </w:rPr>
        <w:footnoteRef/>
      </w:r>
      <w:r w:rsidRPr="00406517">
        <w:rPr>
          <w:lang w:val="sv-SE"/>
        </w:rPr>
        <w:t xml:space="preserve"> </w:t>
      </w:r>
      <w:hyperlink r:id="rId3" w:history="1">
        <w:r w:rsidRPr="00406517">
          <w:rPr>
            <w:rStyle w:val="Hyperlink"/>
            <w:lang w:val="sv-SE"/>
          </w:rPr>
          <w:t xml:space="preserve">SR-FINRA-2024-004 </w:t>
        </w:r>
        <w:r w:rsidRPr="00406517">
          <w:rPr>
            <w:rStyle w:val="Hyperlink"/>
            <w:lang w:val="sv-SE"/>
          </w:rPr>
          <w:t>| FINRA.org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Default="00C54034" w:rsidP="00F716D4">
    <w:pPr>
      <w:pStyle w:val="HeaderFoot"/>
      <w:rPr>
        <w:highlight w:val="yellow"/>
      </w:rPr>
    </w:pPr>
    <w:bookmarkStart w:id="4" w:name="_Hlk124775980"/>
    <w:bookmarkStart w:id="5" w:name="_Hlk124775948"/>
  </w:p>
  <w:p w14:paraId="011E436B" w14:textId="79536046" w:rsidR="00F87468" w:rsidRPr="002D3D2C" w:rsidRDefault="002D3D2C" w:rsidP="00F716D4">
    <w:pPr>
      <w:pStyle w:val="HeaderFoot"/>
    </w:pPr>
    <w:r w:rsidRPr="002D3D2C">
      <w:t>21</w:t>
    </w:r>
    <w:r w:rsidR="00F87468" w:rsidRPr="002D3D2C">
      <w:t xml:space="preserve"> </w:t>
    </w:r>
    <w:r w:rsidR="00030C62" w:rsidRPr="002D3D2C">
      <w:t>May</w:t>
    </w:r>
    <w:r w:rsidR="00F87468" w:rsidRPr="002D3D2C">
      <w:t xml:space="preserve"> </w:t>
    </w:r>
    <w:bookmarkEnd w:id="4"/>
    <w:r w:rsidR="00F87468" w:rsidRPr="002D3D2C">
      <w:t>202</w:t>
    </w:r>
    <w:r w:rsidR="00030C62" w:rsidRPr="002D3D2C">
      <w:t>4</w:t>
    </w:r>
  </w:p>
  <w:bookmarkEnd w:id="5"/>
  <w:p w14:paraId="4661A9E6" w14:textId="709D3997" w:rsidR="00F107EF" w:rsidRPr="00F716D4" w:rsidRDefault="00030C62" w:rsidP="00C54034">
    <w:pPr>
      <w:pStyle w:val="HeaderFoot"/>
    </w:pPr>
    <w:r w:rsidRPr="00030C62">
      <w:t>ESMA74-2134169708-7262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0EE7EA1"/>
    <w:multiLevelType w:val="hybridMultilevel"/>
    <w:tmpl w:val="2A208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0D0D22"/>
    <w:multiLevelType w:val="hybridMultilevel"/>
    <w:tmpl w:val="487C5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307A0A6E"/>
    <w:lvl w:ilvl="0" w:tplc="61D496D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6707AE4"/>
    <w:multiLevelType w:val="multilevel"/>
    <w:tmpl w:val="41CA5C32"/>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1700525"/>
    <w:multiLevelType w:val="multilevel"/>
    <w:tmpl w:val="2D1AC23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2F52BA"/>
    <w:multiLevelType w:val="hybridMultilevel"/>
    <w:tmpl w:val="D1625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75662"/>
    <w:multiLevelType w:val="hybridMultilevel"/>
    <w:tmpl w:val="164A7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582B62"/>
    <w:multiLevelType w:val="multilevel"/>
    <w:tmpl w:val="47FCDAD8"/>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3"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6"/>
  </w:num>
  <w:num w:numId="2" w16cid:durableId="1769932826">
    <w:abstractNumId w:val="19"/>
  </w:num>
  <w:num w:numId="3" w16cid:durableId="550074866">
    <w:abstractNumId w:val="11"/>
  </w:num>
  <w:num w:numId="4" w16cid:durableId="1881627233">
    <w:abstractNumId w:val="26"/>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5"/>
  </w:num>
  <w:num w:numId="9" w16cid:durableId="1008846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9"/>
  </w:num>
  <w:num w:numId="12" w16cid:durableId="1500659627">
    <w:abstractNumId w:val="33"/>
  </w:num>
  <w:num w:numId="13" w16cid:durableId="1879658227">
    <w:abstractNumId w:val="24"/>
  </w:num>
  <w:num w:numId="14" w16cid:durableId="1495758855">
    <w:abstractNumId w:val="9"/>
  </w:num>
  <w:num w:numId="15" w16cid:durableId="1186556611">
    <w:abstractNumId w:val="1"/>
  </w:num>
  <w:num w:numId="16" w16cid:durableId="679087124">
    <w:abstractNumId w:val="14"/>
  </w:num>
  <w:num w:numId="17" w16cid:durableId="1695498691">
    <w:abstractNumId w:val="15"/>
  </w:num>
  <w:num w:numId="18" w16cid:durableId="1042363640">
    <w:abstractNumId w:val="17"/>
  </w:num>
  <w:num w:numId="19" w16cid:durableId="820345968">
    <w:abstractNumId w:val="28"/>
  </w:num>
  <w:num w:numId="20" w16cid:durableId="1805388212">
    <w:abstractNumId w:val="39"/>
  </w:num>
  <w:num w:numId="21" w16cid:durableId="538709007">
    <w:abstractNumId w:val="27"/>
  </w:num>
  <w:num w:numId="22" w16cid:durableId="104540172">
    <w:abstractNumId w:val="8"/>
  </w:num>
  <w:num w:numId="23" w16cid:durableId="1824349076">
    <w:abstractNumId w:val="32"/>
  </w:num>
  <w:num w:numId="24" w16cid:durableId="672032853">
    <w:abstractNumId w:val="31"/>
  </w:num>
  <w:num w:numId="25" w16cid:durableId="48917541">
    <w:abstractNumId w:val="21"/>
  </w:num>
  <w:num w:numId="26" w16cid:durableId="978925443">
    <w:abstractNumId w:val="36"/>
  </w:num>
  <w:num w:numId="27" w16cid:durableId="1036613928">
    <w:abstractNumId w:val="42"/>
  </w:num>
  <w:num w:numId="28" w16cid:durableId="872039349">
    <w:abstractNumId w:val="6"/>
  </w:num>
  <w:num w:numId="29" w16cid:durableId="924530660">
    <w:abstractNumId w:val="2"/>
  </w:num>
  <w:num w:numId="30" w16cid:durableId="419180233">
    <w:abstractNumId w:val="23"/>
  </w:num>
  <w:num w:numId="31" w16cid:durableId="276761337">
    <w:abstractNumId w:val="22"/>
  </w:num>
  <w:num w:numId="32" w16cid:durableId="1166238383">
    <w:abstractNumId w:val="38"/>
  </w:num>
  <w:num w:numId="33" w16cid:durableId="2076850202">
    <w:abstractNumId w:val="37"/>
  </w:num>
  <w:num w:numId="34" w16cid:durableId="469176496">
    <w:abstractNumId w:val="12"/>
  </w:num>
  <w:num w:numId="35" w16cid:durableId="674843309">
    <w:abstractNumId w:val="18"/>
  </w:num>
  <w:num w:numId="36" w16cid:durableId="1954971501">
    <w:abstractNumId w:val="43"/>
  </w:num>
  <w:num w:numId="37" w16cid:durableId="648290655">
    <w:abstractNumId w:val="20"/>
    <w:lvlOverride w:ilvl="0"/>
    <w:lvlOverride w:ilvl="1"/>
    <w:lvlOverride w:ilvl="2"/>
    <w:lvlOverride w:ilvl="3"/>
    <w:lvlOverride w:ilvl="4"/>
    <w:lvlOverride w:ilvl="5"/>
    <w:lvlOverride w:ilvl="6"/>
    <w:lvlOverride w:ilvl="7"/>
    <w:lvlOverride w:ilvl="8"/>
  </w:num>
  <w:num w:numId="38" w16cid:durableId="1841579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8707745">
    <w:abstractNumId w:val="41"/>
    <w:lvlOverride w:ilvl="0"/>
    <w:lvlOverride w:ilvl="1"/>
    <w:lvlOverride w:ilvl="2"/>
    <w:lvlOverride w:ilvl="3"/>
    <w:lvlOverride w:ilvl="4"/>
    <w:lvlOverride w:ilvl="5"/>
    <w:lvlOverride w:ilvl="6"/>
    <w:lvlOverride w:ilvl="7"/>
    <w:lvlOverride w:ilvl="8"/>
  </w:num>
  <w:num w:numId="40" w16cid:durableId="94251808">
    <w:abstractNumId w:val="34"/>
  </w:num>
  <w:num w:numId="41" w16cid:durableId="1494953680">
    <w:abstractNumId w:val="5"/>
  </w:num>
  <w:num w:numId="42" w16cid:durableId="2078743644">
    <w:abstractNumId w:val="10"/>
  </w:num>
  <w:num w:numId="43" w16cid:durableId="1740665899">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8jvWFxofH2PbS4sau8/oZaxak7ulNWXyZzatnLZgCIL0YeY7CtwetBkZ8sMwVFB6Enk/PGwpk871uawR0vbsQ==" w:salt="wAs882q326ez2ibw7IwOi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978"/>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0C62"/>
    <w:rsid w:val="00033A94"/>
    <w:rsid w:val="000344D6"/>
    <w:rsid w:val="00034960"/>
    <w:rsid w:val="00036FAE"/>
    <w:rsid w:val="00041858"/>
    <w:rsid w:val="0004389E"/>
    <w:rsid w:val="00045CA6"/>
    <w:rsid w:val="000463A6"/>
    <w:rsid w:val="00046CC9"/>
    <w:rsid w:val="00046E91"/>
    <w:rsid w:val="000502FE"/>
    <w:rsid w:val="0005126D"/>
    <w:rsid w:val="0005163F"/>
    <w:rsid w:val="00051992"/>
    <w:rsid w:val="00051E9A"/>
    <w:rsid w:val="000521A7"/>
    <w:rsid w:val="00052F47"/>
    <w:rsid w:val="000537BB"/>
    <w:rsid w:val="0005399B"/>
    <w:rsid w:val="00054B2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4577"/>
    <w:rsid w:val="000A7314"/>
    <w:rsid w:val="000A7B53"/>
    <w:rsid w:val="000A7B64"/>
    <w:rsid w:val="000B275C"/>
    <w:rsid w:val="000B2C3D"/>
    <w:rsid w:val="000B55C0"/>
    <w:rsid w:val="000B5DF2"/>
    <w:rsid w:val="000C06C9"/>
    <w:rsid w:val="000C1DCC"/>
    <w:rsid w:val="000C1E65"/>
    <w:rsid w:val="000C1FBC"/>
    <w:rsid w:val="000C2B6A"/>
    <w:rsid w:val="000C2F88"/>
    <w:rsid w:val="000C55C8"/>
    <w:rsid w:val="000C57C4"/>
    <w:rsid w:val="000C5FD3"/>
    <w:rsid w:val="000C701D"/>
    <w:rsid w:val="000C7C4A"/>
    <w:rsid w:val="000D11D9"/>
    <w:rsid w:val="000D17AA"/>
    <w:rsid w:val="000D2D0B"/>
    <w:rsid w:val="000D3DC7"/>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DA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5AE"/>
    <w:rsid w:val="00130F41"/>
    <w:rsid w:val="00130FAF"/>
    <w:rsid w:val="00135F2B"/>
    <w:rsid w:val="001372DD"/>
    <w:rsid w:val="00137973"/>
    <w:rsid w:val="001405BA"/>
    <w:rsid w:val="00141497"/>
    <w:rsid w:val="0014253A"/>
    <w:rsid w:val="001425C8"/>
    <w:rsid w:val="001431AE"/>
    <w:rsid w:val="00143B87"/>
    <w:rsid w:val="001459E3"/>
    <w:rsid w:val="00145DA0"/>
    <w:rsid w:val="00146A0B"/>
    <w:rsid w:val="0014711C"/>
    <w:rsid w:val="0014761E"/>
    <w:rsid w:val="0015061C"/>
    <w:rsid w:val="00151907"/>
    <w:rsid w:val="00153D59"/>
    <w:rsid w:val="001544C8"/>
    <w:rsid w:val="00155FAB"/>
    <w:rsid w:val="001567A1"/>
    <w:rsid w:val="00156857"/>
    <w:rsid w:val="00157BC9"/>
    <w:rsid w:val="00157E79"/>
    <w:rsid w:val="00157EED"/>
    <w:rsid w:val="0016087A"/>
    <w:rsid w:val="00160A5C"/>
    <w:rsid w:val="001613EC"/>
    <w:rsid w:val="00161F3B"/>
    <w:rsid w:val="0016358A"/>
    <w:rsid w:val="001638D4"/>
    <w:rsid w:val="00164664"/>
    <w:rsid w:val="00164F15"/>
    <w:rsid w:val="001651A4"/>
    <w:rsid w:val="0016552B"/>
    <w:rsid w:val="00166B04"/>
    <w:rsid w:val="001670A6"/>
    <w:rsid w:val="0016758A"/>
    <w:rsid w:val="001701FA"/>
    <w:rsid w:val="00171183"/>
    <w:rsid w:val="001725A5"/>
    <w:rsid w:val="00172681"/>
    <w:rsid w:val="0017312F"/>
    <w:rsid w:val="00173AC7"/>
    <w:rsid w:val="001745D7"/>
    <w:rsid w:val="00175754"/>
    <w:rsid w:val="001758E7"/>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D7E97"/>
    <w:rsid w:val="001E04FC"/>
    <w:rsid w:val="001E407D"/>
    <w:rsid w:val="001E40FB"/>
    <w:rsid w:val="001E66EC"/>
    <w:rsid w:val="001E68C5"/>
    <w:rsid w:val="001E6BFC"/>
    <w:rsid w:val="001F06E6"/>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16D1"/>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29F0"/>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59A"/>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477"/>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D2C"/>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E3F"/>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C0C"/>
    <w:rsid w:val="003213F2"/>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4F5E"/>
    <w:rsid w:val="00345968"/>
    <w:rsid w:val="00347667"/>
    <w:rsid w:val="003507E2"/>
    <w:rsid w:val="003522B2"/>
    <w:rsid w:val="0035455E"/>
    <w:rsid w:val="00354A6F"/>
    <w:rsid w:val="00354B48"/>
    <w:rsid w:val="00355789"/>
    <w:rsid w:val="003609B6"/>
    <w:rsid w:val="00361119"/>
    <w:rsid w:val="0036538D"/>
    <w:rsid w:val="003658F8"/>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52C"/>
    <w:rsid w:val="00384CCE"/>
    <w:rsid w:val="003865E5"/>
    <w:rsid w:val="003926C1"/>
    <w:rsid w:val="00392900"/>
    <w:rsid w:val="00393357"/>
    <w:rsid w:val="00395E7B"/>
    <w:rsid w:val="00395F4C"/>
    <w:rsid w:val="003A51C5"/>
    <w:rsid w:val="003A5A73"/>
    <w:rsid w:val="003A5DAC"/>
    <w:rsid w:val="003A6591"/>
    <w:rsid w:val="003A6637"/>
    <w:rsid w:val="003A6E9A"/>
    <w:rsid w:val="003A7AF3"/>
    <w:rsid w:val="003B07F4"/>
    <w:rsid w:val="003B08C8"/>
    <w:rsid w:val="003B2567"/>
    <w:rsid w:val="003B381A"/>
    <w:rsid w:val="003B4976"/>
    <w:rsid w:val="003B4B3F"/>
    <w:rsid w:val="003B6258"/>
    <w:rsid w:val="003B7A99"/>
    <w:rsid w:val="003C0343"/>
    <w:rsid w:val="003C1C32"/>
    <w:rsid w:val="003C1C7B"/>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740E"/>
    <w:rsid w:val="003F7C22"/>
    <w:rsid w:val="00400195"/>
    <w:rsid w:val="0040254B"/>
    <w:rsid w:val="00403086"/>
    <w:rsid w:val="00403460"/>
    <w:rsid w:val="004040FF"/>
    <w:rsid w:val="00404284"/>
    <w:rsid w:val="004042C4"/>
    <w:rsid w:val="00406E90"/>
    <w:rsid w:val="0040775C"/>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4971"/>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0EDB"/>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1DFD"/>
    <w:rsid w:val="00503A3E"/>
    <w:rsid w:val="00503F59"/>
    <w:rsid w:val="005049A7"/>
    <w:rsid w:val="005053B2"/>
    <w:rsid w:val="00505F26"/>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4752F"/>
    <w:rsid w:val="00550F4E"/>
    <w:rsid w:val="00551E98"/>
    <w:rsid w:val="005532B5"/>
    <w:rsid w:val="00554A05"/>
    <w:rsid w:val="00555849"/>
    <w:rsid w:val="005559A8"/>
    <w:rsid w:val="00557048"/>
    <w:rsid w:val="00557099"/>
    <w:rsid w:val="00557FB5"/>
    <w:rsid w:val="00561AED"/>
    <w:rsid w:val="005648A8"/>
    <w:rsid w:val="00564DE3"/>
    <w:rsid w:val="00564E44"/>
    <w:rsid w:val="00566C6A"/>
    <w:rsid w:val="00566CE5"/>
    <w:rsid w:val="00566D36"/>
    <w:rsid w:val="0057163A"/>
    <w:rsid w:val="0057174D"/>
    <w:rsid w:val="005721F8"/>
    <w:rsid w:val="00572B29"/>
    <w:rsid w:val="00573569"/>
    <w:rsid w:val="00573871"/>
    <w:rsid w:val="0057389E"/>
    <w:rsid w:val="0057454B"/>
    <w:rsid w:val="005765C0"/>
    <w:rsid w:val="005778DE"/>
    <w:rsid w:val="00580B3F"/>
    <w:rsid w:val="005825F2"/>
    <w:rsid w:val="00583885"/>
    <w:rsid w:val="005860AF"/>
    <w:rsid w:val="00587932"/>
    <w:rsid w:val="00587F1D"/>
    <w:rsid w:val="00590348"/>
    <w:rsid w:val="00591161"/>
    <w:rsid w:val="00592318"/>
    <w:rsid w:val="00593133"/>
    <w:rsid w:val="0059575D"/>
    <w:rsid w:val="00596825"/>
    <w:rsid w:val="005A06A0"/>
    <w:rsid w:val="005A150A"/>
    <w:rsid w:val="005A20EF"/>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20B"/>
    <w:rsid w:val="006476F7"/>
    <w:rsid w:val="0064779E"/>
    <w:rsid w:val="006501FA"/>
    <w:rsid w:val="006509B0"/>
    <w:rsid w:val="006521F3"/>
    <w:rsid w:val="006524D5"/>
    <w:rsid w:val="00652BBD"/>
    <w:rsid w:val="00653633"/>
    <w:rsid w:val="00653F69"/>
    <w:rsid w:val="00654936"/>
    <w:rsid w:val="00655485"/>
    <w:rsid w:val="006558B3"/>
    <w:rsid w:val="00655A16"/>
    <w:rsid w:val="006571CB"/>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17"/>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0AFA"/>
    <w:rsid w:val="006A2CA2"/>
    <w:rsid w:val="006B2D40"/>
    <w:rsid w:val="006B34DF"/>
    <w:rsid w:val="006B39B2"/>
    <w:rsid w:val="006B3AF9"/>
    <w:rsid w:val="006B429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A15"/>
    <w:rsid w:val="006E0C8A"/>
    <w:rsid w:val="006E2A23"/>
    <w:rsid w:val="006E35E5"/>
    <w:rsid w:val="006E3943"/>
    <w:rsid w:val="006E3C72"/>
    <w:rsid w:val="006E4F20"/>
    <w:rsid w:val="006E649A"/>
    <w:rsid w:val="006E6DE6"/>
    <w:rsid w:val="006F08DC"/>
    <w:rsid w:val="006F1C20"/>
    <w:rsid w:val="006F247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4D83"/>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0178"/>
    <w:rsid w:val="00743DE7"/>
    <w:rsid w:val="0074509E"/>
    <w:rsid w:val="00745B9F"/>
    <w:rsid w:val="00747119"/>
    <w:rsid w:val="0074726F"/>
    <w:rsid w:val="00752D4F"/>
    <w:rsid w:val="0075409F"/>
    <w:rsid w:val="0075525A"/>
    <w:rsid w:val="00755609"/>
    <w:rsid w:val="00755986"/>
    <w:rsid w:val="00755C86"/>
    <w:rsid w:val="00755E19"/>
    <w:rsid w:val="00756BFF"/>
    <w:rsid w:val="00756D77"/>
    <w:rsid w:val="00757326"/>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2DC"/>
    <w:rsid w:val="007805B9"/>
    <w:rsid w:val="00780C3A"/>
    <w:rsid w:val="00780CB9"/>
    <w:rsid w:val="007834A1"/>
    <w:rsid w:val="00787EDB"/>
    <w:rsid w:val="00791EB4"/>
    <w:rsid w:val="007928F1"/>
    <w:rsid w:val="0079357D"/>
    <w:rsid w:val="007937CC"/>
    <w:rsid w:val="00793A31"/>
    <w:rsid w:val="0079485D"/>
    <w:rsid w:val="00794979"/>
    <w:rsid w:val="007956B7"/>
    <w:rsid w:val="00795F1A"/>
    <w:rsid w:val="0079676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E7A15"/>
    <w:rsid w:val="007F0DDA"/>
    <w:rsid w:val="007F1939"/>
    <w:rsid w:val="007F365C"/>
    <w:rsid w:val="007F4E55"/>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146D6"/>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D01"/>
    <w:rsid w:val="00871F04"/>
    <w:rsid w:val="008746C1"/>
    <w:rsid w:val="00880224"/>
    <w:rsid w:val="0088244C"/>
    <w:rsid w:val="00883367"/>
    <w:rsid w:val="00884C47"/>
    <w:rsid w:val="00885E6F"/>
    <w:rsid w:val="008861AC"/>
    <w:rsid w:val="008868E4"/>
    <w:rsid w:val="00886A60"/>
    <w:rsid w:val="0088759B"/>
    <w:rsid w:val="008909B4"/>
    <w:rsid w:val="008922E8"/>
    <w:rsid w:val="00892E72"/>
    <w:rsid w:val="00893916"/>
    <w:rsid w:val="0089442C"/>
    <w:rsid w:val="008947B0"/>
    <w:rsid w:val="00895818"/>
    <w:rsid w:val="008A0ECD"/>
    <w:rsid w:val="008A2585"/>
    <w:rsid w:val="008A2718"/>
    <w:rsid w:val="008A4CF6"/>
    <w:rsid w:val="008A4E42"/>
    <w:rsid w:val="008A51AA"/>
    <w:rsid w:val="008A6A12"/>
    <w:rsid w:val="008B0DC6"/>
    <w:rsid w:val="008B164D"/>
    <w:rsid w:val="008B2B9E"/>
    <w:rsid w:val="008B31F5"/>
    <w:rsid w:val="008B4C79"/>
    <w:rsid w:val="008B5D2D"/>
    <w:rsid w:val="008B6361"/>
    <w:rsid w:val="008C0320"/>
    <w:rsid w:val="008C2A81"/>
    <w:rsid w:val="008C3863"/>
    <w:rsid w:val="008C3B6B"/>
    <w:rsid w:val="008C4396"/>
    <w:rsid w:val="008C4BDC"/>
    <w:rsid w:val="008C50FF"/>
    <w:rsid w:val="008C5435"/>
    <w:rsid w:val="008C6BD1"/>
    <w:rsid w:val="008D2DB5"/>
    <w:rsid w:val="008D3F10"/>
    <w:rsid w:val="008D4656"/>
    <w:rsid w:val="008D611D"/>
    <w:rsid w:val="008E084D"/>
    <w:rsid w:val="008E1B6A"/>
    <w:rsid w:val="008E3054"/>
    <w:rsid w:val="008E32FF"/>
    <w:rsid w:val="008E5625"/>
    <w:rsid w:val="008E5C5B"/>
    <w:rsid w:val="008E6A37"/>
    <w:rsid w:val="008F0354"/>
    <w:rsid w:val="008F085A"/>
    <w:rsid w:val="008F1462"/>
    <w:rsid w:val="008F14FF"/>
    <w:rsid w:val="008F2413"/>
    <w:rsid w:val="008F248D"/>
    <w:rsid w:val="008F4B2C"/>
    <w:rsid w:val="008F4C08"/>
    <w:rsid w:val="008F6851"/>
    <w:rsid w:val="008F7BC4"/>
    <w:rsid w:val="009003B8"/>
    <w:rsid w:val="009005FD"/>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58D"/>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2F0C"/>
    <w:rsid w:val="009934BB"/>
    <w:rsid w:val="00994621"/>
    <w:rsid w:val="009947FF"/>
    <w:rsid w:val="0099544B"/>
    <w:rsid w:val="0099703F"/>
    <w:rsid w:val="009A07A6"/>
    <w:rsid w:val="009A0D56"/>
    <w:rsid w:val="009A31B9"/>
    <w:rsid w:val="009A3405"/>
    <w:rsid w:val="009A4D4F"/>
    <w:rsid w:val="009A53D8"/>
    <w:rsid w:val="009A5813"/>
    <w:rsid w:val="009A597F"/>
    <w:rsid w:val="009A7B72"/>
    <w:rsid w:val="009A7F49"/>
    <w:rsid w:val="009B03C4"/>
    <w:rsid w:val="009B0AA2"/>
    <w:rsid w:val="009B1D02"/>
    <w:rsid w:val="009B56C2"/>
    <w:rsid w:val="009B7133"/>
    <w:rsid w:val="009B7658"/>
    <w:rsid w:val="009B7CD1"/>
    <w:rsid w:val="009B7E22"/>
    <w:rsid w:val="009B7E78"/>
    <w:rsid w:val="009C048D"/>
    <w:rsid w:val="009C10FE"/>
    <w:rsid w:val="009C13BC"/>
    <w:rsid w:val="009C1CA4"/>
    <w:rsid w:val="009C2532"/>
    <w:rsid w:val="009C2BA4"/>
    <w:rsid w:val="009C584B"/>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386B"/>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0F1"/>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CFB"/>
    <w:rsid w:val="00A60D6F"/>
    <w:rsid w:val="00A61009"/>
    <w:rsid w:val="00A61762"/>
    <w:rsid w:val="00A61938"/>
    <w:rsid w:val="00A61CFD"/>
    <w:rsid w:val="00A62B86"/>
    <w:rsid w:val="00A63C96"/>
    <w:rsid w:val="00A65805"/>
    <w:rsid w:val="00A66BEE"/>
    <w:rsid w:val="00A671C9"/>
    <w:rsid w:val="00A67DFD"/>
    <w:rsid w:val="00A732F0"/>
    <w:rsid w:val="00A749F0"/>
    <w:rsid w:val="00A74F9F"/>
    <w:rsid w:val="00A750B3"/>
    <w:rsid w:val="00A75559"/>
    <w:rsid w:val="00A7623D"/>
    <w:rsid w:val="00A7626F"/>
    <w:rsid w:val="00A8217C"/>
    <w:rsid w:val="00A824A7"/>
    <w:rsid w:val="00A83644"/>
    <w:rsid w:val="00A83C07"/>
    <w:rsid w:val="00A83F40"/>
    <w:rsid w:val="00A84945"/>
    <w:rsid w:val="00A85543"/>
    <w:rsid w:val="00A86EDD"/>
    <w:rsid w:val="00A8728B"/>
    <w:rsid w:val="00A91682"/>
    <w:rsid w:val="00A92125"/>
    <w:rsid w:val="00A92E4A"/>
    <w:rsid w:val="00A95314"/>
    <w:rsid w:val="00A958CA"/>
    <w:rsid w:val="00A96058"/>
    <w:rsid w:val="00A966B6"/>
    <w:rsid w:val="00A96B46"/>
    <w:rsid w:val="00AA003B"/>
    <w:rsid w:val="00AA016B"/>
    <w:rsid w:val="00AA15DD"/>
    <w:rsid w:val="00AA1C09"/>
    <w:rsid w:val="00AA2F67"/>
    <w:rsid w:val="00AA3569"/>
    <w:rsid w:val="00AA55E8"/>
    <w:rsid w:val="00AA5AFA"/>
    <w:rsid w:val="00AA5B8D"/>
    <w:rsid w:val="00AA5F4C"/>
    <w:rsid w:val="00AA615C"/>
    <w:rsid w:val="00AA6276"/>
    <w:rsid w:val="00AA6711"/>
    <w:rsid w:val="00AB0A0F"/>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05B"/>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2D29"/>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1FE3"/>
    <w:rsid w:val="00B22386"/>
    <w:rsid w:val="00B23266"/>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C0C"/>
    <w:rsid w:val="00B34D68"/>
    <w:rsid w:val="00B36117"/>
    <w:rsid w:val="00B362E3"/>
    <w:rsid w:val="00B37C73"/>
    <w:rsid w:val="00B4009B"/>
    <w:rsid w:val="00B400A1"/>
    <w:rsid w:val="00B400E3"/>
    <w:rsid w:val="00B40A2B"/>
    <w:rsid w:val="00B420CB"/>
    <w:rsid w:val="00B4401C"/>
    <w:rsid w:val="00B442F2"/>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FAD"/>
    <w:rsid w:val="00B60D27"/>
    <w:rsid w:val="00B619E4"/>
    <w:rsid w:val="00B61CD3"/>
    <w:rsid w:val="00B61D0B"/>
    <w:rsid w:val="00B6351C"/>
    <w:rsid w:val="00B6439A"/>
    <w:rsid w:val="00B6443B"/>
    <w:rsid w:val="00B64515"/>
    <w:rsid w:val="00B6517B"/>
    <w:rsid w:val="00B65E71"/>
    <w:rsid w:val="00B66C26"/>
    <w:rsid w:val="00B67829"/>
    <w:rsid w:val="00B67D42"/>
    <w:rsid w:val="00B71FB3"/>
    <w:rsid w:val="00B73492"/>
    <w:rsid w:val="00B7512A"/>
    <w:rsid w:val="00B75265"/>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B5A"/>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5E3C"/>
    <w:rsid w:val="00BC6060"/>
    <w:rsid w:val="00BC6A9F"/>
    <w:rsid w:val="00BC7897"/>
    <w:rsid w:val="00BD06D7"/>
    <w:rsid w:val="00BD0F35"/>
    <w:rsid w:val="00BD2770"/>
    <w:rsid w:val="00BD45A4"/>
    <w:rsid w:val="00BD4A5F"/>
    <w:rsid w:val="00BD59AA"/>
    <w:rsid w:val="00BD65E6"/>
    <w:rsid w:val="00BD6AF7"/>
    <w:rsid w:val="00BD73AA"/>
    <w:rsid w:val="00BE0539"/>
    <w:rsid w:val="00BE19EF"/>
    <w:rsid w:val="00BE425B"/>
    <w:rsid w:val="00BE51BB"/>
    <w:rsid w:val="00BE7595"/>
    <w:rsid w:val="00BE77D3"/>
    <w:rsid w:val="00BF0138"/>
    <w:rsid w:val="00BF114B"/>
    <w:rsid w:val="00BF1620"/>
    <w:rsid w:val="00BF1AC3"/>
    <w:rsid w:val="00BF373A"/>
    <w:rsid w:val="00BF409D"/>
    <w:rsid w:val="00BF53BB"/>
    <w:rsid w:val="00BF62D2"/>
    <w:rsid w:val="00BF6D9E"/>
    <w:rsid w:val="00BF71BB"/>
    <w:rsid w:val="00BF76F7"/>
    <w:rsid w:val="00BF7C9F"/>
    <w:rsid w:val="00C00012"/>
    <w:rsid w:val="00C000A5"/>
    <w:rsid w:val="00C006B4"/>
    <w:rsid w:val="00C00938"/>
    <w:rsid w:val="00C00E2A"/>
    <w:rsid w:val="00C025B9"/>
    <w:rsid w:val="00C044B4"/>
    <w:rsid w:val="00C0474B"/>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56C"/>
    <w:rsid w:val="00C5282C"/>
    <w:rsid w:val="00C52FBE"/>
    <w:rsid w:val="00C5355E"/>
    <w:rsid w:val="00C535E2"/>
    <w:rsid w:val="00C53FC1"/>
    <w:rsid w:val="00C54034"/>
    <w:rsid w:val="00C551D2"/>
    <w:rsid w:val="00C56438"/>
    <w:rsid w:val="00C570B3"/>
    <w:rsid w:val="00C57114"/>
    <w:rsid w:val="00C6009F"/>
    <w:rsid w:val="00C60417"/>
    <w:rsid w:val="00C6046F"/>
    <w:rsid w:val="00C61DD3"/>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2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4F63"/>
    <w:rsid w:val="00D05082"/>
    <w:rsid w:val="00D06163"/>
    <w:rsid w:val="00D06937"/>
    <w:rsid w:val="00D07AFD"/>
    <w:rsid w:val="00D10F3F"/>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49F"/>
    <w:rsid w:val="00D33881"/>
    <w:rsid w:val="00D34282"/>
    <w:rsid w:val="00D366B1"/>
    <w:rsid w:val="00D37858"/>
    <w:rsid w:val="00D37AE0"/>
    <w:rsid w:val="00D416A8"/>
    <w:rsid w:val="00D41D3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8FB"/>
    <w:rsid w:val="00D60960"/>
    <w:rsid w:val="00D6240A"/>
    <w:rsid w:val="00D63093"/>
    <w:rsid w:val="00D63599"/>
    <w:rsid w:val="00D63EBD"/>
    <w:rsid w:val="00D67101"/>
    <w:rsid w:val="00D71B45"/>
    <w:rsid w:val="00D71F8A"/>
    <w:rsid w:val="00D74B6E"/>
    <w:rsid w:val="00D75603"/>
    <w:rsid w:val="00D75FEE"/>
    <w:rsid w:val="00D76933"/>
    <w:rsid w:val="00D76D88"/>
    <w:rsid w:val="00D77568"/>
    <w:rsid w:val="00D77CC9"/>
    <w:rsid w:val="00D83D4B"/>
    <w:rsid w:val="00D871C6"/>
    <w:rsid w:val="00D91010"/>
    <w:rsid w:val="00D9143D"/>
    <w:rsid w:val="00D920D1"/>
    <w:rsid w:val="00D94219"/>
    <w:rsid w:val="00D94F7E"/>
    <w:rsid w:val="00DA0FA7"/>
    <w:rsid w:val="00DA12B0"/>
    <w:rsid w:val="00DA2BA0"/>
    <w:rsid w:val="00DA39AD"/>
    <w:rsid w:val="00DA3DF2"/>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4B5"/>
    <w:rsid w:val="00DD61F5"/>
    <w:rsid w:val="00DD7418"/>
    <w:rsid w:val="00DE64A6"/>
    <w:rsid w:val="00DE66EB"/>
    <w:rsid w:val="00DE7035"/>
    <w:rsid w:val="00DF12E3"/>
    <w:rsid w:val="00DF2A20"/>
    <w:rsid w:val="00DF3F1D"/>
    <w:rsid w:val="00DF595C"/>
    <w:rsid w:val="00DF7EA7"/>
    <w:rsid w:val="00E04548"/>
    <w:rsid w:val="00E04655"/>
    <w:rsid w:val="00E0484E"/>
    <w:rsid w:val="00E063F8"/>
    <w:rsid w:val="00E114D6"/>
    <w:rsid w:val="00E1166E"/>
    <w:rsid w:val="00E11DBD"/>
    <w:rsid w:val="00E13211"/>
    <w:rsid w:val="00E136FC"/>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6D4F"/>
    <w:rsid w:val="00E57F8E"/>
    <w:rsid w:val="00E60B13"/>
    <w:rsid w:val="00E611C8"/>
    <w:rsid w:val="00E6344A"/>
    <w:rsid w:val="00E64E69"/>
    <w:rsid w:val="00E64FB7"/>
    <w:rsid w:val="00E65AA7"/>
    <w:rsid w:val="00E669A1"/>
    <w:rsid w:val="00E679BA"/>
    <w:rsid w:val="00E70243"/>
    <w:rsid w:val="00E70E2E"/>
    <w:rsid w:val="00E72CC6"/>
    <w:rsid w:val="00E73D44"/>
    <w:rsid w:val="00E7494A"/>
    <w:rsid w:val="00E74BE2"/>
    <w:rsid w:val="00E74C66"/>
    <w:rsid w:val="00E75933"/>
    <w:rsid w:val="00E7752E"/>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9D5"/>
    <w:rsid w:val="00EC6C6E"/>
    <w:rsid w:val="00EC7B97"/>
    <w:rsid w:val="00ED049C"/>
    <w:rsid w:val="00ED07B7"/>
    <w:rsid w:val="00ED19D7"/>
    <w:rsid w:val="00ED2167"/>
    <w:rsid w:val="00ED351E"/>
    <w:rsid w:val="00ED4B27"/>
    <w:rsid w:val="00ED543C"/>
    <w:rsid w:val="00ED6BA4"/>
    <w:rsid w:val="00ED7CD5"/>
    <w:rsid w:val="00ED7DA7"/>
    <w:rsid w:val="00EE0598"/>
    <w:rsid w:val="00EE311C"/>
    <w:rsid w:val="00EE56FF"/>
    <w:rsid w:val="00EE5886"/>
    <w:rsid w:val="00EE5FBF"/>
    <w:rsid w:val="00EE6472"/>
    <w:rsid w:val="00EE76F2"/>
    <w:rsid w:val="00EF0769"/>
    <w:rsid w:val="00EF0D7C"/>
    <w:rsid w:val="00EF314C"/>
    <w:rsid w:val="00EF383B"/>
    <w:rsid w:val="00EF40D8"/>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44E"/>
    <w:rsid w:val="00F32462"/>
    <w:rsid w:val="00F32FF7"/>
    <w:rsid w:val="00F33EDE"/>
    <w:rsid w:val="00F3568B"/>
    <w:rsid w:val="00F35E75"/>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1AE9"/>
    <w:rsid w:val="00F52221"/>
    <w:rsid w:val="00F52B28"/>
    <w:rsid w:val="00F536BB"/>
    <w:rsid w:val="00F53755"/>
    <w:rsid w:val="00F53E59"/>
    <w:rsid w:val="00F5475B"/>
    <w:rsid w:val="00F55960"/>
    <w:rsid w:val="00F574D0"/>
    <w:rsid w:val="00F6031F"/>
    <w:rsid w:val="00F61664"/>
    <w:rsid w:val="00F61B99"/>
    <w:rsid w:val="00F64C45"/>
    <w:rsid w:val="00F6502B"/>
    <w:rsid w:val="00F6612A"/>
    <w:rsid w:val="00F66724"/>
    <w:rsid w:val="00F67F04"/>
    <w:rsid w:val="00F70050"/>
    <w:rsid w:val="00F70207"/>
    <w:rsid w:val="00F702CB"/>
    <w:rsid w:val="00F716D4"/>
    <w:rsid w:val="00F71AC2"/>
    <w:rsid w:val="00F739D4"/>
    <w:rsid w:val="00F742B2"/>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1B1"/>
    <w:rsid w:val="00FA2528"/>
    <w:rsid w:val="00FA4100"/>
    <w:rsid w:val="00FA5524"/>
    <w:rsid w:val="00FA5535"/>
    <w:rsid w:val="00FA7206"/>
    <w:rsid w:val="00FA7EFB"/>
    <w:rsid w:val="00FB0816"/>
    <w:rsid w:val="00FB08C2"/>
    <w:rsid w:val="00FB3DD1"/>
    <w:rsid w:val="00FB51FD"/>
    <w:rsid w:val="00FB5667"/>
    <w:rsid w:val="00FB629B"/>
    <w:rsid w:val="00FB7A97"/>
    <w:rsid w:val="00FB7C12"/>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00FF7DD0"/>
    <w:rsid w:val="2D0F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A732F0"/>
    <w:pPr>
      <w:numPr>
        <w:numId w:val="34"/>
      </w:numPr>
      <w:contextualSpacing/>
    </w:pPr>
    <w:rPr>
      <w:b/>
      <w:szCs w:val="22"/>
    </w:rPr>
  </w:style>
  <w:style w:type="character" w:customStyle="1" w:styleId="QuestionstyleChar">
    <w:name w:val="Question style Char"/>
    <w:basedOn w:val="DefaultParagraphFont"/>
    <w:link w:val="Questionstyle"/>
    <w:rsid w:val="00A732F0"/>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17553754">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745561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yperlink" Target="http://www.esma.europa.eu" TargetMode="External"/><Relationship Id="rId26" Type="http://schemas.openxmlformats.org/officeDocument/2006/relationships/hyperlink" Target="https://nam10.safelinks.protection.outlook.com/?url=https%3A%2F%2Fpapers.ssrn.com%2Fsol3%2Fpapers.cfm%3Fabstract_id%3D686324&amp;data=05%7C01%7Clshevchenko%40fia.org%7C379d0e265f6c46c1992908db79614049%7Cc0241d5703864df59cc5d699251eb2da%7C0%7C0%7C638237231194182110%7CUnknown%7CTWFpbGZsb3d8eyJWIjoiMC4wLjAwMDAiLCJQIjoiV2luMzIiLCJBTiI6Ik1haWwiLCJXVCI6Mn0%3D%7C3000%7C%7C%7C&amp;sdata=O%2Br16YeMHMEOE5djVrfCbWHw1%2BdvnUWsfUeF56GBptg%3D&amp;reserved=0"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hyperlink" Target="https://nam10.safelinks.protection.outlook.com/?url=https%3A%2F%2Fpapers.ssrn.com%2Fsol3%2Fpapers.cfm%3Fabstract_id%3D593823&amp;data=05%7C01%7Clshevchenko%40fia.org%7C379d0e265f6c46c1992908db79614049%7Cc0241d5703864df59cc5d699251eb2da%7C0%7C0%7C638237231194182110%7CUnknown%7CTWFpbGZsb3d8eyJWIjoiMC4wLjAwMDAiLCJQIjoiV2luMzIiLCJBTiI6Ik1haWwiLCJXVCI6Mn0%3D%7C3000%7C%7C%7C&amp;sdata=29DRmOj7FWjYFFxQznoWftAdLb8i8%2BKYhI3tceGH6%2Fw%3D&amp;reserved=0"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am10.safelinks.protection.outlook.com/?url=https%3A%2F%2Fwww.researchgate.net%2Fpublication%2F222515781_Market_Transparency_Liquidity_Externalities_and_Institutional_Trading_Costs_in_Corporate_Bonds&amp;data=05%7C01%7Clshevchenko%40fia.org%7C379d0e265f6c46c1992908db79614049%7Cc0241d5703864df59cc5d699251eb2da%7C0%7C0%7C638237231194182110%7CUnknown%7CTWFpbGZsb3d8eyJWIjoiMC4wLjAwMDAiLCJQIjoiV2luMzIiLCJBTiI6Ik1haWwiLCJXVCI6Mn0%3D%7C3000%7C%7C%7C&amp;sdata=aOkV3TN8jUjS03VuBNOS9w3%2FYfQrt9Uf8TdIRbgGtDw%3D&amp;reserved=0"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hyperlink" Target="https://nam10.safelinks.protection.outlook.com/?url=https%3A%2F%2Fpapers.ssrn.com%2Fsol3%2Fpapers.cfm%3Fabstract_id%3D3171056&amp;data=05%7C01%7Clshevchenko%40fia.org%7C379d0e265f6c46c1992908db79614049%7Cc0241d5703864df59cc5d699251eb2da%7C0%7C0%7C638237231194182110%7CUnknown%7CTWFpbGZsb3d8eyJWIjoiMC4wLjAwMDAiLCJQIjoiV2luMzIiLCJBTiI6Ik1haWwiLCJXVCI6Mn0%3D%7C3000%7C%7C%7C&amp;sdata=8dxRYEiP1FxJBnrbDXOWvQfv4D3ZcRR1PiW5t0bPA1o%3D&amp;reserved=0" TargetMode="Externa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hyperlink" Target="https://nam10.safelinks.protection.outlook.com/?url=https%3A%2F%2Fwww.nber.org%2Fpapers%2Fw19417&amp;data=05%7C01%7Clshevchenko%40fia.org%7C379d0e265f6c46c1992908db79614049%7Cc0241d5703864df59cc5d699251eb2da%7C0%7C0%7C638237231194182110%7CUnknown%7CTWFpbGZsb3d8eyJWIjoiMC4wLjAwMDAiLCJQIjoiV2luMzIiLCJBTiI6Ik1haWwiLCJXVCI6Mn0%3D%7C3000%7C%7C%7C&amp;sdata=dh9ofiflpxl96AJDxeRIj7DAmfQ5afXE6aMusR51vrM%3D&amp;reserved=0"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inra.org/rules-guidance/rule-filings/sr-finra-2024-004" TargetMode="External"/><Relationship Id="rId2" Type="http://schemas.openxmlformats.org/officeDocument/2006/relationships/hyperlink" Target="https://www.icmagroup.org/assets/documents/Regulatory/Secondary-markets/ICMA-SMPC-report-European-Secondary-Bond-Market-Data-H2-2023-March-2024-190324.pdf" TargetMode="External"/><Relationship Id="rId1" Type="http://schemas.openxmlformats.org/officeDocument/2006/relationships/hyperlink" Target="https://www.finra.org/rules-guidance/rule-filings/sr-finra-2024-0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B5125868DD164F979D685E1741D1BD" ma:contentTypeVersion="18" ma:contentTypeDescription="Create a new document." ma:contentTypeScope="" ma:versionID="9b80d55ca277626ab79ebe84e41737d2">
  <xsd:schema xmlns:xsd="http://www.w3.org/2001/XMLSchema" xmlns:xs="http://www.w3.org/2001/XMLSchema" xmlns:p="http://schemas.microsoft.com/office/2006/metadata/properties" xmlns:ns2="cd8cd0e2-fecb-441a-a76e-fb96239463f3" xmlns:ns3="9b28cc91-a3f8-438f-9a63-82fef7b65873" targetNamespace="http://schemas.microsoft.com/office/2006/metadata/properties" ma:root="true" ma:fieldsID="dea17a4e78303bacc7ef2b416eafff1b" ns2:_="" ns3:_="">
    <xsd:import namespace="cd8cd0e2-fecb-441a-a76e-fb96239463f3"/>
    <xsd:import namespace="9b28cc91-a3f8-438f-9a63-82fef7b658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cd0e2-fecb-441a-a76e-fb9623946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17f6e-2cf7-4ca2-aff5-a4d7f2f902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8cc91-a3f8-438f-9a63-82fef7b658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1e4ae2-3669-40bf-b021-01eda60f78ab}" ma:internalName="TaxCatchAll" ma:showField="CatchAllData" ma:web="9b28cc91-a3f8-438f-9a63-82fef7b658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b28cc91-a3f8-438f-9a63-82fef7b65873" xsi:nil="true"/>
    <SharedWithUsers xmlns="9b28cc91-a3f8-438f-9a63-82fef7b65873">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cd8cd0e2-fecb-441a-a76e-fb96239463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CEC6C00F-55C5-447F-A0BA-792B68AF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cd0e2-fecb-441a-a76e-fb96239463f3"/>
    <ds:schemaRef ds:uri="9b28cc91-a3f8-438f-9a63-82fef7b65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9b28cc91-a3f8-438f-9a63-82fef7b65873"/>
    <ds:schemaRef ds:uri="cd8cd0e2-fecb-441a-a76e-fb96239463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11605</Words>
  <Characters>66154</Characters>
  <Application>Microsoft Office Word</Application>
  <DocSecurity>8</DocSecurity>
  <Lines>551</Lines>
  <Paragraphs>155</Paragraphs>
  <ScaleCrop>false</ScaleCrop>
  <Company>ESMA</Company>
  <LinksUpToDate>false</LinksUpToDate>
  <CharactersWithSpaces>77604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Lara Shevchenko</cp:lastModifiedBy>
  <cp:revision>88</cp:revision>
  <cp:lastPrinted>2015-02-18T11:01:00Z</cp:lastPrinted>
  <dcterms:created xsi:type="dcterms:W3CDTF">2024-08-27T15:46:00Z</dcterms:created>
  <dcterms:modified xsi:type="dcterms:W3CDTF">2024-08-28T11:14:00Z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5b9e4768-1c25-4875-b735-1a83496cc6ff</vt:lpwstr>
  </property>
  <property fmtid="{D5CDD505-2E9C-101B-9397-08002B2CF9AE}" pid="3" name="EsmaAudience">
    <vt:lpwstr/>
  </property>
  <property fmtid="{D5CDD505-2E9C-101B-9397-08002B2CF9AE}" pid="4" name="TeamName">
    <vt:lpwstr>9;#Trading Unit|0cda11c1-7d91-4d51-b3a1-339122a07b73</vt:lpwstr>
  </property>
  <property fmtid="{D5CDD505-2E9C-101B-9397-08002B2CF9AE}" pid="5" name="Topic">
    <vt:lpwstr>396;#MiFIR review|8e1f943c-95af-4c0c-bb85-794622e8f573</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1008;#MiFIR Review - Consultation Paper 2 - RTS 2, RCB and Reference Data|9a04b656-9ada-4168-ad3c-16b81ab61b24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ContentTypeId">
    <vt:lpwstr>0x0101003BB5125868DD164F979D685E1741D1BD</vt:lpwstr>
  </property>
</Properties>
</file>