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391DC0E5" w:rsidR="00C2682A" w:rsidRPr="00104E00" w:rsidRDefault="007A7360" w:rsidP="00104E00">
                <w:pPr>
                  <w:jc w:val="left"/>
                  <w:rPr>
                    <w:rStyle w:val="PlaceholderText"/>
                  </w:rPr>
                </w:pPr>
                <w:r>
                  <w:rPr>
                    <w:rStyle w:val="PlaceholderText"/>
                  </w:rPr>
                  <w:t>E</w:t>
                </w:r>
                <w:r w:rsidR="005B2C48">
                  <w:rPr>
                    <w:rStyle w:val="PlaceholderText"/>
                  </w:rPr>
                  <w:t>lectronic</w:t>
                </w:r>
                <w:r>
                  <w:rPr>
                    <w:rStyle w:val="PlaceholderText"/>
                  </w:rPr>
                  <w:t xml:space="preserve"> Debt Markets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6EEA599"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7A7360">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151C5A70" w:rsidR="00C2682A" w:rsidRPr="00104E00" w:rsidRDefault="007A7360"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12EA82CD" w:rsidR="00C2682A" w:rsidRPr="00104E00" w:rsidRDefault="007A7360"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371D5943" w14:textId="77777777" w:rsidR="007A7360" w:rsidRPr="007A7360" w:rsidRDefault="007A7360" w:rsidP="00891B53">
      <w:pPr>
        <w:pStyle w:val="NoSpacing"/>
        <w:adjustRightInd w:val="0"/>
        <w:snapToGrid w:val="0"/>
        <w:ind w:left="567" w:hanging="567"/>
        <w:jc w:val="both"/>
        <w:rPr>
          <w:rFonts w:ascii="Arial" w:hAnsi="Arial" w:cs="Arial"/>
          <w:bCs/>
          <w:color w:val="000000" w:themeColor="text1"/>
        </w:rPr>
      </w:pPr>
      <w:permStart w:id="124340805" w:edGrp="everyone"/>
      <w:r w:rsidRPr="007A7360">
        <w:rPr>
          <w:rFonts w:ascii="Arial" w:hAnsi="Arial" w:cs="Arial"/>
          <w:bCs/>
          <w:color w:val="000000" w:themeColor="text1"/>
        </w:rPr>
        <w:t>Yes, EDMA agrees with the proposed definition of CLOB trading systems.</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13311592" w14:textId="77777777" w:rsidR="007A7360" w:rsidRPr="007A7360" w:rsidRDefault="007A7360" w:rsidP="00891B53">
      <w:pPr>
        <w:pStyle w:val="NoSpacing"/>
        <w:adjustRightInd w:val="0"/>
        <w:snapToGrid w:val="0"/>
        <w:ind w:left="567" w:hanging="567"/>
        <w:jc w:val="both"/>
        <w:rPr>
          <w:rFonts w:ascii="Arial" w:hAnsi="Arial" w:cs="Arial"/>
          <w:bCs/>
          <w:color w:val="000000" w:themeColor="text1"/>
        </w:rPr>
      </w:pPr>
      <w:permStart w:id="1947404220" w:edGrp="everyone"/>
      <w:r w:rsidRPr="007A7360">
        <w:rPr>
          <w:rFonts w:ascii="Arial" w:hAnsi="Arial" w:cs="Arial"/>
          <w:bCs/>
          <w:color w:val="000000" w:themeColor="text1"/>
        </w:rPr>
        <w:t>No, EDMA does not think the definition should include other trading systems</w:t>
      </w:r>
      <w:r w:rsidRPr="007A7360">
        <w:rPr>
          <w:rFonts w:ascii="Arial" w:hAnsi="Arial" w:cs="Arial"/>
          <w:bCs/>
          <w:color w:val="0000FF"/>
        </w:rPr>
        <w:t>.</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52925A54" w14:textId="621787C7" w:rsidR="007A7360" w:rsidRPr="007A7360" w:rsidRDefault="007A7360" w:rsidP="00891B53">
      <w:pPr>
        <w:pStyle w:val="NoSpacing"/>
        <w:adjustRightInd w:val="0"/>
        <w:snapToGrid w:val="0"/>
        <w:jc w:val="both"/>
        <w:rPr>
          <w:rFonts w:ascii="Arial" w:hAnsi="Arial" w:cs="Arial"/>
          <w:bCs/>
          <w:color w:val="00B050"/>
        </w:rPr>
      </w:pPr>
      <w:permStart w:id="2005885194" w:edGrp="everyone"/>
      <w:r w:rsidRPr="007A7360">
        <w:rPr>
          <w:rFonts w:ascii="Arial" w:hAnsi="Arial" w:cs="Arial"/>
          <w:bCs/>
          <w:color w:val="000000" w:themeColor="text1"/>
        </w:rPr>
        <w:t>Yes, EDMA agrees that the description of periodic auction systems set out in Annex 1 of RTS 2 is relevant for clarifying the characteristics of those trading systems in the revised RTS</w:t>
      </w:r>
      <w:r w:rsidRPr="007A7360">
        <w:rPr>
          <w:rFonts w:ascii="Arial" w:hAnsi="Arial" w:cs="Arial"/>
          <w:bCs/>
          <w:color w:val="0000FF"/>
        </w:rPr>
        <w:t>.</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lastRenderedPageBreak/>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t>&lt;ESMA_QUESTION</w:t>
      </w:r>
      <w:r w:rsidR="00F93646">
        <w:t>_</w:t>
      </w:r>
      <w:r w:rsidR="00DD54B5">
        <w:t>CP1</w:t>
      </w:r>
      <w:r w:rsidR="00F93646">
        <w:t>_</w:t>
      </w:r>
      <w:r>
        <w:t>4&gt;</w:t>
      </w:r>
    </w:p>
    <w:p w14:paraId="40571139" w14:textId="77777777" w:rsidR="007A7360" w:rsidRPr="007A7360" w:rsidRDefault="007A7360" w:rsidP="00891B53">
      <w:pPr>
        <w:pStyle w:val="NoSpacing"/>
        <w:adjustRightInd w:val="0"/>
        <w:snapToGrid w:val="0"/>
        <w:jc w:val="both"/>
        <w:rPr>
          <w:rFonts w:ascii="Arial" w:hAnsi="Arial" w:cs="Arial"/>
          <w:bCs/>
          <w:color w:val="000000" w:themeColor="text1"/>
        </w:rPr>
      </w:pPr>
      <w:permStart w:id="1235513680" w:edGrp="everyone"/>
      <w:r w:rsidRPr="007A7360">
        <w:rPr>
          <w:rFonts w:ascii="Arial" w:hAnsi="Arial" w:cs="Arial"/>
          <w:bCs/>
          <w:color w:val="000000" w:themeColor="text1"/>
        </w:rPr>
        <w:t>EDMA does not agree with the proposal to use ESA 2010 to classify bond issues. The analysis is too complex and puts undue burden on entities under an obligation to submit data to FITRS.</w:t>
      </w:r>
    </w:p>
    <w:p w14:paraId="673C9DC2" w14:textId="77777777" w:rsidR="007A7360" w:rsidRPr="007A7360" w:rsidRDefault="007A7360" w:rsidP="00891B53">
      <w:pPr>
        <w:pStyle w:val="NoSpacing"/>
        <w:adjustRightInd w:val="0"/>
        <w:snapToGrid w:val="0"/>
        <w:ind w:left="426"/>
        <w:jc w:val="both"/>
        <w:rPr>
          <w:rFonts w:ascii="Arial" w:hAnsi="Arial" w:cs="Arial"/>
          <w:bCs/>
          <w:color w:val="000000" w:themeColor="text1"/>
        </w:rPr>
      </w:pPr>
    </w:p>
    <w:p w14:paraId="1B7D0474" w14:textId="77777777" w:rsidR="007A7360" w:rsidRPr="007A7360" w:rsidRDefault="007A7360" w:rsidP="00891B53">
      <w:pPr>
        <w:pStyle w:val="NoSpacing"/>
        <w:adjustRightInd w:val="0"/>
        <w:snapToGrid w:val="0"/>
        <w:jc w:val="both"/>
        <w:rPr>
          <w:rFonts w:ascii="Arial" w:hAnsi="Arial" w:cs="Arial"/>
          <w:bCs/>
          <w:color w:val="000000" w:themeColor="text1"/>
        </w:rPr>
      </w:pPr>
      <w:r w:rsidRPr="007A7360">
        <w:rPr>
          <w:rFonts w:ascii="Arial" w:hAnsi="Arial" w:cs="Arial"/>
          <w:bCs/>
          <w:color w:val="000000" w:themeColor="text1"/>
        </w:rPr>
        <w:t>We suggest instead remaining with the existing scope of issuers within the definition of Other Public Bond in RTS 2 Annex III Table 2.2:</w:t>
      </w:r>
    </w:p>
    <w:p w14:paraId="26209BFA" w14:textId="77777777" w:rsidR="007A7360" w:rsidRPr="007A7360" w:rsidRDefault="007A7360" w:rsidP="00891B53">
      <w:pPr>
        <w:pStyle w:val="NoSpacing"/>
        <w:adjustRightInd w:val="0"/>
        <w:snapToGrid w:val="0"/>
        <w:jc w:val="both"/>
        <w:rPr>
          <w:rFonts w:ascii="Arial" w:hAnsi="Arial" w:cs="Arial"/>
          <w:bCs/>
          <w:color w:val="000000" w:themeColor="text1"/>
        </w:rPr>
      </w:pPr>
    </w:p>
    <w:p w14:paraId="4C0C8463" w14:textId="77777777" w:rsidR="007A7360" w:rsidRPr="007A7360" w:rsidRDefault="007A7360" w:rsidP="00891B53">
      <w:pPr>
        <w:pStyle w:val="NoSpacing"/>
        <w:adjustRightInd w:val="0"/>
        <w:snapToGrid w:val="0"/>
        <w:jc w:val="both"/>
        <w:rPr>
          <w:rFonts w:ascii="Arial" w:hAnsi="Arial" w:cs="Arial"/>
          <w:bCs/>
          <w:color w:val="000000" w:themeColor="text1"/>
        </w:rPr>
      </w:pPr>
      <w:r w:rsidRPr="007A7360">
        <w:rPr>
          <w:rFonts w:ascii="Arial" w:hAnsi="Arial" w:cs="Arial"/>
          <w:bCs/>
          <w:color w:val="000000" w:themeColor="text1"/>
        </w:rPr>
        <w:t>Other Public Bond means a bond issued by any of the following public issuers:</w:t>
      </w:r>
    </w:p>
    <w:p w14:paraId="173F9725" w14:textId="77777777" w:rsidR="007A7360" w:rsidRPr="007A7360" w:rsidRDefault="007A7360" w:rsidP="00891B53">
      <w:pPr>
        <w:pStyle w:val="NoSpacing"/>
        <w:adjustRightInd w:val="0"/>
        <w:snapToGrid w:val="0"/>
        <w:jc w:val="both"/>
        <w:rPr>
          <w:rFonts w:ascii="Arial" w:hAnsi="Arial" w:cs="Arial"/>
          <w:bCs/>
          <w:color w:val="000000" w:themeColor="text1"/>
        </w:rPr>
      </w:pPr>
    </w:p>
    <w:p w14:paraId="7D961D5C" w14:textId="77777777" w:rsidR="007A7360" w:rsidRPr="007A7360" w:rsidRDefault="007A7360" w:rsidP="00891B53">
      <w:pPr>
        <w:pStyle w:val="NoSpacing"/>
        <w:numPr>
          <w:ilvl w:val="0"/>
          <w:numId w:val="51"/>
        </w:numPr>
        <w:adjustRightInd w:val="0"/>
        <w:snapToGrid w:val="0"/>
        <w:ind w:left="360"/>
        <w:jc w:val="both"/>
        <w:rPr>
          <w:rFonts w:ascii="Arial" w:hAnsi="Arial" w:cs="Arial"/>
          <w:bCs/>
          <w:color w:val="000000" w:themeColor="text1"/>
        </w:rPr>
      </w:pPr>
      <w:r w:rsidRPr="007A7360">
        <w:rPr>
          <w:rFonts w:ascii="Arial" w:hAnsi="Arial" w:cs="Arial"/>
          <w:bCs/>
          <w:color w:val="000000" w:themeColor="text1"/>
        </w:rPr>
        <w:t>in the case of a federal Member State, a member of that federation;</w:t>
      </w:r>
    </w:p>
    <w:p w14:paraId="02F15819" w14:textId="77777777" w:rsidR="007A7360" w:rsidRPr="007A7360" w:rsidRDefault="007A7360" w:rsidP="00891B53">
      <w:pPr>
        <w:pStyle w:val="NoSpacing"/>
        <w:adjustRightInd w:val="0"/>
        <w:snapToGrid w:val="0"/>
        <w:ind w:left="360"/>
        <w:jc w:val="both"/>
        <w:rPr>
          <w:rFonts w:ascii="Arial" w:hAnsi="Arial" w:cs="Arial"/>
          <w:bCs/>
          <w:color w:val="000000" w:themeColor="text1"/>
        </w:rPr>
      </w:pPr>
    </w:p>
    <w:p w14:paraId="7FCD6C5A" w14:textId="77777777" w:rsidR="007A7360" w:rsidRPr="007A7360" w:rsidRDefault="007A7360" w:rsidP="00891B53">
      <w:pPr>
        <w:pStyle w:val="NoSpacing"/>
        <w:numPr>
          <w:ilvl w:val="0"/>
          <w:numId w:val="51"/>
        </w:numPr>
        <w:adjustRightInd w:val="0"/>
        <w:snapToGrid w:val="0"/>
        <w:ind w:left="360"/>
        <w:jc w:val="both"/>
        <w:rPr>
          <w:rFonts w:ascii="Arial" w:hAnsi="Arial" w:cs="Arial"/>
          <w:bCs/>
          <w:color w:val="000000" w:themeColor="text1"/>
        </w:rPr>
      </w:pPr>
      <w:r w:rsidRPr="007A7360">
        <w:rPr>
          <w:rFonts w:ascii="Arial" w:hAnsi="Arial" w:cs="Arial"/>
          <w:bCs/>
          <w:color w:val="000000" w:themeColor="text1"/>
        </w:rPr>
        <w:t>a special purpose vehicle for several Member States;</w:t>
      </w:r>
    </w:p>
    <w:p w14:paraId="06C2BE86" w14:textId="77777777" w:rsidR="007A7360" w:rsidRPr="007A7360" w:rsidRDefault="007A7360" w:rsidP="00891B53">
      <w:pPr>
        <w:pStyle w:val="NoSpacing"/>
        <w:adjustRightInd w:val="0"/>
        <w:snapToGrid w:val="0"/>
        <w:ind w:left="360"/>
        <w:jc w:val="both"/>
        <w:rPr>
          <w:rFonts w:ascii="Arial" w:hAnsi="Arial" w:cs="Arial"/>
          <w:bCs/>
          <w:color w:val="000000" w:themeColor="text1"/>
        </w:rPr>
      </w:pPr>
    </w:p>
    <w:p w14:paraId="7813CE74" w14:textId="77777777" w:rsidR="007A7360" w:rsidRPr="007A7360" w:rsidRDefault="007A7360" w:rsidP="00891B53">
      <w:pPr>
        <w:pStyle w:val="NoSpacing"/>
        <w:numPr>
          <w:ilvl w:val="0"/>
          <w:numId w:val="51"/>
        </w:numPr>
        <w:adjustRightInd w:val="0"/>
        <w:snapToGrid w:val="0"/>
        <w:ind w:left="360"/>
        <w:jc w:val="both"/>
        <w:rPr>
          <w:rFonts w:ascii="Arial" w:hAnsi="Arial" w:cs="Arial"/>
          <w:bCs/>
          <w:color w:val="000000" w:themeColor="text1"/>
        </w:rPr>
      </w:pPr>
      <w:r w:rsidRPr="007A7360">
        <w:rPr>
          <w:rFonts w:ascii="Arial" w:hAnsi="Arial" w:cs="Arial"/>
          <w:bCs/>
          <w:color w:val="000000" w:themeColor="text1"/>
        </w:rPr>
        <w:t>an international financial institution established by two or more Member States which have the purpose of mobilising funding and providing financial assistance to the benefit of its members that are experiencing or are threatened by severe financial problems;</w:t>
      </w:r>
    </w:p>
    <w:p w14:paraId="2AE425B0" w14:textId="77777777" w:rsidR="007A7360" w:rsidRPr="007A7360" w:rsidRDefault="007A7360" w:rsidP="00891B53">
      <w:pPr>
        <w:pStyle w:val="NoSpacing"/>
        <w:adjustRightInd w:val="0"/>
        <w:snapToGrid w:val="0"/>
        <w:ind w:left="360"/>
        <w:jc w:val="both"/>
        <w:rPr>
          <w:rFonts w:ascii="Arial" w:hAnsi="Arial" w:cs="Arial"/>
          <w:bCs/>
          <w:color w:val="000000" w:themeColor="text1"/>
        </w:rPr>
      </w:pPr>
    </w:p>
    <w:p w14:paraId="0D8699D9" w14:textId="77777777" w:rsidR="007A7360" w:rsidRPr="007A7360" w:rsidRDefault="007A7360" w:rsidP="00891B53">
      <w:pPr>
        <w:pStyle w:val="NoSpacing"/>
        <w:numPr>
          <w:ilvl w:val="0"/>
          <w:numId w:val="51"/>
        </w:numPr>
        <w:adjustRightInd w:val="0"/>
        <w:snapToGrid w:val="0"/>
        <w:ind w:left="360"/>
        <w:jc w:val="both"/>
        <w:rPr>
          <w:rFonts w:ascii="Arial" w:hAnsi="Arial" w:cs="Arial"/>
          <w:bCs/>
          <w:color w:val="000000" w:themeColor="text1"/>
        </w:rPr>
      </w:pPr>
      <w:r w:rsidRPr="007A7360">
        <w:rPr>
          <w:rFonts w:ascii="Arial" w:hAnsi="Arial" w:cs="Arial"/>
          <w:bCs/>
          <w:color w:val="000000" w:themeColor="text1"/>
        </w:rPr>
        <w:t>the European Investment Bank;</w:t>
      </w:r>
    </w:p>
    <w:p w14:paraId="7FC8C330" w14:textId="77777777" w:rsidR="007A7360" w:rsidRPr="007A7360" w:rsidRDefault="007A7360" w:rsidP="00891B53">
      <w:pPr>
        <w:pStyle w:val="NoSpacing"/>
        <w:adjustRightInd w:val="0"/>
        <w:snapToGrid w:val="0"/>
        <w:ind w:left="360"/>
        <w:jc w:val="both"/>
        <w:rPr>
          <w:rFonts w:ascii="Arial" w:hAnsi="Arial" w:cs="Arial"/>
          <w:bCs/>
          <w:color w:val="000000" w:themeColor="text1"/>
        </w:rPr>
      </w:pPr>
    </w:p>
    <w:p w14:paraId="53F512D4" w14:textId="77777777" w:rsidR="007A7360" w:rsidRPr="007A7360" w:rsidRDefault="007A7360" w:rsidP="00891B53">
      <w:pPr>
        <w:pStyle w:val="NoSpacing"/>
        <w:numPr>
          <w:ilvl w:val="0"/>
          <w:numId w:val="51"/>
        </w:numPr>
        <w:adjustRightInd w:val="0"/>
        <w:snapToGrid w:val="0"/>
        <w:ind w:left="360"/>
        <w:jc w:val="both"/>
        <w:rPr>
          <w:rFonts w:ascii="Arial" w:hAnsi="Arial" w:cs="Arial"/>
          <w:bCs/>
          <w:color w:val="000000" w:themeColor="text1"/>
        </w:rPr>
      </w:pPr>
      <w:r w:rsidRPr="007A7360">
        <w:rPr>
          <w:rFonts w:ascii="Arial" w:hAnsi="Arial" w:cs="Arial"/>
          <w:bCs/>
          <w:color w:val="000000" w:themeColor="text1"/>
        </w:rPr>
        <w:t>a public entity which is not an issuer of a sovereign bond as specified in the previous row.</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37285B0C" w14:textId="77777777" w:rsidR="007A7360" w:rsidRPr="007A7360" w:rsidRDefault="007A7360" w:rsidP="00891B53">
      <w:pPr>
        <w:pStyle w:val="NoSpacing"/>
        <w:adjustRightInd w:val="0"/>
        <w:snapToGrid w:val="0"/>
        <w:jc w:val="both"/>
        <w:rPr>
          <w:rFonts w:ascii="Arial" w:hAnsi="Arial" w:cs="Arial"/>
          <w:bCs/>
          <w:color w:val="000000" w:themeColor="text1"/>
        </w:rPr>
      </w:pPr>
      <w:permStart w:id="864513806" w:edGrp="everyone"/>
      <w:r w:rsidRPr="007A7360">
        <w:rPr>
          <w:rFonts w:ascii="Arial" w:hAnsi="Arial" w:cs="Arial"/>
          <w:bCs/>
          <w:color w:val="000000" w:themeColor="text1"/>
        </w:rPr>
        <w:t xml:space="preserve">EDMA agrees with the proposed </w:t>
      </w:r>
      <w:proofErr w:type="spellStart"/>
      <w:r w:rsidRPr="007A7360">
        <w:rPr>
          <w:rFonts w:ascii="Arial" w:hAnsi="Arial" w:cs="Arial"/>
          <w:bCs/>
          <w:color w:val="000000" w:themeColor="text1"/>
        </w:rPr>
        <w:t>LiS</w:t>
      </w:r>
      <w:proofErr w:type="spellEnd"/>
      <w:r w:rsidRPr="007A7360">
        <w:rPr>
          <w:rFonts w:ascii="Arial" w:hAnsi="Arial" w:cs="Arial"/>
          <w:bCs/>
          <w:color w:val="000000" w:themeColor="text1"/>
        </w:rPr>
        <w:t xml:space="preserve"> pre-trade thresholds for bonds. The suggested levels are not significantly deviating from the averages of the last five years’ quantitative assessments.</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lastRenderedPageBreak/>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63090A48" w14:textId="77777777" w:rsidR="007A7360" w:rsidRDefault="007A7360" w:rsidP="00C54034">
      <w:pPr>
        <w:spacing w:after="0"/>
        <w:rPr>
          <w:bCs/>
          <w:color w:val="000000" w:themeColor="text1"/>
          <w:sz w:val="20"/>
        </w:rPr>
      </w:pPr>
      <w:permStart w:id="1076438526" w:edGrp="everyone"/>
      <w:r>
        <w:rPr>
          <w:bCs/>
          <w:color w:val="000000" w:themeColor="text1"/>
          <w:sz w:val="20"/>
        </w:rPr>
        <w:t>EDMA agrees with the approach to harmonise the definition of liquid bond for the purpose of pre- and post-trade transparency. A divergence in approach between pre- and post-trade transparency would instead increase the implementation cost without any clear benefits.</w:t>
      </w:r>
    </w:p>
    <w:permEnd w:id="1076438526"/>
    <w:p w14:paraId="39E613CD" w14:textId="39CC05D8"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2EB15D2" w14:textId="77777777" w:rsidR="007A7360" w:rsidRPr="007A7360" w:rsidRDefault="007A7360" w:rsidP="007A7360">
      <w:pPr>
        <w:spacing w:after="0"/>
        <w:rPr>
          <w:bCs/>
        </w:rPr>
      </w:pPr>
      <w:permStart w:id="1516253385" w:edGrp="everyone"/>
      <w:r w:rsidRPr="007A7360">
        <w:rPr>
          <w:bCs/>
        </w:rPr>
        <w:t>EDMA generally agrees with the proposals. However, we have the following specific comments:</w:t>
      </w:r>
    </w:p>
    <w:p w14:paraId="0FB0CE57" w14:textId="77777777" w:rsidR="007A7360" w:rsidRPr="007A7360" w:rsidRDefault="007A7360" w:rsidP="007A7360">
      <w:pPr>
        <w:spacing w:after="0"/>
        <w:rPr>
          <w:bCs/>
        </w:rPr>
      </w:pPr>
    </w:p>
    <w:p w14:paraId="0CE8AA2A" w14:textId="77777777" w:rsidR="007A7360" w:rsidRPr="007A7360" w:rsidRDefault="007A7360" w:rsidP="007A7360">
      <w:pPr>
        <w:spacing w:after="0"/>
        <w:rPr>
          <w:bCs/>
        </w:rPr>
      </w:pPr>
      <w:r w:rsidRPr="007A7360">
        <w:rPr>
          <w:bCs/>
        </w:rPr>
        <w:t>Proposal 1: We disagree with the requirement to introduce a column naming convention. This is not practical for market data disseminated via technical protocols.</w:t>
      </w:r>
    </w:p>
    <w:p w14:paraId="54D4CD78" w14:textId="77777777" w:rsidR="007A7360" w:rsidRPr="007A7360" w:rsidRDefault="007A7360" w:rsidP="007A7360">
      <w:pPr>
        <w:spacing w:after="0"/>
        <w:rPr>
          <w:bCs/>
        </w:rPr>
      </w:pPr>
    </w:p>
    <w:p w14:paraId="02DB67FD" w14:textId="77777777" w:rsidR="007A7360" w:rsidRPr="007A7360" w:rsidRDefault="007A7360" w:rsidP="007A7360">
      <w:pPr>
        <w:spacing w:after="0"/>
        <w:rPr>
          <w:bCs/>
        </w:rPr>
      </w:pPr>
      <w:r w:rsidRPr="007A7360">
        <w:rPr>
          <w:bCs/>
        </w:rPr>
        <w:t>Proposal 4: We note that the type of venue of publication (RM, MTF, OTF, APA) is already available via ESMA’s registers.</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5EDAD98E" w14:textId="77777777" w:rsidR="007A7360" w:rsidRPr="00D8546F" w:rsidRDefault="007A7360" w:rsidP="007A7360">
      <w:pPr>
        <w:pStyle w:val="NoSpacing"/>
        <w:adjustRightInd w:val="0"/>
        <w:snapToGrid w:val="0"/>
        <w:ind w:left="426" w:hanging="426"/>
        <w:rPr>
          <w:rFonts w:ascii="Arial" w:hAnsi="Arial" w:cs="Arial"/>
          <w:bCs/>
          <w:color w:val="000000" w:themeColor="text1"/>
        </w:rPr>
      </w:pPr>
      <w:permStart w:id="869493798" w:edGrp="everyone"/>
      <w:r w:rsidRPr="00D8546F">
        <w:rPr>
          <w:rFonts w:ascii="Arial" w:hAnsi="Arial" w:cs="Arial"/>
          <w:bCs/>
          <w:color w:val="000000" w:themeColor="text1"/>
        </w:rPr>
        <w:t xml:space="preserve">EDMA agrees with the proposal. </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lastRenderedPageBreak/>
        <w:t>&lt;ESMA_QUESTION</w:t>
      </w:r>
      <w:r w:rsidR="00F93646">
        <w:t>_</w:t>
      </w:r>
      <w:r w:rsidR="00DD54B5">
        <w:t>CP1</w:t>
      </w:r>
      <w:r w:rsidR="00F93646">
        <w:t>_</w:t>
      </w:r>
      <w:r>
        <w:t>11&gt;</w:t>
      </w:r>
    </w:p>
    <w:p w14:paraId="64F912D5" w14:textId="77777777" w:rsidR="007A7360" w:rsidRPr="00D8546F" w:rsidRDefault="007A7360" w:rsidP="00891B53">
      <w:pPr>
        <w:pStyle w:val="NoSpacing"/>
        <w:adjustRightInd w:val="0"/>
        <w:snapToGrid w:val="0"/>
        <w:jc w:val="both"/>
        <w:rPr>
          <w:rFonts w:ascii="Arial" w:hAnsi="Arial" w:cs="Arial"/>
          <w:bCs/>
          <w:color w:val="00B050"/>
        </w:rPr>
      </w:pPr>
      <w:permStart w:id="1628839836" w:edGrp="everyone"/>
      <w:r w:rsidRPr="00D8546F">
        <w:rPr>
          <w:rFonts w:ascii="Arial" w:hAnsi="Arial" w:cs="Arial"/>
          <w:bCs/>
          <w:color w:val="000000" w:themeColor="text1"/>
        </w:rPr>
        <w:t>EDMA is generally supportive of simplification and improvements to transparency. We agree with the use of a straightforward and static liquidity threshold.</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04CA87CF" w14:textId="77777777" w:rsidR="007A7360" w:rsidRPr="00D8546F" w:rsidRDefault="007A7360" w:rsidP="00891B53">
      <w:pPr>
        <w:pStyle w:val="NoSpacing"/>
        <w:adjustRightInd w:val="0"/>
        <w:snapToGrid w:val="0"/>
        <w:jc w:val="both"/>
        <w:rPr>
          <w:rFonts w:ascii="Arial" w:hAnsi="Arial" w:cs="Arial"/>
          <w:bCs/>
        </w:rPr>
      </w:pPr>
      <w:permStart w:id="1550012690" w:edGrp="everyone"/>
      <w:r w:rsidRPr="00D8546F">
        <w:rPr>
          <w:rFonts w:ascii="Arial" w:hAnsi="Arial" w:cs="Arial"/>
          <w:bCs/>
          <w:color w:val="000000" w:themeColor="text1"/>
        </w:rPr>
        <w:t>EDMA is generally supportive of simplification and improvements to transparency.</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1EA31870" w14:textId="55367788" w:rsidR="00CC59BB" w:rsidRDefault="007A7360" w:rsidP="00C54034">
      <w:pPr>
        <w:spacing w:after="0"/>
      </w:pPr>
      <w:permStart w:id="780153713" w:edGrp="everyone"/>
      <w:r w:rsidRPr="00D8546F">
        <w:rPr>
          <w:color w:val="000000"/>
          <w:szCs w:val="22"/>
        </w:rPr>
        <w:t>EDMA does not disagree with the thresholds. However, we would like to note that the objective of “keeping an alignment with ETFs” (as mentioned under points 143 and 144) may not be met by the proposal of a EUR 1,000,000 pre-trade LIS threshold for ETCs and ETNs – given that Commission Delegated Regulation (EU) 2023/944 of 17 January 2023 amending and correcting the regulatory technical standards laid down in Article 7</w:t>
      </w:r>
      <w:r w:rsidRPr="00D8546F">
        <w:rPr>
          <w:rStyle w:val="apple-converted-space"/>
          <w:color w:val="000000"/>
          <w:szCs w:val="22"/>
        </w:rPr>
        <w:t> </w:t>
      </w:r>
      <w:r w:rsidRPr="00D8546F">
        <w:rPr>
          <w:color w:val="000000"/>
          <w:szCs w:val="22"/>
        </w:rPr>
        <w:t xml:space="preserve">of Delegated Regulation (EU) 2017/587 as regards certain transparency requirements applicable to transactions in equity instruments states: </w:t>
      </w:r>
      <w:r w:rsidRPr="00D8546F">
        <w:rPr>
          <w:color w:val="000000"/>
          <w:szCs w:val="22"/>
        </w:rPr>
        <w:lastRenderedPageBreak/>
        <w:t>“An order in respect of an ETF shall be considered to be large in scale where the order is equal to or larger than EUR 3,000,000.”</w:t>
      </w:r>
      <w:r w:rsidRPr="00D8546F">
        <w:rPr>
          <w:rStyle w:val="apple-converted-space"/>
          <w:color w:val="000000"/>
          <w:szCs w:val="22"/>
        </w:rPr>
        <w:t xml:space="preserve">  We are not aware of any threshold change proposed in ESMA’s Consultation Paper CP3 (ESMA74-2134169708-7011) either. </w:t>
      </w:r>
      <w:permEnd w:id="780153713"/>
      <w:r w:rsidR="00CC59BB">
        <w:t>&lt;ESMA_QUESTION</w:t>
      </w:r>
      <w:r w:rsidR="00F93646">
        <w:t>_</w:t>
      </w:r>
      <w:r w:rsidR="00DD54B5">
        <w:t>CP1</w:t>
      </w:r>
      <w:r w:rsidR="00F93646">
        <w:t>_</w:t>
      </w:r>
      <w:r w:rsidR="00CC59BB">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0579851B" w14:textId="77777777" w:rsidR="007A7360" w:rsidRPr="00D8546F" w:rsidRDefault="007A7360" w:rsidP="00891B53">
      <w:pPr>
        <w:pStyle w:val="NoSpacing"/>
        <w:adjustRightInd w:val="0"/>
        <w:snapToGrid w:val="0"/>
        <w:jc w:val="both"/>
        <w:rPr>
          <w:rFonts w:ascii="Arial" w:hAnsi="Arial" w:cs="Arial"/>
          <w:bCs/>
          <w:strike/>
          <w:color w:val="000000" w:themeColor="text1"/>
        </w:rPr>
      </w:pPr>
      <w:permStart w:id="1310265670" w:edGrp="everyone"/>
      <w:r w:rsidRPr="00D8546F">
        <w:rPr>
          <w:rFonts w:ascii="Arial" w:hAnsi="Arial" w:cs="Arial"/>
          <w:bCs/>
          <w:color w:val="000000" w:themeColor="text1"/>
        </w:rPr>
        <w:t xml:space="preserve">EDMA agrees with ESMA that the aggregation regime is overly complex, difficult to implement, and would be difficult for data users to understand. </w:t>
      </w:r>
    </w:p>
    <w:p w14:paraId="21F414EF" w14:textId="77777777" w:rsidR="007A7360" w:rsidRPr="00D8546F" w:rsidRDefault="007A7360" w:rsidP="00891B53">
      <w:pPr>
        <w:pStyle w:val="NormalWeb"/>
        <w:spacing w:before="0" w:beforeAutospacing="0" w:after="0" w:afterAutospacing="0"/>
        <w:rPr>
          <w:rFonts w:ascii="Arial" w:hAnsi="Arial"/>
          <w:color w:val="000000" w:themeColor="text1"/>
          <w:sz w:val="22"/>
          <w:szCs w:val="22"/>
        </w:rPr>
      </w:pPr>
      <w:r w:rsidRPr="00D8546F">
        <w:rPr>
          <w:rFonts w:ascii="Arial" w:hAnsi="Arial"/>
          <w:color w:val="000000"/>
          <w:sz w:val="22"/>
          <w:szCs w:val="22"/>
        </w:rPr>
        <w:br/>
      </w:r>
      <w:r w:rsidRPr="00D8546F">
        <w:rPr>
          <w:rFonts w:ascii="Arial" w:hAnsi="Arial"/>
          <w:color w:val="000000" w:themeColor="text1"/>
          <w:sz w:val="22"/>
          <w:szCs w:val="22"/>
        </w:rPr>
        <w:t xml:space="preserve">In </w:t>
      </w:r>
      <w:proofErr w:type="spellStart"/>
      <w:r w:rsidRPr="00D8546F">
        <w:rPr>
          <w:rFonts w:ascii="Arial" w:hAnsi="Arial"/>
          <w:color w:val="000000" w:themeColor="text1"/>
          <w:sz w:val="22"/>
          <w:szCs w:val="22"/>
        </w:rPr>
        <w:t>order</w:t>
      </w:r>
      <w:proofErr w:type="spellEnd"/>
      <w:r w:rsidRPr="00D8546F">
        <w:rPr>
          <w:rFonts w:ascii="Arial" w:hAnsi="Arial"/>
          <w:color w:val="000000" w:themeColor="text1"/>
          <w:sz w:val="22"/>
          <w:szCs w:val="22"/>
        </w:rPr>
        <w:t xml:space="preserve"> to </w:t>
      </w:r>
      <w:proofErr w:type="spellStart"/>
      <w:r w:rsidRPr="00D8546F">
        <w:rPr>
          <w:rFonts w:ascii="Arial" w:hAnsi="Arial"/>
          <w:color w:val="000000" w:themeColor="text1"/>
          <w:sz w:val="22"/>
          <w:szCs w:val="22"/>
        </w:rPr>
        <w:t>reduce</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complexity</w:t>
      </w:r>
      <w:proofErr w:type="spellEnd"/>
      <w:r w:rsidRPr="00D8546F">
        <w:rPr>
          <w:rFonts w:ascii="Arial" w:hAnsi="Arial"/>
          <w:color w:val="000000" w:themeColor="text1"/>
          <w:sz w:val="22"/>
          <w:szCs w:val="22"/>
        </w:rPr>
        <w:t xml:space="preserve"> and </w:t>
      </w:r>
      <w:proofErr w:type="spellStart"/>
      <w:r w:rsidRPr="00D8546F">
        <w:rPr>
          <w:rFonts w:ascii="Arial" w:hAnsi="Arial"/>
          <w:color w:val="000000" w:themeColor="text1"/>
          <w:sz w:val="22"/>
          <w:szCs w:val="22"/>
        </w:rPr>
        <w:t>increase</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transparency</w:t>
      </w:r>
      <w:proofErr w:type="spellEnd"/>
      <w:r w:rsidRPr="00D8546F">
        <w:rPr>
          <w:rFonts w:ascii="Arial" w:hAnsi="Arial"/>
          <w:color w:val="000000" w:themeColor="text1"/>
          <w:sz w:val="22"/>
          <w:szCs w:val="22"/>
        </w:rPr>
        <w:t xml:space="preserve">, ESMA </w:t>
      </w:r>
      <w:proofErr w:type="spellStart"/>
      <w:r w:rsidRPr="00D8546F">
        <w:rPr>
          <w:rFonts w:ascii="Arial" w:hAnsi="Arial"/>
          <w:color w:val="000000" w:themeColor="text1"/>
          <w:sz w:val="22"/>
          <w:szCs w:val="22"/>
        </w:rPr>
        <w:t>should</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make</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available</w:t>
      </w:r>
      <w:proofErr w:type="spellEnd"/>
      <w:r w:rsidRPr="00D8546F">
        <w:rPr>
          <w:rFonts w:ascii="Arial" w:hAnsi="Arial"/>
          <w:color w:val="000000" w:themeColor="text1"/>
          <w:sz w:val="22"/>
          <w:szCs w:val="22"/>
        </w:rPr>
        <w:t xml:space="preserve"> a central repository </w:t>
      </w:r>
      <w:proofErr w:type="spellStart"/>
      <w:r w:rsidRPr="00D8546F">
        <w:rPr>
          <w:rFonts w:ascii="Arial" w:hAnsi="Arial"/>
          <w:color w:val="000000" w:themeColor="text1"/>
          <w:sz w:val="22"/>
          <w:szCs w:val="22"/>
        </w:rPr>
        <w:t>where</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NCAs</w:t>
      </w:r>
      <w:proofErr w:type="spellEnd"/>
      <w:r w:rsidRPr="00D8546F">
        <w:rPr>
          <w:rFonts w:ascii="Arial" w:hAnsi="Arial"/>
          <w:color w:val="000000" w:themeColor="text1"/>
          <w:sz w:val="22"/>
          <w:szCs w:val="22"/>
        </w:rPr>
        <w:t xml:space="preserve"> must </w:t>
      </w:r>
      <w:proofErr w:type="spellStart"/>
      <w:r w:rsidRPr="00D8546F">
        <w:rPr>
          <w:rFonts w:ascii="Arial" w:hAnsi="Arial"/>
          <w:color w:val="000000" w:themeColor="text1"/>
          <w:sz w:val="22"/>
          <w:szCs w:val="22"/>
        </w:rPr>
        <w:t>upload</w:t>
      </w:r>
      <w:proofErr w:type="spellEnd"/>
      <w:r w:rsidRPr="00D8546F">
        <w:rPr>
          <w:rFonts w:ascii="Arial" w:hAnsi="Arial"/>
          <w:color w:val="000000" w:themeColor="text1"/>
          <w:sz w:val="22"/>
          <w:szCs w:val="22"/>
        </w:rPr>
        <w:t xml:space="preserve"> and update </w:t>
      </w:r>
      <w:proofErr w:type="spellStart"/>
      <w:r w:rsidRPr="00D8546F">
        <w:rPr>
          <w:rFonts w:ascii="Arial" w:hAnsi="Arial"/>
          <w:color w:val="000000" w:themeColor="text1"/>
          <w:sz w:val="22"/>
          <w:szCs w:val="22"/>
        </w:rPr>
        <w:t>their</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decisions</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with</w:t>
      </w:r>
      <w:proofErr w:type="spellEnd"/>
      <w:r w:rsidRPr="00D8546F">
        <w:rPr>
          <w:rFonts w:ascii="Arial" w:hAnsi="Arial"/>
          <w:color w:val="000000" w:themeColor="text1"/>
          <w:sz w:val="22"/>
          <w:szCs w:val="22"/>
        </w:rPr>
        <w:t xml:space="preserve"> respect to </w:t>
      </w:r>
      <w:proofErr w:type="spellStart"/>
      <w:r w:rsidRPr="00D8546F">
        <w:rPr>
          <w:rFonts w:ascii="Arial" w:hAnsi="Arial"/>
          <w:color w:val="000000" w:themeColor="text1"/>
          <w:sz w:val="22"/>
          <w:szCs w:val="22"/>
        </w:rPr>
        <w:t>supplementary</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deferrals</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under</w:t>
      </w:r>
      <w:proofErr w:type="spellEnd"/>
      <w:r w:rsidRPr="00D8546F">
        <w:rPr>
          <w:rFonts w:ascii="Arial" w:hAnsi="Arial"/>
          <w:color w:val="000000" w:themeColor="text1"/>
          <w:sz w:val="22"/>
          <w:szCs w:val="22"/>
        </w:rPr>
        <w:t xml:space="preserve"> Article 11(3)(a) </w:t>
      </w:r>
      <w:proofErr w:type="spellStart"/>
      <w:r w:rsidRPr="00D8546F">
        <w:rPr>
          <w:rFonts w:ascii="Arial" w:hAnsi="Arial"/>
          <w:color w:val="000000" w:themeColor="text1"/>
          <w:sz w:val="22"/>
          <w:szCs w:val="22"/>
        </w:rPr>
        <w:t>quarterly</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which</w:t>
      </w:r>
      <w:proofErr w:type="spellEnd"/>
      <w:r w:rsidRPr="00D8546F">
        <w:rPr>
          <w:rFonts w:ascii="Arial" w:hAnsi="Arial"/>
          <w:color w:val="000000" w:themeColor="text1"/>
          <w:sz w:val="22"/>
          <w:szCs w:val="22"/>
        </w:rPr>
        <w:t xml:space="preserve"> must </w:t>
      </w:r>
      <w:proofErr w:type="spellStart"/>
      <w:r w:rsidRPr="00D8546F">
        <w:rPr>
          <w:rFonts w:ascii="Arial" w:hAnsi="Arial"/>
          <w:color w:val="000000" w:themeColor="text1"/>
          <w:sz w:val="22"/>
          <w:szCs w:val="22"/>
        </w:rPr>
        <w:t>be</w:t>
      </w:r>
      <w:proofErr w:type="spellEnd"/>
      <w:r w:rsidRPr="00D8546F">
        <w:rPr>
          <w:rFonts w:ascii="Arial" w:hAnsi="Arial"/>
          <w:color w:val="000000" w:themeColor="text1"/>
          <w:sz w:val="22"/>
          <w:szCs w:val="22"/>
        </w:rPr>
        <w:t xml:space="preserve"> </w:t>
      </w:r>
      <w:proofErr w:type="spellStart"/>
      <w:r w:rsidRPr="00D8546F">
        <w:rPr>
          <w:rFonts w:ascii="Arial" w:hAnsi="Arial"/>
          <w:color w:val="000000" w:themeColor="text1"/>
          <w:sz w:val="22"/>
          <w:szCs w:val="22"/>
        </w:rPr>
        <w:t>easily</w:t>
      </w:r>
      <w:proofErr w:type="spellEnd"/>
      <w:r w:rsidRPr="00D8546F">
        <w:rPr>
          <w:rFonts w:ascii="Arial" w:hAnsi="Arial"/>
          <w:color w:val="000000" w:themeColor="text1"/>
          <w:sz w:val="22"/>
          <w:szCs w:val="22"/>
        </w:rPr>
        <w:t xml:space="preserve"> accessible (</w:t>
      </w:r>
      <w:proofErr w:type="spellStart"/>
      <w:r w:rsidRPr="00D8546F">
        <w:rPr>
          <w:rFonts w:ascii="Arial" w:hAnsi="Arial"/>
          <w:color w:val="000000" w:themeColor="text1"/>
          <w:sz w:val="22"/>
          <w:szCs w:val="22"/>
        </w:rPr>
        <w:t>website</w:t>
      </w:r>
      <w:proofErr w:type="spellEnd"/>
      <w:r w:rsidRPr="00D8546F">
        <w:rPr>
          <w:rFonts w:ascii="Arial" w:hAnsi="Arial"/>
          <w:color w:val="000000" w:themeColor="text1"/>
          <w:sz w:val="22"/>
          <w:szCs w:val="22"/>
        </w:rPr>
        <w:t>) and machine-</w:t>
      </w:r>
      <w:proofErr w:type="spellStart"/>
      <w:r w:rsidRPr="00D8546F">
        <w:rPr>
          <w:rFonts w:ascii="Arial" w:hAnsi="Arial"/>
          <w:color w:val="000000" w:themeColor="text1"/>
          <w:sz w:val="22"/>
          <w:szCs w:val="22"/>
        </w:rPr>
        <w:t>readable</w:t>
      </w:r>
      <w:proofErr w:type="spellEnd"/>
      <w:r w:rsidRPr="00D8546F">
        <w:rPr>
          <w:rFonts w:ascii="Arial" w:hAnsi="Arial"/>
          <w:color w:val="000000" w:themeColor="text1"/>
          <w:sz w:val="22"/>
          <w:szCs w:val="22"/>
        </w:rPr>
        <w:t>.</w:t>
      </w:r>
    </w:p>
    <w:p w14:paraId="2BD3CA2D" w14:textId="77777777" w:rsidR="007A7360" w:rsidRPr="00D8546F" w:rsidRDefault="007A7360" w:rsidP="00D45FC6">
      <w:pPr>
        <w:pStyle w:val="NormalWeb"/>
        <w:spacing w:before="0" w:beforeAutospacing="0" w:after="0" w:afterAutospacing="0"/>
        <w:ind w:left="426"/>
        <w:rPr>
          <w:rFonts w:ascii="Arial" w:hAnsi="Arial"/>
          <w:color w:val="000000" w:themeColor="text1"/>
          <w:sz w:val="22"/>
          <w:szCs w:val="22"/>
        </w:rPr>
      </w:pPr>
    </w:p>
    <w:p w14:paraId="2DAEDAD3" w14:textId="77777777" w:rsidR="007A7360" w:rsidRDefault="007A7360" w:rsidP="00C54034">
      <w:pPr>
        <w:spacing w:after="0"/>
        <w:rPr>
          <w:bCs/>
          <w:szCs w:val="22"/>
        </w:rPr>
      </w:pPr>
      <w:r w:rsidRPr="00D8546F">
        <w:rPr>
          <w:bCs/>
          <w:szCs w:val="22"/>
        </w:rPr>
        <w:t>Regarding derivatives, Paragraph 5 of the Consultation Package states that “in order to ensure a consistent approach of the transparency regimes in each asset-class”, ESMA will consult separately on changes addressing the transparency mandate for derivatives. However, amendments to Article 11 of the proposed draft RTS 2 remove derivatives from the scope of supplemental deferrals and instead the Article would apply only to Sovereign Bonds. We do not believe it is the intention to remove supplementary deferrals for derivatives prior to the review, consultation and implementation of the new transparency regime for derivatives and wish for confirmation of such from ESMA</w:t>
      </w:r>
      <w:r>
        <w:rPr>
          <w:bCs/>
          <w:szCs w:val="22"/>
        </w:rPr>
        <w:t>.</w:t>
      </w:r>
    </w:p>
    <w:permEnd w:id="1310265670"/>
    <w:p w14:paraId="50486DF5" w14:textId="6FBFD72D"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099F59F4" w14:textId="77777777" w:rsidR="007A7360" w:rsidRPr="00D8546F" w:rsidRDefault="007A7360" w:rsidP="00891B53">
      <w:pPr>
        <w:pStyle w:val="NoSpacing"/>
        <w:adjustRightInd w:val="0"/>
        <w:snapToGrid w:val="0"/>
        <w:jc w:val="both"/>
        <w:rPr>
          <w:rFonts w:ascii="Arial" w:hAnsi="Arial" w:cs="Arial"/>
          <w:color w:val="000000" w:themeColor="text1"/>
        </w:rPr>
      </w:pPr>
      <w:permStart w:id="1126446852" w:edGrp="everyone"/>
      <w:r w:rsidRPr="00D8546F">
        <w:rPr>
          <w:rFonts w:ascii="Arial" w:hAnsi="Arial" w:cs="Arial"/>
          <w:color w:val="000000" w:themeColor="text1"/>
        </w:rPr>
        <w:t xml:space="preserve">We noticed that ESMA currently has not yet decided the ‘implementation period’ for the amended RTS 2 (it is shown as ‘TBC’ at P. 177 of the CP). Considering the complexity of the changes and the connection between RTS 23 and RTS2, we would like to propose the same implementation </w:t>
      </w:r>
      <w:r w:rsidRPr="00D8546F">
        <w:rPr>
          <w:rFonts w:ascii="Arial" w:hAnsi="Arial" w:cs="Arial"/>
          <w:color w:val="000000" w:themeColor="text1"/>
        </w:rPr>
        <w:lastRenderedPageBreak/>
        <w:t xml:space="preserve">period as proposed by ESMA for the amended RTS 23 (i.e., 18 months after the date of entry into force). In addition, we would also like to highlight that the delegated act of OTC derivative identifier and the new derivative transparency regime have another impact on RTS 2 and RTS 23, so we urge ESMA further align all related changes in a broader time plan to prevent those unnecessary costs caused by the ‘high-frequency’ changes.    </w:t>
      </w:r>
    </w:p>
    <w:p w14:paraId="414A99A4" w14:textId="77777777" w:rsidR="007A7360" w:rsidRPr="00D8546F" w:rsidRDefault="007A7360" w:rsidP="007A7360">
      <w:pPr>
        <w:pStyle w:val="NoSpacing"/>
        <w:adjustRightInd w:val="0"/>
        <w:snapToGrid w:val="0"/>
        <w:rPr>
          <w:rFonts w:ascii="Arial" w:hAnsi="Arial" w:cs="Arial"/>
          <w:color w:val="000000" w:themeColor="text1"/>
        </w:rPr>
      </w:pPr>
    </w:p>
    <w:p w14:paraId="65F504AA" w14:textId="77777777" w:rsidR="007A7360" w:rsidRPr="00D8546F" w:rsidRDefault="007A7360" w:rsidP="00891B53">
      <w:pPr>
        <w:pStyle w:val="NoSpacing"/>
        <w:adjustRightInd w:val="0"/>
        <w:snapToGrid w:val="0"/>
        <w:jc w:val="both"/>
        <w:rPr>
          <w:rFonts w:ascii="Arial" w:hAnsi="Arial" w:cs="Arial"/>
          <w:bCs/>
          <w:color w:val="000000" w:themeColor="text1"/>
        </w:rPr>
      </w:pPr>
      <w:r w:rsidRPr="00D8546F">
        <w:rPr>
          <w:rFonts w:ascii="Arial" w:hAnsi="Arial" w:cs="Arial"/>
          <w:bCs/>
          <w:color w:val="000000" w:themeColor="text1"/>
        </w:rPr>
        <w:t>ESCB members that are not part of the Eurosystem: Require clarification on how the changes to Article 1(6) MiFIR apply where they have been extended to third-country central banks under Article 1(9) MiFIR (see https://finance.ec.europa.eu/system/files/2023-11/overview-table-equivalence-decisions_en.pdf). Do the current provisions in RTS 2 apply until new level 2 is applied, in an equivalent manner to ESCB members that are not part of the Eurosystem?</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01AC76C8" w14:textId="77777777" w:rsidR="007A7360" w:rsidRPr="00D8546F" w:rsidRDefault="007A7360" w:rsidP="00891B53">
      <w:pPr>
        <w:pStyle w:val="NoSpacing"/>
        <w:adjustRightInd w:val="0"/>
        <w:snapToGrid w:val="0"/>
        <w:jc w:val="both"/>
        <w:rPr>
          <w:rFonts w:ascii="Arial" w:hAnsi="Arial" w:cs="Arial"/>
          <w:bCs/>
          <w:color w:val="0000FF"/>
        </w:rPr>
      </w:pPr>
      <w:permStart w:id="1428125549" w:edGrp="everyone"/>
      <w:r w:rsidRPr="00D8546F">
        <w:rPr>
          <w:rFonts w:ascii="Arial" w:hAnsi="Arial" w:cs="Arial"/>
          <w:bCs/>
          <w:color w:val="000000" w:themeColor="text1"/>
        </w:rPr>
        <w:t xml:space="preserve">Significant resource from EDMA member firms, both one-off and on-going, will be required to implement the changes proposed in this RTS. As there will be </w:t>
      </w:r>
      <w:r w:rsidRPr="00D8546F">
        <w:rPr>
          <w:rFonts w:ascii="Arial" w:hAnsi="Arial" w:cs="Arial"/>
          <w:color w:val="000000"/>
          <w:kern w:val="0"/>
        </w:rPr>
        <w:t>material impact on both trading venues to adapt their systems and on data users to consume transparency data in the new format, EDMA would recommend an 18 months’ implementation period in line with RTS 23.</w:t>
      </w:r>
      <w:r w:rsidRPr="00D8546F" w:rsidDel="00F0596A">
        <w:rPr>
          <w:rFonts w:ascii="Arial" w:hAnsi="Arial" w:cs="Arial"/>
          <w:bCs/>
          <w:color w:val="000000" w:themeColor="text1"/>
        </w:rPr>
        <w:t xml:space="preserve"> </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57EDB7DA" w14:textId="77777777" w:rsidR="007A7360" w:rsidRPr="00D8546F" w:rsidRDefault="007A7360" w:rsidP="007A7360">
      <w:pPr>
        <w:adjustRightInd w:val="0"/>
        <w:snapToGrid w:val="0"/>
        <w:spacing w:line="240" w:lineRule="auto"/>
        <w:rPr>
          <w:color w:val="000000" w:themeColor="text1"/>
          <w:szCs w:val="22"/>
        </w:rPr>
      </w:pPr>
      <w:permStart w:id="1672500431"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lastRenderedPageBreak/>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612762D7" w14:textId="77777777" w:rsidR="007A7360" w:rsidRPr="00D8546F" w:rsidRDefault="007A7360" w:rsidP="007A7360">
      <w:pPr>
        <w:adjustRightInd w:val="0"/>
        <w:snapToGrid w:val="0"/>
        <w:spacing w:line="240" w:lineRule="auto"/>
        <w:rPr>
          <w:color w:val="000000" w:themeColor="text1"/>
          <w:szCs w:val="22"/>
        </w:rPr>
      </w:pPr>
      <w:permStart w:id="1840853704"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840853704"/>
    <w:p w14:paraId="735A0EF0" w14:textId="482151B5" w:rsidR="00FA4100" w:rsidRDefault="00FA4100" w:rsidP="00FA4100">
      <w:pPr>
        <w:spacing w:after="0"/>
      </w:pPr>
      <w:r>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3F07B430" w14:textId="77777777" w:rsidR="007A7360" w:rsidRPr="00D8546F" w:rsidRDefault="007A7360" w:rsidP="007A7360">
      <w:pPr>
        <w:adjustRightInd w:val="0"/>
        <w:snapToGrid w:val="0"/>
        <w:spacing w:line="240" w:lineRule="auto"/>
        <w:rPr>
          <w:color w:val="000000" w:themeColor="text1"/>
          <w:szCs w:val="22"/>
        </w:rPr>
      </w:pPr>
      <w:permStart w:id="636686123"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636686123"/>
    <w:p w14:paraId="1A641ECE" w14:textId="0786471E" w:rsidR="00FA4100" w:rsidRDefault="00FA4100" w:rsidP="00FA4100">
      <w:pPr>
        <w:spacing w:after="0"/>
      </w:pPr>
      <w:r>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2598665D" w14:textId="77777777" w:rsidR="007A7360" w:rsidRPr="00D8546F" w:rsidRDefault="007A7360" w:rsidP="007A7360">
      <w:pPr>
        <w:adjustRightInd w:val="0"/>
        <w:snapToGrid w:val="0"/>
        <w:spacing w:line="240" w:lineRule="auto"/>
        <w:rPr>
          <w:color w:val="000000" w:themeColor="text1"/>
          <w:szCs w:val="22"/>
        </w:rPr>
      </w:pPr>
      <w:permStart w:id="1539128939"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lastRenderedPageBreak/>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629BB7DA" w14:textId="77777777" w:rsidR="007A7360" w:rsidRPr="00D8546F" w:rsidRDefault="007A7360" w:rsidP="007A7360">
      <w:pPr>
        <w:adjustRightInd w:val="0"/>
        <w:snapToGrid w:val="0"/>
        <w:spacing w:line="240" w:lineRule="auto"/>
        <w:rPr>
          <w:color w:val="000000" w:themeColor="text1"/>
          <w:szCs w:val="22"/>
        </w:rPr>
      </w:pPr>
      <w:permStart w:id="307052998"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0AE91DA2" w14:textId="77777777" w:rsidR="007A7360" w:rsidRPr="00D8546F" w:rsidRDefault="007A7360" w:rsidP="007A7360">
      <w:pPr>
        <w:adjustRightInd w:val="0"/>
        <w:snapToGrid w:val="0"/>
        <w:spacing w:line="240" w:lineRule="auto"/>
        <w:rPr>
          <w:color w:val="000000" w:themeColor="text1"/>
          <w:szCs w:val="22"/>
        </w:rPr>
      </w:pPr>
      <w:permStart w:id="884149456"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2C2297DC" w14:textId="77777777" w:rsidR="007A7360" w:rsidRPr="00D8546F" w:rsidRDefault="007A7360" w:rsidP="007A7360">
      <w:pPr>
        <w:adjustRightInd w:val="0"/>
        <w:snapToGrid w:val="0"/>
        <w:spacing w:line="240" w:lineRule="auto"/>
        <w:rPr>
          <w:color w:val="000000" w:themeColor="text1"/>
          <w:szCs w:val="22"/>
        </w:rPr>
      </w:pPr>
      <w:permStart w:id="1310215157"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lastRenderedPageBreak/>
        <w:t>&lt;ESMA_QUESTION</w:t>
      </w:r>
      <w:r w:rsidR="00F93646">
        <w:t>_</w:t>
      </w:r>
      <w:r w:rsidR="00DD54B5">
        <w:t>CP1</w:t>
      </w:r>
      <w:r w:rsidR="00F93646">
        <w:t>_</w:t>
      </w:r>
      <w:r w:rsidR="00737DD9">
        <w:t>33</w:t>
      </w:r>
      <w:r>
        <w:t>&gt;</w:t>
      </w:r>
    </w:p>
    <w:p w14:paraId="46289BC1" w14:textId="77777777" w:rsidR="007A7360" w:rsidRPr="00D8546F" w:rsidRDefault="007A7360" w:rsidP="007A7360">
      <w:pPr>
        <w:adjustRightInd w:val="0"/>
        <w:snapToGrid w:val="0"/>
        <w:spacing w:line="240" w:lineRule="auto"/>
        <w:rPr>
          <w:color w:val="000000" w:themeColor="text1"/>
          <w:szCs w:val="22"/>
        </w:rPr>
      </w:pPr>
      <w:permStart w:id="1461735347"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1EEC03DF" w14:textId="77777777" w:rsidR="007A7360" w:rsidRPr="00D8546F" w:rsidRDefault="007A7360" w:rsidP="007A7360">
      <w:pPr>
        <w:adjustRightInd w:val="0"/>
        <w:snapToGrid w:val="0"/>
        <w:spacing w:line="240" w:lineRule="auto"/>
        <w:rPr>
          <w:color w:val="000000" w:themeColor="text1"/>
          <w:szCs w:val="22"/>
        </w:rPr>
      </w:pPr>
      <w:permStart w:id="526140180"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5F5D43CC" w14:textId="77777777" w:rsidR="007A7360" w:rsidRPr="00D8546F" w:rsidRDefault="007A7360" w:rsidP="007A7360">
      <w:pPr>
        <w:adjustRightInd w:val="0"/>
        <w:snapToGrid w:val="0"/>
        <w:spacing w:line="240" w:lineRule="auto"/>
        <w:rPr>
          <w:color w:val="000000" w:themeColor="text1"/>
          <w:szCs w:val="22"/>
        </w:rPr>
      </w:pPr>
      <w:permStart w:id="657797640"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17FED562" w14:textId="77777777" w:rsidR="007A7360" w:rsidRPr="00D8546F" w:rsidRDefault="007A7360" w:rsidP="007A7360">
      <w:pPr>
        <w:adjustRightInd w:val="0"/>
        <w:snapToGrid w:val="0"/>
        <w:spacing w:line="240" w:lineRule="auto"/>
        <w:rPr>
          <w:color w:val="000000" w:themeColor="text1"/>
          <w:szCs w:val="22"/>
        </w:rPr>
      </w:pPr>
      <w:permStart w:id="1477078338" w:edGrp="everyone"/>
      <w:r w:rsidRPr="00D8546F">
        <w:rPr>
          <w:color w:val="000000" w:themeColor="text1"/>
          <w:szCs w:val="22"/>
        </w:rPr>
        <w:lastRenderedPageBreak/>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264CD623" w14:textId="77777777" w:rsidR="007A7360" w:rsidRPr="00D8546F" w:rsidRDefault="007A7360" w:rsidP="007A7360">
      <w:pPr>
        <w:adjustRightInd w:val="0"/>
        <w:snapToGrid w:val="0"/>
        <w:spacing w:line="240" w:lineRule="auto"/>
        <w:rPr>
          <w:color w:val="000000" w:themeColor="text1"/>
          <w:szCs w:val="22"/>
        </w:rPr>
      </w:pPr>
      <w:permStart w:id="1201633413"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6CBFC5C4" w14:textId="77777777" w:rsidR="007A7360" w:rsidRPr="00D8546F" w:rsidRDefault="007A7360" w:rsidP="007A7360">
      <w:pPr>
        <w:adjustRightInd w:val="0"/>
        <w:snapToGrid w:val="0"/>
        <w:spacing w:line="240" w:lineRule="auto"/>
        <w:rPr>
          <w:color w:val="000000" w:themeColor="text1"/>
          <w:szCs w:val="22"/>
        </w:rPr>
      </w:pPr>
      <w:permStart w:id="1252924652"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1412F43B" w14:textId="77777777" w:rsidR="007A7360" w:rsidRPr="00D8546F" w:rsidRDefault="007A7360" w:rsidP="007A7360">
      <w:pPr>
        <w:adjustRightInd w:val="0"/>
        <w:snapToGrid w:val="0"/>
        <w:spacing w:line="240" w:lineRule="auto"/>
        <w:rPr>
          <w:color w:val="000000" w:themeColor="text1"/>
          <w:szCs w:val="22"/>
        </w:rPr>
      </w:pPr>
      <w:permStart w:id="2034649205"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363030DC" w14:textId="77777777" w:rsidR="007A7360" w:rsidRPr="00D8546F" w:rsidRDefault="007A7360" w:rsidP="007A7360">
      <w:pPr>
        <w:adjustRightInd w:val="0"/>
        <w:snapToGrid w:val="0"/>
        <w:spacing w:line="240" w:lineRule="auto"/>
        <w:rPr>
          <w:color w:val="000000" w:themeColor="text1"/>
          <w:szCs w:val="22"/>
        </w:rPr>
      </w:pPr>
      <w:permStart w:id="1583374814"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71CF2EF4" w14:textId="77777777" w:rsidR="007A7360" w:rsidRPr="00D8546F" w:rsidRDefault="007A7360" w:rsidP="007A7360">
      <w:pPr>
        <w:adjustRightInd w:val="0"/>
        <w:snapToGrid w:val="0"/>
        <w:spacing w:line="240" w:lineRule="auto"/>
        <w:rPr>
          <w:color w:val="000000" w:themeColor="text1"/>
          <w:szCs w:val="22"/>
        </w:rPr>
      </w:pPr>
      <w:permStart w:id="1168114055"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344927F9" w14:textId="77777777" w:rsidR="007A7360" w:rsidRPr="00D8546F" w:rsidRDefault="007A7360" w:rsidP="007A7360">
      <w:pPr>
        <w:adjustRightInd w:val="0"/>
        <w:snapToGrid w:val="0"/>
        <w:spacing w:line="240" w:lineRule="auto"/>
        <w:rPr>
          <w:color w:val="000000" w:themeColor="text1"/>
          <w:szCs w:val="22"/>
        </w:rPr>
      </w:pPr>
      <w:permStart w:id="658192178"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lastRenderedPageBreak/>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58F537F" w14:textId="77777777" w:rsidR="007A7360" w:rsidRPr="00D8546F" w:rsidRDefault="007A7360" w:rsidP="007A7360">
      <w:pPr>
        <w:adjustRightInd w:val="0"/>
        <w:snapToGrid w:val="0"/>
        <w:spacing w:line="240" w:lineRule="auto"/>
        <w:rPr>
          <w:color w:val="000000" w:themeColor="text1"/>
          <w:szCs w:val="22"/>
        </w:rPr>
      </w:pPr>
      <w:permStart w:id="1196837781"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16831963" w14:textId="77777777" w:rsidR="007A7360" w:rsidRPr="00D8546F" w:rsidRDefault="007A7360" w:rsidP="007A7360">
      <w:pPr>
        <w:adjustRightInd w:val="0"/>
        <w:snapToGrid w:val="0"/>
        <w:spacing w:line="240" w:lineRule="auto"/>
        <w:rPr>
          <w:color w:val="000000" w:themeColor="text1"/>
          <w:szCs w:val="22"/>
        </w:rPr>
      </w:pPr>
      <w:permStart w:id="1482058120"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0484E51D" w14:textId="77777777" w:rsidR="00912DCC" w:rsidRDefault="00912DCC" w:rsidP="00FA4100">
      <w:pPr>
        <w:spacing w:after="0"/>
        <w:rPr>
          <w:color w:val="000000" w:themeColor="text1"/>
          <w:szCs w:val="22"/>
        </w:rPr>
      </w:pPr>
      <w:permStart w:id="1375092011"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r>
        <w:rPr>
          <w:color w:val="000000" w:themeColor="text1"/>
          <w:szCs w:val="22"/>
        </w:rPr>
        <w:t>.</w:t>
      </w:r>
    </w:p>
    <w:permEnd w:id="1375092011"/>
    <w:p w14:paraId="0A2C8A1E" w14:textId="4256519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lastRenderedPageBreak/>
        <w:t>&lt;ESMA_QUESTION</w:t>
      </w:r>
      <w:r w:rsidR="00F93646">
        <w:t>_</w:t>
      </w:r>
      <w:r w:rsidR="00DD54B5">
        <w:t>CP1</w:t>
      </w:r>
      <w:r w:rsidR="00F93646">
        <w:t>_</w:t>
      </w:r>
      <w:r w:rsidR="00737DD9">
        <w:t>46</w:t>
      </w:r>
      <w:r>
        <w:t>&gt;</w:t>
      </w:r>
    </w:p>
    <w:p w14:paraId="3E71B42C" w14:textId="77777777" w:rsidR="007A7360" w:rsidRPr="00D8546F" w:rsidRDefault="007A7360" w:rsidP="007A7360">
      <w:pPr>
        <w:adjustRightInd w:val="0"/>
        <w:snapToGrid w:val="0"/>
        <w:spacing w:line="240" w:lineRule="auto"/>
        <w:rPr>
          <w:color w:val="000000" w:themeColor="text1"/>
          <w:szCs w:val="22"/>
        </w:rPr>
      </w:pPr>
      <w:permStart w:id="1647450555"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27D06660" w14:textId="77777777" w:rsidR="0018430A" w:rsidRDefault="0018430A" w:rsidP="00FA4100">
      <w:pPr>
        <w:spacing w:after="0"/>
        <w:rPr>
          <w:color w:val="000000" w:themeColor="text1"/>
          <w:szCs w:val="22"/>
        </w:rPr>
      </w:pPr>
      <w:permStart w:id="738273573"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r>
        <w:rPr>
          <w:color w:val="000000" w:themeColor="text1"/>
          <w:szCs w:val="22"/>
        </w:rPr>
        <w:t>.</w:t>
      </w:r>
    </w:p>
    <w:permEnd w:id="738273573"/>
    <w:p w14:paraId="5141BA55" w14:textId="173D5AC8"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42F00CE2" w14:textId="0E2B1777" w:rsidR="007A7360" w:rsidRDefault="007A7360" w:rsidP="00AF502B">
      <w:pPr>
        <w:spacing w:after="0"/>
        <w:rPr>
          <w:szCs w:val="22"/>
        </w:rPr>
      </w:pPr>
      <w:permStart w:id="213343087" w:edGrp="everyone"/>
      <w:r w:rsidRPr="00D8546F">
        <w:rPr>
          <w:szCs w:val="22"/>
        </w:rPr>
        <w:t>Since Article 16 of the draft RTS requires at least two months’ notice for any unilateral change to the terms and conditions of the market data agreement, a 3 month period means market data providers may only have 1 month to incorporate the new RCB requirement and communicate to their clients properly. Further considering that some fields in Annex I and Annex II of the draft RCB RTS are based on either a full calendar year or accounting year, a 12 month period should be a better preparation time</w:t>
      </w:r>
      <w:r>
        <w:rPr>
          <w:szCs w:val="22"/>
        </w:rPr>
        <w:t>.</w:t>
      </w:r>
    </w:p>
    <w:permEnd w:id="213343087"/>
    <w:p w14:paraId="1038ADC9" w14:textId="2ABA2A28"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1B3EA0D7" w14:textId="77777777" w:rsidR="007A7360" w:rsidRPr="00D8546F" w:rsidRDefault="007A7360" w:rsidP="007A7360">
      <w:pPr>
        <w:rPr>
          <w:bCs/>
          <w:color w:val="000000" w:themeColor="text1"/>
          <w:szCs w:val="22"/>
        </w:rPr>
      </w:pPr>
      <w:permStart w:id="1472730622" w:edGrp="everyone"/>
      <w:r w:rsidRPr="00D8546F">
        <w:rPr>
          <w:bCs/>
          <w:color w:val="000000" w:themeColor="text1"/>
          <w:szCs w:val="22"/>
        </w:rPr>
        <w:t>We would like to emphasise that, as ESMA has acknowledged, ‘</w:t>
      </w:r>
      <w:r w:rsidRPr="00D8546F">
        <w:rPr>
          <w:bCs/>
          <w:i/>
          <w:iCs/>
          <w:color w:val="000000" w:themeColor="text1"/>
          <w:szCs w:val="22"/>
        </w:rPr>
        <w:t>it is important to take the different nature, scale and complexity of market data providers into account when specifying the expectations on the market data provisions</w:t>
      </w:r>
      <w:r w:rsidRPr="00D8546F">
        <w:rPr>
          <w:bCs/>
          <w:color w:val="000000" w:themeColor="text1"/>
          <w:szCs w:val="22"/>
        </w:rPr>
        <w:t xml:space="preserve">’ (para. 22 of ESMA Final Guidelines on the MiFID II/MiFIR </w:t>
      </w:r>
      <w:r w:rsidRPr="00D8546F">
        <w:rPr>
          <w:bCs/>
          <w:color w:val="000000" w:themeColor="text1"/>
          <w:szCs w:val="22"/>
        </w:rPr>
        <w:lastRenderedPageBreak/>
        <w:t>obligations on market data, ESMA70-156-4263), so the principle of proportionality should be properly taken into account when drafting this RTS. Based on this principle, we have noticed that no minimum revenue threshold for the application of the reasonable commercial basis has been considered in the draft RTS, so, for some market data providers, they may spend comparatively significant resources and costs to fulfil the newly proposed RCB requirements which eventually results in adding disproportionate costs of producing and disseminating market data.</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4CDD9378" w14:textId="77777777" w:rsidR="007A7360" w:rsidRPr="00D8546F" w:rsidRDefault="007A7360" w:rsidP="007A7360">
      <w:pPr>
        <w:adjustRightInd w:val="0"/>
        <w:snapToGrid w:val="0"/>
        <w:spacing w:line="240" w:lineRule="auto"/>
        <w:rPr>
          <w:color w:val="000000" w:themeColor="text1"/>
          <w:szCs w:val="22"/>
        </w:rPr>
      </w:pPr>
      <w:permStart w:id="104619003" w:edGrp="everyone"/>
      <w:r w:rsidRPr="00D8546F">
        <w:rPr>
          <w:color w:val="000000" w:themeColor="text1"/>
          <w:szCs w:val="22"/>
        </w:rPr>
        <w:t>EDMA is a trade association representing six firms that are active in the Market Data space due to their positions as major fixed income trading venues. As an industry body, we collectively have specific concerns with ESMA’s RCB proposals. Given the importance of this matter, individual members have chosen to respond directly to ESMA and therefore kindly refer ESMA to their respective submissions.</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1A3DDB35" w14:textId="612E2AB3" w:rsidR="007A7360" w:rsidRPr="007A7360" w:rsidRDefault="007A7360" w:rsidP="007A7360">
      <w:pPr>
        <w:pStyle w:val="Questionstyle"/>
        <w:numPr>
          <w:ilvl w:val="0"/>
          <w:numId w:val="0"/>
        </w:numPr>
        <w:rPr>
          <w:b w:val="0"/>
          <w:bCs/>
          <w:color w:val="000000" w:themeColor="text1"/>
        </w:rPr>
      </w:pPr>
      <w:permStart w:id="130159860" w:edGrp="everyone"/>
      <w:r w:rsidRPr="007A7360">
        <w:rPr>
          <w:b w:val="0"/>
          <w:bCs/>
          <w:color w:val="000000" w:themeColor="text1"/>
        </w:rPr>
        <w:t>Yes, EDMA agrees with the proposal for a daily reporting of reference data for both transaction reporting and transparency purposes</w:t>
      </w:r>
      <w:r>
        <w:rPr>
          <w:b w:val="0"/>
          <w:bCs/>
          <w:color w:val="000000" w:themeColor="text1"/>
        </w:rPr>
        <w:t>.</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64C75646" w14:textId="77777777" w:rsidR="007A7360" w:rsidRDefault="007A7360" w:rsidP="00237775">
      <w:pPr>
        <w:spacing w:after="0"/>
        <w:rPr>
          <w:szCs w:val="22"/>
        </w:rPr>
      </w:pPr>
      <w:permStart w:id="360449157" w:edGrp="everyone"/>
      <w:r w:rsidRPr="00D8546F">
        <w:rPr>
          <w:szCs w:val="22"/>
        </w:rPr>
        <w:lastRenderedPageBreak/>
        <w:t>Yes, EDMA agrees that  the MIFIR ID should be retained. However, there is a need to recognise that the MiFIR ID does not always align with the CFI code and this does cause issues. Work should continue to improve the alignment between MiFIR ID and CFI code</w:t>
      </w:r>
      <w:r>
        <w:rPr>
          <w:szCs w:val="22"/>
        </w:rPr>
        <w:t>.</w:t>
      </w:r>
    </w:p>
    <w:permEnd w:id="360449157"/>
    <w:p w14:paraId="3F0578A7" w14:textId="2C557070"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32B5D6CA" w14:textId="77777777" w:rsidR="007A7360" w:rsidRDefault="007A7360" w:rsidP="00237775">
      <w:pPr>
        <w:spacing w:after="0"/>
      </w:pPr>
      <w:permStart w:id="1546738195" w:edGrp="everyone"/>
      <w:r w:rsidRPr="00D8546F">
        <w:rPr>
          <w:szCs w:val="22"/>
        </w:rPr>
        <w:t xml:space="preserve">Yes, EDMA agrees that </w:t>
      </w:r>
      <w:r w:rsidRPr="00D8546F">
        <w:rPr>
          <w:color w:val="000000" w:themeColor="text1"/>
          <w:szCs w:val="22"/>
        </w:rPr>
        <w:t>t</w:t>
      </w:r>
      <w:r w:rsidRPr="00D8546F">
        <w:rPr>
          <w:bCs/>
          <w:color w:val="000000" w:themeColor="text1"/>
          <w:szCs w:val="22"/>
        </w:rPr>
        <w:t>he MiFIR identifier is adequate for the purposes of MiFIR transparency in the non-equity space</w:t>
      </w:r>
      <w:r>
        <w:t xml:space="preserve"> .</w:t>
      </w:r>
    </w:p>
    <w:permEnd w:id="1546738195"/>
    <w:p w14:paraId="2D943B9C" w14:textId="0DDEAD95"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CAF494E" w14:textId="77777777" w:rsidR="007A7360" w:rsidRDefault="007A7360" w:rsidP="00237775">
      <w:pPr>
        <w:spacing w:after="0"/>
        <w:rPr>
          <w:szCs w:val="22"/>
        </w:rPr>
      </w:pPr>
      <w:permStart w:id="1513240935" w:edGrp="everyone"/>
      <w:r w:rsidRPr="00D8546F">
        <w:rPr>
          <w:szCs w:val="22"/>
        </w:rPr>
        <w:t xml:space="preserve">Yes, EDMA agrees </w:t>
      </w:r>
      <w:r w:rsidRPr="00D8546F">
        <w:rPr>
          <w:bCs/>
          <w:szCs w:val="22"/>
        </w:rPr>
        <w:t>with deleting Field 5 of RTS 2, Annex IV, and use the CFI code for the purposes of derivatives’ contract type classification</w:t>
      </w:r>
      <w:r w:rsidRPr="00D8546F">
        <w:rPr>
          <w:szCs w:val="22"/>
        </w:rPr>
        <w:t>. However, ESMA and the NCAs should work more closely with the National Numbering Agencies to improve the reliability of CFI codes</w:t>
      </w:r>
      <w:r>
        <w:rPr>
          <w:szCs w:val="22"/>
        </w:rPr>
        <w:t>.</w:t>
      </w:r>
    </w:p>
    <w:permEnd w:id="1513240935"/>
    <w:p w14:paraId="0D48E731" w14:textId="0CB0FB8F"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lastRenderedPageBreak/>
        <w:t>TYPE YOUR TEXT HERE</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lastRenderedPageBreak/>
        <w:t>&lt;ESMA_QUESTION</w:t>
      </w:r>
      <w:r w:rsidR="00F93646">
        <w:t>_</w:t>
      </w:r>
      <w:r w:rsidR="00DD54B5">
        <w:t>CP1</w:t>
      </w:r>
      <w:r w:rsidR="00F93646">
        <w:t>_</w:t>
      </w:r>
      <w:r w:rsidR="009F58FA">
        <w:t>61</w:t>
      </w:r>
      <w:r>
        <w:t>&gt;</w:t>
      </w:r>
    </w:p>
    <w:p w14:paraId="54384DC5" w14:textId="77777777" w:rsidR="00237775" w:rsidRDefault="00237775" w:rsidP="00237775">
      <w:pPr>
        <w:spacing w:after="0"/>
      </w:pPr>
      <w:permStart w:id="838951323" w:edGrp="everyone"/>
      <w:r>
        <w:t>TYPE YOUR TEXT HERE</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77777777" w:rsidR="0015061C" w:rsidRDefault="0015061C" w:rsidP="0015061C">
      <w:pPr>
        <w:spacing w:after="0"/>
      </w:pPr>
      <w:permStart w:id="1816345643" w:edGrp="everyone"/>
      <w:r>
        <w:t>TYPE YOUR TEXT HERE</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lastRenderedPageBreak/>
        <w:t>TYPE YOUR TEXT HERE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56136438" w14:textId="77777777" w:rsidR="007A7360" w:rsidRDefault="007A7360" w:rsidP="0015061C">
      <w:pPr>
        <w:spacing w:after="0"/>
        <w:rPr>
          <w:szCs w:val="22"/>
        </w:rPr>
      </w:pPr>
      <w:permStart w:id="1885042034" w:edGrp="everyone"/>
      <w:r w:rsidRPr="00D8546F">
        <w:rPr>
          <w:szCs w:val="22"/>
        </w:rPr>
        <w:t>A shift from XML to JSON format for both outbound and inbound messages will be a significant development effort for reporting firms. It is not clear that this would yield any benefits for either ESMA or reporting firms</w:t>
      </w:r>
      <w:r>
        <w:rPr>
          <w:szCs w:val="22"/>
        </w:rPr>
        <w:t>.</w:t>
      </w:r>
    </w:p>
    <w:permEnd w:id="1885042034"/>
    <w:p w14:paraId="2275BCED" w14:textId="3340C006"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lastRenderedPageBreak/>
        <w:t>&lt;ESMA_QUESTION</w:t>
      </w:r>
      <w:r w:rsidR="00F93646">
        <w:t>_</w:t>
      </w:r>
      <w:r w:rsidR="00DD54B5">
        <w:t>CP1</w:t>
      </w:r>
      <w:r w:rsidR="00F93646">
        <w:t>_</w:t>
      </w:r>
      <w:r w:rsidR="00AE2A0A">
        <w:t>7</w:t>
      </w:r>
      <w:r w:rsidR="0014711C">
        <w:t>1</w:t>
      </w:r>
      <w:r>
        <w:t>&gt;</w:t>
      </w:r>
    </w:p>
    <w:p w14:paraId="21C72504" w14:textId="77777777" w:rsidR="0015061C" w:rsidRDefault="0015061C" w:rsidP="0015061C">
      <w:pPr>
        <w:spacing w:after="0"/>
      </w:pPr>
      <w:permStart w:id="1904763643" w:edGrp="everyone"/>
      <w:r>
        <w:t>TYPE YOUR TEXT HERE</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A3D2" w14:textId="77777777" w:rsidR="006F16FC" w:rsidRDefault="006F16FC" w:rsidP="00F716D4">
      <w:r>
        <w:separator/>
      </w:r>
    </w:p>
    <w:p w14:paraId="7B219C75" w14:textId="77777777" w:rsidR="006F16FC" w:rsidRDefault="006F16FC" w:rsidP="00F716D4"/>
  </w:endnote>
  <w:endnote w:type="continuationSeparator" w:id="0">
    <w:p w14:paraId="5CFC4C93" w14:textId="77777777" w:rsidR="006F16FC" w:rsidRDefault="006F16FC" w:rsidP="00F716D4">
      <w:r>
        <w:continuationSeparator/>
      </w:r>
    </w:p>
    <w:p w14:paraId="5612858F" w14:textId="77777777" w:rsidR="006F16FC" w:rsidRDefault="006F16FC" w:rsidP="00F716D4"/>
  </w:endnote>
  <w:endnote w:type="continuationNotice" w:id="1">
    <w:p w14:paraId="0899926C" w14:textId="77777777" w:rsidR="006F16FC" w:rsidRDefault="006F16F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F85B" w14:textId="77777777" w:rsidR="006F16FC" w:rsidRDefault="006F16FC" w:rsidP="00F716D4">
      <w:r>
        <w:separator/>
      </w:r>
    </w:p>
    <w:p w14:paraId="1AF6B38C" w14:textId="77777777" w:rsidR="006F16FC" w:rsidRDefault="006F16FC" w:rsidP="00F716D4"/>
  </w:footnote>
  <w:footnote w:type="continuationSeparator" w:id="0">
    <w:p w14:paraId="517670BE" w14:textId="77777777" w:rsidR="006F16FC" w:rsidRDefault="006F16FC" w:rsidP="00F716D4">
      <w:r>
        <w:continuationSeparator/>
      </w:r>
    </w:p>
    <w:p w14:paraId="47CFF706" w14:textId="77777777" w:rsidR="006F16FC" w:rsidRDefault="006F16FC" w:rsidP="00F716D4"/>
  </w:footnote>
  <w:footnote w:type="continuationNotice" w:id="1">
    <w:p w14:paraId="2EB19AAC" w14:textId="77777777" w:rsidR="006F16FC" w:rsidRDefault="006F16F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C733943"/>
    <w:multiLevelType w:val="hybridMultilevel"/>
    <w:tmpl w:val="368033C4"/>
    <w:lvl w:ilvl="0" w:tplc="B7E45E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4"/>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6"/>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1819835511">
    <w:abstractNumId w:val="10"/>
  </w:num>
  <w:num w:numId="38" w16cid:durableId="1204094006">
    <w:abstractNumId w:val="10"/>
  </w:num>
  <w:num w:numId="39" w16cid:durableId="1717659379">
    <w:abstractNumId w:val="10"/>
  </w:num>
  <w:num w:numId="40" w16cid:durableId="1353989290">
    <w:abstractNumId w:val="10"/>
  </w:num>
  <w:num w:numId="41" w16cid:durableId="1579946960">
    <w:abstractNumId w:val="10"/>
  </w:num>
  <w:num w:numId="42" w16cid:durableId="1235777839">
    <w:abstractNumId w:val="10"/>
  </w:num>
  <w:num w:numId="43" w16cid:durableId="1125153549">
    <w:abstractNumId w:val="10"/>
  </w:num>
  <w:num w:numId="44" w16cid:durableId="755521582">
    <w:abstractNumId w:val="10"/>
  </w:num>
  <w:num w:numId="45" w16cid:durableId="1361205528">
    <w:abstractNumId w:val="10"/>
  </w:num>
  <w:num w:numId="46" w16cid:durableId="1003556738">
    <w:abstractNumId w:val="10"/>
  </w:num>
  <w:num w:numId="47" w16cid:durableId="635260301">
    <w:abstractNumId w:val="10"/>
  </w:num>
  <w:num w:numId="48" w16cid:durableId="1458374981">
    <w:abstractNumId w:val="10"/>
  </w:num>
  <w:num w:numId="49" w16cid:durableId="1460300743">
    <w:abstractNumId w:val="10"/>
  </w:num>
  <w:num w:numId="50" w16cid:durableId="1709180681">
    <w:abstractNumId w:val="10"/>
  </w:num>
  <w:num w:numId="51" w16cid:durableId="1868104899">
    <w:abstractNumId w:val="31"/>
  </w:num>
  <w:num w:numId="52" w16cid:durableId="123473918">
    <w:abstractNumId w:val="10"/>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C62"/>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5C12"/>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15F4"/>
    <w:rsid w:val="00135F2B"/>
    <w:rsid w:val="001372DD"/>
    <w:rsid w:val="00137973"/>
    <w:rsid w:val="001405BA"/>
    <w:rsid w:val="00141497"/>
    <w:rsid w:val="0014253A"/>
    <w:rsid w:val="001425C8"/>
    <w:rsid w:val="001431AE"/>
    <w:rsid w:val="00143B87"/>
    <w:rsid w:val="001459E3"/>
    <w:rsid w:val="00145DA0"/>
    <w:rsid w:val="00146A0B"/>
    <w:rsid w:val="0014711C"/>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0A"/>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6E6"/>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A703A"/>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099"/>
    <w:rsid w:val="00557FB5"/>
    <w:rsid w:val="00561AED"/>
    <w:rsid w:val="005648A8"/>
    <w:rsid w:val="00564DE3"/>
    <w:rsid w:val="00564E44"/>
    <w:rsid w:val="00566C6A"/>
    <w:rsid w:val="00566CE5"/>
    <w:rsid w:val="00566D36"/>
    <w:rsid w:val="0057163A"/>
    <w:rsid w:val="0057174D"/>
    <w:rsid w:val="00572B29"/>
    <w:rsid w:val="00573569"/>
    <w:rsid w:val="00573871"/>
    <w:rsid w:val="0057389E"/>
    <w:rsid w:val="0057454B"/>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2C48"/>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6F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360"/>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B53"/>
    <w:rsid w:val="008922E8"/>
    <w:rsid w:val="00892E72"/>
    <w:rsid w:val="00893916"/>
    <w:rsid w:val="0089442C"/>
    <w:rsid w:val="00895818"/>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DB5"/>
    <w:rsid w:val="008D3ABE"/>
    <w:rsid w:val="008D3F10"/>
    <w:rsid w:val="008D4656"/>
    <w:rsid w:val="008D611D"/>
    <w:rsid w:val="008E1B6A"/>
    <w:rsid w:val="008E3054"/>
    <w:rsid w:val="008E32FF"/>
    <w:rsid w:val="008E5625"/>
    <w:rsid w:val="008E5C5B"/>
    <w:rsid w:val="008E6A37"/>
    <w:rsid w:val="008F01A0"/>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2DCC"/>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2F0C"/>
    <w:rsid w:val="009934BB"/>
    <w:rsid w:val="00994621"/>
    <w:rsid w:val="009947FF"/>
    <w:rsid w:val="0099544B"/>
    <w:rsid w:val="009957CB"/>
    <w:rsid w:val="009A07A6"/>
    <w:rsid w:val="009A0D56"/>
    <w:rsid w:val="009A31B9"/>
    <w:rsid w:val="009A340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2F0"/>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6B6"/>
    <w:rsid w:val="00A96B46"/>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082"/>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35E"/>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047"/>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6184"/>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3EF2"/>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paragraph" w:styleId="NoSpacing">
    <w:name w:val="No Spacing"/>
    <w:uiPriority w:val="1"/>
    <w:qFormat/>
    <w:locked/>
    <w:rsid w:val="007A7360"/>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103</Value>
      <Value>396</Value>
      <Value>9</Value>
      <Value>1008</Value>
    </TaxCatchAll>
    <_dlc_DocId xmlns="d0fb0f98-34f9-4d57-9559-eb8efd17aa5e">ESMA74-2134169708-7262</_dlc_DocId>
    <_dlc_DocIdUrl xmlns="d0fb0f98-34f9-4d57-9559-eb8efd17aa5e">
      <Url>https://securitiesandmarketsauth.sharepoint.com/sites/sherpa-trdu/_layouts/15/DocIdRedir.aspx?ID=ESMA74-2134169708-7262</Url>
      <Description>ESMA74-2134169708-7262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MiFIR review</TermName>
          <TermId xmlns="http://schemas.microsoft.com/office/infopath/2007/PartnerControls">8e1f943c-95af-4c0c-bb85-794622e8f573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MiFIR Review - Consultation Paper 2 - RTS 2, RCB and Reference Data</TermName>
          <TermId xmlns="http://schemas.microsoft.com/office/infopath/2007/PartnerControls">9a04b656-9ada-4168-ad3c-16b81ab61b24</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6CBD0CC1-C512-4621-BC99-C7A7468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5608</Words>
  <Characters>31970</Characters>
  <Application>Microsoft Office Word</Application>
  <DocSecurity>8</DocSecurity>
  <Lines>266</Lines>
  <Paragraphs>75</Paragraphs>
  <ScaleCrop>false</ScaleCrop>
  <Company>ESMA</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Nicky Bullen</cp:lastModifiedBy>
  <cp:revision>2</cp:revision>
  <cp:lastPrinted>2015-02-18T11:01:00Z</cp:lastPrinted>
  <dcterms:created xsi:type="dcterms:W3CDTF">2024-08-28T07:53:00Z</dcterms:created>
  <dcterms:modified xsi:type="dcterms:W3CDTF">2024-08-28T07:53:00Z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ies>
</file>