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50" w:line="276" w:lineRule="auto"/>
        <w:jc w:val="both"/>
        <w:rPr>
          <w:rFonts w:ascii="Arial" w:cs="Arial" w:eastAsia="Arial" w:hAnsi="Arial"/>
          <w:b w:val="1"/>
          <w:color w:val="181818"/>
        </w:rPr>
      </w:pPr>
      <w:r w:rsidDel="00000000" w:rsidR="00000000" w:rsidRPr="00000000">
        <w:rPr>
          <w:rFonts w:ascii="Arial" w:cs="Arial" w:eastAsia="Arial" w:hAnsi="Arial"/>
          <w:b w:val="1"/>
          <w:color w:val="181818"/>
          <w:rtl w:val="0"/>
        </w:rPr>
        <w:t xml:space="preserve">Annex – Question 20. Table on eligible assets UCITS EAD. </w:t>
      </w:r>
    </w:p>
    <w:p w:rsidR="00000000" w:rsidDel="00000000" w:rsidP="00000000" w:rsidRDefault="00000000" w:rsidRPr="00000000" w14:paraId="00000002">
      <w:pPr>
        <w:spacing w:after="250" w:line="276" w:lineRule="auto"/>
        <w:jc w:val="both"/>
        <w:rPr>
          <w:rFonts w:ascii="Arial" w:cs="Arial" w:eastAsia="Arial" w:hAnsi="Arial"/>
          <w:color w:val="181818"/>
        </w:rPr>
      </w:pPr>
      <w:r w:rsidDel="00000000" w:rsidR="00000000" w:rsidRPr="00000000">
        <w:rPr>
          <w:rFonts w:ascii="Arial" w:cs="Arial" w:eastAsia="Arial" w:hAnsi="Arial"/>
          <w:color w:val="181818"/>
          <w:rtl w:val="0"/>
        </w:rPr>
        <w:t xml:space="preserve">For the purposes of Question 20, please complete the table below with the requested information, taking into account the instructions provided in the footnotes. After having completed the form, please save the document (according to the following convention: “ESMA_Q20_nameofrespondent”) and upload it online at </w:t>
      </w:r>
      <w:hyperlink r:id="rId7">
        <w:r w:rsidDel="00000000" w:rsidR="00000000" w:rsidRPr="00000000">
          <w:rPr>
            <w:rFonts w:ascii="Arial" w:cs="Arial" w:eastAsia="Arial" w:hAnsi="Arial"/>
            <w:color w:val="0563c1"/>
            <w:u w:val="single"/>
            <w:rtl w:val="0"/>
          </w:rPr>
          <w:t xml:space="preserve">https://www.esma.europa.eu/press-news/consultations/call-evidence-review-ucits-eligible-assets-directive</w:t>
        </w:r>
      </w:hyperlink>
      <w:r w:rsidDel="00000000" w:rsidR="00000000" w:rsidRPr="00000000">
        <w:rPr>
          <w:rFonts w:ascii="Arial" w:cs="Arial" w:eastAsia="Arial" w:hAnsi="Arial"/>
          <w:i w:val="1"/>
          <w:color w:val="181818"/>
          <w:rtl w:val="0"/>
        </w:rPr>
        <w:t xml:space="preserve"> </w:t>
      </w:r>
      <w:r w:rsidDel="00000000" w:rsidR="00000000" w:rsidRPr="00000000">
        <w:rPr>
          <w:rFonts w:ascii="Arial" w:cs="Arial" w:eastAsia="Arial" w:hAnsi="Arial"/>
          <w:color w:val="181818"/>
          <w:rtl w:val="0"/>
        </w:rPr>
        <w:t xml:space="preserve">under the heading </w:t>
      </w:r>
      <w:r w:rsidDel="00000000" w:rsidR="00000000" w:rsidRPr="00000000">
        <w:rPr>
          <w:rFonts w:ascii="Arial" w:cs="Arial" w:eastAsia="Arial" w:hAnsi="Arial"/>
          <w:i w:val="1"/>
          <w:color w:val="181818"/>
          <w:rtl w:val="0"/>
        </w:rPr>
        <w:t xml:space="preserve">‘Your input - Consultations’</w:t>
      </w:r>
      <w:r w:rsidDel="00000000" w:rsidR="00000000" w:rsidRPr="00000000">
        <w:rPr>
          <w:rFonts w:ascii="Arial" w:cs="Arial" w:eastAsia="Arial" w:hAnsi="Arial"/>
          <w:color w:val="181818"/>
          <w:rtl w:val="0"/>
        </w:rPr>
        <w:t xml:space="preserve">, as an Annex to the Reply Form. In case you upload a pdf file, please choose an editable form. </w:t>
      </w:r>
    </w:p>
    <w:tbl>
      <w:tblPr>
        <w:tblStyle w:val="Table1"/>
        <w:tblW w:w="93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95"/>
        <w:gridCol w:w="1683"/>
        <w:gridCol w:w="1776"/>
        <w:gridCol w:w="2060"/>
        <w:gridCol w:w="1706"/>
        <w:tblGridChange w:id="0">
          <w:tblGrid>
            <w:gridCol w:w="2095"/>
            <w:gridCol w:w="1683"/>
            <w:gridCol w:w="1776"/>
            <w:gridCol w:w="2060"/>
            <w:gridCol w:w="1706"/>
          </w:tblGrid>
        </w:tblGridChange>
      </w:tblGrid>
      <w:tr>
        <w:trPr>
          <w:cantSplit w:val="0"/>
          <w:tblHeader w:val="0"/>
        </w:trPr>
        <w:tc>
          <w:tcPr/>
          <w:p w:rsidR="00000000" w:rsidDel="00000000" w:rsidP="00000000" w:rsidRDefault="00000000" w:rsidRPr="00000000" w14:paraId="00000003">
            <w:pPr>
              <w:spacing w:after="250" w:line="276" w:lineRule="auto"/>
              <w:jc w:val="center"/>
              <w:rPr>
                <w:rFonts w:ascii="Arial" w:cs="Arial" w:eastAsia="Arial" w:hAnsi="Arial"/>
                <w:b w:val="1"/>
                <w:color w:val="181818"/>
              </w:rPr>
            </w:pPr>
            <w:r w:rsidDel="00000000" w:rsidR="00000000" w:rsidRPr="00000000">
              <w:rPr>
                <w:rFonts w:ascii="Arial" w:cs="Arial" w:eastAsia="Arial" w:hAnsi="Arial"/>
                <w:b w:val="1"/>
                <w:color w:val="181818"/>
                <w:rtl w:val="0"/>
              </w:rPr>
              <w:t xml:space="preserve">Asset class</w:t>
            </w:r>
            <w:r w:rsidDel="00000000" w:rsidR="00000000" w:rsidRPr="00000000">
              <w:rPr>
                <w:rFonts w:ascii="Arial" w:cs="Arial" w:eastAsia="Arial" w:hAnsi="Arial"/>
                <w:b w:val="1"/>
                <w:color w:val="181818"/>
                <w:sz w:val="16"/>
                <w:szCs w:val="16"/>
                <w:vertAlign w:val="superscript"/>
              </w:rPr>
              <w:footnoteReference w:customMarkFollows="0" w:id="0"/>
            </w:r>
            <w:r w:rsidDel="00000000" w:rsidR="00000000" w:rsidRPr="00000000">
              <w:rPr>
                <w:rtl w:val="0"/>
              </w:rPr>
            </w:r>
          </w:p>
        </w:tc>
        <w:tc>
          <w:tcPr/>
          <w:p w:rsidR="00000000" w:rsidDel="00000000" w:rsidP="00000000" w:rsidRDefault="00000000" w:rsidRPr="00000000" w14:paraId="00000004">
            <w:pPr>
              <w:spacing w:after="250" w:line="276" w:lineRule="auto"/>
              <w:jc w:val="center"/>
              <w:rPr>
                <w:rFonts w:ascii="Arial" w:cs="Arial" w:eastAsia="Arial" w:hAnsi="Arial"/>
                <w:b w:val="1"/>
                <w:color w:val="181818"/>
              </w:rPr>
            </w:pPr>
            <w:r w:rsidDel="00000000" w:rsidR="00000000" w:rsidRPr="00000000">
              <w:rPr>
                <w:rFonts w:ascii="Arial" w:cs="Arial" w:eastAsia="Arial" w:hAnsi="Arial"/>
                <w:b w:val="1"/>
                <w:color w:val="181818"/>
                <w:rtl w:val="0"/>
              </w:rPr>
              <w:t xml:space="preserve">Merits of allowing direct UCITS exposures</w:t>
            </w:r>
          </w:p>
        </w:tc>
        <w:tc>
          <w:tcPr/>
          <w:p w:rsidR="00000000" w:rsidDel="00000000" w:rsidP="00000000" w:rsidRDefault="00000000" w:rsidRPr="00000000" w14:paraId="00000005">
            <w:pPr>
              <w:spacing w:after="250" w:line="276" w:lineRule="auto"/>
              <w:jc w:val="center"/>
              <w:rPr>
                <w:rFonts w:ascii="Arial" w:cs="Arial" w:eastAsia="Arial" w:hAnsi="Arial"/>
                <w:b w:val="1"/>
                <w:color w:val="181818"/>
              </w:rPr>
            </w:pPr>
            <w:r w:rsidDel="00000000" w:rsidR="00000000" w:rsidRPr="00000000">
              <w:rPr>
                <w:rFonts w:ascii="Arial" w:cs="Arial" w:eastAsia="Arial" w:hAnsi="Arial"/>
                <w:b w:val="1"/>
                <w:color w:val="181818"/>
                <w:rtl w:val="0"/>
              </w:rPr>
              <w:t xml:space="preserve">Merits of allowing </w:t>
            </w:r>
            <w:r w:rsidDel="00000000" w:rsidR="00000000" w:rsidRPr="00000000">
              <w:rPr>
                <w:rFonts w:ascii="Arial" w:cs="Arial" w:eastAsia="Arial" w:hAnsi="Arial"/>
                <w:b w:val="1"/>
                <w:i w:val="1"/>
                <w:color w:val="181818"/>
                <w:rtl w:val="0"/>
              </w:rPr>
              <w:t xml:space="preserve">indirect</w:t>
            </w:r>
            <w:r w:rsidDel="00000000" w:rsidR="00000000" w:rsidRPr="00000000">
              <w:rPr>
                <w:rFonts w:ascii="Arial" w:cs="Arial" w:eastAsia="Arial" w:hAnsi="Arial"/>
                <w:b w:val="1"/>
                <w:color w:val="181818"/>
                <w:rtl w:val="0"/>
              </w:rPr>
              <w:t xml:space="preserve"> UCITS exposures</w:t>
            </w:r>
            <w:r w:rsidDel="00000000" w:rsidR="00000000" w:rsidRPr="00000000">
              <w:rPr>
                <w:rFonts w:ascii="Arial" w:cs="Arial" w:eastAsia="Arial" w:hAnsi="Arial"/>
                <w:b w:val="1"/>
                <w:color w:val="181818"/>
                <w:sz w:val="16"/>
                <w:szCs w:val="16"/>
                <w:vertAlign w:val="superscript"/>
              </w:rPr>
              <w:footnoteReference w:customMarkFollows="0" w:id="1"/>
            </w:r>
            <w:r w:rsidDel="00000000" w:rsidR="00000000" w:rsidRPr="00000000">
              <w:rPr>
                <w:rtl w:val="0"/>
              </w:rPr>
            </w:r>
          </w:p>
        </w:tc>
        <w:tc>
          <w:tcPr/>
          <w:p w:rsidR="00000000" w:rsidDel="00000000" w:rsidP="00000000" w:rsidRDefault="00000000" w:rsidRPr="00000000" w14:paraId="00000006">
            <w:pPr>
              <w:spacing w:after="250" w:line="276" w:lineRule="auto"/>
              <w:jc w:val="center"/>
              <w:rPr>
                <w:rFonts w:ascii="Arial" w:cs="Arial" w:eastAsia="Arial" w:hAnsi="Arial"/>
                <w:b w:val="1"/>
                <w:color w:val="181818"/>
              </w:rPr>
            </w:pPr>
            <w:r w:rsidDel="00000000" w:rsidR="00000000" w:rsidRPr="00000000">
              <w:rPr>
                <w:rFonts w:ascii="Arial" w:cs="Arial" w:eastAsia="Arial" w:hAnsi="Arial"/>
                <w:b w:val="1"/>
                <w:color w:val="181818"/>
                <w:rtl w:val="0"/>
              </w:rPr>
              <w:t xml:space="preserve">Extent/amount of existing UCITS exposures</w:t>
            </w:r>
            <w:r w:rsidDel="00000000" w:rsidR="00000000" w:rsidRPr="00000000">
              <w:rPr>
                <w:rFonts w:ascii="Arial" w:cs="Arial" w:eastAsia="Arial" w:hAnsi="Arial"/>
                <w:b w:val="1"/>
                <w:color w:val="181818"/>
                <w:sz w:val="16"/>
                <w:szCs w:val="16"/>
                <w:vertAlign w:val="superscript"/>
              </w:rPr>
              <w:footnoteReference w:customMarkFollows="0" w:id="2"/>
            </w:r>
            <w:r w:rsidDel="00000000" w:rsidR="00000000" w:rsidRPr="00000000">
              <w:rPr>
                <w:rFonts w:ascii="Arial" w:cs="Arial" w:eastAsia="Arial" w:hAnsi="Arial"/>
                <w:b w:val="1"/>
                <w:color w:val="181818"/>
                <w:rtl w:val="0"/>
              </w:rPr>
              <w:t xml:space="preserve"> </w:t>
            </w:r>
          </w:p>
        </w:tc>
        <w:tc>
          <w:tcPr/>
          <w:p w:rsidR="00000000" w:rsidDel="00000000" w:rsidP="00000000" w:rsidRDefault="00000000" w:rsidRPr="00000000" w14:paraId="00000007">
            <w:pPr>
              <w:spacing w:after="250" w:line="276" w:lineRule="auto"/>
              <w:jc w:val="center"/>
              <w:rPr>
                <w:rFonts w:ascii="Arial" w:cs="Arial" w:eastAsia="Arial" w:hAnsi="Arial"/>
                <w:b w:val="1"/>
                <w:color w:val="181818"/>
              </w:rPr>
            </w:pPr>
            <w:r w:rsidDel="00000000" w:rsidR="00000000" w:rsidRPr="00000000">
              <w:rPr>
                <w:rFonts w:ascii="Arial" w:cs="Arial" w:eastAsia="Arial" w:hAnsi="Arial"/>
                <w:b w:val="1"/>
                <w:color w:val="181818"/>
                <w:rtl w:val="0"/>
              </w:rPr>
              <w:t xml:space="preserve">Additional comments</w:t>
            </w:r>
            <w:r w:rsidDel="00000000" w:rsidR="00000000" w:rsidRPr="00000000">
              <w:rPr>
                <w:rFonts w:ascii="Arial" w:cs="Arial" w:eastAsia="Arial" w:hAnsi="Arial"/>
                <w:b w:val="1"/>
                <w:vertAlign w:val="superscript"/>
              </w:rPr>
              <w:footnoteReference w:customMarkFollows="0" w:id="3"/>
            </w:r>
            <w:r w:rsidDel="00000000" w:rsidR="00000000" w:rsidRPr="00000000">
              <w:rPr>
                <w:rtl w:val="0"/>
              </w:rPr>
            </w:r>
          </w:p>
        </w:tc>
      </w:tr>
      <w:tr>
        <w:trPr>
          <w:cantSplit w:val="0"/>
          <w:tblHeader w:val="0"/>
        </w:trPr>
        <w:tc>
          <w:tcPr/>
          <w:p w:rsidR="00000000" w:rsidDel="00000000" w:rsidP="00000000" w:rsidRDefault="00000000" w:rsidRPr="00000000" w14:paraId="00000008">
            <w:pPr>
              <w:spacing w:after="250" w:line="276" w:lineRule="auto"/>
              <w:rPr>
                <w:rFonts w:ascii="Arial" w:cs="Arial" w:eastAsia="Arial" w:hAnsi="Arial"/>
                <w:color w:val="181818"/>
              </w:rPr>
            </w:pPr>
            <w:r w:rsidDel="00000000" w:rsidR="00000000" w:rsidRPr="00000000">
              <w:rPr>
                <w:rFonts w:ascii="Arial" w:cs="Arial" w:eastAsia="Arial" w:hAnsi="Arial"/>
                <w:rtl w:val="0"/>
              </w:rPr>
              <w:t xml:space="preserve">1. Loans</w:t>
            </w:r>
            <w:r w:rsidDel="00000000" w:rsidR="00000000" w:rsidRPr="00000000">
              <w:rPr>
                <w:rFonts w:ascii="Arial" w:cs="Arial" w:eastAsia="Arial" w:hAnsi="Arial"/>
                <w:sz w:val="16"/>
                <w:szCs w:val="16"/>
                <w:vertAlign w:val="superscript"/>
              </w:rPr>
              <w:footnoteReference w:customMarkFollows="0" w:id="4"/>
            </w:r>
            <w:r w:rsidDel="00000000" w:rsidR="00000000" w:rsidRPr="00000000">
              <w:rPr>
                <w:rtl w:val="0"/>
              </w:rPr>
            </w:r>
          </w:p>
        </w:tc>
        <w:tc>
          <w:tcPr/>
          <w:p w:rsidR="00000000" w:rsidDel="00000000" w:rsidP="00000000" w:rsidRDefault="00000000" w:rsidRPr="00000000" w14:paraId="00000009">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0A">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0B">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0C">
            <w:pPr>
              <w:spacing w:after="250" w:line="276" w:lineRule="auto"/>
              <w:jc w:val="both"/>
              <w:rPr>
                <w:rFonts w:ascii="Arial" w:cs="Arial" w:eastAsia="Arial" w:hAnsi="Arial"/>
                <w:color w:val="181818"/>
              </w:rPr>
            </w:pPr>
            <w:r w:rsidDel="00000000" w:rsidR="00000000" w:rsidRPr="00000000">
              <w:rPr>
                <w:rtl w:val="0"/>
              </w:rPr>
            </w:r>
          </w:p>
        </w:tc>
      </w:tr>
      <w:tr>
        <w:trPr>
          <w:cantSplit w:val="0"/>
          <w:tblHeader w:val="0"/>
        </w:trPr>
        <w:tc>
          <w:tcPr/>
          <w:p w:rsidR="00000000" w:rsidDel="00000000" w:rsidP="00000000" w:rsidRDefault="00000000" w:rsidRPr="00000000" w14:paraId="0000000D">
            <w:pPr>
              <w:spacing w:after="250" w:line="276" w:lineRule="auto"/>
              <w:rPr>
                <w:rFonts w:ascii="Arial" w:cs="Arial" w:eastAsia="Arial" w:hAnsi="Arial"/>
              </w:rPr>
            </w:pPr>
            <w:r w:rsidDel="00000000" w:rsidR="00000000" w:rsidRPr="00000000">
              <w:rPr>
                <w:rFonts w:ascii="Arial" w:cs="Arial" w:eastAsia="Arial" w:hAnsi="Arial"/>
                <w:rtl w:val="0"/>
              </w:rPr>
              <w:t xml:space="preserve">2. Catastrophe bonds (‘Cat bonds’)</w:t>
            </w:r>
          </w:p>
        </w:tc>
        <w:tc>
          <w:tcPr/>
          <w:p w:rsidR="00000000" w:rsidDel="00000000" w:rsidP="00000000" w:rsidRDefault="00000000" w:rsidRPr="00000000" w14:paraId="0000000E">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0F">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10">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11">
            <w:pPr>
              <w:spacing w:after="250" w:line="276" w:lineRule="auto"/>
              <w:jc w:val="both"/>
              <w:rPr>
                <w:rFonts w:ascii="Arial" w:cs="Arial" w:eastAsia="Arial" w:hAnsi="Arial"/>
                <w:color w:val="181818"/>
              </w:rPr>
            </w:pPr>
            <w:r w:rsidDel="00000000" w:rsidR="00000000" w:rsidRPr="00000000">
              <w:rPr>
                <w:rtl w:val="0"/>
              </w:rPr>
            </w:r>
          </w:p>
        </w:tc>
      </w:tr>
      <w:tr>
        <w:trPr>
          <w:cantSplit w:val="0"/>
          <w:tblHeader w:val="0"/>
        </w:trPr>
        <w:tc>
          <w:tcPr/>
          <w:p w:rsidR="00000000" w:rsidDel="00000000" w:rsidP="00000000" w:rsidRDefault="00000000" w:rsidRPr="00000000" w14:paraId="00000012">
            <w:pPr>
              <w:spacing w:after="250" w:line="276" w:lineRule="auto"/>
              <w:rPr>
                <w:rFonts w:ascii="Arial" w:cs="Arial" w:eastAsia="Arial" w:hAnsi="Arial"/>
                <w:color w:val="181818"/>
              </w:rPr>
            </w:pPr>
            <w:r w:rsidDel="00000000" w:rsidR="00000000" w:rsidRPr="00000000">
              <w:rPr>
                <w:rFonts w:ascii="Arial" w:cs="Arial" w:eastAsia="Arial" w:hAnsi="Arial"/>
                <w:rtl w:val="0"/>
              </w:rPr>
              <w:t xml:space="preserve">3. Contingent Convertible bonds (‘CoCo bonds’)</w:t>
            </w:r>
            <w:r w:rsidDel="00000000" w:rsidR="00000000" w:rsidRPr="00000000">
              <w:rPr>
                <w:rtl w:val="0"/>
              </w:rPr>
            </w:r>
          </w:p>
        </w:tc>
        <w:tc>
          <w:tcPr/>
          <w:p w:rsidR="00000000" w:rsidDel="00000000" w:rsidP="00000000" w:rsidRDefault="00000000" w:rsidRPr="00000000" w14:paraId="00000013">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14">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15">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16">
            <w:pPr>
              <w:spacing w:after="250" w:line="276" w:lineRule="auto"/>
              <w:jc w:val="both"/>
              <w:rPr>
                <w:rFonts w:ascii="Arial" w:cs="Arial" w:eastAsia="Arial" w:hAnsi="Arial"/>
                <w:color w:val="181818"/>
              </w:rPr>
            </w:pPr>
            <w:r w:rsidDel="00000000" w:rsidR="00000000" w:rsidRPr="00000000">
              <w:rPr>
                <w:rtl w:val="0"/>
              </w:rPr>
            </w:r>
          </w:p>
        </w:tc>
      </w:tr>
      <w:tr>
        <w:trPr>
          <w:cantSplit w:val="0"/>
          <w:tblHeader w:val="0"/>
        </w:trPr>
        <w:tc>
          <w:tcPr/>
          <w:p w:rsidR="00000000" w:rsidDel="00000000" w:rsidP="00000000" w:rsidRDefault="00000000" w:rsidRPr="00000000" w14:paraId="00000017">
            <w:pPr>
              <w:spacing w:after="250" w:line="276" w:lineRule="auto"/>
              <w:rPr>
                <w:rFonts w:ascii="Arial" w:cs="Arial" w:eastAsia="Arial" w:hAnsi="Arial"/>
                <w:color w:val="181818"/>
              </w:rPr>
            </w:pPr>
            <w:r w:rsidDel="00000000" w:rsidR="00000000" w:rsidRPr="00000000">
              <w:rPr>
                <w:rFonts w:ascii="Arial" w:cs="Arial" w:eastAsia="Arial" w:hAnsi="Arial"/>
                <w:rtl w:val="0"/>
              </w:rPr>
              <w:t xml:space="preserve">4. Unrated bonds</w:t>
            </w:r>
            <w:r w:rsidDel="00000000" w:rsidR="00000000" w:rsidRPr="00000000">
              <w:rPr>
                <w:rtl w:val="0"/>
              </w:rPr>
            </w:r>
          </w:p>
        </w:tc>
        <w:tc>
          <w:tcPr/>
          <w:p w:rsidR="00000000" w:rsidDel="00000000" w:rsidP="00000000" w:rsidRDefault="00000000" w:rsidRPr="00000000" w14:paraId="00000018">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19">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1A">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1B">
            <w:pPr>
              <w:spacing w:after="250" w:line="276" w:lineRule="auto"/>
              <w:jc w:val="both"/>
              <w:rPr>
                <w:rFonts w:ascii="Arial" w:cs="Arial" w:eastAsia="Arial" w:hAnsi="Arial"/>
                <w:color w:val="181818"/>
              </w:rPr>
            </w:pPr>
            <w:r w:rsidDel="00000000" w:rsidR="00000000" w:rsidRPr="00000000">
              <w:rPr>
                <w:rtl w:val="0"/>
              </w:rPr>
            </w:r>
          </w:p>
        </w:tc>
      </w:tr>
      <w:tr>
        <w:trPr>
          <w:cantSplit w:val="0"/>
          <w:tblHeader w:val="0"/>
        </w:trPr>
        <w:tc>
          <w:tcPr/>
          <w:p w:rsidR="00000000" w:rsidDel="00000000" w:rsidP="00000000" w:rsidRDefault="00000000" w:rsidRPr="00000000" w14:paraId="0000001C">
            <w:pPr>
              <w:spacing w:after="250" w:line="276" w:lineRule="auto"/>
              <w:rPr>
                <w:rFonts w:ascii="Arial" w:cs="Arial" w:eastAsia="Arial" w:hAnsi="Arial"/>
                <w:color w:val="181818"/>
              </w:rPr>
            </w:pPr>
            <w:r w:rsidDel="00000000" w:rsidR="00000000" w:rsidRPr="00000000">
              <w:rPr>
                <w:rFonts w:ascii="Arial" w:cs="Arial" w:eastAsia="Arial" w:hAnsi="Arial"/>
                <w:rtl w:val="0"/>
              </w:rPr>
              <w:t xml:space="preserve">5. Distressed securities</w:t>
            </w:r>
            <w:r w:rsidDel="00000000" w:rsidR="00000000" w:rsidRPr="00000000">
              <w:rPr>
                <w:rtl w:val="0"/>
              </w:rPr>
            </w:r>
          </w:p>
        </w:tc>
        <w:tc>
          <w:tcPr/>
          <w:p w:rsidR="00000000" w:rsidDel="00000000" w:rsidP="00000000" w:rsidRDefault="00000000" w:rsidRPr="00000000" w14:paraId="0000001D">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1E">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1F">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20">
            <w:pPr>
              <w:spacing w:after="250" w:line="276" w:lineRule="auto"/>
              <w:jc w:val="both"/>
              <w:rPr>
                <w:rFonts w:ascii="Arial" w:cs="Arial" w:eastAsia="Arial" w:hAnsi="Arial"/>
                <w:color w:val="181818"/>
              </w:rPr>
            </w:pPr>
            <w:r w:rsidDel="00000000" w:rsidR="00000000" w:rsidRPr="00000000">
              <w:rPr>
                <w:rtl w:val="0"/>
              </w:rPr>
            </w:r>
          </w:p>
        </w:tc>
      </w:tr>
      <w:tr>
        <w:trPr>
          <w:cantSplit w:val="0"/>
          <w:tblHeader w:val="0"/>
        </w:trPr>
        <w:tc>
          <w:tcPr/>
          <w:p w:rsidR="00000000" w:rsidDel="00000000" w:rsidP="00000000" w:rsidRDefault="00000000" w:rsidRPr="00000000" w14:paraId="00000021">
            <w:pPr>
              <w:spacing w:after="250" w:line="276" w:lineRule="auto"/>
              <w:rPr>
                <w:rFonts w:ascii="Arial" w:cs="Arial" w:eastAsia="Arial" w:hAnsi="Arial"/>
              </w:rPr>
            </w:pPr>
            <w:r w:rsidDel="00000000" w:rsidR="00000000" w:rsidRPr="00000000">
              <w:rPr>
                <w:rFonts w:ascii="Arial" w:cs="Arial" w:eastAsia="Arial" w:hAnsi="Arial"/>
                <w:rtl w:val="0"/>
              </w:rPr>
              <w:t xml:space="preserve">6. Unlisted equities</w:t>
            </w:r>
            <w:r w:rsidDel="00000000" w:rsidR="00000000" w:rsidRPr="00000000">
              <w:rPr>
                <w:rFonts w:ascii="Arial" w:cs="Arial" w:eastAsia="Arial" w:hAnsi="Arial"/>
                <w:sz w:val="16"/>
                <w:szCs w:val="16"/>
                <w:vertAlign w:val="superscript"/>
              </w:rPr>
              <w:footnoteReference w:customMarkFollows="0" w:id="5"/>
            </w:r>
            <w:r w:rsidDel="00000000" w:rsidR="00000000" w:rsidRPr="00000000">
              <w:rPr>
                <w:rtl w:val="0"/>
              </w:rPr>
            </w:r>
          </w:p>
        </w:tc>
        <w:tc>
          <w:tcPr/>
          <w:p w:rsidR="00000000" w:rsidDel="00000000" w:rsidP="00000000" w:rsidRDefault="00000000" w:rsidRPr="00000000" w14:paraId="00000022">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23">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24">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25">
            <w:pPr>
              <w:spacing w:after="250" w:line="276" w:lineRule="auto"/>
              <w:jc w:val="both"/>
              <w:rPr>
                <w:rFonts w:ascii="Arial" w:cs="Arial" w:eastAsia="Arial" w:hAnsi="Arial"/>
                <w:color w:val="181818"/>
              </w:rPr>
            </w:pPr>
            <w:r w:rsidDel="00000000" w:rsidR="00000000" w:rsidRPr="00000000">
              <w:rPr>
                <w:rtl w:val="0"/>
              </w:rPr>
            </w:r>
          </w:p>
        </w:tc>
      </w:tr>
      <w:tr>
        <w:trPr>
          <w:cantSplit w:val="0"/>
          <w:trHeight w:val="200" w:hRule="atLeast"/>
          <w:tblHeader w:val="0"/>
        </w:trPr>
        <w:tc>
          <w:tcPr/>
          <w:p w:rsidR="00000000" w:rsidDel="00000000" w:rsidP="00000000" w:rsidRDefault="00000000" w:rsidRPr="00000000" w14:paraId="00000026">
            <w:pPr>
              <w:spacing w:after="250" w:line="276" w:lineRule="auto"/>
              <w:rPr>
                <w:rFonts w:ascii="Arial" w:cs="Arial" w:eastAsia="Arial" w:hAnsi="Arial"/>
              </w:rPr>
            </w:pPr>
            <w:r w:rsidDel="00000000" w:rsidR="00000000" w:rsidRPr="00000000">
              <w:rPr>
                <w:rFonts w:ascii="Arial" w:cs="Arial" w:eastAsia="Arial" w:hAnsi="Arial"/>
                <w:rtl w:val="0"/>
              </w:rPr>
              <w:t xml:space="preserve">7. Crypto assets</w:t>
            </w:r>
            <w:r w:rsidDel="00000000" w:rsidR="00000000" w:rsidRPr="00000000">
              <w:rPr>
                <w:rFonts w:ascii="Arial" w:cs="Arial" w:eastAsia="Arial" w:hAnsi="Arial"/>
                <w:vertAlign w:val="superscript"/>
              </w:rPr>
              <w:footnoteReference w:customMarkFollows="0" w:id="6"/>
            </w:r>
            <w:r w:rsidDel="00000000" w:rsidR="00000000" w:rsidRPr="00000000">
              <w:rPr>
                <w:rtl w:val="0"/>
              </w:rPr>
            </w:r>
          </w:p>
        </w:tc>
        <w:tc>
          <w:tcPr>
            <w:gridSpan w:val="4"/>
          </w:tcPr>
          <w:p w:rsidR="00000000" w:rsidDel="00000000" w:rsidP="00000000" w:rsidRDefault="00000000" w:rsidRPr="00000000" w14:paraId="00000027">
            <w:pPr>
              <w:spacing w:after="250" w:line="276" w:lineRule="auto"/>
              <w:jc w:val="both"/>
              <w:rPr>
                <w:rFonts w:ascii="Arial" w:cs="Arial" w:eastAsia="Arial" w:hAnsi="Arial"/>
                <w:color w:val="181818"/>
              </w:rPr>
            </w:pPr>
            <w:r w:rsidDel="00000000" w:rsidR="00000000" w:rsidRPr="00000000">
              <w:rPr>
                <w:rFonts w:ascii="Arial" w:cs="Arial" w:eastAsia="Arial" w:hAnsi="Arial"/>
                <w:color w:val="181818"/>
                <w:rtl w:val="0"/>
              </w:rPr>
              <w:t xml:space="preserve">Please see our response in the response form, pasted below for ease of reference.</w:t>
            </w:r>
          </w:p>
        </w:tc>
      </w:tr>
      <w:tr>
        <w:trPr>
          <w:cantSplit w:val="0"/>
          <w:tblHeader w:val="0"/>
        </w:trPr>
        <w:tc>
          <w:tcPr/>
          <w:p w:rsidR="00000000" w:rsidDel="00000000" w:rsidP="00000000" w:rsidRDefault="00000000" w:rsidRPr="00000000" w14:paraId="0000002B">
            <w:pPr>
              <w:spacing w:after="250" w:line="276" w:lineRule="auto"/>
              <w:rPr>
                <w:rFonts w:ascii="Arial" w:cs="Arial" w:eastAsia="Arial" w:hAnsi="Arial"/>
              </w:rPr>
            </w:pPr>
            <w:r w:rsidDel="00000000" w:rsidR="00000000" w:rsidRPr="00000000">
              <w:rPr>
                <w:rFonts w:ascii="Arial" w:cs="Arial" w:eastAsia="Arial" w:hAnsi="Arial"/>
                <w:rtl w:val="0"/>
              </w:rPr>
              <w:t xml:space="preserve">8. Commodities and precious metals</w:t>
            </w:r>
            <w:r w:rsidDel="00000000" w:rsidR="00000000" w:rsidRPr="00000000">
              <w:rPr>
                <w:rFonts w:ascii="Arial" w:cs="Arial" w:eastAsia="Arial" w:hAnsi="Arial"/>
                <w:sz w:val="16"/>
                <w:szCs w:val="16"/>
                <w:vertAlign w:val="superscript"/>
              </w:rPr>
              <w:footnoteReference w:customMarkFollows="0" w:id="7"/>
            </w:r>
            <w:r w:rsidDel="00000000" w:rsidR="00000000" w:rsidRPr="00000000">
              <w:rPr>
                <w:rtl w:val="0"/>
              </w:rPr>
            </w:r>
          </w:p>
        </w:tc>
        <w:tc>
          <w:tcPr/>
          <w:p w:rsidR="00000000" w:rsidDel="00000000" w:rsidP="00000000" w:rsidRDefault="00000000" w:rsidRPr="00000000" w14:paraId="0000002C">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2D">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2E">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2F">
            <w:pPr>
              <w:spacing w:after="250" w:line="276" w:lineRule="auto"/>
              <w:jc w:val="both"/>
              <w:rPr>
                <w:rFonts w:ascii="Arial" w:cs="Arial" w:eastAsia="Arial" w:hAnsi="Arial"/>
                <w:color w:val="181818"/>
              </w:rPr>
            </w:pPr>
            <w:r w:rsidDel="00000000" w:rsidR="00000000" w:rsidRPr="00000000">
              <w:rPr>
                <w:rtl w:val="0"/>
              </w:rPr>
            </w:r>
          </w:p>
        </w:tc>
      </w:tr>
      <w:tr>
        <w:trPr>
          <w:cantSplit w:val="0"/>
          <w:tblHeader w:val="0"/>
        </w:trPr>
        <w:tc>
          <w:tcPr/>
          <w:p w:rsidR="00000000" w:rsidDel="00000000" w:rsidP="00000000" w:rsidRDefault="00000000" w:rsidRPr="00000000" w14:paraId="00000030">
            <w:pPr>
              <w:spacing w:after="250" w:line="276" w:lineRule="auto"/>
              <w:rPr>
                <w:rFonts w:ascii="Arial" w:cs="Arial" w:eastAsia="Arial" w:hAnsi="Arial"/>
              </w:rPr>
            </w:pPr>
            <w:r w:rsidDel="00000000" w:rsidR="00000000" w:rsidRPr="00000000">
              <w:rPr>
                <w:rFonts w:ascii="Arial" w:cs="Arial" w:eastAsia="Arial" w:hAnsi="Arial"/>
                <w:rtl w:val="0"/>
              </w:rPr>
              <w:t xml:space="preserve">9. Exchange-traded commodities (‘ETCs’)</w:t>
            </w:r>
          </w:p>
        </w:tc>
        <w:tc>
          <w:tcPr/>
          <w:p w:rsidR="00000000" w:rsidDel="00000000" w:rsidP="00000000" w:rsidRDefault="00000000" w:rsidRPr="00000000" w14:paraId="00000031">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32">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33">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34">
            <w:pPr>
              <w:spacing w:after="250" w:line="276" w:lineRule="auto"/>
              <w:jc w:val="both"/>
              <w:rPr>
                <w:rFonts w:ascii="Arial" w:cs="Arial" w:eastAsia="Arial" w:hAnsi="Arial"/>
                <w:color w:val="181818"/>
              </w:rPr>
            </w:pPr>
            <w:r w:rsidDel="00000000" w:rsidR="00000000" w:rsidRPr="00000000">
              <w:rPr>
                <w:rtl w:val="0"/>
              </w:rPr>
            </w:r>
          </w:p>
        </w:tc>
      </w:tr>
      <w:tr>
        <w:trPr>
          <w:cantSplit w:val="0"/>
          <w:tblHeader w:val="0"/>
        </w:trPr>
        <w:tc>
          <w:tcPr/>
          <w:p w:rsidR="00000000" w:rsidDel="00000000" w:rsidP="00000000" w:rsidRDefault="00000000" w:rsidRPr="00000000" w14:paraId="00000035">
            <w:pPr>
              <w:spacing w:after="250" w:line="276" w:lineRule="auto"/>
              <w:rPr>
                <w:rFonts w:ascii="Arial" w:cs="Arial" w:eastAsia="Arial" w:hAnsi="Arial"/>
              </w:rPr>
            </w:pPr>
            <w:r w:rsidDel="00000000" w:rsidR="00000000" w:rsidRPr="00000000">
              <w:rPr>
                <w:rFonts w:ascii="Arial" w:cs="Arial" w:eastAsia="Arial" w:hAnsi="Arial"/>
                <w:rtl w:val="0"/>
              </w:rPr>
              <w:t xml:space="preserve">10. Real estate</w:t>
            </w:r>
          </w:p>
        </w:tc>
        <w:tc>
          <w:tcPr/>
          <w:p w:rsidR="00000000" w:rsidDel="00000000" w:rsidP="00000000" w:rsidRDefault="00000000" w:rsidRPr="00000000" w14:paraId="00000036">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37">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38">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39">
            <w:pPr>
              <w:spacing w:after="250" w:line="276" w:lineRule="auto"/>
              <w:jc w:val="both"/>
              <w:rPr>
                <w:rFonts w:ascii="Arial" w:cs="Arial" w:eastAsia="Arial" w:hAnsi="Arial"/>
                <w:color w:val="181818"/>
              </w:rPr>
            </w:pPr>
            <w:r w:rsidDel="00000000" w:rsidR="00000000" w:rsidRPr="00000000">
              <w:rPr>
                <w:rtl w:val="0"/>
              </w:rPr>
            </w:r>
          </w:p>
        </w:tc>
      </w:tr>
      <w:tr>
        <w:trPr>
          <w:cantSplit w:val="0"/>
          <w:tblHeader w:val="0"/>
        </w:trPr>
        <w:tc>
          <w:tcPr/>
          <w:p w:rsidR="00000000" w:rsidDel="00000000" w:rsidP="00000000" w:rsidRDefault="00000000" w:rsidRPr="00000000" w14:paraId="0000003A">
            <w:pPr>
              <w:spacing w:after="250" w:line="276" w:lineRule="auto"/>
              <w:rPr>
                <w:rFonts w:ascii="Arial" w:cs="Arial" w:eastAsia="Arial" w:hAnsi="Arial"/>
              </w:rPr>
            </w:pPr>
            <w:r w:rsidDel="00000000" w:rsidR="00000000" w:rsidRPr="00000000">
              <w:rPr>
                <w:rFonts w:ascii="Arial" w:cs="Arial" w:eastAsia="Arial" w:hAnsi="Arial"/>
                <w:rtl w:val="0"/>
              </w:rPr>
              <w:t xml:space="preserve">11. Real Estate Investment Trusts (‘REITs’)</w:t>
            </w:r>
          </w:p>
        </w:tc>
        <w:tc>
          <w:tcPr/>
          <w:p w:rsidR="00000000" w:rsidDel="00000000" w:rsidP="00000000" w:rsidRDefault="00000000" w:rsidRPr="00000000" w14:paraId="0000003B">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3C">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3D">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3E">
            <w:pPr>
              <w:spacing w:after="250" w:line="276" w:lineRule="auto"/>
              <w:jc w:val="both"/>
              <w:rPr>
                <w:rFonts w:ascii="Arial" w:cs="Arial" w:eastAsia="Arial" w:hAnsi="Arial"/>
                <w:color w:val="181818"/>
              </w:rPr>
            </w:pPr>
            <w:r w:rsidDel="00000000" w:rsidR="00000000" w:rsidRPr="00000000">
              <w:rPr>
                <w:rtl w:val="0"/>
              </w:rPr>
            </w:r>
          </w:p>
        </w:tc>
      </w:tr>
      <w:tr>
        <w:trPr>
          <w:cantSplit w:val="0"/>
          <w:tblHeader w:val="0"/>
        </w:trPr>
        <w:tc>
          <w:tcPr/>
          <w:p w:rsidR="00000000" w:rsidDel="00000000" w:rsidP="00000000" w:rsidRDefault="00000000" w:rsidRPr="00000000" w14:paraId="0000003F">
            <w:pPr>
              <w:spacing w:after="250" w:line="276" w:lineRule="auto"/>
              <w:rPr>
                <w:rFonts w:ascii="Arial" w:cs="Arial" w:eastAsia="Arial" w:hAnsi="Arial"/>
              </w:rPr>
            </w:pPr>
            <w:r w:rsidDel="00000000" w:rsidR="00000000" w:rsidRPr="00000000">
              <w:rPr>
                <w:rFonts w:ascii="Arial" w:cs="Arial" w:eastAsia="Arial" w:hAnsi="Arial"/>
                <w:rtl w:val="0"/>
              </w:rPr>
              <w:t xml:space="preserve">12. Special Purpose Acquisition Companies (‘SPACs’)</w:t>
            </w:r>
          </w:p>
        </w:tc>
        <w:tc>
          <w:tcPr/>
          <w:p w:rsidR="00000000" w:rsidDel="00000000" w:rsidP="00000000" w:rsidRDefault="00000000" w:rsidRPr="00000000" w14:paraId="00000040">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41">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42">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43">
            <w:pPr>
              <w:spacing w:after="250" w:line="276" w:lineRule="auto"/>
              <w:jc w:val="both"/>
              <w:rPr>
                <w:rFonts w:ascii="Arial" w:cs="Arial" w:eastAsia="Arial" w:hAnsi="Arial"/>
                <w:color w:val="181818"/>
              </w:rPr>
            </w:pPr>
            <w:r w:rsidDel="00000000" w:rsidR="00000000" w:rsidRPr="00000000">
              <w:rPr>
                <w:rtl w:val="0"/>
              </w:rPr>
            </w:r>
          </w:p>
        </w:tc>
      </w:tr>
      <w:tr>
        <w:trPr>
          <w:cantSplit w:val="0"/>
          <w:tblHeader w:val="0"/>
        </w:trPr>
        <w:tc>
          <w:tcPr/>
          <w:p w:rsidR="00000000" w:rsidDel="00000000" w:rsidP="00000000" w:rsidRDefault="00000000" w:rsidRPr="00000000" w14:paraId="00000044">
            <w:pPr>
              <w:spacing w:after="250" w:line="276" w:lineRule="auto"/>
              <w:rPr>
                <w:rFonts w:ascii="Arial" w:cs="Arial" w:eastAsia="Arial" w:hAnsi="Arial"/>
              </w:rPr>
            </w:pPr>
            <w:r w:rsidDel="00000000" w:rsidR="00000000" w:rsidRPr="00000000">
              <w:rPr>
                <w:rFonts w:ascii="Arial" w:cs="Arial" w:eastAsia="Arial" w:hAnsi="Arial"/>
                <w:rtl w:val="0"/>
              </w:rPr>
              <w:t xml:space="preserve">13. EU AIFs</w:t>
            </w:r>
            <w:r w:rsidDel="00000000" w:rsidR="00000000" w:rsidRPr="00000000">
              <w:rPr>
                <w:rFonts w:ascii="Arial" w:cs="Arial" w:eastAsia="Arial" w:hAnsi="Arial"/>
                <w:sz w:val="16"/>
                <w:szCs w:val="16"/>
                <w:vertAlign w:val="superscript"/>
              </w:rPr>
              <w:footnoteReference w:customMarkFollows="0" w:id="8"/>
            </w:r>
            <w:r w:rsidDel="00000000" w:rsidR="00000000" w:rsidRPr="00000000">
              <w:rPr>
                <w:rtl w:val="0"/>
              </w:rPr>
            </w:r>
          </w:p>
        </w:tc>
        <w:tc>
          <w:tcPr/>
          <w:p w:rsidR="00000000" w:rsidDel="00000000" w:rsidP="00000000" w:rsidRDefault="00000000" w:rsidRPr="00000000" w14:paraId="00000045">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46">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47">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48">
            <w:pPr>
              <w:spacing w:after="250" w:line="276" w:lineRule="auto"/>
              <w:jc w:val="both"/>
              <w:rPr>
                <w:rFonts w:ascii="Arial" w:cs="Arial" w:eastAsia="Arial" w:hAnsi="Arial"/>
                <w:color w:val="181818"/>
              </w:rPr>
            </w:pPr>
            <w:r w:rsidDel="00000000" w:rsidR="00000000" w:rsidRPr="00000000">
              <w:rPr>
                <w:rtl w:val="0"/>
              </w:rPr>
            </w:r>
          </w:p>
        </w:tc>
      </w:tr>
      <w:tr>
        <w:trPr>
          <w:cantSplit w:val="0"/>
          <w:tblHeader w:val="0"/>
        </w:trPr>
        <w:tc>
          <w:tcPr/>
          <w:p w:rsidR="00000000" w:rsidDel="00000000" w:rsidP="00000000" w:rsidRDefault="00000000" w:rsidRPr="00000000" w14:paraId="00000049">
            <w:pPr>
              <w:spacing w:after="250" w:line="276" w:lineRule="auto"/>
              <w:rPr>
                <w:rFonts w:ascii="Arial" w:cs="Arial" w:eastAsia="Arial" w:hAnsi="Arial"/>
              </w:rPr>
            </w:pPr>
            <w:r w:rsidDel="00000000" w:rsidR="00000000" w:rsidRPr="00000000">
              <w:rPr>
                <w:rFonts w:ascii="Arial" w:cs="Arial" w:eastAsia="Arial" w:hAnsi="Arial"/>
                <w:rtl w:val="0"/>
              </w:rPr>
              <w:t xml:space="preserve">14. Non-EU AIFs</w:t>
            </w:r>
          </w:p>
        </w:tc>
        <w:tc>
          <w:tcPr/>
          <w:p w:rsidR="00000000" w:rsidDel="00000000" w:rsidP="00000000" w:rsidRDefault="00000000" w:rsidRPr="00000000" w14:paraId="0000004A">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4B">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4C">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4D">
            <w:pPr>
              <w:spacing w:after="250" w:line="276" w:lineRule="auto"/>
              <w:jc w:val="both"/>
              <w:rPr>
                <w:rFonts w:ascii="Arial" w:cs="Arial" w:eastAsia="Arial" w:hAnsi="Arial"/>
                <w:color w:val="181818"/>
              </w:rPr>
            </w:pPr>
            <w:r w:rsidDel="00000000" w:rsidR="00000000" w:rsidRPr="00000000">
              <w:rPr>
                <w:rtl w:val="0"/>
              </w:rPr>
            </w:r>
          </w:p>
        </w:tc>
      </w:tr>
      <w:tr>
        <w:trPr>
          <w:cantSplit w:val="0"/>
          <w:tblHeader w:val="0"/>
        </w:trPr>
        <w:tc>
          <w:tcPr/>
          <w:p w:rsidR="00000000" w:rsidDel="00000000" w:rsidP="00000000" w:rsidRDefault="00000000" w:rsidRPr="00000000" w14:paraId="0000004E">
            <w:pPr>
              <w:spacing w:after="250" w:line="276" w:lineRule="auto"/>
              <w:rPr>
                <w:rFonts w:ascii="Arial" w:cs="Arial" w:eastAsia="Arial" w:hAnsi="Arial"/>
              </w:rPr>
            </w:pPr>
            <w:r w:rsidDel="00000000" w:rsidR="00000000" w:rsidRPr="00000000">
              <w:rPr>
                <w:rFonts w:ascii="Arial" w:cs="Arial" w:eastAsia="Arial" w:hAnsi="Arial"/>
                <w:rtl w:val="0"/>
              </w:rPr>
              <w:t xml:space="preserve">15. Emission allowances</w:t>
            </w:r>
          </w:p>
        </w:tc>
        <w:tc>
          <w:tcPr/>
          <w:p w:rsidR="00000000" w:rsidDel="00000000" w:rsidP="00000000" w:rsidRDefault="00000000" w:rsidRPr="00000000" w14:paraId="0000004F">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50">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51">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52">
            <w:pPr>
              <w:spacing w:after="250" w:line="276" w:lineRule="auto"/>
              <w:jc w:val="both"/>
              <w:rPr>
                <w:rFonts w:ascii="Arial" w:cs="Arial" w:eastAsia="Arial" w:hAnsi="Arial"/>
                <w:color w:val="181818"/>
              </w:rPr>
            </w:pPr>
            <w:r w:rsidDel="00000000" w:rsidR="00000000" w:rsidRPr="00000000">
              <w:rPr>
                <w:rtl w:val="0"/>
              </w:rPr>
            </w:r>
          </w:p>
        </w:tc>
      </w:tr>
      <w:tr>
        <w:trPr>
          <w:cantSplit w:val="0"/>
          <w:tblHeader w:val="0"/>
        </w:trPr>
        <w:tc>
          <w:tcPr/>
          <w:p w:rsidR="00000000" w:rsidDel="00000000" w:rsidP="00000000" w:rsidRDefault="00000000" w:rsidRPr="00000000" w14:paraId="00000053">
            <w:pPr>
              <w:spacing w:after="250" w:line="276" w:lineRule="auto"/>
              <w:rPr>
                <w:rFonts w:ascii="Arial" w:cs="Arial" w:eastAsia="Arial" w:hAnsi="Arial"/>
              </w:rPr>
            </w:pPr>
            <w:r w:rsidDel="00000000" w:rsidR="00000000" w:rsidRPr="00000000">
              <w:rPr>
                <w:rFonts w:ascii="Arial" w:cs="Arial" w:eastAsia="Arial" w:hAnsi="Arial"/>
                <w:rtl w:val="0"/>
              </w:rPr>
              <w:t xml:space="preserve">16. Delta-one instruments</w:t>
            </w:r>
          </w:p>
        </w:tc>
        <w:tc>
          <w:tcPr/>
          <w:p w:rsidR="00000000" w:rsidDel="00000000" w:rsidP="00000000" w:rsidRDefault="00000000" w:rsidRPr="00000000" w14:paraId="00000054">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55">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56">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57">
            <w:pPr>
              <w:spacing w:after="250" w:line="276" w:lineRule="auto"/>
              <w:jc w:val="both"/>
              <w:rPr>
                <w:rFonts w:ascii="Arial" w:cs="Arial" w:eastAsia="Arial" w:hAnsi="Arial"/>
                <w:color w:val="181818"/>
              </w:rPr>
            </w:pPr>
            <w:r w:rsidDel="00000000" w:rsidR="00000000" w:rsidRPr="00000000">
              <w:rPr>
                <w:rtl w:val="0"/>
              </w:rPr>
            </w:r>
          </w:p>
        </w:tc>
      </w:tr>
      <w:tr>
        <w:trPr>
          <w:cantSplit w:val="0"/>
          <w:tblHeader w:val="0"/>
        </w:trPr>
        <w:tc>
          <w:tcPr/>
          <w:p w:rsidR="00000000" w:rsidDel="00000000" w:rsidP="00000000" w:rsidRDefault="00000000" w:rsidRPr="00000000" w14:paraId="00000058">
            <w:pPr>
              <w:spacing w:after="250" w:line="276" w:lineRule="auto"/>
              <w:rPr>
                <w:rFonts w:ascii="Arial" w:cs="Arial" w:eastAsia="Arial" w:hAnsi="Arial"/>
              </w:rPr>
            </w:pPr>
            <w:r w:rsidDel="00000000" w:rsidR="00000000" w:rsidRPr="00000000">
              <w:rPr>
                <w:rFonts w:ascii="Arial" w:cs="Arial" w:eastAsia="Arial" w:hAnsi="Arial"/>
                <w:rtl w:val="0"/>
              </w:rPr>
              <w:t xml:space="preserve">17. Exchange-traded notes (‘ETNs’)</w:t>
            </w:r>
          </w:p>
        </w:tc>
        <w:tc>
          <w:tcPr/>
          <w:p w:rsidR="00000000" w:rsidDel="00000000" w:rsidP="00000000" w:rsidRDefault="00000000" w:rsidRPr="00000000" w14:paraId="00000059">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5A">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5B">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5C">
            <w:pPr>
              <w:spacing w:after="250" w:line="276" w:lineRule="auto"/>
              <w:jc w:val="both"/>
              <w:rPr>
                <w:rFonts w:ascii="Arial" w:cs="Arial" w:eastAsia="Arial" w:hAnsi="Arial"/>
                <w:color w:val="181818"/>
              </w:rPr>
            </w:pPr>
            <w:r w:rsidDel="00000000" w:rsidR="00000000" w:rsidRPr="00000000">
              <w:rPr>
                <w:rtl w:val="0"/>
              </w:rPr>
            </w:r>
          </w:p>
        </w:tc>
      </w:tr>
      <w:tr>
        <w:trPr>
          <w:cantSplit w:val="0"/>
          <w:tblHeader w:val="0"/>
        </w:trPr>
        <w:tc>
          <w:tcPr/>
          <w:p w:rsidR="00000000" w:rsidDel="00000000" w:rsidP="00000000" w:rsidRDefault="00000000" w:rsidRPr="00000000" w14:paraId="0000005D">
            <w:pPr>
              <w:spacing w:after="250" w:line="276" w:lineRule="auto"/>
              <w:rPr>
                <w:rFonts w:ascii="Arial" w:cs="Arial" w:eastAsia="Arial" w:hAnsi="Arial"/>
              </w:rPr>
            </w:pPr>
            <w:r w:rsidDel="00000000" w:rsidR="00000000" w:rsidRPr="00000000">
              <w:rPr>
                <w:rFonts w:ascii="Arial" w:cs="Arial" w:eastAsia="Arial" w:hAnsi="Arial"/>
                <w:rtl w:val="0"/>
              </w:rPr>
              <w:t xml:space="preserve">18. Asset-backed securities (‘ABS’) including mortgage-backed securities (‘MBS’)</w:t>
            </w:r>
          </w:p>
        </w:tc>
        <w:tc>
          <w:tcPr/>
          <w:p w:rsidR="00000000" w:rsidDel="00000000" w:rsidP="00000000" w:rsidRDefault="00000000" w:rsidRPr="00000000" w14:paraId="0000005E">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5F">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60">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61">
            <w:pPr>
              <w:spacing w:after="250" w:line="276" w:lineRule="auto"/>
              <w:jc w:val="both"/>
              <w:rPr>
                <w:rFonts w:ascii="Arial" w:cs="Arial" w:eastAsia="Arial" w:hAnsi="Arial"/>
                <w:color w:val="181818"/>
              </w:rPr>
            </w:pPr>
            <w:r w:rsidDel="00000000" w:rsidR="00000000" w:rsidRPr="00000000">
              <w:rPr>
                <w:rtl w:val="0"/>
              </w:rPr>
            </w:r>
          </w:p>
        </w:tc>
      </w:tr>
      <w:tr>
        <w:trPr>
          <w:cantSplit w:val="0"/>
          <w:tblHeader w:val="0"/>
        </w:trPr>
        <w:tc>
          <w:tcPr/>
          <w:p w:rsidR="00000000" w:rsidDel="00000000" w:rsidP="00000000" w:rsidRDefault="00000000" w:rsidRPr="00000000" w14:paraId="00000062">
            <w:pPr>
              <w:spacing w:after="250" w:line="276" w:lineRule="auto"/>
              <w:rPr>
                <w:rFonts w:ascii="Arial" w:cs="Arial" w:eastAsia="Arial" w:hAnsi="Arial"/>
              </w:rPr>
            </w:pPr>
            <w:r w:rsidDel="00000000" w:rsidR="00000000" w:rsidRPr="00000000">
              <w:rPr>
                <w:rFonts w:ascii="Arial" w:cs="Arial" w:eastAsia="Arial" w:hAnsi="Arial"/>
                <w:rtl w:val="0"/>
              </w:rPr>
              <w:t xml:space="preserve">19. Other relevant asset classes (please specify)</w:t>
            </w:r>
          </w:p>
        </w:tc>
        <w:tc>
          <w:tcPr/>
          <w:p w:rsidR="00000000" w:rsidDel="00000000" w:rsidP="00000000" w:rsidRDefault="00000000" w:rsidRPr="00000000" w14:paraId="00000063">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64">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65">
            <w:pPr>
              <w:spacing w:after="250" w:line="276" w:lineRule="auto"/>
              <w:jc w:val="both"/>
              <w:rPr>
                <w:rFonts w:ascii="Arial" w:cs="Arial" w:eastAsia="Arial" w:hAnsi="Arial"/>
                <w:color w:val="181818"/>
              </w:rPr>
            </w:pPr>
            <w:r w:rsidDel="00000000" w:rsidR="00000000" w:rsidRPr="00000000">
              <w:rPr>
                <w:rtl w:val="0"/>
              </w:rPr>
            </w:r>
          </w:p>
        </w:tc>
        <w:tc>
          <w:tcPr/>
          <w:p w:rsidR="00000000" w:rsidDel="00000000" w:rsidP="00000000" w:rsidRDefault="00000000" w:rsidRPr="00000000" w14:paraId="00000066">
            <w:pPr>
              <w:spacing w:after="250" w:line="276" w:lineRule="auto"/>
              <w:jc w:val="both"/>
              <w:rPr>
                <w:rFonts w:ascii="Arial" w:cs="Arial" w:eastAsia="Arial" w:hAnsi="Arial"/>
                <w:color w:val="181818"/>
              </w:rPr>
            </w:pPr>
            <w:r w:rsidDel="00000000" w:rsidR="00000000" w:rsidRPr="00000000">
              <w:rPr>
                <w:rtl w:val="0"/>
              </w:rPr>
            </w:r>
          </w:p>
        </w:tc>
      </w:tr>
    </w:tbl>
    <w:p w:rsidR="00000000" w:rsidDel="00000000" w:rsidP="00000000" w:rsidRDefault="00000000" w:rsidRPr="00000000" w14:paraId="00000067">
      <w:pPr>
        <w:spacing w:after="120" w:line="276" w:lineRule="auto"/>
        <w:jc w:val="both"/>
        <w:rPr>
          <w:rFonts w:ascii="Arial" w:cs="Arial" w:eastAsia="Arial" w:hAnsi="Arial"/>
          <w:color w:val="181818"/>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sectPr>
          <w:headerReference r:id="rId8" w:type="default"/>
          <w:pgSz w:h="16838" w:w="11906" w:orient="portrait"/>
          <w:pgMar w:bottom="1440" w:top="1440" w:left="1440" w:right="1440" w:header="708" w:footer="708"/>
          <w:pgNumType w:start="1"/>
        </w:sectPr>
      </w:pPr>
      <w:r w:rsidDel="00000000" w:rsidR="00000000" w:rsidRPr="00000000">
        <w:rPr>
          <w:rtl w:val="0"/>
        </w:rPr>
      </w:r>
    </w:p>
    <w:p w:rsidR="00000000" w:rsidDel="00000000" w:rsidP="00000000" w:rsidRDefault="00000000" w:rsidRPr="00000000" w14:paraId="0000006B">
      <w:pPr>
        <w:widowControl w:val="0"/>
        <w:spacing w:after="0" w:line="276" w:lineRule="auto"/>
        <w:rPr>
          <w:rFonts w:ascii="Inter" w:cs="Inter" w:eastAsia="Inter" w:hAnsi="Inter"/>
        </w:rPr>
      </w:pPr>
      <w:r w:rsidDel="00000000" w:rsidR="00000000" w:rsidRPr="00000000">
        <w:rPr>
          <w:rtl w:val="0"/>
        </w:rPr>
      </w:r>
    </w:p>
    <w:tbl>
      <w:tblPr>
        <w:tblStyle w:val="Table2"/>
        <w:tblW w:w="11010.0" w:type="dxa"/>
        <w:jc w:val="left"/>
        <w:tblInd w:w="-8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65"/>
        <w:gridCol w:w="6945"/>
        <w:tblGridChange w:id="0">
          <w:tblGrid>
            <w:gridCol w:w="4065"/>
            <w:gridCol w:w="6945"/>
          </w:tblGrid>
        </w:tblGridChange>
      </w:tblGrid>
      <w:tr>
        <w:trPr>
          <w:cantSplit w:val="0"/>
          <w:trHeight w:val="8604" w:hRule="atLeast"/>
          <w:tblHeader w:val="0"/>
        </w:trPr>
        <w:tc>
          <w:tcPr>
            <w:tcBorders>
              <w:top w:color="fffff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C">
            <w:pPr>
              <w:widowControl w:val="0"/>
              <w:tabs>
                <w:tab w:val="left" w:leader="none" w:pos="0"/>
                <w:tab w:val="left" w:leader="none" w:pos="540"/>
              </w:tabs>
              <w:spacing w:line="276" w:lineRule="auto"/>
              <w:rPr>
                <w:rFonts w:ascii="Inter" w:cs="Inter" w:eastAsia="Inter" w:hAnsi="Inter"/>
                <w:b w:val="1"/>
                <w:sz w:val="26"/>
                <w:szCs w:val="26"/>
              </w:rPr>
            </w:pPr>
            <w:r w:rsidDel="00000000" w:rsidR="00000000" w:rsidRPr="00000000">
              <w:rPr>
                <w:rFonts w:ascii="Inter" w:cs="Inter" w:eastAsia="Inter" w:hAnsi="Inter"/>
                <w:b w:val="1"/>
                <w:sz w:val="26"/>
                <w:szCs w:val="26"/>
                <w:rtl w:val="0"/>
              </w:rPr>
              <w:t xml:space="preserve">To:</w:t>
            </w:r>
          </w:p>
          <w:p w:rsidR="00000000" w:rsidDel="00000000" w:rsidP="00000000" w:rsidRDefault="00000000" w:rsidRPr="00000000" w14:paraId="0000006D">
            <w:pPr>
              <w:widowControl w:val="0"/>
              <w:tabs>
                <w:tab w:val="left" w:leader="none" w:pos="0"/>
                <w:tab w:val="left" w:leader="none" w:pos="540"/>
              </w:tabs>
              <w:rPr>
                <w:rFonts w:ascii="Inter" w:cs="Inter" w:eastAsia="Inter" w:hAnsi="Inter"/>
                <w:sz w:val="24"/>
                <w:szCs w:val="24"/>
              </w:rPr>
            </w:pPr>
            <w:r w:rsidDel="00000000" w:rsidR="00000000" w:rsidRPr="00000000">
              <w:rPr>
                <w:rFonts w:ascii="Inter" w:cs="Inter" w:eastAsia="Inter" w:hAnsi="Inter"/>
                <w:sz w:val="24"/>
                <w:szCs w:val="24"/>
                <w:rtl w:val="0"/>
              </w:rPr>
              <w:t xml:space="preserve">European Securities and </w:t>
            </w:r>
          </w:p>
          <w:p w:rsidR="00000000" w:rsidDel="00000000" w:rsidP="00000000" w:rsidRDefault="00000000" w:rsidRPr="00000000" w14:paraId="0000006E">
            <w:pPr>
              <w:widowControl w:val="0"/>
              <w:tabs>
                <w:tab w:val="left" w:leader="none" w:pos="0"/>
                <w:tab w:val="left" w:leader="none" w:pos="540"/>
              </w:tabs>
              <w:rPr>
                <w:rFonts w:ascii="Inter" w:cs="Inter" w:eastAsia="Inter" w:hAnsi="Inter"/>
                <w:sz w:val="24"/>
                <w:szCs w:val="24"/>
              </w:rPr>
            </w:pPr>
            <w:r w:rsidDel="00000000" w:rsidR="00000000" w:rsidRPr="00000000">
              <w:rPr>
                <w:rFonts w:ascii="Inter" w:cs="Inter" w:eastAsia="Inter" w:hAnsi="Inter"/>
                <w:sz w:val="24"/>
                <w:szCs w:val="24"/>
                <w:rtl w:val="0"/>
              </w:rPr>
              <w:t xml:space="preserve">Markets Authority (ESMA) </w:t>
            </w:r>
          </w:p>
          <w:p w:rsidR="00000000" w:rsidDel="00000000" w:rsidP="00000000" w:rsidRDefault="00000000" w:rsidRPr="00000000" w14:paraId="0000006F">
            <w:pPr>
              <w:widowControl w:val="0"/>
              <w:tabs>
                <w:tab w:val="left" w:leader="none" w:pos="0"/>
                <w:tab w:val="left" w:leader="none" w:pos="540"/>
              </w:tabs>
              <w:rPr>
                <w:rFonts w:ascii="Inter" w:cs="Inter" w:eastAsia="Inter" w:hAnsi="Inter"/>
                <w:sz w:val="24"/>
                <w:szCs w:val="24"/>
              </w:rPr>
            </w:pPr>
            <w:r w:rsidDel="00000000" w:rsidR="00000000" w:rsidRPr="00000000">
              <w:rPr>
                <w:rFonts w:ascii="Inter" w:cs="Inter" w:eastAsia="Inter" w:hAnsi="Inter"/>
                <w:sz w:val="24"/>
                <w:szCs w:val="24"/>
                <w:rtl w:val="0"/>
              </w:rPr>
              <w:t xml:space="preserve">201-203 rue de Bercy </w:t>
            </w:r>
          </w:p>
          <w:p w:rsidR="00000000" w:rsidDel="00000000" w:rsidP="00000000" w:rsidRDefault="00000000" w:rsidRPr="00000000" w14:paraId="00000070">
            <w:pPr>
              <w:widowControl w:val="0"/>
              <w:tabs>
                <w:tab w:val="left" w:leader="none" w:pos="0"/>
                <w:tab w:val="left" w:leader="none" w:pos="540"/>
              </w:tabs>
              <w:spacing w:line="276"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75012 Paris, France </w:t>
            </w:r>
          </w:p>
          <w:p w:rsidR="00000000" w:rsidDel="00000000" w:rsidP="00000000" w:rsidRDefault="00000000" w:rsidRPr="00000000" w14:paraId="00000071">
            <w:pPr>
              <w:widowControl w:val="0"/>
              <w:tabs>
                <w:tab w:val="left" w:leader="none" w:pos="0"/>
                <w:tab w:val="left" w:leader="none" w:pos="540"/>
              </w:tabs>
              <w:spacing w:line="276" w:lineRule="auto"/>
              <w:rPr>
                <w:rFonts w:ascii="Inter" w:cs="Inter" w:eastAsia="Inter" w:hAnsi="Inter"/>
                <w:b w:val="1"/>
                <w:sz w:val="26"/>
                <w:szCs w:val="26"/>
              </w:rPr>
            </w:pPr>
            <w:r w:rsidDel="00000000" w:rsidR="00000000" w:rsidRPr="00000000">
              <w:rPr>
                <w:rtl w:val="0"/>
              </w:rPr>
            </w:r>
          </w:p>
          <w:p w:rsidR="00000000" w:rsidDel="00000000" w:rsidP="00000000" w:rsidRDefault="00000000" w:rsidRPr="00000000" w14:paraId="00000072">
            <w:pPr>
              <w:widowControl w:val="0"/>
              <w:tabs>
                <w:tab w:val="left" w:leader="none" w:pos="0"/>
                <w:tab w:val="left" w:leader="none" w:pos="540"/>
              </w:tabs>
              <w:spacing w:line="276" w:lineRule="auto"/>
              <w:rPr>
                <w:rFonts w:ascii="Inter" w:cs="Inter" w:eastAsia="Inter" w:hAnsi="Inter"/>
                <w:b w:val="1"/>
                <w:sz w:val="26"/>
                <w:szCs w:val="26"/>
              </w:rPr>
            </w:pPr>
            <w:r w:rsidDel="00000000" w:rsidR="00000000" w:rsidRPr="00000000">
              <w:rPr>
                <w:rtl w:val="0"/>
              </w:rPr>
            </w:r>
          </w:p>
          <w:p w:rsidR="00000000" w:rsidDel="00000000" w:rsidP="00000000" w:rsidRDefault="00000000" w:rsidRPr="00000000" w14:paraId="00000073">
            <w:pPr>
              <w:widowControl w:val="0"/>
              <w:tabs>
                <w:tab w:val="left" w:leader="none" w:pos="0"/>
                <w:tab w:val="left" w:leader="none" w:pos="540"/>
              </w:tabs>
              <w:spacing w:line="276" w:lineRule="auto"/>
              <w:rPr>
                <w:rFonts w:ascii="Inter" w:cs="Inter" w:eastAsia="Inter" w:hAnsi="Inter"/>
              </w:rPr>
            </w:pPr>
            <w:r w:rsidDel="00000000" w:rsidR="00000000" w:rsidRPr="00000000">
              <w:rPr>
                <w:rFonts w:ascii="Inter" w:cs="Inter" w:eastAsia="Inter" w:hAnsi="Inter"/>
                <w:b w:val="1"/>
                <w:sz w:val="26"/>
                <w:szCs w:val="26"/>
                <w:rtl w:val="0"/>
              </w:rPr>
              <w:t xml:space="preserve">August 7, 2024</w:t>
            </w:r>
            <w:r w:rsidDel="00000000" w:rsidR="00000000" w:rsidRPr="00000000">
              <w:rPr>
                <w:rFonts w:ascii="Inter" w:cs="Inter" w:eastAsia="Inter" w:hAnsi="Inter"/>
                <w:rtl w:val="0"/>
              </w:rPr>
              <w:br w:type="textWrapping"/>
              <w:br w:type="textWrapping"/>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4">
            <w:pPr>
              <w:widowControl w:val="0"/>
              <w:tabs>
                <w:tab w:val="left" w:leader="none" w:pos="0"/>
                <w:tab w:val="left" w:leader="none" w:pos="540"/>
              </w:tabs>
              <w:spacing w:line="276" w:lineRule="auto"/>
              <w:rPr>
                <w:rFonts w:ascii="Inter" w:cs="Inter" w:eastAsia="Inter" w:hAnsi="Inter"/>
                <w:b w:val="1"/>
                <w:sz w:val="26"/>
                <w:szCs w:val="26"/>
              </w:rPr>
            </w:pPr>
            <w:r w:rsidDel="00000000" w:rsidR="00000000" w:rsidRPr="00000000">
              <w:rPr>
                <w:rFonts w:ascii="Inter" w:cs="Inter" w:eastAsia="Inter" w:hAnsi="Inter"/>
                <w:b w:val="1"/>
                <w:sz w:val="26"/>
                <w:szCs w:val="26"/>
                <w:rtl w:val="0"/>
              </w:rPr>
              <w:t xml:space="preserve">Coinbase response to ESMA Call for Evidence on the review of the UCITS Eligible Assets Directive</w:t>
            </w:r>
          </w:p>
          <w:p w:rsidR="00000000" w:rsidDel="00000000" w:rsidP="00000000" w:rsidRDefault="00000000" w:rsidRPr="00000000" w14:paraId="00000075">
            <w:pPr>
              <w:widowControl w:val="0"/>
              <w:tabs>
                <w:tab w:val="left" w:leader="none" w:pos="0"/>
                <w:tab w:val="left" w:leader="none" w:pos="540"/>
              </w:tabs>
              <w:spacing w:line="276" w:lineRule="auto"/>
              <w:rPr>
                <w:rFonts w:ascii="Inter" w:cs="Inter" w:eastAsia="Inter" w:hAnsi="Inter"/>
                <w:b w:val="1"/>
              </w:rPr>
            </w:pPr>
            <w:r w:rsidDel="00000000" w:rsidR="00000000" w:rsidRPr="00000000">
              <w:rPr>
                <w:rtl w:val="0"/>
              </w:rPr>
            </w:r>
          </w:p>
          <w:p w:rsidR="00000000" w:rsidDel="00000000" w:rsidP="00000000" w:rsidRDefault="00000000" w:rsidRPr="00000000" w14:paraId="00000076">
            <w:pPr>
              <w:tabs>
                <w:tab w:val="left" w:leader="none" w:pos="0"/>
                <w:tab w:val="left" w:leader="none" w:pos="540"/>
              </w:tabs>
              <w:spacing w:after="220" w:line="276" w:lineRule="auto"/>
              <w:rPr>
                <w:rFonts w:ascii="Inter" w:cs="Inter" w:eastAsia="Inter" w:hAnsi="Inter"/>
                <w:sz w:val="22"/>
                <w:szCs w:val="22"/>
              </w:rPr>
            </w:pPr>
            <w:r w:rsidDel="00000000" w:rsidR="00000000" w:rsidRPr="00000000">
              <w:rPr>
                <w:rFonts w:ascii="Inter" w:cs="Inter" w:eastAsia="Inter" w:hAnsi="Inter"/>
                <w:sz w:val="22"/>
                <w:szCs w:val="22"/>
                <w:rtl w:val="0"/>
              </w:rPr>
              <w:t xml:space="preserve">Coinbase Global, Inc. (together with its subsidiaries, </w:t>
            </w:r>
            <w:r w:rsidDel="00000000" w:rsidR="00000000" w:rsidRPr="00000000">
              <w:rPr>
                <w:rFonts w:ascii="Inter" w:cs="Inter" w:eastAsia="Inter" w:hAnsi="Inter"/>
                <w:b w:val="1"/>
                <w:sz w:val="22"/>
                <w:szCs w:val="22"/>
                <w:rtl w:val="0"/>
              </w:rPr>
              <w:t xml:space="preserve">Coinbase</w:t>
            </w:r>
            <w:r w:rsidDel="00000000" w:rsidR="00000000" w:rsidRPr="00000000">
              <w:rPr>
                <w:rFonts w:ascii="Inter" w:cs="Inter" w:eastAsia="Inter" w:hAnsi="Inter"/>
                <w:sz w:val="22"/>
                <w:szCs w:val="22"/>
                <w:rtl w:val="0"/>
              </w:rPr>
              <w:t xml:space="preserve">) appreciates the opportunity to respond to the Call for Evidence on the review of the UCITS Eligible Assets Directive (the </w:t>
            </w:r>
            <w:r w:rsidDel="00000000" w:rsidR="00000000" w:rsidRPr="00000000">
              <w:rPr>
                <w:rFonts w:ascii="Inter" w:cs="Inter" w:eastAsia="Inter" w:hAnsi="Inter"/>
                <w:b w:val="1"/>
                <w:sz w:val="22"/>
                <w:szCs w:val="22"/>
                <w:rtl w:val="0"/>
              </w:rPr>
              <w:t xml:space="preserve">CfE</w:t>
            </w:r>
            <w:r w:rsidDel="00000000" w:rsidR="00000000" w:rsidRPr="00000000">
              <w:rPr>
                <w:rFonts w:ascii="Inter" w:cs="Inter" w:eastAsia="Inter" w:hAnsi="Inter"/>
                <w:sz w:val="22"/>
                <w:szCs w:val="22"/>
                <w:rtl w:val="0"/>
              </w:rPr>
              <w:t xml:space="preserve">) published by the European Securities and Markets Authority (</w:t>
            </w:r>
            <w:r w:rsidDel="00000000" w:rsidR="00000000" w:rsidRPr="00000000">
              <w:rPr>
                <w:rFonts w:ascii="Inter" w:cs="Inter" w:eastAsia="Inter" w:hAnsi="Inter"/>
                <w:b w:val="1"/>
                <w:sz w:val="22"/>
                <w:szCs w:val="22"/>
                <w:rtl w:val="0"/>
              </w:rPr>
              <w:t xml:space="preserve">ESMA</w:t>
            </w:r>
            <w:r w:rsidDel="00000000" w:rsidR="00000000" w:rsidRPr="00000000">
              <w:rPr>
                <w:rFonts w:ascii="Inter" w:cs="Inter" w:eastAsia="Inter" w:hAnsi="Inter"/>
                <w:sz w:val="22"/>
                <w:szCs w:val="22"/>
                <w:rtl w:val="0"/>
              </w:rPr>
              <w:t xml:space="preserve"> or </w:t>
            </w:r>
            <w:r w:rsidDel="00000000" w:rsidR="00000000" w:rsidRPr="00000000">
              <w:rPr>
                <w:rFonts w:ascii="Inter" w:cs="Inter" w:eastAsia="Inter" w:hAnsi="Inter"/>
                <w:b w:val="1"/>
                <w:sz w:val="22"/>
                <w:szCs w:val="22"/>
                <w:rtl w:val="0"/>
              </w:rPr>
              <w:t xml:space="preserve">Regulator</w:t>
            </w:r>
            <w:r w:rsidDel="00000000" w:rsidR="00000000" w:rsidRPr="00000000">
              <w:rPr>
                <w:rFonts w:ascii="Inter" w:cs="Inter" w:eastAsia="Inter" w:hAnsi="Inter"/>
                <w:sz w:val="22"/>
                <w:szCs w:val="22"/>
                <w:rtl w:val="0"/>
              </w:rPr>
              <w:t xml:space="preserve">).</w:t>
            </w:r>
          </w:p>
          <w:p w:rsidR="00000000" w:rsidDel="00000000" w:rsidP="00000000" w:rsidRDefault="00000000" w:rsidRPr="00000000" w14:paraId="00000077">
            <w:pPr>
              <w:tabs>
                <w:tab w:val="left" w:leader="none" w:pos="0"/>
                <w:tab w:val="left" w:leader="none" w:pos="540"/>
              </w:tabs>
              <w:spacing w:after="220" w:line="276" w:lineRule="auto"/>
              <w:rPr>
                <w:rFonts w:ascii="Inter" w:cs="Inter" w:eastAsia="Inter" w:hAnsi="Inter"/>
                <w:sz w:val="22"/>
                <w:szCs w:val="22"/>
              </w:rPr>
            </w:pPr>
            <w:r w:rsidDel="00000000" w:rsidR="00000000" w:rsidRPr="00000000">
              <w:rPr>
                <w:rFonts w:ascii="Inter" w:cs="Inter" w:eastAsia="Inter" w:hAnsi="Inter"/>
                <w:sz w:val="22"/>
                <w:szCs w:val="22"/>
                <w:rtl w:val="0"/>
              </w:rPr>
              <w:t xml:space="preserve">We appreciate the opportunity to respond to the Cfe as it relates to crypto-assets and their treatment under the UCITS Eligible Assets Directive (</w:t>
            </w:r>
            <w:r w:rsidDel="00000000" w:rsidR="00000000" w:rsidRPr="00000000">
              <w:rPr>
                <w:rFonts w:ascii="Inter" w:cs="Inter" w:eastAsia="Inter" w:hAnsi="Inter"/>
                <w:b w:val="1"/>
                <w:sz w:val="22"/>
                <w:szCs w:val="22"/>
                <w:rtl w:val="0"/>
              </w:rPr>
              <w:t xml:space="preserve">UCITS EAD</w:t>
            </w:r>
            <w:r w:rsidDel="00000000" w:rsidR="00000000" w:rsidRPr="00000000">
              <w:rPr>
                <w:rFonts w:ascii="Inter" w:cs="Inter" w:eastAsia="Inter" w:hAnsi="Inter"/>
                <w:sz w:val="22"/>
                <w:szCs w:val="22"/>
                <w:rtl w:val="0"/>
              </w:rPr>
              <w:t xml:space="preserve">) as it relates to the ongoing implementation of Market in Crypto Asset Regulation (</w:t>
            </w:r>
            <w:r w:rsidDel="00000000" w:rsidR="00000000" w:rsidRPr="00000000">
              <w:rPr>
                <w:rFonts w:ascii="Inter" w:cs="Inter" w:eastAsia="Inter" w:hAnsi="Inter"/>
                <w:b w:val="1"/>
                <w:sz w:val="22"/>
                <w:szCs w:val="22"/>
                <w:rtl w:val="0"/>
              </w:rPr>
              <w:t xml:space="preserve">MiCAR</w:t>
            </w:r>
            <w:r w:rsidDel="00000000" w:rsidR="00000000" w:rsidRPr="00000000">
              <w:rPr>
                <w:rFonts w:ascii="Inter" w:cs="Inter" w:eastAsia="Inter" w:hAnsi="Inter"/>
                <w:sz w:val="22"/>
                <w:szCs w:val="22"/>
                <w:rtl w:val="0"/>
              </w:rPr>
              <w:t xml:space="preserve">). </w:t>
            </w:r>
          </w:p>
          <w:p w:rsidR="00000000" w:rsidDel="00000000" w:rsidP="00000000" w:rsidRDefault="00000000" w:rsidRPr="00000000" w14:paraId="00000078">
            <w:pPr>
              <w:spacing w:after="200" w:line="290.4" w:lineRule="auto"/>
              <w:rPr>
                <w:rFonts w:ascii="Inter" w:cs="Inter" w:eastAsia="Inter" w:hAnsi="Inter"/>
                <w:sz w:val="22"/>
                <w:szCs w:val="22"/>
              </w:rPr>
            </w:pPr>
            <w:r w:rsidDel="00000000" w:rsidR="00000000" w:rsidRPr="00000000">
              <w:rPr>
                <w:rFonts w:ascii="Inter" w:cs="Inter" w:eastAsia="Inter" w:hAnsi="Inter"/>
                <w:sz w:val="22"/>
                <w:szCs w:val="22"/>
                <w:rtl w:val="0"/>
              </w:rPr>
              <w:t xml:space="preserve">Our overarching view is that certain crypto-assets, including stablecoins, should be eligible assets under the UCITS EAD given similarities to existing eligible assets. The implementation of MiCAR is highly relevant as MiCAR introduces regulatory requirements for crypto asset service providers and trading platforms, including compliance with conduct standards, prudential safeguards, organisational requirements, safeguarding of crypto-assets and funds, complaints procedures, and management of conflicts of interest, many of which mirror requirements under MiFID II. </w:t>
            </w:r>
          </w:p>
          <w:p w:rsidR="00000000" w:rsidDel="00000000" w:rsidP="00000000" w:rsidRDefault="00000000" w:rsidRPr="00000000" w14:paraId="00000079">
            <w:pPr>
              <w:tabs>
                <w:tab w:val="left" w:leader="none" w:pos="0"/>
                <w:tab w:val="left" w:leader="none" w:pos="540"/>
              </w:tabs>
              <w:spacing w:after="220" w:line="276" w:lineRule="auto"/>
              <w:ind w:right="-105"/>
              <w:rPr>
                <w:rFonts w:ascii="Inter" w:cs="Inter" w:eastAsia="Inter" w:hAnsi="Inter"/>
                <w:sz w:val="22"/>
                <w:szCs w:val="22"/>
              </w:rPr>
            </w:pPr>
            <w:r w:rsidDel="00000000" w:rsidR="00000000" w:rsidRPr="00000000">
              <w:rPr>
                <w:rFonts w:ascii="Inter" w:cs="Inter" w:eastAsia="Inter" w:hAnsi="Inter"/>
                <w:sz w:val="22"/>
                <w:szCs w:val="22"/>
                <w:rtl w:val="0"/>
              </w:rPr>
              <w:t xml:space="preserve">Coinbase appreciates the Regulator's attention and efforts and looks forward to working with the Regulator going forward.</w:t>
            </w:r>
          </w:p>
          <w:p w:rsidR="00000000" w:rsidDel="00000000" w:rsidP="00000000" w:rsidRDefault="00000000" w:rsidRPr="00000000" w14:paraId="0000007A">
            <w:pPr>
              <w:widowControl w:val="0"/>
              <w:tabs>
                <w:tab w:val="left" w:leader="none" w:pos="0"/>
                <w:tab w:val="left" w:leader="none" w:pos="540"/>
              </w:tabs>
              <w:spacing w:line="276" w:lineRule="auto"/>
              <w:rPr>
                <w:rFonts w:ascii="Inter" w:cs="Inter" w:eastAsia="Inter" w:hAnsi="Inter"/>
                <w:sz w:val="22"/>
                <w:szCs w:val="22"/>
              </w:rPr>
            </w:pPr>
            <w:r w:rsidDel="00000000" w:rsidR="00000000" w:rsidRPr="00000000">
              <w:rPr>
                <w:rtl w:val="0"/>
              </w:rPr>
            </w:r>
          </w:p>
          <w:p w:rsidR="00000000" w:rsidDel="00000000" w:rsidP="00000000" w:rsidRDefault="00000000" w:rsidRPr="00000000" w14:paraId="0000007B">
            <w:pPr>
              <w:widowControl w:val="0"/>
              <w:tabs>
                <w:tab w:val="left" w:leader="none" w:pos="0"/>
                <w:tab w:val="left" w:leader="none" w:pos="540"/>
              </w:tabs>
              <w:spacing w:line="276" w:lineRule="auto"/>
              <w:rPr>
                <w:rFonts w:ascii="Inter" w:cs="Inter" w:eastAsia="Inter" w:hAnsi="Inter"/>
                <w:sz w:val="22"/>
                <w:szCs w:val="22"/>
              </w:rPr>
            </w:pPr>
            <w:r w:rsidDel="00000000" w:rsidR="00000000" w:rsidRPr="00000000">
              <w:rPr>
                <w:rFonts w:ascii="Inter" w:cs="Inter" w:eastAsia="Inter" w:hAnsi="Inter"/>
                <w:sz w:val="22"/>
                <w:szCs w:val="22"/>
                <w:rtl w:val="0"/>
              </w:rPr>
              <w:t xml:space="preserve">Yours sincerely,</w:t>
            </w:r>
          </w:p>
          <w:p w:rsidR="00000000" w:rsidDel="00000000" w:rsidP="00000000" w:rsidRDefault="00000000" w:rsidRPr="00000000" w14:paraId="0000007C">
            <w:pPr>
              <w:tabs>
                <w:tab w:val="left" w:leader="none" w:pos="0"/>
                <w:tab w:val="left" w:leader="none" w:pos="540"/>
              </w:tabs>
              <w:spacing w:after="160" w:line="252.00000000000003" w:lineRule="auto"/>
              <w:rPr>
                <w:rFonts w:ascii="Inter" w:cs="Inter" w:eastAsia="Inter" w:hAnsi="Inter"/>
                <w:sz w:val="22"/>
                <w:szCs w:val="22"/>
              </w:rPr>
            </w:pPr>
            <w:r w:rsidDel="00000000" w:rsidR="00000000" w:rsidRPr="00000000">
              <w:rPr>
                <w:rtl w:val="0"/>
              </w:rPr>
            </w:r>
          </w:p>
          <w:tbl>
            <w:tblPr>
              <w:tblStyle w:val="Table3"/>
              <w:tblW w:w="67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72.5"/>
              <w:gridCol w:w="3372.5"/>
              <w:tblGridChange w:id="0">
                <w:tblGrid>
                  <w:gridCol w:w="3372.5"/>
                  <w:gridCol w:w="3372.5"/>
                </w:tblGrid>
              </w:tblGridChange>
            </w:tblGrid>
            <w:tr>
              <w:trPr>
                <w:cantSplit w:val="0"/>
                <w:trHeight w:val="46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D">
                  <w:pPr>
                    <w:tabs>
                      <w:tab w:val="left" w:leader="none" w:pos="0"/>
                      <w:tab w:val="left" w:leader="none" w:pos="540"/>
                    </w:tabs>
                    <w:spacing w:line="240" w:lineRule="auto"/>
                    <w:jc w:val="center"/>
                    <w:rPr>
                      <w:rFonts w:ascii="Inter" w:cs="Inter" w:eastAsia="Inter" w:hAnsi="Inte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395288</wp:posOffset>
                        </wp:positionH>
                        <wp:positionV relativeFrom="paragraph">
                          <wp:posOffset>109728</wp:posOffset>
                        </wp:positionV>
                        <wp:extent cx="1204913" cy="430954"/>
                        <wp:effectExtent b="0" l="0" r="0" t="0"/>
                        <wp:wrapNone/>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204913" cy="430954"/>
                                </a:xfrm>
                                <a:prstGeom prst="rect"/>
                                <a:ln/>
                              </pic:spPr>
                            </pic:pic>
                          </a:graphicData>
                        </a:graphic>
                      </wp:anchor>
                    </w:drawing>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after="0" w:line="240" w:lineRule="auto"/>
                    <w:rPr>
                      <w:rFonts w:ascii="Inter" w:cs="Inter" w:eastAsia="Inter" w:hAnsi="I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539496</wp:posOffset>
                        </wp:positionH>
                        <wp:positionV relativeFrom="paragraph">
                          <wp:posOffset>118872</wp:posOffset>
                        </wp:positionV>
                        <wp:extent cx="938213" cy="503431"/>
                        <wp:effectExtent b="0" l="0" r="0" t="0"/>
                        <wp:wrapNone/>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938213" cy="503431"/>
                                </a:xfrm>
                                <a:prstGeom prst="rect"/>
                                <a:ln/>
                              </pic:spPr>
                            </pic:pic>
                          </a:graphicData>
                        </a:graphic>
                      </wp:anchor>
                    </w:drawing>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tabs>
                      <w:tab w:val="left" w:leader="none" w:pos="0"/>
                      <w:tab w:val="left" w:leader="none" w:pos="540"/>
                    </w:tabs>
                    <w:spacing w:after="0" w:line="240" w:lineRule="auto"/>
                    <w:ind w:left="-90" w:firstLine="0"/>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Tom Duff Gordon, Vice President, </w:t>
                  </w:r>
                </w:p>
                <w:p w:rsidR="00000000" w:rsidDel="00000000" w:rsidP="00000000" w:rsidRDefault="00000000" w:rsidRPr="00000000" w14:paraId="00000080">
                  <w:pPr>
                    <w:widowControl w:val="0"/>
                    <w:tabs>
                      <w:tab w:val="left" w:leader="none" w:pos="0"/>
                      <w:tab w:val="left" w:leader="none" w:pos="540"/>
                    </w:tabs>
                    <w:spacing w:line="240" w:lineRule="auto"/>
                    <w:ind w:left="-90" w:firstLine="0"/>
                    <w:rPr>
                      <w:rFonts w:ascii="Inter" w:cs="Inter" w:eastAsia="Inter" w:hAnsi="Inter"/>
                    </w:rPr>
                  </w:pPr>
                  <w:r w:rsidDel="00000000" w:rsidR="00000000" w:rsidRPr="00000000">
                    <w:rPr>
                      <w:rFonts w:ascii="Inter" w:cs="Inter" w:eastAsia="Inter" w:hAnsi="Inter"/>
                      <w:sz w:val="20"/>
                      <w:szCs w:val="20"/>
                      <w:highlight w:val="white"/>
                      <w:rtl w:val="0"/>
                    </w:rPr>
                    <w:t xml:space="preserve">International Policy, Coinbase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tabs>
                      <w:tab w:val="left" w:leader="none" w:pos="0"/>
                      <w:tab w:val="left" w:leader="none" w:pos="540"/>
                    </w:tabs>
                    <w:spacing w:line="240" w:lineRule="auto"/>
                    <w:rPr>
                      <w:rFonts w:ascii="Inter" w:cs="Inter" w:eastAsia="Inter" w:hAnsi="Inter"/>
                    </w:rPr>
                  </w:pPr>
                  <w:r w:rsidDel="00000000" w:rsidR="00000000" w:rsidRPr="00000000">
                    <w:rPr>
                      <w:rFonts w:ascii="Inter" w:cs="Inter" w:eastAsia="Inter" w:hAnsi="Inter"/>
                      <w:sz w:val="20"/>
                      <w:szCs w:val="20"/>
                      <w:rtl w:val="0"/>
                    </w:rPr>
                    <w:t xml:space="preserve">Scott Bauguess, Vice President, </w:t>
                    <w:br w:type="textWrapping"/>
                    <w:t xml:space="preserve">Global Regulatory Policy, Coinbase</w:t>
                  </w:r>
                  <w:r w:rsidDel="00000000" w:rsidR="00000000" w:rsidRPr="00000000">
                    <w:rPr>
                      <w:rtl w:val="0"/>
                    </w:rPr>
                  </w:r>
                </w:p>
              </w:tc>
            </w:tr>
          </w:tbl>
          <w:p w:rsidR="00000000" w:rsidDel="00000000" w:rsidP="00000000" w:rsidRDefault="00000000" w:rsidRPr="00000000" w14:paraId="00000082">
            <w:pPr>
              <w:tabs>
                <w:tab w:val="left" w:leader="none" w:pos="0"/>
                <w:tab w:val="left" w:leader="none" w:pos="540"/>
              </w:tabs>
              <w:spacing w:after="160" w:line="252.00000000000003" w:lineRule="auto"/>
              <w:rPr>
                <w:rFonts w:ascii="Inter" w:cs="Inter" w:eastAsia="Inter" w:hAnsi="Inter"/>
                <w:sz w:val="22"/>
                <w:szCs w:val="22"/>
              </w:rPr>
            </w:pPr>
            <w:r w:rsidDel="00000000" w:rsidR="00000000" w:rsidRPr="00000000">
              <w:rPr>
                <w:rtl w:val="0"/>
              </w:rPr>
            </w:r>
          </w:p>
        </w:tc>
      </w:tr>
    </w:tbl>
    <w:p w:rsidR="00000000" w:rsidDel="00000000" w:rsidP="00000000" w:rsidRDefault="00000000" w:rsidRPr="00000000" w14:paraId="00000083">
      <w:pPr>
        <w:pStyle w:val="Heading1"/>
        <w:spacing w:after="200" w:before="200" w:line="290.4" w:lineRule="auto"/>
        <w:ind w:right="-720"/>
        <w:rPr>
          <w:rFonts w:ascii="Inter" w:cs="Inter" w:eastAsia="Inter" w:hAnsi="Inter"/>
          <w:color w:val="0052ff"/>
          <w:sz w:val="26"/>
          <w:szCs w:val="26"/>
        </w:rPr>
      </w:pPr>
      <w:bookmarkStart w:colFirst="0" w:colLast="0" w:name="_gjdgxs" w:id="0"/>
      <w:bookmarkEnd w:id="0"/>
      <w:r w:rsidDel="00000000" w:rsidR="00000000" w:rsidRPr="00000000">
        <w:rPr>
          <w:rFonts w:ascii="Inter" w:cs="Inter" w:eastAsia="Inter" w:hAnsi="Inter"/>
          <w:color w:val="0052ff"/>
          <w:sz w:val="26"/>
          <w:szCs w:val="26"/>
          <w:rtl w:val="0"/>
        </w:rPr>
        <w:t xml:space="preserve">Introduction</w:t>
      </w:r>
    </w:p>
    <w:p w:rsidR="00000000" w:rsidDel="00000000" w:rsidP="00000000" w:rsidRDefault="00000000" w:rsidRPr="00000000" w14:paraId="00000084">
      <w:pPr>
        <w:spacing w:after="120" w:line="290.4" w:lineRule="auto"/>
        <w:rPr>
          <w:rFonts w:ascii="Inter" w:cs="Inter" w:eastAsia="Inter" w:hAnsi="Inter"/>
        </w:rPr>
      </w:pPr>
      <w:r w:rsidDel="00000000" w:rsidR="00000000" w:rsidRPr="00000000">
        <w:rPr>
          <w:rFonts w:ascii="Inter" w:cs="Inter" w:eastAsia="Inter" w:hAnsi="Inter"/>
          <w:rtl w:val="0"/>
        </w:rPr>
        <w:t xml:space="preserve">We appreciate the opportunity to respond to ESMA’s CfE on the merits of allowing direct or indirect UCITS exposures to certain additional asset classes listed in Q20 of the CfE, and in particular, crypto-assets. In our view, crypto-assets that fall within the perimeter of MiCAR</w:t>
      </w:r>
      <w:r w:rsidDel="00000000" w:rsidR="00000000" w:rsidRPr="00000000">
        <w:rPr>
          <w:rFonts w:ascii="Inter" w:cs="Inter" w:eastAsia="Inter" w:hAnsi="Inter"/>
          <w:vertAlign w:val="superscript"/>
        </w:rPr>
        <w:footnoteReference w:customMarkFollows="0" w:id="9"/>
      </w:r>
      <w:r w:rsidDel="00000000" w:rsidR="00000000" w:rsidRPr="00000000">
        <w:rPr>
          <w:rFonts w:ascii="Inter" w:cs="Inter" w:eastAsia="Inter" w:hAnsi="Inter"/>
          <w:rtl w:val="0"/>
        </w:rPr>
        <w:t xml:space="preserve"> (MiCAR Crypto-Assets) should be treated as UCITS eligible assets for the purposes of the UCITS Directive</w:t>
      </w:r>
      <w:r w:rsidDel="00000000" w:rsidR="00000000" w:rsidRPr="00000000">
        <w:rPr>
          <w:rFonts w:ascii="Inter" w:cs="Inter" w:eastAsia="Inter" w:hAnsi="Inter"/>
          <w:vertAlign w:val="superscript"/>
        </w:rPr>
        <w:footnoteReference w:customMarkFollows="0" w:id="10"/>
      </w:r>
      <w:r w:rsidDel="00000000" w:rsidR="00000000" w:rsidRPr="00000000">
        <w:rPr>
          <w:rFonts w:ascii="Inter" w:cs="Inter" w:eastAsia="Inter" w:hAnsi="Inter"/>
          <w:rtl w:val="0"/>
        </w:rPr>
        <w:t xml:space="preserve"> and the UCITS EAD</w:t>
      </w:r>
      <w:r w:rsidDel="00000000" w:rsidR="00000000" w:rsidRPr="00000000">
        <w:rPr>
          <w:rFonts w:ascii="Inter" w:cs="Inter" w:eastAsia="Inter" w:hAnsi="Inter"/>
          <w:vertAlign w:val="superscript"/>
        </w:rPr>
        <w:footnoteReference w:customMarkFollows="0" w:id="11"/>
      </w:r>
      <w:r w:rsidDel="00000000" w:rsidR="00000000" w:rsidRPr="00000000">
        <w:rPr>
          <w:rFonts w:ascii="Inter" w:cs="Inter" w:eastAsia="Inter" w:hAnsi="Inter"/>
          <w:rtl w:val="0"/>
        </w:rPr>
        <w:t xml:space="preserve">. </w:t>
      </w:r>
    </w:p>
    <w:p w:rsidR="00000000" w:rsidDel="00000000" w:rsidP="00000000" w:rsidRDefault="00000000" w:rsidRPr="00000000" w14:paraId="00000085">
      <w:pPr>
        <w:spacing w:after="120" w:line="290.4" w:lineRule="auto"/>
        <w:rPr>
          <w:rFonts w:ascii="Inter" w:cs="Inter" w:eastAsia="Inter" w:hAnsi="Inter"/>
        </w:rPr>
      </w:pPr>
      <w:r w:rsidDel="00000000" w:rsidR="00000000" w:rsidRPr="00000000">
        <w:rPr>
          <w:rFonts w:ascii="Inter" w:cs="Inter" w:eastAsia="Inter" w:hAnsi="Inter"/>
          <w:rtl w:val="0"/>
        </w:rPr>
        <w:t xml:space="preserve">We set out our arguments in this regard below.</w:t>
      </w:r>
    </w:p>
    <w:p w:rsidR="00000000" w:rsidDel="00000000" w:rsidP="00000000" w:rsidRDefault="00000000" w:rsidRPr="00000000" w14:paraId="00000086">
      <w:pPr>
        <w:pStyle w:val="Heading1"/>
        <w:keepLines w:val="0"/>
        <w:spacing w:before="360" w:line="290.4" w:lineRule="auto"/>
        <w:rPr>
          <w:rFonts w:ascii="Inter" w:cs="Inter" w:eastAsia="Inter" w:hAnsi="Inter"/>
          <w:color w:val="0052ff"/>
          <w:sz w:val="26"/>
          <w:szCs w:val="26"/>
        </w:rPr>
      </w:pPr>
      <w:bookmarkStart w:colFirst="0" w:colLast="0" w:name="_1fob9te" w:id="1"/>
      <w:bookmarkEnd w:id="1"/>
      <w:r w:rsidDel="00000000" w:rsidR="00000000" w:rsidRPr="00000000">
        <w:rPr>
          <w:rFonts w:ascii="Inter" w:cs="Inter" w:eastAsia="Inter" w:hAnsi="Inter"/>
          <w:color w:val="0052ff"/>
          <w:sz w:val="26"/>
          <w:szCs w:val="26"/>
          <w:rtl w:val="0"/>
        </w:rPr>
        <w:t xml:space="preserve">1 - Analogies to existing UCITS eligible assets</w:t>
      </w:r>
    </w:p>
    <w:p w:rsidR="00000000" w:rsidDel="00000000" w:rsidP="00000000" w:rsidRDefault="00000000" w:rsidRPr="00000000" w14:paraId="00000087">
      <w:pPr>
        <w:spacing w:after="200" w:line="290.4" w:lineRule="auto"/>
        <w:rPr>
          <w:rFonts w:ascii="Inter" w:cs="Inter" w:eastAsia="Inter" w:hAnsi="Inter"/>
        </w:rPr>
      </w:pPr>
      <w:r w:rsidDel="00000000" w:rsidR="00000000" w:rsidRPr="00000000">
        <w:rPr>
          <w:rFonts w:ascii="Inter" w:cs="Inter" w:eastAsia="Inter" w:hAnsi="Inter"/>
          <w:rtl w:val="0"/>
        </w:rPr>
        <w:t xml:space="preserve">There are directly relevant analogies between existing UCITS eligible assets, specifically transferable securities and money market instruments,</w:t>
      </w:r>
      <w:r w:rsidDel="00000000" w:rsidR="00000000" w:rsidRPr="00000000">
        <w:rPr>
          <w:rFonts w:ascii="Inter" w:cs="Inter" w:eastAsia="Inter" w:hAnsi="Inter"/>
          <w:vertAlign w:val="superscript"/>
        </w:rPr>
        <w:footnoteReference w:customMarkFollows="0" w:id="12"/>
      </w:r>
      <w:r w:rsidDel="00000000" w:rsidR="00000000" w:rsidRPr="00000000">
        <w:rPr>
          <w:rFonts w:ascii="Inter" w:cs="Inter" w:eastAsia="Inter" w:hAnsi="Inter"/>
          <w:rtl w:val="0"/>
        </w:rPr>
        <w:t xml:space="preserve"> and MiCAR Crypto-Assets that support treating the latter as UCITS eligible assets. This should not be surprising given that the requirements of MiCAR are designed to establish a fit for purpose regulatory framework that meets the same goals as existing regulations applicable to other asset classes. </w:t>
      </w:r>
    </w:p>
    <w:p w:rsidR="00000000" w:rsidDel="00000000" w:rsidP="00000000" w:rsidRDefault="00000000" w:rsidRPr="00000000" w14:paraId="00000088">
      <w:pPr>
        <w:spacing w:after="200" w:line="290.4" w:lineRule="auto"/>
        <w:rPr>
          <w:rFonts w:ascii="Inter" w:cs="Inter" w:eastAsia="Inter" w:hAnsi="Inter"/>
        </w:rPr>
      </w:pPr>
      <w:r w:rsidDel="00000000" w:rsidR="00000000" w:rsidRPr="00000000">
        <w:rPr>
          <w:rFonts w:ascii="Inter" w:cs="Inter" w:eastAsia="Inter" w:hAnsi="Inter"/>
          <w:rtl w:val="0"/>
        </w:rPr>
        <w:t xml:space="preserve">We also believe that UCITS should be allowed to hold certain stablecoins regulated under MiCAR (</w:t>
      </w:r>
      <w:r w:rsidDel="00000000" w:rsidR="00000000" w:rsidRPr="00000000">
        <w:rPr>
          <w:rFonts w:ascii="Inter" w:cs="Inter" w:eastAsia="Inter" w:hAnsi="Inter"/>
          <w:b w:val="1"/>
          <w:rtl w:val="0"/>
        </w:rPr>
        <w:t xml:space="preserve">MiCAR Stablecoins</w:t>
      </w:r>
      <w:r w:rsidDel="00000000" w:rsidR="00000000" w:rsidRPr="00000000">
        <w:rPr>
          <w:rFonts w:ascii="Inter" w:cs="Inter" w:eastAsia="Inter" w:hAnsi="Inter"/>
          <w:rtl w:val="0"/>
        </w:rPr>
        <w:t xml:space="preserve">), as detailed further below. Not only are MiCAR Stablecoins similar in risk profile to deposits or, potentially, money market funds, they are also critical tools for participating in the digital economy. UCITS that invest in other crypto assets will benefit from using stablecoins to purchase or trade crypto assets. While it is possible to buy crypto assets for fiat, stablecoins allow more efficient transactions, settled atomistically on a 24/7 basis, including on weekends when traditional financial institutions are closed. </w:t>
      </w:r>
    </w:p>
    <w:p w:rsidR="00000000" w:rsidDel="00000000" w:rsidP="00000000" w:rsidRDefault="00000000" w:rsidRPr="00000000" w14:paraId="00000089">
      <w:pPr>
        <w:pStyle w:val="Heading2"/>
        <w:spacing w:after="140" w:before="0" w:line="290" w:lineRule="auto"/>
        <w:rPr>
          <w:rFonts w:ascii="Inter" w:cs="Inter" w:eastAsia="Inter" w:hAnsi="Inter"/>
          <w:sz w:val="24"/>
          <w:szCs w:val="24"/>
        </w:rPr>
      </w:pPr>
      <w:bookmarkStart w:colFirst="0" w:colLast="0" w:name="_bkqc5eqounte" w:id="2"/>
      <w:bookmarkEnd w:id="2"/>
      <w:r w:rsidDel="00000000" w:rsidR="00000000" w:rsidRPr="00000000">
        <w:rPr>
          <w:rFonts w:ascii="Inter" w:cs="Inter" w:eastAsia="Inter" w:hAnsi="Inter"/>
          <w:sz w:val="24"/>
          <w:szCs w:val="24"/>
          <w:rtl w:val="0"/>
        </w:rPr>
        <w:t xml:space="preserve">Transferable securities </w:t>
      </w:r>
    </w:p>
    <w:p w:rsidR="00000000" w:rsidDel="00000000" w:rsidP="00000000" w:rsidRDefault="00000000" w:rsidRPr="00000000" w14:paraId="0000008A">
      <w:pPr>
        <w:spacing w:after="200" w:line="290.4" w:lineRule="auto"/>
        <w:rPr>
          <w:rFonts w:ascii="Inter" w:cs="Inter" w:eastAsia="Inter" w:hAnsi="Inter"/>
        </w:rPr>
      </w:pPr>
      <w:r w:rsidDel="00000000" w:rsidR="00000000" w:rsidRPr="00000000">
        <w:rPr>
          <w:rFonts w:ascii="Inter" w:cs="Inter" w:eastAsia="Inter" w:hAnsi="Inter"/>
          <w:rtl w:val="0"/>
        </w:rPr>
        <w:t xml:space="preserve">At a high level, the requirements of Article 50(1)(a)-(c) of the UCITS Directive are designed to capture instruments which are admitted to, or dealt in, a regulated venue. In each reference, the Directive refers to a “regulated market,” which, in our view, fulfils the same functions for transferable securities as a MiCAR-registered platform fulfils  for crypto-assets. As we explain in more detail below, registered MiCAR platforms will by their design satisfy critical aspects of the UCITS Directive to ensure appropriate levels of liquidity and robust valuations to enable UCITS to meet redemption requests when made. Moreover, we show that MiCAR Crypto-Assets that trade on these platforms (or other trading platforms regulated outside of the EU) will similarly meet the equivalent requirement of Article 2(1), which sets forth the criteria of a “transferable security.” </w:t>
      </w:r>
    </w:p>
    <w:p w:rsidR="00000000" w:rsidDel="00000000" w:rsidP="00000000" w:rsidRDefault="00000000" w:rsidRPr="00000000" w14:paraId="0000008B">
      <w:pPr>
        <w:spacing w:after="200" w:line="290.4" w:lineRule="auto"/>
        <w:rPr>
          <w:rFonts w:ascii="Inter" w:cs="Inter" w:eastAsia="Inter" w:hAnsi="Inter"/>
        </w:rPr>
      </w:pPr>
      <w:r w:rsidDel="00000000" w:rsidR="00000000" w:rsidRPr="00000000">
        <w:rPr>
          <w:rFonts w:ascii="Inter" w:cs="Inter" w:eastAsia="Inter" w:hAnsi="Inter"/>
          <w:rtl w:val="0"/>
        </w:rPr>
        <w:t xml:space="preserve">We consider this to be the case given the requirements MiCAR introduces for crypto-asset trading platforms. This includes compliance with conduct standards, prudential safeguards, organisational requirements, safeguarding of crypto-assets and funds, complaints procedures, management of conflicts of interest, and outsourcing restrictions, which mirror requirements under MiFID II. Finally, because ESMA has specified that a “regulated market” can encompass an MTF,</w:t>
      </w:r>
      <w:r w:rsidDel="00000000" w:rsidR="00000000" w:rsidRPr="00000000">
        <w:rPr>
          <w:rFonts w:ascii="Inter" w:cs="Inter" w:eastAsia="Inter" w:hAnsi="Inter"/>
          <w:vertAlign w:val="superscript"/>
        </w:rPr>
        <w:footnoteReference w:customMarkFollows="0" w:id="13"/>
      </w:r>
      <w:r w:rsidDel="00000000" w:rsidR="00000000" w:rsidRPr="00000000">
        <w:rPr>
          <w:rFonts w:ascii="Inter" w:cs="Inter" w:eastAsia="Inter" w:hAnsi="Inter"/>
          <w:rtl w:val="0"/>
        </w:rPr>
        <w:t xml:space="preserve"> it should logically extend the same classification to crypto-asset trading platforms.</w:t>
      </w:r>
    </w:p>
    <w:p w:rsidR="00000000" w:rsidDel="00000000" w:rsidP="00000000" w:rsidRDefault="00000000" w:rsidRPr="00000000" w14:paraId="0000008C">
      <w:pPr>
        <w:spacing w:after="200" w:line="290.4" w:lineRule="auto"/>
        <w:rPr>
          <w:rFonts w:ascii="Inter" w:cs="Inter" w:eastAsia="Inter" w:hAnsi="Inter"/>
        </w:rPr>
      </w:pPr>
      <w:r w:rsidDel="00000000" w:rsidR="00000000" w:rsidRPr="00000000">
        <w:rPr>
          <w:rFonts w:ascii="Inter" w:cs="Inter" w:eastAsia="Inter" w:hAnsi="Inter"/>
          <w:rtl w:val="0"/>
        </w:rPr>
        <w:t xml:space="preserve">Our premise should not be controversial given that MiCAR requirements were designed with this in mind – an appropriate, recognized regulatory structure for crypto-asset market infrastructure. Put differently, it is hard to imagine that the drafters of MiCAR intended regulations for crypto-asset trading platforms to be less robust than those applicable to “regulated markets” more generally. </w:t>
      </w:r>
    </w:p>
    <w:p w:rsidR="00000000" w:rsidDel="00000000" w:rsidP="00000000" w:rsidRDefault="00000000" w:rsidRPr="00000000" w14:paraId="0000008D">
      <w:pPr>
        <w:spacing w:after="200" w:line="290.4" w:lineRule="auto"/>
        <w:rPr>
          <w:rFonts w:ascii="Inter" w:cs="Inter" w:eastAsia="Inter" w:hAnsi="Inter"/>
        </w:rPr>
      </w:pPr>
      <w:r w:rsidDel="00000000" w:rsidR="00000000" w:rsidRPr="00000000">
        <w:rPr>
          <w:rFonts w:ascii="Inter" w:cs="Inter" w:eastAsia="Inter" w:hAnsi="Inter"/>
          <w:rtl w:val="0"/>
        </w:rPr>
        <w:t xml:space="preserve">Recognition that MiCAR requirements establish a substantially equivalent framework for MiCAR Crypto-Assets and crypto-asset trading platforms to the one that appears to have been contemplated in the UCITS Directive is also consistent with the reference in Article 50(1)(b) to “instruments deal in on another regulated market in a Member State, which operates regularly and is recognized and open to the public”. We understand that this broader category was intended to capture any regularly operating, recognized, regulated and publicly accessible market, given the strong presumption of liquidity and tradability of instruments traded on such markets. Crypto-asset trading platforms regulated under MiCAR clearly fall within “another regulated market,” as do non-EU crypto-platforms, in at least the broad if not strict sense, as many such platforms will be regulated, regularly operating, and publicly accessible. This supports the proposition that crypto-assets traded on such platforms should be capable of being eligible for UCITS to invest in. </w:t>
      </w:r>
    </w:p>
    <w:p w:rsidR="00000000" w:rsidDel="00000000" w:rsidP="00000000" w:rsidRDefault="00000000" w:rsidRPr="00000000" w14:paraId="0000008E">
      <w:pPr>
        <w:spacing w:after="200" w:line="290.4" w:lineRule="auto"/>
        <w:rPr>
          <w:rFonts w:ascii="Inter" w:cs="Inter" w:eastAsia="Inter" w:hAnsi="Inter"/>
        </w:rPr>
      </w:pPr>
      <w:r w:rsidDel="00000000" w:rsidR="00000000" w:rsidRPr="00000000">
        <w:rPr>
          <w:rFonts w:ascii="Inter" w:cs="Inter" w:eastAsia="Inter" w:hAnsi="Inter"/>
          <w:rtl w:val="0"/>
        </w:rPr>
        <w:t xml:space="preserve">We also believe that the criteria listed in Article 2(1) of the UCITS EAD (which must be fulfilled by a “transferable security” for the purposes of the UCITS EAD) are likely to be substantially satisfied in relation to MiCAR Crypto-Assets. We examine each of these, below:</w:t>
      </w:r>
    </w:p>
    <w:p w:rsidR="00000000" w:rsidDel="00000000" w:rsidP="00000000" w:rsidRDefault="00000000" w:rsidRPr="00000000" w14:paraId="0000008F">
      <w:pPr>
        <w:numPr>
          <w:ilvl w:val="0"/>
          <w:numId w:val="1"/>
        </w:numPr>
        <w:spacing w:after="140" w:line="290" w:lineRule="auto"/>
        <w:ind w:left="720" w:hanging="360"/>
        <w:rPr>
          <w:rFonts w:ascii="Inter" w:cs="Inter" w:eastAsia="Inter" w:hAnsi="Inter"/>
          <w:b w:val="1"/>
          <w:i w:val="1"/>
        </w:rPr>
      </w:pPr>
      <w:r w:rsidDel="00000000" w:rsidR="00000000" w:rsidRPr="00000000">
        <w:rPr>
          <w:rFonts w:ascii="Inter" w:cs="Inter" w:eastAsia="Inter" w:hAnsi="Inter"/>
          <w:b w:val="1"/>
          <w:rtl w:val="0"/>
        </w:rPr>
        <w:t xml:space="preserve"> </w:t>
      </w:r>
      <w:r w:rsidDel="00000000" w:rsidR="00000000" w:rsidRPr="00000000">
        <w:rPr>
          <w:rFonts w:ascii="Inter" w:cs="Inter" w:eastAsia="Inter" w:hAnsi="Inter"/>
          <w:b w:val="1"/>
          <w:i w:val="1"/>
          <w:rtl w:val="0"/>
        </w:rPr>
        <w:t xml:space="preserve">2(1)(a) potential loss which the UCITS may incur with respect to holding those instruments is limited to the amount paid for them;</w:t>
      </w:r>
      <w:r w:rsidDel="00000000" w:rsidR="00000000" w:rsidRPr="00000000">
        <w:rPr>
          <w:rtl w:val="0"/>
        </w:rPr>
      </w:r>
    </w:p>
    <w:p w:rsidR="00000000" w:rsidDel="00000000" w:rsidP="00000000" w:rsidRDefault="00000000" w:rsidRPr="00000000" w14:paraId="00000090">
      <w:pPr>
        <w:spacing w:after="200" w:line="290.4" w:lineRule="auto"/>
        <w:rPr>
          <w:rFonts w:ascii="Inter" w:cs="Inter" w:eastAsia="Inter" w:hAnsi="Inter"/>
        </w:rPr>
      </w:pPr>
      <w:r w:rsidDel="00000000" w:rsidR="00000000" w:rsidRPr="00000000">
        <w:rPr>
          <w:rFonts w:ascii="Inter" w:cs="Inter" w:eastAsia="Inter" w:hAnsi="Inter"/>
          <w:rtl w:val="0"/>
        </w:rPr>
        <w:t xml:space="preserve">Holding MiCAR Crypto-Assets should not subject a UCITS to potential loss (or risk exposure) greater than the amount paid for them, because crypto assets generally can't incur liabilities beyond this amount by nature. MiCAR defines ”crypto-asset” as a “digital representation of a value or of a right that is able to be transferred and stored electronically using distributed ledger technology or similar technology”</w:t>
      </w:r>
      <w:r w:rsidDel="00000000" w:rsidR="00000000" w:rsidRPr="00000000">
        <w:rPr>
          <w:rFonts w:ascii="Inter" w:cs="Inter" w:eastAsia="Inter" w:hAnsi="Inter"/>
          <w:vertAlign w:val="superscript"/>
        </w:rPr>
        <w:footnoteReference w:customMarkFollows="0" w:id="14"/>
      </w:r>
      <w:r w:rsidDel="00000000" w:rsidR="00000000" w:rsidRPr="00000000">
        <w:rPr>
          <w:rFonts w:ascii="Inter" w:cs="Inter" w:eastAsia="Inter" w:hAnsi="Inter"/>
          <w:rtl w:val="0"/>
        </w:rPr>
        <w:t xml:space="preserve"> The definition does not include assets which extend obligations or liabilities to the asset holder, nor does it include derivatives in relation to crypto-assets. As such, no profit or loss is possible other than related to the intrinsic value of the digital asset itself, making it not possible for any loss to be greater than the amount paid for it. </w:t>
      </w:r>
    </w:p>
    <w:p w:rsidR="00000000" w:rsidDel="00000000" w:rsidP="00000000" w:rsidRDefault="00000000" w:rsidRPr="00000000" w14:paraId="00000091">
      <w:pPr>
        <w:numPr>
          <w:ilvl w:val="0"/>
          <w:numId w:val="12"/>
        </w:numPr>
        <w:spacing w:after="140" w:line="290" w:lineRule="auto"/>
        <w:ind w:left="720" w:hanging="360"/>
        <w:rPr>
          <w:rFonts w:ascii="Inter" w:cs="Inter" w:eastAsia="Inter" w:hAnsi="Inter"/>
          <w:b w:val="1"/>
          <w:i w:val="1"/>
        </w:rPr>
      </w:pPr>
      <w:r w:rsidDel="00000000" w:rsidR="00000000" w:rsidRPr="00000000">
        <w:rPr>
          <w:rFonts w:ascii="Inter" w:cs="Inter" w:eastAsia="Inter" w:hAnsi="Inter"/>
          <w:b w:val="1"/>
          <w:i w:val="1"/>
          <w:rtl w:val="0"/>
        </w:rPr>
        <w:t xml:space="preserve">(b) their liquidity does not compromise the ability of the UCITS to comply with Article 37 of Directive/611/EEC;</w:t>
      </w:r>
      <w:r w:rsidDel="00000000" w:rsidR="00000000" w:rsidRPr="00000000">
        <w:rPr>
          <w:rFonts w:ascii="Inter" w:cs="Inter" w:eastAsia="Inter" w:hAnsi="Inter"/>
          <w:b w:val="1"/>
          <w:i w:val="1"/>
          <w:vertAlign w:val="superscript"/>
        </w:rPr>
        <w:footnoteReference w:customMarkFollows="0" w:id="15"/>
      </w:r>
      <w:r w:rsidDel="00000000" w:rsidR="00000000" w:rsidRPr="00000000">
        <w:rPr>
          <w:rFonts w:ascii="Inter" w:cs="Inter" w:eastAsia="Inter" w:hAnsi="Inter"/>
          <w:b w:val="1"/>
          <w:i w:val="1"/>
          <w:rtl w:val="0"/>
        </w:rPr>
        <w:t xml:space="preserve"> </w:t>
      </w:r>
    </w:p>
    <w:p w:rsidR="00000000" w:rsidDel="00000000" w:rsidP="00000000" w:rsidRDefault="00000000" w:rsidRPr="00000000" w14:paraId="00000092">
      <w:pPr>
        <w:spacing w:after="200" w:line="290.4" w:lineRule="auto"/>
        <w:rPr>
          <w:rFonts w:ascii="Inter" w:cs="Inter" w:eastAsia="Inter" w:hAnsi="Inter"/>
        </w:rPr>
      </w:pPr>
      <w:r w:rsidDel="00000000" w:rsidR="00000000" w:rsidRPr="00000000">
        <w:rPr>
          <w:rFonts w:ascii="Inter" w:cs="Inter" w:eastAsia="Inter" w:hAnsi="Inter"/>
          <w:rtl w:val="0"/>
        </w:rPr>
        <w:t xml:space="preserve">It is already well-understood that asset classes can have wildly different liquidity characteristics, and the same is true for the set of assets within each of those classes. For example, debt securities are generally far less liquid than equity securities. And some equities can be vastly more or less liquid than others equities.</w:t>
      </w:r>
      <w:r w:rsidDel="00000000" w:rsidR="00000000" w:rsidRPr="00000000">
        <w:rPr>
          <w:rFonts w:ascii="Inter" w:cs="Inter" w:eastAsia="Inter" w:hAnsi="Inter"/>
          <w:vertAlign w:val="superscript"/>
        </w:rPr>
        <w:footnoteReference w:customMarkFollows="0" w:id="16"/>
      </w:r>
      <w:r w:rsidDel="00000000" w:rsidR="00000000" w:rsidRPr="00000000">
        <w:rPr>
          <w:rFonts w:ascii="Inter" w:cs="Inter" w:eastAsia="Inter" w:hAnsi="Inter"/>
          <w:rtl w:val="0"/>
        </w:rPr>
        <w:t xml:space="preserve"> The same will be true for MiCAR Crypto-Assets, hence we do not see that MiCAR Crypto-Assets should be treated differently from traditional financial instruments in this regard. </w:t>
      </w:r>
    </w:p>
    <w:p w:rsidR="00000000" w:rsidDel="00000000" w:rsidP="00000000" w:rsidRDefault="00000000" w:rsidRPr="00000000" w14:paraId="00000093">
      <w:pPr>
        <w:spacing w:after="200" w:line="290.4" w:lineRule="auto"/>
        <w:rPr>
          <w:rFonts w:ascii="Inter" w:cs="Inter" w:eastAsia="Inter" w:hAnsi="Inter"/>
        </w:rPr>
      </w:pPr>
      <w:r w:rsidDel="00000000" w:rsidR="00000000" w:rsidRPr="00000000">
        <w:rPr>
          <w:rFonts w:ascii="Inter" w:cs="Inter" w:eastAsia="Inter" w:hAnsi="Inter"/>
          <w:rtl w:val="0"/>
        </w:rPr>
        <w:t xml:space="preserve">The liquidity of the portfolio of UCITS is also dependent on the key investment features of such UCITS. As such, it is accepted that the liquidity of a UCITS portfolio cannot be defined following a predetermined checklist. Instead, such UCITS should take into account a number of factors such as</w:t>
      </w:r>
      <w:r w:rsidDel="00000000" w:rsidR="00000000" w:rsidRPr="00000000">
        <w:rPr>
          <w:rFonts w:ascii="Inter" w:cs="Inter" w:eastAsia="Inter" w:hAnsi="Inter"/>
          <w:vertAlign w:val="superscript"/>
        </w:rPr>
        <w:footnoteReference w:customMarkFollows="0" w:id="17"/>
      </w:r>
      <w:r w:rsidDel="00000000" w:rsidR="00000000" w:rsidRPr="00000000">
        <w:rPr>
          <w:rFonts w:ascii="Inter" w:cs="Inter" w:eastAsia="Inter" w:hAnsi="Inter"/>
          <w:rtl w:val="0"/>
        </w:rPr>
        <w:t xml:space="preserve">: </w:t>
      </w:r>
    </w:p>
    <w:p w:rsidR="00000000" w:rsidDel="00000000" w:rsidP="00000000" w:rsidRDefault="00000000" w:rsidRPr="00000000" w14:paraId="00000094">
      <w:pPr>
        <w:numPr>
          <w:ilvl w:val="0"/>
          <w:numId w:val="9"/>
        </w:numPr>
        <w:spacing w:after="80" w:line="290.4" w:lineRule="auto"/>
        <w:ind w:left="720" w:hanging="360"/>
        <w:rPr>
          <w:rFonts w:ascii="Inter" w:cs="Inter" w:eastAsia="Inter" w:hAnsi="Inter"/>
        </w:rPr>
      </w:pPr>
      <w:r w:rsidDel="00000000" w:rsidR="00000000" w:rsidRPr="00000000">
        <w:rPr>
          <w:rFonts w:ascii="Inter" w:cs="Inter" w:eastAsia="Inter" w:hAnsi="Inter"/>
          <w:rtl w:val="0"/>
        </w:rPr>
        <w:t xml:space="preserve">volume and turnover in the transferable security;</w:t>
      </w:r>
    </w:p>
    <w:p w:rsidR="00000000" w:rsidDel="00000000" w:rsidP="00000000" w:rsidRDefault="00000000" w:rsidRPr="00000000" w14:paraId="00000095">
      <w:pPr>
        <w:numPr>
          <w:ilvl w:val="0"/>
          <w:numId w:val="9"/>
        </w:numPr>
        <w:spacing w:after="80" w:line="290.4" w:lineRule="auto"/>
        <w:ind w:left="720" w:hanging="360"/>
        <w:rPr>
          <w:rFonts w:ascii="Inter" w:cs="Inter" w:eastAsia="Inter" w:hAnsi="Inter"/>
        </w:rPr>
      </w:pPr>
      <w:r w:rsidDel="00000000" w:rsidR="00000000" w:rsidRPr="00000000">
        <w:rPr>
          <w:rFonts w:ascii="Inter" w:cs="Inter" w:eastAsia="Inter" w:hAnsi="Inter"/>
          <w:rtl w:val="0"/>
        </w:rPr>
        <w:t xml:space="preserve">if price is determined by supply and demand in the market; the issue size; the portion of the issue that the asset manager plans to buy; and evaluation of the opportunity and timeframe to buy or sell;</w:t>
      </w:r>
    </w:p>
    <w:p w:rsidR="00000000" w:rsidDel="00000000" w:rsidP="00000000" w:rsidRDefault="00000000" w:rsidRPr="00000000" w14:paraId="00000096">
      <w:pPr>
        <w:numPr>
          <w:ilvl w:val="0"/>
          <w:numId w:val="9"/>
        </w:numPr>
        <w:spacing w:after="80" w:line="290.4" w:lineRule="auto"/>
        <w:ind w:left="720" w:hanging="360"/>
        <w:rPr>
          <w:rFonts w:ascii="Inter" w:cs="Inter" w:eastAsia="Inter" w:hAnsi="Inter"/>
        </w:rPr>
      </w:pPr>
      <w:r w:rsidDel="00000000" w:rsidR="00000000" w:rsidRPr="00000000">
        <w:rPr>
          <w:rFonts w:ascii="Inter" w:cs="Inter" w:eastAsia="Inter" w:hAnsi="Inter"/>
          <w:rtl w:val="0"/>
        </w:rPr>
        <w:t xml:space="preserve">where necessary, an independent analysis of bid and offer prices over a period of time may indicate the relative liquidity and marketability of the instrument, as may the comparability of available prices; and</w:t>
      </w:r>
    </w:p>
    <w:p w:rsidR="00000000" w:rsidDel="00000000" w:rsidP="00000000" w:rsidRDefault="00000000" w:rsidRPr="00000000" w14:paraId="00000097">
      <w:pPr>
        <w:numPr>
          <w:ilvl w:val="0"/>
          <w:numId w:val="9"/>
        </w:numPr>
        <w:spacing w:after="80" w:line="290.4" w:lineRule="auto"/>
        <w:ind w:left="720" w:hanging="360"/>
        <w:rPr>
          <w:rFonts w:ascii="Inter" w:cs="Inter" w:eastAsia="Inter" w:hAnsi="Inter"/>
        </w:rPr>
      </w:pPr>
      <w:r w:rsidDel="00000000" w:rsidR="00000000" w:rsidRPr="00000000">
        <w:rPr>
          <w:rFonts w:ascii="Inter" w:cs="Inter" w:eastAsia="Inter" w:hAnsi="Inter"/>
          <w:rtl w:val="0"/>
        </w:rPr>
        <w:t xml:space="preserve">in assessing the quality of secondary market activity in a transferable security, analysis of the quality and number of intermediaries and market makers dealing in the transferable security concerned should be considered.</w:t>
      </w:r>
    </w:p>
    <w:p w:rsidR="00000000" w:rsidDel="00000000" w:rsidP="00000000" w:rsidRDefault="00000000" w:rsidRPr="00000000" w14:paraId="00000098">
      <w:pPr>
        <w:spacing w:after="140" w:line="290" w:lineRule="auto"/>
        <w:rPr>
          <w:rFonts w:ascii="Inter" w:cs="Inter" w:eastAsia="Inter" w:hAnsi="Inter"/>
        </w:rPr>
      </w:pPr>
      <w:r w:rsidDel="00000000" w:rsidR="00000000" w:rsidRPr="00000000">
        <w:rPr>
          <w:rFonts w:ascii="Inter" w:cs="Inter" w:eastAsia="Inter" w:hAnsi="Inter"/>
          <w:rtl w:val="0"/>
        </w:rPr>
        <w:t xml:space="preserve">These criteria (altogether, the </w:t>
      </w:r>
      <w:r w:rsidDel="00000000" w:rsidR="00000000" w:rsidRPr="00000000">
        <w:rPr>
          <w:rFonts w:ascii="Inter" w:cs="Inter" w:eastAsia="Inter" w:hAnsi="Inter"/>
          <w:b w:val="1"/>
          <w:rtl w:val="0"/>
        </w:rPr>
        <w:t xml:space="preserve">Liquidity Criteria</w:t>
      </w:r>
      <w:r w:rsidDel="00000000" w:rsidR="00000000" w:rsidRPr="00000000">
        <w:rPr>
          <w:rFonts w:ascii="Inter" w:cs="Inter" w:eastAsia="Inter" w:hAnsi="Inter"/>
          <w:rtl w:val="0"/>
        </w:rPr>
        <w:t xml:space="preserve">) can easily be applied to crypto-assets. As we can see in the analysis below, the global liquidity of crypto-assets significantly surpasses that of traditional securities traded in both European or American markets.</w:t>
      </w:r>
      <w:r w:rsidDel="00000000" w:rsidR="00000000" w:rsidRPr="00000000">
        <w:rPr>
          <w:rFonts w:ascii="Inter" w:cs="Inter" w:eastAsia="Inter" w:hAnsi="Inter"/>
          <w:vertAlign w:val="superscript"/>
        </w:rPr>
        <w:footnoteReference w:customMarkFollows="0" w:id="18"/>
      </w:r>
      <w:r w:rsidDel="00000000" w:rsidR="00000000" w:rsidRPr="00000000">
        <w:rPr>
          <w:rtl w:val="0"/>
        </w:rPr>
      </w:r>
    </w:p>
    <w:p w:rsidR="00000000" w:rsidDel="00000000" w:rsidP="00000000" w:rsidRDefault="00000000" w:rsidRPr="00000000" w14:paraId="00000099">
      <w:pPr>
        <w:spacing w:after="140" w:line="290" w:lineRule="auto"/>
        <w:rPr>
          <w:rFonts w:ascii="Inter" w:cs="Inter" w:eastAsia="Inter" w:hAnsi="Inter"/>
        </w:rPr>
      </w:pPr>
      <w:r w:rsidDel="00000000" w:rsidR="00000000" w:rsidRPr="00000000">
        <w:rPr>
          <w:rFonts w:ascii="Inter" w:cs="Inter" w:eastAsia="Inter" w:hAnsi="Inter"/>
          <w:rtl w:val="0"/>
        </w:rPr>
        <w:t xml:space="preserve">Figure 1 compares the global trading volume of the largest crypto-assets (red dots) to the largest equity securities (black dots) traded on EU markets, represented by the EURO STOXX 50. Notably, the trading volume of crypto-assets is, on average, an order of magnitude higher than that of EU stocks of the same market capitalization.</w:t>
      </w:r>
    </w:p>
    <w:p w:rsidR="00000000" w:rsidDel="00000000" w:rsidP="00000000" w:rsidRDefault="00000000" w:rsidRPr="00000000" w14:paraId="0000009A">
      <w:pPr>
        <w:keepNext w:val="1"/>
        <w:spacing w:after="140" w:line="290" w:lineRule="auto"/>
        <w:rPr>
          <w:rFonts w:ascii="Inter" w:cs="Inter" w:eastAsia="Inter" w:hAnsi="Inter"/>
          <w:b w:val="1"/>
        </w:rPr>
      </w:pPr>
      <w:r w:rsidDel="00000000" w:rsidR="00000000" w:rsidRPr="00000000">
        <w:rPr>
          <w:rFonts w:ascii="Inter" w:cs="Inter" w:eastAsia="Inter" w:hAnsi="Inter"/>
          <w:b w:val="1"/>
          <w:rtl w:val="0"/>
        </w:rPr>
        <w:t xml:space="preserve">Figure 1.</w:t>
      </w:r>
    </w:p>
    <w:p w:rsidR="00000000" w:rsidDel="00000000" w:rsidP="00000000" w:rsidRDefault="00000000" w:rsidRPr="00000000" w14:paraId="0000009B">
      <w:pPr>
        <w:spacing w:after="140" w:line="290" w:lineRule="auto"/>
        <w:ind w:left="720" w:firstLine="0"/>
        <w:rPr>
          <w:rFonts w:ascii="Inter" w:cs="Inter" w:eastAsia="Inter" w:hAnsi="Inter"/>
        </w:rPr>
      </w:pPr>
      <w:r w:rsidDel="00000000" w:rsidR="00000000" w:rsidRPr="00000000">
        <w:rPr>
          <w:rFonts w:ascii="Inter" w:cs="Inter" w:eastAsia="Inter" w:hAnsi="Inter"/>
        </w:rPr>
        <w:drawing>
          <wp:inline distB="114300" distT="114300" distL="114300" distR="114300">
            <wp:extent cx="4325404" cy="3666889"/>
            <wp:effectExtent b="0" l="0" r="0" t="0"/>
            <wp:docPr id="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4325404" cy="3666889"/>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after="140" w:line="290" w:lineRule="auto"/>
        <w:ind w:left="720" w:firstLine="0"/>
        <w:rPr>
          <w:rFonts w:ascii="Inter" w:cs="Inter" w:eastAsia="Inter" w:hAnsi="Inter"/>
        </w:rPr>
      </w:pPr>
      <w:r w:rsidDel="00000000" w:rsidR="00000000" w:rsidRPr="00000000">
        <w:rPr>
          <w:rtl w:val="0"/>
        </w:rPr>
      </w:r>
    </w:p>
    <w:p w:rsidR="00000000" w:rsidDel="00000000" w:rsidP="00000000" w:rsidRDefault="00000000" w:rsidRPr="00000000" w14:paraId="0000009D">
      <w:pPr>
        <w:spacing w:after="140" w:line="290" w:lineRule="auto"/>
        <w:rPr>
          <w:rFonts w:ascii="Inter" w:cs="Inter" w:eastAsia="Inter" w:hAnsi="Inter"/>
        </w:rPr>
      </w:pPr>
      <w:r w:rsidDel="00000000" w:rsidR="00000000" w:rsidRPr="00000000">
        <w:rPr>
          <w:rFonts w:ascii="Inter" w:cs="Inter" w:eastAsia="Inter" w:hAnsi="Inter"/>
          <w:rtl w:val="0"/>
        </w:rPr>
        <w:t xml:space="preserve">Further, Figure 2 shows that the top two global crypto assets, Bitcoin and Ethereum, have bid-ask spreads (as a percent of their spot prices) that are narrower than all constituents of the S&amp;P 500 index except for Apple (AAPL). Moreover, these liquidity characteristics reflect a market that trades 24/7, 365 days per year, such that liquidity would be available at all times, demonstrating far superior liquidity and market quality characteristics than traditional securities. </w:t>
      </w:r>
    </w:p>
    <w:p w:rsidR="00000000" w:rsidDel="00000000" w:rsidP="00000000" w:rsidRDefault="00000000" w:rsidRPr="00000000" w14:paraId="0000009E">
      <w:pPr>
        <w:keepNext w:val="1"/>
        <w:spacing w:after="140" w:line="290" w:lineRule="auto"/>
        <w:rPr>
          <w:rFonts w:ascii="Inter" w:cs="Inter" w:eastAsia="Inter" w:hAnsi="Inter"/>
          <w:b w:val="1"/>
        </w:rPr>
      </w:pPr>
      <w:r w:rsidDel="00000000" w:rsidR="00000000" w:rsidRPr="00000000">
        <w:rPr>
          <w:rFonts w:ascii="Inter" w:cs="Inter" w:eastAsia="Inter" w:hAnsi="Inter"/>
          <w:b w:val="1"/>
          <w:rtl w:val="0"/>
        </w:rPr>
        <w:t xml:space="preserve">Figure 2. </w:t>
      </w:r>
    </w:p>
    <w:p w:rsidR="00000000" w:rsidDel="00000000" w:rsidP="00000000" w:rsidRDefault="00000000" w:rsidRPr="00000000" w14:paraId="0000009F">
      <w:pPr>
        <w:spacing w:after="140" w:line="290" w:lineRule="auto"/>
        <w:ind w:left="720" w:firstLine="0"/>
        <w:rPr>
          <w:rFonts w:ascii="Inter" w:cs="Inter" w:eastAsia="Inter" w:hAnsi="Inter"/>
        </w:rPr>
      </w:pPr>
      <w:r w:rsidDel="00000000" w:rsidR="00000000" w:rsidRPr="00000000">
        <w:rPr>
          <w:rFonts w:ascii="Inter" w:cs="Inter" w:eastAsia="Inter" w:hAnsi="Inter"/>
        </w:rPr>
        <w:drawing>
          <wp:inline distB="114300" distT="114300" distL="114300" distR="114300">
            <wp:extent cx="4319588" cy="3857492"/>
            <wp:effectExtent b="0" l="0" r="0" t="0"/>
            <wp:docPr id="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4319588" cy="3857492"/>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after="140" w:line="290" w:lineRule="auto"/>
        <w:rPr>
          <w:rFonts w:ascii="Inter" w:cs="Inter" w:eastAsia="Inter" w:hAnsi="Inter"/>
        </w:rPr>
      </w:pPr>
      <w:r w:rsidDel="00000000" w:rsidR="00000000" w:rsidRPr="00000000">
        <w:rPr>
          <w:rFonts w:ascii="Inter" w:cs="Inter" w:eastAsia="Inter" w:hAnsi="Inter"/>
          <w:rtl w:val="0"/>
        </w:rPr>
        <w:t xml:space="preserve">Crypto assets also offer novel economic exposures and considerable diversification benefits to UCITS portfolios. In particular, the top 10 crypto assets demonstrate higher volatility, a proxy for risk (Figure 3) but exceptionally low correlation with the Euro STOXX 50 (Figure 4). This gives UCITS portfolios an ability to lower portfolio risk and thus improve the efficient investment frontier. For example, while the global equities market may underperform and be subject to sale pressures, the crypto-asset market may be more resilient, offer more liquidity and act as a safe investment opportunity at times of uncertainty. </w:t>
      </w:r>
    </w:p>
    <w:p w:rsidR="00000000" w:rsidDel="00000000" w:rsidP="00000000" w:rsidRDefault="00000000" w:rsidRPr="00000000" w14:paraId="000000A1">
      <w:pPr>
        <w:keepNext w:val="1"/>
        <w:spacing w:after="140" w:line="290" w:lineRule="auto"/>
        <w:rPr>
          <w:rFonts w:ascii="Inter" w:cs="Inter" w:eastAsia="Inter" w:hAnsi="Inter"/>
          <w:b w:val="1"/>
        </w:rPr>
      </w:pPr>
      <w:r w:rsidDel="00000000" w:rsidR="00000000" w:rsidRPr="00000000">
        <w:rPr>
          <w:rFonts w:ascii="Inter" w:cs="Inter" w:eastAsia="Inter" w:hAnsi="Inter"/>
          <w:b w:val="1"/>
          <w:rtl w:val="0"/>
        </w:rPr>
        <w:t xml:space="preserve">Figure 3.</w:t>
      </w:r>
    </w:p>
    <w:p w:rsidR="00000000" w:rsidDel="00000000" w:rsidP="00000000" w:rsidRDefault="00000000" w:rsidRPr="00000000" w14:paraId="000000A2">
      <w:pPr>
        <w:spacing w:after="140" w:line="290" w:lineRule="auto"/>
        <w:jc w:val="center"/>
        <w:rPr>
          <w:rFonts w:ascii="Inter" w:cs="Inter" w:eastAsia="Inter" w:hAnsi="Inter"/>
          <w:b w:val="1"/>
        </w:rPr>
      </w:pPr>
      <w:r w:rsidDel="00000000" w:rsidR="00000000" w:rsidRPr="00000000">
        <w:rPr>
          <w:rFonts w:ascii="Inter" w:cs="Inter" w:eastAsia="Inter" w:hAnsi="Inter"/>
          <w:b w:val="1"/>
        </w:rPr>
        <w:drawing>
          <wp:inline distB="114300" distT="114300" distL="114300" distR="114300">
            <wp:extent cx="4000147" cy="3300413"/>
            <wp:effectExtent b="0" l="0" r="0" t="0"/>
            <wp:docPr id="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000147" cy="3300413"/>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pacing w:after="140" w:line="290" w:lineRule="auto"/>
        <w:rPr>
          <w:rFonts w:ascii="Inter" w:cs="Inter" w:eastAsia="Inter" w:hAnsi="Inter"/>
          <w:b w:val="1"/>
        </w:rPr>
      </w:pPr>
      <w:r w:rsidDel="00000000" w:rsidR="00000000" w:rsidRPr="00000000">
        <w:rPr>
          <w:rFonts w:ascii="Inter" w:cs="Inter" w:eastAsia="Inter" w:hAnsi="Inter"/>
          <w:b w:val="1"/>
          <w:rtl w:val="0"/>
        </w:rPr>
        <w:t xml:space="preserve">Figure 4. </w:t>
      </w:r>
    </w:p>
    <w:p w:rsidR="00000000" w:rsidDel="00000000" w:rsidP="00000000" w:rsidRDefault="00000000" w:rsidRPr="00000000" w14:paraId="000000A4">
      <w:pPr>
        <w:spacing w:after="140" w:line="290" w:lineRule="auto"/>
        <w:jc w:val="center"/>
        <w:rPr>
          <w:rFonts w:ascii="Inter" w:cs="Inter" w:eastAsia="Inter" w:hAnsi="Inter"/>
        </w:rPr>
      </w:pPr>
      <w:r w:rsidDel="00000000" w:rsidR="00000000" w:rsidRPr="00000000">
        <w:rPr>
          <w:rFonts w:ascii="Inter" w:cs="Inter" w:eastAsia="Inter" w:hAnsi="Inter"/>
        </w:rPr>
        <w:drawing>
          <wp:inline distB="114300" distT="114300" distL="114300" distR="114300">
            <wp:extent cx="3871913" cy="3349714"/>
            <wp:effectExtent b="0" l="0" r="0" t="0"/>
            <wp:docPr id="6"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3871913" cy="3349714"/>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after="140" w:line="290" w:lineRule="auto"/>
        <w:ind w:left="720" w:firstLine="0"/>
        <w:rPr>
          <w:rFonts w:ascii="Inter" w:cs="Inter" w:eastAsia="Inter" w:hAnsi="Inter"/>
        </w:rPr>
      </w:pPr>
      <w:r w:rsidDel="00000000" w:rsidR="00000000" w:rsidRPr="00000000">
        <w:rPr>
          <w:rtl w:val="0"/>
        </w:rPr>
      </w:r>
    </w:p>
    <w:p w:rsidR="00000000" w:rsidDel="00000000" w:rsidP="00000000" w:rsidRDefault="00000000" w:rsidRPr="00000000" w14:paraId="000000A6">
      <w:pPr>
        <w:spacing w:after="140" w:line="290" w:lineRule="auto"/>
        <w:rPr>
          <w:rFonts w:ascii="Inter" w:cs="Inter" w:eastAsia="Inter" w:hAnsi="Inter"/>
          <w:sz w:val="20"/>
          <w:szCs w:val="20"/>
        </w:rPr>
      </w:pPr>
      <w:r w:rsidDel="00000000" w:rsidR="00000000" w:rsidRPr="00000000">
        <w:rPr>
          <w:rFonts w:ascii="Inter" w:cs="Inter" w:eastAsia="Inter" w:hAnsi="Inter"/>
          <w:rtl w:val="0"/>
        </w:rPr>
        <w:t xml:space="preserve">This diversification ensures the stability and liquidity of the overall UCITS portfolio, provided the exposure is adequately limited. Furthermore, incorporating crypto-assets as a new UCITS asset class will help distribute liquidity across markets, thereby addressing concerns about portfolio liquidity concentration in few asset classes.</w:t>
      </w:r>
      <w:r w:rsidDel="00000000" w:rsidR="00000000" w:rsidRPr="00000000">
        <w:rPr>
          <w:rtl w:val="0"/>
        </w:rPr>
      </w:r>
    </w:p>
    <w:p w:rsidR="00000000" w:rsidDel="00000000" w:rsidP="00000000" w:rsidRDefault="00000000" w:rsidRPr="00000000" w14:paraId="000000A7">
      <w:pPr>
        <w:spacing w:after="140" w:line="290" w:lineRule="auto"/>
        <w:rPr>
          <w:rFonts w:ascii="Inter" w:cs="Inter" w:eastAsia="Inter" w:hAnsi="Inter"/>
        </w:rPr>
      </w:pPr>
      <w:r w:rsidDel="00000000" w:rsidR="00000000" w:rsidRPr="00000000">
        <w:rPr>
          <w:rFonts w:ascii="Inter" w:cs="Inter" w:eastAsia="Inter" w:hAnsi="Inter"/>
          <w:rtl w:val="0"/>
        </w:rPr>
        <w:t xml:space="preserve">Lastly, we note that even if crypto-assets are included in the list of eligible assets, UCITS will still be required to assess whether specific crypto-assets satisfy the relevant liquidity criteria pursuant to Article 2(1)(b) of the UCITS EAD – i.e. assets cannot compromise the ability of the UCITS to comply with its obligation to repurchase or redeem its units or shares at the request of its investors. This will act as a further constraint on the types of crypto-asset which UCITS will invest in. </w:t>
      </w:r>
    </w:p>
    <w:p w:rsidR="00000000" w:rsidDel="00000000" w:rsidP="00000000" w:rsidRDefault="00000000" w:rsidRPr="00000000" w14:paraId="000000A8">
      <w:pPr>
        <w:numPr>
          <w:ilvl w:val="0"/>
          <w:numId w:val="11"/>
        </w:numPr>
        <w:spacing w:after="140" w:line="290" w:lineRule="auto"/>
        <w:ind w:left="720" w:hanging="360"/>
        <w:rPr>
          <w:rFonts w:ascii="Inter" w:cs="Inter" w:eastAsia="Inter" w:hAnsi="Inter"/>
          <w:b w:val="1"/>
          <w:i w:val="1"/>
        </w:rPr>
      </w:pPr>
      <w:r w:rsidDel="00000000" w:rsidR="00000000" w:rsidRPr="00000000">
        <w:rPr>
          <w:rFonts w:ascii="Inter" w:cs="Inter" w:eastAsia="Inter" w:hAnsi="Inter"/>
          <w:b w:val="1"/>
          <w:i w:val="1"/>
          <w:rtl w:val="0"/>
        </w:rPr>
        <w:t xml:space="preserve">(c) reliable valuation is available for them as follows:</w:t>
      </w:r>
    </w:p>
    <w:p w:rsidR="00000000" w:rsidDel="00000000" w:rsidP="00000000" w:rsidRDefault="00000000" w:rsidRPr="00000000" w14:paraId="000000A9">
      <w:pPr>
        <w:spacing w:after="140" w:line="290" w:lineRule="auto"/>
        <w:ind w:left="720" w:firstLine="0"/>
        <w:rPr>
          <w:rFonts w:ascii="Inter" w:cs="Inter" w:eastAsia="Inter" w:hAnsi="Inter"/>
          <w:i w:val="1"/>
        </w:rPr>
      </w:pPr>
      <w:r w:rsidDel="00000000" w:rsidR="00000000" w:rsidRPr="00000000">
        <w:rPr>
          <w:rFonts w:ascii="Inter" w:cs="Inter" w:eastAsia="Inter" w:hAnsi="Inter"/>
          <w:i w:val="1"/>
          <w:rtl w:val="0"/>
        </w:rPr>
        <w:t xml:space="preserve">(i) in the case of securities admitted to or dealt in on a regulated market as referred to in points (a) to (d) of Article 19(1) of Directive 85/611/EEC, in the form of accurate, reliable and regular prices which are either market prices or prices made available by valuation systems independent from issuers;</w:t>
      </w:r>
    </w:p>
    <w:p w:rsidR="00000000" w:rsidDel="00000000" w:rsidP="00000000" w:rsidRDefault="00000000" w:rsidRPr="00000000" w14:paraId="000000AA">
      <w:pPr>
        <w:spacing w:after="140" w:line="290" w:lineRule="auto"/>
        <w:ind w:left="720" w:firstLine="0"/>
        <w:rPr>
          <w:rFonts w:ascii="Inter" w:cs="Inter" w:eastAsia="Inter" w:hAnsi="Inter"/>
          <w:i w:val="1"/>
        </w:rPr>
      </w:pPr>
      <w:r w:rsidDel="00000000" w:rsidR="00000000" w:rsidRPr="00000000">
        <w:rPr>
          <w:rFonts w:ascii="Inter" w:cs="Inter" w:eastAsia="Inter" w:hAnsi="Inter"/>
          <w:i w:val="1"/>
          <w:rtl w:val="0"/>
        </w:rPr>
        <w:t xml:space="preserve">(ii) in the case of other securities as referred to in Article 19(2) of Directive 85/611/EEC, in the form of a valuation on a periodic basis which is derived from information from the issuer of the security or from competent investment research;</w:t>
      </w:r>
    </w:p>
    <w:p w:rsidR="00000000" w:rsidDel="00000000" w:rsidP="00000000" w:rsidRDefault="00000000" w:rsidRPr="00000000" w14:paraId="000000AB">
      <w:pPr>
        <w:spacing w:after="140" w:line="290" w:lineRule="auto"/>
        <w:rPr>
          <w:rFonts w:ascii="Inter" w:cs="Inter" w:eastAsia="Inter" w:hAnsi="Inter"/>
        </w:rPr>
      </w:pPr>
      <w:r w:rsidDel="00000000" w:rsidR="00000000" w:rsidRPr="00000000">
        <w:rPr>
          <w:rFonts w:ascii="Inter" w:cs="Inter" w:eastAsia="Inter" w:hAnsi="Inter"/>
          <w:rtl w:val="0"/>
        </w:rPr>
        <w:t xml:space="preserve">With respect to achieving reliable valuations, MiCAR requires trading platforms to have operational procedures in place, which should lead to valuations in relation to crypto-assets admitted to trading on those platforms being reliable. In particular, Article 77(2) requires trading platforms to publish a firm price of the crypto-assets or a method for determining the price of the crypto-assets that they propose to exchange for funds or other crypto-assets.</w:t>
      </w:r>
    </w:p>
    <w:p w:rsidR="00000000" w:rsidDel="00000000" w:rsidP="00000000" w:rsidRDefault="00000000" w:rsidRPr="00000000" w14:paraId="000000AC">
      <w:pPr>
        <w:spacing w:after="140" w:line="290" w:lineRule="auto"/>
        <w:rPr>
          <w:rFonts w:ascii="Inter" w:cs="Inter" w:eastAsia="Inter" w:hAnsi="Inter"/>
        </w:rPr>
      </w:pPr>
      <w:r w:rsidDel="00000000" w:rsidR="00000000" w:rsidRPr="00000000">
        <w:rPr>
          <w:rFonts w:ascii="Inter" w:cs="Inter" w:eastAsia="Inter" w:hAnsi="Inter"/>
          <w:rtl w:val="0"/>
        </w:rPr>
        <w:t xml:space="preserve">We also note that when seeking authorization under MiCAR (or submitting a notification if already regulated), crypto-asset trading platforms must describe their methodology for determining the price of crypto-assets that they propose to exchange for funds or other crypto-assets. This must include how the volume and market volatility of crypto-assets impact the pricing mechanism.</w:t>
      </w:r>
      <w:r w:rsidDel="00000000" w:rsidR="00000000" w:rsidRPr="00000000">
        <w:rPr>
          <w:rFonts w:ascii="Inter" w:cs="Inter" w:eastAsia="Inter" w:hAnsi="Inter"/>
          <w:vertAlign w:val="superscript"/>
        </w:rPr>
        <w:footnoteReference w:customMarkFollows="0" w:id="19"/>
      </w:r>
      <w:r w:rsidDel="00000000" w:rsidR="00000000" w:rsidRPr="00000000">
        <w:rPr>
          <w:rtl w:val="0"/>
        </w:rPr>
      </w:r>
    </w:p>
    <w:p w:rsidR="00000000" w:rsidDel="00000000" w:rsidP="00000000" w:rsidRDefault="00000000" w:rsidRPr="00000000" w14:paraId="000000AD">
      <w:pPr>
        <w:spacing w:after="140" w:line="290" w:lineRule="auto"/>
        <w:rPr>
          <w:rFonts w:ascii="Inter" w:cs="Inter" w:eastAsia="Inter" w:hAnsi="Inter"/>
        </w:rPr>
      </w:pPr>
      <w:r w:rsidDel="00000000" w:rsidR="00000000" w:rsidRPr="00000000">
        <w:rPr>
          <w:rFonts w:ascii="Inter" w:cs="Inter" w:eastAsia="Inter" w:hAnsi="Inter"/>
          <w:rtl w:val="0"/>
        </w:rPr>
        <w:t xml:space="preserve">Furthermore, trading platforms must also keep records about the price of the crypto-assets, or the method for determining their price, including noting if the crypto-asset can be exchanged for funds or crypto-assets, or both, and the amount of one crypto-asset exchanged for another.</w:t>
      </w:r>
      <w:r w:rsidDel="00000000" w:rsidR="00000000" w:rsidRPr="00000000">
        <w:rPr>
          <w:rFonts w:ascii="Inter" w:cs="Inter" w:eastAsia="Inter" w:hAnsi="Inter"/>
          <w:vertAlign w:val="superscript"/>
        </w:rPr>
        <w:footnoteReference w:customMarkFollows="0" w:id="20"/>
      </w:r>
      <w:r w:rsidDel="00000000" w:rsidR="00000000" w:rsidRPr="00000000">
        <w:rPr>
          <w:rtl w:val="0"/>
        </w:rPr>
      </w:r>
    </w:p>
    <w:p w:rsidR="00000000" w:rsidDel="00000000" w:rsidP="00000000" w:rsidRDefault="00000000" w:rsidRPr="00000000" w14:paraId="000000AE">
      <w:pPr>
        <w:spacing w:after="140" w:line="290" w:lineRule="auto"/>
        <w:rPr>
          <w:rFonts w:ascii="Inter" w:cs="Inter" w:eastAsia="Inter" w:hAnsi="Inter"/>
        </w:rPr>
      </w:pPr>
      <w:r w:rsidDel="00000000" w:rsidR="00000000" w:rsidRPr="00000000">
        <w:rPr>
          <w:rFonts w:ascii="Inter" w:cs="Inter" w:eastAsia="Inter" w:hAnsi="Inter"/>
          <w:rtl w:val="0"/>
        </w:rPr>
        <w:t xml:space="preserve">Even absent regulation, most crypto-asset trading platforms that operate globally offer a level of disclosure and trade transparency that is unparalleled in the traditional financial system. Order books and trading data are publicly accessible through APIs, providing anyone with access to high-quality, high-frequency data. This openness enhances market efficiency and liquidity.</w:t>
      </w:r>
    </w:p>
    <w:p w:rsidR="00000000" w:rsidDel="00000000" w:rsidP="00000000" w:rsidRDefault="00000000" w:rsidRPr="00000000" w14:paraId="000000AF">
      <w:pPr>
        <w:spacing w:after="140" w:line="290" w:lineRule="auto"/>
        <w:rPr>
          <w:rFonts w:ascii="Inter" w:cs="Inter" w:eastAsia="Inter" w:hAnsi="Inter"/>
        </w:rPr>
      </w:pPr>
      <w:r w:rsidDel="00000000" w:rsidR="00000000" w:rsidRPr="00000000">
        <w:rPr>
          <w:rFonts w:ascii="Inter" w:cs="Inter" w:eastAsia="Inter" w:hAnsi="Inter"/>
          <w:rtl w:val="0"/>
        </w:rPr>
        <w:t xml:space="preserve">The fact that MiCAR includes, and other jurisdictions are implementing, specific market abuse framework also supports the idea that reliable valuations would be available for MiCAR Crypto-Assets, as the market abuse framework should help to ensure that the price discovery mechanism is reliable. Articles 86-92 of MiCAR set out the core requirements in this regard, and include rules relating to the treatment of inside information concerning crypto-assets, prohibitions on insider dealing and market manipulation.</w:t>
      </w:r>
    </w:p>
    <w:p w:rsidR="00000000" w:rsidDel="00000000" w:rsidP="00000000" w:rsidRDefault="00000000" w:rsidRPr="00000000" w14:paraId="000000B0">
      <w:pPr>
        <w:numPr>
          <w:ilvl w:val="0"/>
          <w:numId w:val="2"/>
        </w:numPr>
        <w:spacing w:after="140" w:line="290" w:lineRule="auto"/>
        <w:ind w:left="720" w:hanging="360"/>
        <w:rPr>
          <w:rFonts w:ascii="Inter" w:cs="Inter" w:eastAsia="Inter" w:hAnsi="Inter"/>
          <w:b w:val="1"/>
          <w:i w:val="1"/>
        </w:rPr>
      </w:pPr>
      <w:r w:rsidDel="00000000" w:rsidR="00000000" w:rsidRPr="00000000">
        <w:rPr>
          <w:rFonts w:ascii="Inter" w:cs="Inter" w:eastAsia="Inter" w:hAnsi="Inter"/>
          <w:b w:val="1"/>
          <w:i w:val="1"/>
          <w:rtl w:val="0"/>
        </w:rPr>
        <w:t xml:space="preserve">(d) appropriate information is available for them as follows:</w:t>
      </w:r>
    </w:p>
    <w:p w:rsidR="00000000" w:rsidDel="00000000" w:rsidP="00000000" w:rsidRDefault="00000000" w:rsidRPr="00000000" w14:paraId="000000B1">
      <w:pPr>
        <w:spacing w:after="140" w:line="290" w:lineRule="auto"/>
        <w:ind w:left="720" w:firstLine="0"/>
        <w:rPr>
          <w:rFonts w:ascii="Inter" w:cs="Inter" w:eastAsia="Inter" w:hAnsi="Inter"/>
          <w:i w:val="1"/>
        </w:rPr>
      </w:pPr>
      <w:r w:rsidDel="00000000" w:rsidR="00000000" w:rsidRPr="00000000">
        <w:rPr>
          <w:rFonts w:ascii="Inter" w:cs="Inter" w:eastAsia="Inter" w:hAnsi="Inter"/>
          <w:i w:val="1"/>
          <w:rtl w:val="0"/>
        </w:rPr>
        <w:t xml:space="preserve">(i) in the case of securities admitted to or dealt in on a regulated market as referred to in points (a) to (d) of Article 19(1) of Directive 85/611/EEC, in the form of regular, accurate and comprehensive information to the market on the security or, where relevant, on the portfolio of the security;</w:t>
      </w:r>
    </w:p>
    <w:p w:rsidR="00000000" w:rsidDel="00000000" w:rsidP="00000000" w:rsidRDefault="00000000" w:rsidRPr="00000000" w14:paraId="000000B2">
      <w:pPr>
        <w:spacing w:after="140" w:line="290" w:lineRule="auto"/>
        <w:ind w:left="720" w:firstLine="0"/>
        <w:rPr>
          <w:rFonts w:ascii="Inter" w:cs="Inter" w:eastAsia="Inter" w:hAnsi="Inter"/>
          <w:i w:val="1"/>
        </w:rPr>
      </w:pPr>
      <w:r w:rsidDel="00000000" w:rsidR="00000000" w:rsidRPr="00000000">
        <w:rPr>
          <w:rFonts w:ascii="Inter" w:cs="Inter" w:eastAsia="Inter" w:hAnsi="Inter"/>
          <w:i w:val="1"/>
          <w:rtl w:val="0"/>
        </w:rPr>
        <w:t xml:space="preserve">(ii) in the case of other securities as referred to in Article 19(2) of Directive 85/611/EEC, in the form of regular and accurate information to the UCITS on the security or, where relevant, on the portfolio of the security;</w:t>
      </w:r>
    </w:p>
    <w:p w:rsidR="00000000" w:rsidDel="00000000" w:rsidP="00000000" w:rsidRDefault="00000000" w:rsidRPr="00000000" w14:paraId="000000B3">
      <w:pPr>
        <w:spacing w:after="140" w:line="290" w:lineRule="auto"/>
        <w:rPr>
          <w:rFonts w:ascii="Inter" w:cs="Inter" w:eastAsia="Inter" w:hAnsi="Inter"/>
        </w:rPr>
      </w:pPr>
      <w:r w:rsidDel="00000000" w:rsidR="00000000" w:rsidRPr="00000000">
        <w:rPr>
          <w:rFonts w:ascii="Inter" w:cs="Inter" w:eastAsia="Inter" w:hAnsi="Inter"/>
          <w:rtl w:val="0"/>
        </w:rPr>
        <w:t xml:space="preserve">The requirements to (i) publish a crypto-asset white paper and (ii) submit it to the relevant authority prior to seeking admission to trading of a crypto-asset under Article 5 MiCAR are consistent with the requirement to provide comprehensive information to the market under the UCITS EAD. </w:t>
      </w:r>
    </w:p>
    <w:p w:rsidR="00000000" w:rsidDel="00000000" w:rsidP="00000000" w:rsidRDefault="00000000" w:rsidRPr="00000000" w14:paraId="000000B4">
      <w:pPr>
        <w:spacing w:after="140" w:line="290" w:lineRule="auto"/>
        <w:rPr>
          <w:rFonts w:ascii="Inter" w:cs="Inter" w:eastAsia="Inter" w:hAnsi="Inter"/>
        </w:rPr>
      </w:pPr>
      <w:r w:rsidDel="00000000" w:rsidR="00000000" w:rsidRPr="00000000">
        <w:rPr>
          <w:rFonts w:ascii="Inter" w:cs="Inter" w:eastAsia="Inter" w:hAnsi="Inter"/>
          <w:rtl w:val="0"/>
        </w:rPr>
        <w:t xml:space="preserve">In our view, the prescriptive requirements as to content and form of a crypto-asset white paper under Article 6 MiCAR set standards equivalent to the UCITS EAD with respect to the form of regular and accurate information relevant to crypto-assets.</w:t>
      </w:r>
    </w:p>
    <w:p w:rsidR="00000000" w:rsidDel="00000000" w:rsidP="00000000" w:rsidRDefault="00000000" w:rsidRPr="00000000" w14:paraId="000000B5">
      <w:pPr>
        <w:spacing w:after="140" w:line="290" w:lineRule="auto"/>
        <w:rPr>
          <w:rFonts w:ascii="Inter" w:cs="Inter" w:eastAsia="Inter" w:hAnsi="Inter"/>
        </w:rPr>
      </w:pPr>
      <w:r w:rsidDel="00000000" w:rsidR="00000000" w:rsidRPr="00000000">
        <w:rPr>
          <w:rtl w:val="0"/>
        </w:rPr>
      </w:r>
    </w:p>
    <w:p w:rsidR="00000000" w:rsidDel="00000000" w:rsidP="00000000" w:rsidRDefault="00000000" w:rsidRPr="00000000" w14:paraId="000000B6">
      <w:pPr>
        <w:spacing w:after="140" w:line="290" w:lineRule="auto"/>
        <w:rPr>
          <w:rFonts w:ascii="Inter" w:cs="Inter" w:eastAsia="Inter" w:hAnsi="Inter"/>
        </w:rPr>
      </w:pPr>
      <w:r w:rsidDel="00000000" w:rsidR="00000000" w:rsidRPr="00000000">
        <w:rPr>
          <w:rtl w:val="0"/>
        </w:rPr>
      </w:r>
    </w:p>
    <w:p w:rsidR="00000000" w:rsidDel="00000000" w:rsidP="00000000" w:rsidRDefault="00000000" w:rsidRPr="00000000" w14:paraId="000000B7">
      <w:pPr>
        <w:numPr>
          <w:ilvl w:val="0"/>
          <w:numId w:val="4"/>
        </w:numPr>
        <w:spacing w:after="140" w:line="290" w:lineRule="auto"/>
        <w:ind w:left="720" w:hanging="360"/>
        <w:rPr>
          <w:rFonts w:ascii="Inter" w:cs="Inter" w:eastAsia="Inter" w:hAnsi="Inter"/>
          <w:b w:val="1"/>
          <w:i w:val="1"/>
        </w:rPr>
      </w:pPr>
      <w:r w:rsidDel="00000000" w:rsidR="00000000" w:rsidRPr="00000000">
        <w:rPr>
          <w:rFonts w:ascii="Inter" w:cs="Inter" w:eastAsia="Inter" w:hAnsi="Inter"/>
          <w:b w:val="1"/>
          <w:i w:val="1"/>
          <w:rtl w:val="0"/>
        </w:rPr>
        <w:t xml:space="preserve">(e) they are negotiable; </w:t>
      </w:r>
    </w:p>
    <w:p w:rsidR="00000000" w:rsidDel="00000000" w:rsidP="00000000" w:rsidRDefault="00000000" w:rsidRPr="00000000" w14:paraId="000000B8">
      <w:pPr>
        <w:spacing w:after="140" w:line="290" w:lineRule="auto"/>
        <w:rPr>
          <w:rFonts w:ascii="Inter" w:cs="Inter" w:eastAsia="Inter" w:hAnsi="Inter"/>
        </w:rPr>
      </w:pPr>
      <w:r w:rsidDel="00000000" w:rsidR="00000000" w:rsidRPr="00000000">
        <w:rPr>
          <w:rFonts w:ascii="Inter" w:cs="Inter" w:eastAsia="Inter" w:hAnsi="Inter"/>
          <w:rtl w:val="0"/>
        </w:rPr>
        <w:t xml:space="preserve">The final paragraph of Article 2(1) of the UCITS EAD states that unless there is information available to the UCITS that would lead to a different determination, financial instruments are presumed to be negotiable when they are admitted or dealt in on a regulated market.</w:t>
      </w:r>
    </w:p>
    <w:p w:rsidR="00000000" w:rsidDel="00000000" w:rsidP="00000000" w:rsidRDefault="00000000" w:rsidRPr="00000000" w14:paraId="000000B9">
      <w:pPr>
        <w:spacing w:after="140" w:line="290" w:lineRule="auto"/>
        <w:rPr>
          <w:rFonts w:ascii="Inter" w:cs="Inter" w:eastAsia="Inter" w:hAnsi="Inter"/>
        </w:rPr>
      </w:pPr>
      <w:r w:rsidDel="00000000" w:rsidR="00000000" w:rsidRPr="00000000">
        <w:rPr>
          <w:rFonts w:ascii="Inter" w:cs="Inter" w:eastAsia="Inter" w:hAnsi="Inter"/>
          <w:rtl w:val="0"/>
        </w:rPr>
        <w:t xml:space="preserve">As we detailed above, MiCAR Crypto Assets are traded on platforms that we believe should be treated as admitted or dealt in on a regulated market. While this is not typically the case for crypto-assets we note that the CESR concluded that a UCITS may invest in ‘</w:t>
      </w:r>
      <w:r w:rsidDel="00000000" w:rsidR="00000000" w:rsidRPr="00000000">
        <w:rPr>
          <w:rFonts w:ascii="Inter" w:cs="Inter" w:eastAsia="Inter" w:hAnsi="Inter"/>
          <w:i w:val="1"/>
          <w:rtl w:val="0"/>
        </w:rPr>
        <w:t xml:space="preserve">not freely negotiable</w:t>
      </w:r>
      <w:r w:rsidDel="00000000" w:rsidR="00000000" w:rsidRPr="00000000">
        <w:rPr>
          <w:rFonts w:ascii="Inter" w:cs="Inter" w:eastAsia="Inter" w:hAnsi="Inter"/>
          <w:rtl w:val="0"/>
        </w:rPr>
        <w:t xml:space="preserve">’ transferable securities, provided that it is aware of the existence of limitations to their transferability and that, notwithstanding that, it will be able to redeem units at the request of the unit holders.</w:t>
      </w:r>
      <w:r w:rsidDel="00000000" w:rsidR="00000000" w:rsidRPr="00000000">
        <w:rPr>
          <w:rFonts w:ascii="Inter" w:cs="Inter" w:eastAsia="Inter" w:hAnsi="Inter"/>
          <w:vertAlign w:val="superscript"/>
        </w:rPr>
        <w:footnoteReference w:customMarkFollows="0" w:id="21"/>
      </w:r>
      <w:r w:rsidDel="00000000" w:rsidR="00000000" w:rsidRPr="00000000">
        <w:rPr>
          <w:rFonts w:ascii="Inter" w:cs="Inter" w:eastAsia="Inter" w:hAnsi="Inter"/>
          <w:rtl w:val="0"/>
        </w:rPr>
        <w:t xml:space="preserve"> </w:t>
      </w:r>
    </w:p>
    <w:p w:rsidR="00000000" w:rsidDel="00000000" w:rsidP="00000000" w:rsidRDefault="00000000" w:rsidRPr="00000000" w14:paraId="000000BA">
      <w:pPr>
        <w:numPr>
          <w:ilvl w:val="0"/>
          <w:numId w:val="7"/>
        </w:numPr>
        <w:spacing w:after="140" w:line="290" w:lineRule="auto"/>
        <w:ind w:left="720" w:hanging="360"/>
        <w:rPr>
          <w:rFonts w:ascii="Inter" w:cs="Inter" w:eastAsia="Inter" w:hAnsi="Inter"/>
          <w:b w:val="1"/>
          <w:i w:val="1"/>
        </w:rPr>
      </w:pPr>
      <w:r w:rsidDel="00000000" w:rsidR="00000000" w:rsidRPr="00000000">
        <w:rPr>
          <w:rFonts w:ascii="Inter" w:cs="Inter" w:eastAsia="Inter" w:hAnsi="Inter"/>
          <w:b w:val="1"/>
          <w:i w:val="1"/>
          <w:rtl w:val="0"/>
        </w:rPr>
        <w:t xml:space="preserve">(f) their acquisition is consistent with the investment objectives or the investment policy, or both, of the UCITS pursuant to Directive 85/611/EEC;</w:t>
      </w:r>
    </w:p>
    <w:p w:rsidR="00000000" w:rsidDel="00000000" w:rsidP="00000000" w:rsidRDefault="00000000" w:rsidRPr="00000000" w14:paraId="000000BB">
      <w:pPr>
        <w:spacing w:after="140" w:line="290" w:lineRule="auto"/>
        <w:rPr>
          <w:rFonts w:ascii="Inter" w:cs="Inter" w:eastAsia="Inter" w:hAnsi="Inter"/>
        </w:rPr>
      </w:pPr>
      <w:r w:rsidDel="00000000" w:rsidR="00000000" w:rsidRPr="00000000">
        <w:rPr>
          <w:rFonts w:ascii="Inter" w:cs="Inter" w:eastAsia="Inter" w:hAnsi="Inter"/>
          <w:rtl w:val="0"/>
        </w:rPr>
        <w:t xml:space="preserve">As we have noted elsewhere, most recently in our </w:t>
      </w:r>
      <w:hyperlink r:id="rId15">
        <w:r w:rsidDel="00000000" w:rsidR="00000000" w:rsidRPr="00000000">
          <w:rPr>
            <w:rFonts w:ascii="Inter" w:cs="Inter" w:eastAsia="Inter" w:hAnsi="Inter"/>
            <w:color w:val="1155cc"/>
            <w:u w:val="single"/>
            <w:rtl w:val="0"/>
          </w:rPr>
          <w:t xml:space="preserve">response</w:t>
        </w:r>
      </w:hyperlink>
      <w:r w:rsidDel="00000000" w:rsidR="00000000" w:rsidRPr="00000000">
        <w:rPr>
          <w:rFonts w:ascii="Inter" w:cs="Inter" w:eastAsia="Inter" w:hAnsi="Inter"/>
          <w:rtl w:val="0"/>
        </w:rPr>
        <w:t xml:space="preserve"> to ESMA’s 3rd consultation under MiCA, suitability assessments in respect of crypto assets should take into consideration both the utility of a crypto asset as well as its potential as an investment. While crypto assets are designed to have intrinsic utility, they can be purchased for investment purposes that are entirely consistent with Directive 85/611/EEC </w:t>
      </w:r>
    </w:p>
    <w:p w:rsidR="00000000" w:rsidDel="00000000" w:rsidP="00000000" w:rsidRDefault="00000000" w:rsidRPr="00000000" w14:paraId="000000BC">
      <w:pPr>
        <w:spacing w:after="140" w:line="290" w:lineRule="auto"/>
        <w:rPr>
          <w:rFonts w:ascii="Inter" w:cs="Inter" w:eastAsia="Inter" w:hAnsi="Inter"/>
        </w:rPr>
      </w:pPr>
      <w:r w:rsidDel="00000000" w:rsidR="00000000" w:rsidRPr="00000000">
        <w:rPr>
          <w:rFonts w:ascii="Inter" w:cs="Inter" w:eastAsia="Inter" w:hAnsi="Inter"/>
          <w:rtl w:val="0"/>
        </w:rPr>
        <w:t xml:space="preserve">Ensuring consistency with the UCITS’ investment objectives or policy would be the responsibility of the UCITS when defining/amending its investment policy and performing the Suitability Assessment.</w:t>
      </w:r>
    </w:p>
    <w:p w:rsidR="00000000" w:rsidDel="00000000" w:rsidP="00000000" w:rsidRDefault="00000000" w:rsidRPr="00000000" w14:paraId="000000BD">
      <w:pPr>
        <w:numPr>
          <w:ilvl w:val="0"/>
          <w:numId w:val="8"/>
        </w:numPr>
        <w:spacing w:after="140" w:line="290" w:lineRule="auto"/>
        <w:ind w:left="720" w:hanging="360"/>
        <w:rPr>
          <w:rFonts w:ascii="Inter" w:cs="Inter" w:eastAsia="Inter" w:hAnsi="Inter"/>
          <w:b w:val="1"/>
          <w:i w:val="1"/>
        </w:rPr>
      </w:pPr>
      <w:r w:rsidDel="00000000" w:rsidR="00000000" w:rsidRPr="00000000">
        <w:rPr>
          <w:rFonts w:ascii="Inter" w:cs="Inter" w:eastAsia="Inter" w:hAnsi="Inter"/>
          <w:b w:val="1"/>
          <w:i w:val="1"/>
          <w:rtl w:val="0"/>
        </w:rPr>
        <w:t xml:space="preserve">(g) their risks are adequately captured by the risk management process of the UCITS.</w:t>
      </w:r>
      <w:r w:rsidDel="00000000" w:rsidR="00000000" w:rsidRPr="00000000">
        <w:rPr>
          <w:rtl w:val="0"/>
        </w:rPr>
      </w:r>
    </w:p>
    <w:p w:rsidR="00000000" w:rsidDel="00000000" w:rsidP="00000000" w:rsidRDefault="00000000" w:rsidRPr="00000000" w14:paraId="000000BE">
      <w:pPr>
        <w:spacing w:after="140" w:line="290" w:lineRule="auto"/>
        <w:rPr>
          <w:rFonts w:ascii="Inter" w:cs="Inter" w:eastAsia="Inter" w:hAnsi="Inter"/>
        </w:rPr>
      </w:pPr>
      <w:r w:rsidDel="00000000" w:rsidR="00000000" w:rsidRPr="00000000">
        <w:rPr>
          <w:rFonts w:ascii="Inter" w:cs="Inter" w:eastAsia="Inter" w:hAnsi="Inter"/>
          <w:rtl w:val="0"/>
        </w:rPr>
        <w:t xml:space="preserve">UCITS would be able to satisfy this requirement by appropriately drafting or amending its risk management process. There is no reason that a UCITS would not be able to appropriately manage the risks presented by MiCAR crypto-assets,especially given the disclosure criteria that are required to be satisfied before MiCAR Crypto- Assets can be admitted to trading under MiCAR.</w:t>
      </w:r>
    </w:p>
    <w:p w:rsidR="00000000" w:rsidDel="00000000" w:rsidP="00000000" w:rsidRDefault="00000000" w:rsidRPr="00000000" w14:paraId="000000BF">
      <w:pPr>
        <w:spacing w:after="140" w:line="290" w:lineRule="auto"/>
        <w:ind w:left="720" w:firstLine="0"/>
        <w:rPr>
          <w:rFonts w:ascii="Inter" w:cs="Inter" w:eastAsia="Inter" w:hAnsi="Inter"/>
        </w:rPr>
      </w:pPr>
      <w:r w:rsidDel="00000000" w:rsidR="00000000" w:rsidRPr="00000000">
        <w:rPr>
          <w:rtl w:val="0"/>
        </w:rPr>
      </w:r>
    </w:p>
    <w:p w:rsidR="00000000" w:rsidDel="00000000" w:rsidP="00000000" w:rsidRDefault="00000000" w:rsidRPr="00000000" w14:paraId="000000C0">
      <w:pPr>
        <w:pStyle w:val="Heading2"/>
        <w:spacing w:after="140" w:before="0" w:line="290" w:lineRule="auto"/>
        <w:rPr>
          <w:rFonts w:ascii="Inter" w:cs="Inter" w:eastAsia="Inter" w:hAnsi="Inter"/>
          <w:sz w:val="24"/>
          <w:szCs w:val="24"/>
        </w:rPr>
      </w:pPr>
      <w:bookmarkStart w:colFirst="0" w:colLast="0" w:name="_51yij2mphc95" w:id="3"/>
      <w:bookmarkEnd w:id="3"/>
      <w:r w:rsidDel="00000000" w:rsidR="00000000" w:rsidRPr="00000000">
        <w:rPr>
          <w:rFonts w:ascii="Inter" w:cs="Inter" w:eastAsia="Inter" w:hAnsi="Inter"/>
          <w:sz w:val="24"/>
          <w:szCs w:val="24"/>
          <w:rtl w:val="0"/>
        </w:rPr>
        <w:t xml:space="preserve">Stablecoins </w:t>
      </w:r>
    </w:p>
    <w:p w:rsidR="00000000" w:rsidDel="00000000" w:rsidP="00000000" w:rsidRDefault="00000000" w:rsidRPr="00000000" w14:paraId="000000C1">
      <w:pPr>
        <w:spacing w:after="200" w:line="290.4" w:lineRule="auto"/>
        <w:rPr>
          <w:rFonts w:ascii="Inter" w:cs="Inter" w:eastAsia="Inter" w:hAnsi="Inter"/>
        </w:rPr>
      </w:pPr>
      <w:r w:rsidDel="00000000" w:rsidR="00000000" w:rsidRPr="00000000">
        <w:rPr>
          <w:rFonts w:ascii="Inter" w:cs="Inter" w:eastAsia="Inter" w:hAnsi="Inter"/>
          <w:rtl w:val="0"/>
        </w:rPr>
        <w:t xml:space="preserve">Stablecoins regulated under MiCAR either as electronic money tokens or asset-referenced tokens are most analogous with transferable securities (for the reasons set out above) and money market instruments.</w:t>
      </w:r>
    </w:p>
    <w:p w:rsidR="00000000" w:rsidDel="00000000" w:rsidP="00000000" w:rsidRDefault="00000000" w:rsidRPr="00000000" w14:paraId="000000C2">
      <w:pPr>
        <w:spacing w:after="200" w:line="290.4" w:lineRule="auto"/>
        <w:rPr>
          <w:rFonts w:ascii="Inter" w:cs="Inter" w:eastAsia="Inter" w:hAnsi="Inter"/>
        </w:rPr>
      </w:pPr>
      <w:r w:rsidDel="00000000" w:rsidR="00000000" w:rsidRPr="00000000">
        <w:rPr>
          <w:rFonts w:ascii="Inter" w:cs="Inter" w:eastAsia="Inter" w:hAnsi="Inter"/>
          <w:rtl w:val="0"/>
        </w:rPr>
        <w:t xml:space="preserve">However, with respect to electronic money tokens and asset-referenced tokens where the reference assets are deposits or fiat currencies, there are also parallels with “deposits” under Article 50(1)(f) of the UCITS Directive. </w:t>
      </w:r>
    </w:p>
    <w:p w:rsidR="00000000" w:rsidDel="00000000" w:rsidP="00000000" w:rsidRDefault="00000000" w:rsidRPr="00000000" w14:paraId="000000C3">
      <w:pPr>
        <w:spacing w:after="140" w:line="290" w:lineRule="auto"/>
        <w:rPr>
          <w:rFonts w:ascii="Inter" w:cs="Inter" w:eastAsia="Inter" w:hAnsi="Inter"/>
        </w:rPr>
      </w:pPr>
      <w:r w:rsidDel="00000000" w:rsidR="00000000" w:rsidRPr="00000000">
        <w:rPr>
          <w:rFonts w:ascii="Inter" w:cs="Inter" w:eastAsia="Inter" w:hAnsi="Inter"/>
          <w:rtl w:val="0"/>
        </w:rPr>
        <w:t xml:space="preserve">Money market instruments share a number of features with transferable securities that also make them a good proxy for MiCAR Stablecoins. Here, too, many of the requirements for money market funds to be considered eligible under the UCITS EAD are satisfied or presumed satisfied where the instruments trade on a regulated venue. As we note above, we think trading on a crypto- asset trading platform regulated under MiCAR (or similarly regulated non-EU venue) achieves the same end.</w:t>
      </w:r>
    </w:p>
    <w:p w:rsidR="00000000" w:rsidDel="00000000" w:rsidP="00000000" w:rsidRDefault="00000000" w:rsidRPr="00000000" w14:paraId="000000C4">
      <w:pPr>
        <w:spacing w:after="140" w:line="290" w:lineRule="auto"/>
        <w:rPr>
          <w:rFonts w:ascii="Inter" w:cs="Inter" w:eastAsia="Inter" w:hAnsi="Inter"/>
        </w:rPr>
      </w:pPr>
      <w:r w:rsidDel="00000000" w:rsidR="00000000" w:rsidRPr="00000000">
        <w:rPr>
          <w:rFonts w:ascii="Inter" w:cs="Inter" w:eastAsia="Inter" w:hAnsi="Inter"/>
          <w:rtl w:val="0"/>
        </w:rPr>
        <w:t xml:space="preserve">For example, </w:t>
      </w:r>
    </w:p>
    <w:p w:rsidR="00000000" w:rsidDel="00000000" w:rsidP="00000000" w:rsidRDefault="00000000" w:rsidRPr="00000000" w14:paraId="000000C5">
      <w:pPr>
        <w:numPr>
          <w:ilvl w:val="0"/>
          <w:numId w:val="10"/>
        </w:numPr>
        <w:spacing w:after="140" w:line="290" w:lineRule="auto"/>
        <w:ind w:left="720" w:hanging="360"/>
        <w:rPr>
          <w:rFonts w:ascii="Inter" w:cs="Inter" w:eastAsia="Inter" w:hAnsi="Inter"/>
        </w:rPr>
      </w:pPr>
      <w:r w:rsidDel="00000000" w:rsidR="00000000" w:rsidRPr="00000000">
        <w:rPr>
          <w:rFonts w:ascii="Inter" w:cs="Inter" w:eastAsia="Inter" w:hAnsi="Inter"/>
          <w:rtl w:val="0"/>
        </w:rPr>
        <w:t xml:space="preserve">Article 50(1)(a)-(c) of the UCITS Directive is generally designed to capture instruments which are traded on a regulated venue. </w:t>
      </w:r>
    </w:p>
    <w:p w:rsidR="00000000" w:rsidDel="00000000" w:rsidP="00000000" w:rsidRDefault="00000000" w:rsidRPr="00000000" w14:paraId="000000C6">
      <w:pPr>
        <w:numPr>
          <w:ilvl w:val="0"/>
          <w:numId w:val="10"/>
        </w:numPr>
        <w:spacing w:after="140" w:line="290" w:lineRule="auto"/>
        <w:ind w:left="720" w:hanging="360"/>
        <w:rPr>
          <w:rFonts w:ascii="Inter" w:cs="Inter" w:eastAsia="Inter" w:hAnsi="Inter"/>
        </w:rPr>
      </w:pPr>
      <w:r w:rsidDel="00000000" w:rsidR="00000000" w:rsidRPr="00000000">
        <w:rPr>
          <w:rFonts w:ascii="Inter" w:cs="Inter" w:eastAsia="Inter" w:hAnsi="Inter"/>
          <w:rtl w:val="0"/>
        </w:rPr>
        <w:t xml:space="preserve">Money market funds are also subject to similar liquidity requirements as transferable securities.</w:t>
      </w:r>
      <w:r w:rsidDel="00000000" w:rsidR="00000000" w:rsidRPr="00000000">
        <w:rPr>
          <w:rFonts w:ascii="Inter" w:cs="Inter" w:eastAsia="Inter" w:hAnsi="Inter"/>
          <w:vertAlign w:val="superscript"/>
        </w:rPr>
        <w:footnoteReference w:customMarkFollows="0" w:id="22"/>
      </w:r>
      <w:r w:rsidDel="00000000" w:rsidR="00000000" w:rsidRPr="00000000">
        <w:rPr>
          <w:rFonts w:ascii="Inter" w:cs="Inter" w:eastAsia="Inter" w:hAnsi="Inter"/>
          <w:rtl w:val="0"/>
        </w:rPr>
        <w:t xml:space="preserve"> </w:t>
      </w:r>
    </w:p>
    <w:p w:rsidR="00000000" w:rsidDel="00000000" w:rsidP="00000000" w:rsidRDefault="00000000" w:rsidRPr="00000000" w14:paraId="000000C7">
      <w:pPr>
        <w:numPr>
          <w:ilvl w:val="0"/>
          <w:numId w:val="3"/>
        </w:numPr>
        <w:spacing w:after="0" w:afterAutospacing="0" w:line="290" w:lineRule="auto"/>
        <w:ind w:left="720" w:hanging="360"/>
        <w:rPr>
          <w:rFonts w:ascii="Inter" w:cs="Inter" w:eastAsia="Inter" w:hAnsi="Inter"/>
        </w:rPr>
      </w:pPr>
      <w:r w:rsidDel="00000000" w:rsidR="00000000" w:rsidRPr="00000000">
        <w:rPr>
          <w:rFonts w:ascii="Inter" w:cs="Inter" w:eastAsia="Inter" w:hAnsi="Inter"/>
          <w:rtl w:val="0"/>
        </w:rPr>
        <w:t xml:space="preserve">Article 4(3) of the UCITS EAD creates a rebuttable presumption that financial instruments that are normally dealt in on the money market for the purposes of the UCITS Directive Article and which are admitted to, or dealt in on, a regulated market are liquid instruments. </w:t>
      </w:r>
    </w:p>
    <w:p w:rsidR="00000000" w:rsidDel="00000000" w:rsidP="00000000" w:rsidRDefault="00000000" w:rsidRPr="00000000" w14:paraId="000000C8">
      <w:pPr>
        <w:numPr>
          <w:ilvl w:val="0"/>
          <w:numId w:val="3"/>
        </w:numPr>
        <w:spacing w:after="140" w:line="290" w:lineRule="auto"/>
        <w:ind w:left="720" w:hanging="360"/>
        <w:rPr>
          <w:rFonts w:ascii="Inter" w:cs="Inter" w:eastAsia="Inter" w:hAnsi="Inter"/>
        </w:rPr>
      </w:pPr>
      <w:r w:rsidDel="00000000" w:rsidR="00000000" w:rsidRPr="00000000">
        <w:rPr>
          <w:rFonts w:ascii="Inter" w:cs="Inter" w:eastAsia="Inter" w:hAnsi="Inter"/>
          <w:rtl w:val="0"/>
        </w:rPr>
        <w:t xml:space="preserve">Article 4(2) of the UCITS EAD provides that financial instruments have accurate and reliable valuations systems, if they</w:t>
      </w:r>
    </w:p>
    <w:p w:rsidR="00000000" w:rsidDel="00000000" w:rsidP="00000000" w:rsidRDefault="00000000" w:rsidRPr="00000000" w14:paraId="000000C9">
      <w:pPr>
        <w:spacing w:after="140" w:line="290" w:lineRule="auto"/>
        <w:ind w:left="1440" w:hanging="720"/>
        <w:rPr>
          <w:rFonts w:ascii="Inter" w:cs="Inter" w:eastAsia="Inter" w:hAnsi="Inter"/>
        </w:rPr>
      </w:pPr>
      <w:r w:rsidDel="00000000" w:rsidR="00000000" w:rsidRPr="00000000">
        <w:rPr>
          <w:rFonts w:ascii="Inter" w:cs="Inter" w:eastAsia="Inter" w:hAnsi="Inter"/>
          <w:rtl w:val="0"/>
        </w:rPr>
        <w:t xml:space="preserve">(a) </w:t>
        <w:tab/>
        <w:t xml:space="preserve">enable the UCITS to calculate a net asset value in accordance with the value at which the financial instrument held in the portfolio could be exchanged between knowledgeable willing parties in an arm’s length transaction; and</w:t>
      </w:r>
    </w:p>
    <w:p w:rsidR="00000000" w:rsidDel="00000000" w:rsidP="00000000" w:rsidRDefault="00000000" w:rsidRPr="00000000" w14:paraId="000000CA">
      <w:pPr>
        <w:spacing w:after="140" w:line="290" w:lineRule="auto"/>
        <w:ind w:left="1440" w:hanging="720"/>
        <w:rPr>
          <w:rFonts w:ascii="Inter" w:cs="Inter" w:eastAsia="Inter" w:hAnsi="Inter"/>
        </w:rPr>
      </w:pPr>
      <w:r w:rsidDel="00000000" w:rsidR="00000000" w:rsidRPr="00000000">
        <w:rPr>
          <w:rFonts w:ascii="Inter" w:cs="Inter" w:eastAsia="Inter" w:hAnsi="Inter"/>
          <w:rtl w:val="0"/>
        </w:rPr>
        <w:t xml:space="preserve">(b)</w:t>
        <w:tab/>
        <w:t xml:space="preserve">are based either on market data or on valuation models including systems based on amortised costs.</w:t>
      </w:r>
    </w:p>
    <w:p w:rsidR="00000000" w:rsidDel="00000000" w:rsidP="00000000" w:rsidRDefault="00000000" w:rsidRPr="00000000" w14:paraId="000000CB">
      <w:pPr>
        <w:numPr>
          <w:ilvl w:val="0"/>
          <w:numId w:val="5"/>
        </w:numPr>
        <w:spacing w:after="140" w:line="290" w:lineRule="auto"/>
        <w:ind w:left="720" w:hanging="360"/>
        <w:rPr>
          <w:rFonts w:ascii="Inter" w:cs="Inter" w:eastAsia="Inter" w:hAnsi="Inter"/>
        </w:rPr>
      </w:pPr>
      <w:r w:rsidDel="00000000" w:rsidR="00000000" w:rsidRPr="00000000">
        <w:rPr>
          <w:rFonts w:ascii="Inter" w:cs="Inter" w:eastAsia="Inter" w:hAnsi="Inter"/>
          <w:rtl w:val="0"/>
        </w:rPr>
        <w:t xml:space="preserve">Crypto-assets traded exhibit liquidity levels that are comparable to, if not greater than, the largest European stocks. This ensures that their prices can be accurately determined and reported at any time. Again, Article 4(3) of the UCITS EAD creates a rebuttable presumption that financial instruments which are normally dealt in on the money market for the purposes of the UCITS Directive Article and which are admitted to, or dealt in on, a regulated market, have accurate and reliable valuation systems.</w:t>
      </w:r>
    </w:p>
    <w:p w:rsidR="00000000" w:rsidDel="00000000" w:rsidP="00000000" w:rsidRDefault="00000000" w:rsidRPr="00000000" w14:paraId="000000CC">
      <w:pPr>
        <w:spacing w:after="140" w:line="290" w:lineRule="auto"/>
        <w:jc w:val="both"/>
        <w:rPr>
          <w:rFonts w:ascii="Inter" w:cs="Inter" w:eastAsia="Inter" w:hAnsi="Inter"/>
        </w:rPr>
      </w:pPr>
      <w:r w:rsidDel="00000000" w:rsidR="00000000" w:rsidRPr="00000000">
        <w:rPr>
          <w:rFonts w:ascii="Inter" w:cs="Inter" w:eastAsia="Inter" w:hAnsi="Inter"/>
          <w:rtl w:val="0"/>
        </w:rPr>
        <w:t xml:space="preserve">Shifting to electronic money tokens and asset-referenced tokens where the reference assets are deposits or fiat currencies, we note that these MiCAR Stablecoins also have parallels with “deposits” under Article 50(1)(f) of the UCITS Directive. </w:t>
      </w:r>
    </w:p>
    <w:p w:rsidR="00000000" w:rsidDel="00000000" w:rsidP="00000000" w:rsidRDefault="00000000" w:rsidRPr="00000000" w14:paraId="000000CD">
      <w:pPr>
        <w:spacing w:after="140" w:line="290" w:lineRule="auto"/>
        <w:jc w:val="both"/>
        <w:rPr>
          <w:rFonts w:ascii="Inter" w:cs="Inter" w:eastAsia="Inter" w:hAnsi="Inter"/>
        </w:rPr>
      </w:pPr>
      <w:r w:rsidDel="00000000" w:rsidR="00000000" w:rsidRPr="00000000">
        <w:rPr>
          <w:rFonts w:ascii="Inter" w:cs="Inter" w:eastAsia="Inter" w:hAnsi="Inter"/>
          <w:rtl w:val="0"/>
        </w:rPr>
        <w:t xml:space="preserve">Article 50(1)(f) of the UCITS Directive allows UCITS funds to invest in deposits with credit institutions, provided that these deposits are repayable on demand or have the right to be withdrawn, maturing in no more than 12 months. Such deposits are generally considered low-risk and are used to preserve the capital of the UCITS fund. By ensuring that the deposits can be accessed quickly, UCITS funds can meet redemption demands from investors, thereby maintaining overall liquidity. This liquidity allows funds to manage their portfolios more effectively without being forced to sell other assets, which might be more volatile or less liquid. </w:t>
      </w:r>
    </w:p>
    <w:p w:rsidR="00000000" w:rsidDel="00000000" w:rsidP="00000000" w:rsidRDefault="00000000" w:rsidRPr="00000000" w14:paraId="000000CE">
      <w:pPr>
        <w:spacing w:after="140" w:line="290" w:lineRule="auto"/>
        <w:jc w:val="both"/>
        <w:rPr>
          <w:rFonts w:ascii="Inter" w:cs="Inter" w:eastAsia="Inter" w:hAnsi="Inter"/>
        </w:rPr>
      </w:pPr>
      <w:r w:rsidDel="00000000" w:rsidR="00000000" w:rsidRPr="00000000">
        <w:rPr>
          <w:rFonts w:ascii="Inter" w:cs="Inter" w:eastAsia="Inter" w:hAnsi="Inter"/>
          <w:rtl w:val="0"/>
        </w:rPr>
        <w:t xml:space="preserve">Similarly, MiCAR Stablecoins are designed to maintain a stable value through low-risk reserve asset backing, which should enable them to act effectively as a store of value and enable a UCITS to meet redemption requests from investors:</w:t>
      </w:r>
    </w:p>
    <w:p w:rsidR="00000000" w:rsidDel="00000000" w:rsidP="00000000" w:rsidRDefault="00000000" w:rsidRPr="00000000" w14:paraId="000000CF">
      <w:pPr>
        <w:numPr>
          <w:ilvl w:val="0"/>
          <w:numId w:val="6"/>
        </w:numPr>
        <w:spacing w:after="140" w:line="290" w:lineRule="auto"/>
        <w:ind w:left="720" w:hanging="360"/>
        <w:jc w:val="both"/>
        <w:rPr>
          <w:rFonts w:ascii="Inter" w:cs="Inter" w:eastAsia="Inter" w:hAnsi="Inter"/>
        </w:rPr>
      </w:pPr>
      <w:r w:rsidDel="00000000" w:rsidR="00000000" w:rsidRPr="00000000">
        <w:rPr>
          <w:rFonts w:ascii="Inter" w:cs="Inter" w:eastAsia="Inter" w:hAnsi="Inter"/>
          <w:rtl w:val="0"/>
        </w:rPr>
        <w:t xml:space="preserve">With respect to asset-referenced tokens, Article 37 of MiCAR includes strict requirements on issuers to ensure their stablecoins maintain their value peg and are backed by adequate reserves. In particular, reserve assets are required to be custodied with regulated entities, and credit institutions are listed as the only permissible custodian for reserve assets in the form of cash.</w:t>
      </w:r>
      <w:r w:rsidDel="00000000" w:rsidR="00000000" w:rsidRPr="00000000">
        <w:rPr>
          <w:rFonts w:ascii="Inter" w:cs="Inter" w:eastAsia="Inter" w:hAnsi="Inter"/>
          <w:vertAlign w:val="superscript"/>
        </w:rPr>
        <w:footnoteReference w:customMarkFollows="0" w:id="23"/>
      </w:r>
      <w:r w:rsidDel="00000000" w:rsidR="00000000" w:rsidRPr="00000000">
        <w:rPr>
          <w:rFonts w:ascii="Inter" w:cs="Inter" w:eastAsia="Inter" w:hAnsi="Inter"/>
          <w:rtl w:val="0"/>
        </w:rPr>
        <w:t xml:space="preserve"> With respect to stablecoins in the form of e-money tokens or asset-referenced tokens where the reference assets are deposits or fiat currencies, in practice it should therefore always be the case that the reference assets are held with a credit institution. </w:t>
      </w:r>
    </w:p>
    <w:p w:rsidR="00000000" w:rsidDel="00000000" w:rsidP="00000000" w:rsidRDefault="00000000" w:rsidRPr="00000000" w14:paraId="000000D0">
      <w:pPr>
        <w:numPr>
          <w:ilvl w:val="0"/>
          <w:numId w:val="6"/>
        </w:numPr>
        <w:spacing w:after="140" w:line="290" w:lineRule="auto"/>
        <w:ind w:left="720" w:hanging="360"/>
        <w:jc w:val="both"/>
        <w:rPr>
          <w:rFonts w:ascii="Inter" w:cs="Inter" w:eastAsia="Inter" w:hAnsi="Inter"/>
        </w:rPr>
      </w:pPr>
      <w:r w:rsidDel="00000000" w:rsidR="00000000" w:rsidRPr="00000000">
        <w:rPr>
          <w:rFonts w:ascii="Inter" w:cs="Inter" w:eastAsia="Inter" w:hAnsi="Inter"/>
          <w:rtl w:val="0"/>
        </w:rPr>
        <w:t xml:space="preserve">With respect to e-money tokens, funds received by issuers of e-money tokens in exchange for e-money tokens must invest at least 30% with credit institutions, while the remaining funds can be invested in secure, low-risk assets that qualify as highly liquid financial instruments with minimal market risk, credit risk and concentration risk, in accordance with Article 38 of MiCAR, and which are denominated in the same official currency as the one referenced by the e-money token.</w:t>
      </w:r>
      <w:r w:rsidDel="00000000" w:rsidR="00000000" w:rsidRPr="00000000">
        <w:rPr>
          <w:rFonts w:ascii="Inter" w:cs="Inter" w:eastAsia="Inter" w:hAnsi="Inter"/>
          <w:vertAlign w:val="superscript"/>
        </w:rPr>
        <w:footnoteReference w:customMarkFollows="0" w:id="24"/>
      </w:r>
      <w:r w:rsidDel="00000000" w:rsidR="00000000" w:rsidRPr="00000000">
        <w:rPr>
          <w:rFonts w:ascii="Inter" w:cs="Inter" w:eastAsia="Inter" w:hAnsi="Inter"/>
          <w:rtl w:val="0"/>
        </w:rPr>
        <w:t xml:space="preserve"> Per Article 38(1) of MiCAR, these investments have to be capable of being liquidated rapidly with minimal adverse price effect. </w:t>
      </w:r>
    </w:p>
    <w:p w:rsidR="00000000" w:rsidDel="00000000" w:rsidP="00000000" w:rsidRDefault="00000000" w:rsidRPr="00000000" w14:paraId="000000D1">
      <w:pPr>
        <w:spacing w:after="140" w:line="290" w:lineRule="auto"/>
        <w:jc w:val="both"/>
        <w:rPr>
          <w:rFonts w:ascii="Inter" w:cs="Inter" w:eastAsia="Inter" w:hAnsi="Inter"/>
        </w:rPr>
      </w:pPr>
      <w:r w:rsidDel="00000000" w:rsidR="00000000" w:rsidRPr="00000000">
        <w:rPr>
          <w:rFonts w:ascii="Inter" w:cs="Inter" w:eastAsia="Inter" w:hAnsi="Inter"/>
          <w:rtl w:val="0"/>
        </w:rPr>
        <w:t xml:space="preserve">Given these regulations, MiCAR Stablecoins should be able to act as a reliable store of value and medium of exchange. </w:t>
      </w:r>
    </w:p>
    <w:p w:rsidR="00000000" w:rsidDel="00000000" w:rsidP="00000000" w:rsidRDefault="00000000" w:rsidRPr="00000000" w14:paraId="000000D2">
      <w:pPr>
        <w:pStyle w:val="Heading1"/>
        <w:keepLines w:val="0"/>
        <w:spacing w:before="360" w:line="290.4" w:lineRule="auto"/>
        <w:rPr>
          <w:rFonts w:ascii="Inter" w:cs="Inter" w:eastAsia="Inter" w:hAnsi="Inter"/>
          <w:color w:val="0052ff"/>
          <w:sz w:val="26"/>
          <w:szCs w:val="26"/>
        </w:rPr>
      </w:pPr>
      <w:r w:rsidDel="00000000" w:rsidR="00000000" w:rsidRPr="00000000">
        <w:rPr>
          <w:rFonts w:ascii="Inter" w:cs="Inter" w:eastAsia="Inter" w:hAnsi="Inter"/>
          <w:color w:val="0052ff"/>
          <w:sz w:val="26"/>
          <w:szCs w:val="26"/>
          <w:rtl w:val="0"/>
        </w:rPr>
        <w:t xml:space="preserve">2 - Crypto assets are suitable to be included in the expanded list</w:t>
      </w:r>
    </w:p>
    <w:p w:rsidR="00000000" w:rsidDel="00000000" w:rsidP="00000000" w:rsidRDefault="00000000" w:rsidRPr="00000000" w14:paraId="000000D3">
      <w:pPr>
        <w:spacing w:after="140" w:line="290" w:lineRule="auto"/>
        <w:rPr>
          <w:rFonts w:ascii="Inter" w:cs="Inter" w:eastAsia="Inter" w:hAnsi="Inter"/>
        </w:rPr>
      </w:pPr>
      <w:r w:rsidDel="00000000" w:rsidR="00000000" w:rsidRPr="00000000">
        <w:rPr>
          <w:rFonts w:ascii="Inter" w:cs="Inter" w:eastAsia="Inter" w:hAnsi="Inter"/>
          <w:rtl w:val="0"/>
        </w:rPr>
        <w:t xml:space="preserve">Q20 of the CfE indicates that ESMA is looking to expand the list of eligible assets. We believe that crypto-assets are at least as suitable as the assets that ESMA is considering, across a range of metrics. </w:t>
      </w:r>
    </w:p>
    <w:p w:rsidR="00000000" w:rsidDel="00000000" w:rsidP="00000000" w:rsidRDefault="00000000" w:rsidRPr="00000000" w14:paraId="000000D4">
      <w:pPr>
        <w:spacing w:after="200" w:line="290.4" w:lineRule="auto"/>
        <w:rPr>
          <w:rFonts w:ascii="Inter" w:cs="Inter" w:eastAsia="Inter" w:hAnsi="Inter"/>
        </w:rPr>
      </w:pPr>
      <w:r w:rsidDel="00000000" w:rsidR="00000000" w:rsidRPr="00000000">
        <w:rPr>
          <w:rFonts w:ascii="Inter" w:cs="Inter" w:eastAsia="Inter" w:hAnsi="Inter"/>
          <w:rtl w:val="0"/>
        </w:rPr>
        <w:t xml:space="preserve">In particular, MiCAR Crypto-Assets would be regulated assets subject to stringent requirements. For example, issuers and crypto-asset service providers are subject to (and liable for the contents of)</w:t>
      </w:r>
      <w:r w:rsidDel="00000000" w:rsidR="00000000" w:rsidRPr="00000000">
        <w:rPr>
          <w:rFonts w:ascii="Inter" w:cs="Inter" w:eastAsia="Inter" w:hAnsi="Inter"/>
          <w:vertAlign w:val="superscript"/>
        </w:rPr>
        <w:footnoteReference w:customMarkFollows="0" w:id="25"/>
      </w:r>
      <w:r w:rsidDel="00000000" w:rsidR="00000000" w:rsidRPr="00000000">
        <w:rPr>
          <w:rFonts w:ascii="Inter" w:cs="Inter" w:eastAsia="Inter" w:hAnsi="Inter"/>
          <w:rtl w:val="0"/>
        </w:rPr>
        <w:t xml:space="preserve"> initial and ongoing information disclosure requirements,</w:t>
      </w:r>
      <w:r w:rsidDel="00000000" w:rsidR="00000000" w:rsidRPr="00000000">
        <w:rPr>
          <w:rFonts w:ascii="Inter" w:cs="Inter" w:eastAsia="Inter" w:hAnsi="Inter"/>
          <w:vertAlign w:val="superscript"/>
        </w:rPr>
        <w:footnoteReference w:customMarkFollows="0" w:id="26"/>
      </w:r>
      <w:r w:rsidDel="00000000" w:rsidR="00000000" w:rsidRPr="00000000">
        <w:rPr>
          <w:rFonts w:ascii="Inter" w:cs="Inter" w:eastAsia="Inter" w:hAnsi="Inter"/>
          <w:rtl w:val="0"/>
        </w:rPr>
        <w:t xml:space="preserve"> strict transparency requirements, custodial requirements and consumer protection policies (ex. the right of withdrawal for retail crypto-asset holders).</w:t>
      </w:r>
      <w:r w:rsidDel="00000000" w:rsidR="00000000" w:rsidRPr="00000000">
        <w:rPr>
          <w:rFonts w:ascii="Inter" w:cs="Inter" w:eastAsia="Inter" w:hAnsi="Inter"/>
          <w:vertAlign w:val="superscript"/>
        </w:rPr>
        <w:footnoteReference w:customMarkFollows="0" w:id="27"/>
      </w:r>
      <w:r w:rsidDel="00000000" w:rsidR="00000000" w:rsidRPr="00000000">
        <w:rPr>
          <w:rFonts w:ascii="Inter" w:cs="Inter" w:eastAsia="Inter" w:hAnsi="Inter"/>
          <w:rtl w:val="0"/>
        </w:rPr>
        <w:t xml:space="preserve"> These types of requirements are at least as, and in many cases more, stringent and onerous than requirements applicable to other assets within the list of assets that ESMA is consulting on (including, in particular, certain loans, commodities and real estate).</w:t>
      </w:r>
    </w:p>
    <w:p w:rsidR="00000000" w:rsidDel="00000000" w:rsidP="00000000" w:rsidRDefault="00000000" w:rsidRPr="00000000" w14:paraId="000000D5">
      <w:pPr>
        <w:spacing w:after="200" w:line="290.4" w:lineRule="auto"/>
        <w:rPr>
          <w:rFonts w:ascii="Inter" w:cs="Inter" w:eastAsia="Inter" w:hAnsi="Inter"/>
        </w:rPr>
      </w:pPr>
      <w:r w:rsidDel="00000000" w:rsidR="00000000" w:rsidRPr="00000000">
        <w:rPr>
          <w:rFonts w:ascii="Inter" w:cs="Inter" w:eastAsia="Inter" w:hAnsi="Inter"/>
          <w:rtl w:val="0"/>
        </w:rPr>
        <w:t xml:space="preserve">Even absent a comprehensive federal regulatory framework for crypto-assets traded in the US, crypto assets have been securitised within funds (notably Bitcoin and Eth ETFs) and serve as the underlying for futures contracts. These products have been approved by the US Securities Exchange Commission and US Commodity Futures Trading Commission, respectively, and the regulatory regimes for ETFs and futures both require the underlying assets to be sufficiently liquid and subject to reliable valuation.</w:t>
      </w:r>
    </w:p>
    <w:p w:rsidR="00000000" w:rsidDel="00000000" w:rsidP="00000000" w:rsidRDefault="00000000" w:rsidRPr="00000000" w14:paraId="000000D6">
      <w:pPr>
        <w:pStyle w:val="Heading1"/>
        <w:keepLines w:val="0"/>
        <w:spacing w:before="360" w:line="290.4" w:lineRule="auto"/>
        <w:rPr>
          <w:rFonts w:ascii="Inter" w:cs="Inter" w:eastAsia="Inter" w:hAnsi="Inter"/>
          <w:color w:val="0052ff"/>
          <w:sz w:val="26"/>
          <w:szCs w:val="26"/>
        </w:rPr>
      </w:pPr>
      <w:r w:rsidDel="00000000" w:rsidR="00000000" w:rsidRPr="00000000">
        <w:rPr>
          <w:rFonts w:ascii="Inter" w:cs="Inter" w:eastAsia="Inter" w:hAnsi="Inter"/>
          <w:color w:val="0052ff"/>
          <w:sz w:val="26"/>
          <w:szCs w:val="26"/>
          <w:rtl w:val="0"/>
        </w:rPr>
        <w:t xml:space="preserve">3 - The MiCAR provides for constraints on the types of crypto-assets that can be admitted to trading</w:t>
      </w:r>
    </w:p>
    <w:p w:rsidR="00000000" w:rsidDel="00000000" w:rsidP="00000000" w:rsidRDefault="00000000" w:rsidRPr="00000000" w14:paraId="000000D7">
      <w:pPr>
        <w:spacing w:after="200" w:line="290.4" w:lineRule="auto"/>
        <w:rPr>
          <w:rFonts w:ascii="Inter" w:cs="Inter" w:eastAsia="Inter" w:hAnsi="Inter"/>
        </w:rPr>
      </w:pPr>
      <w:r w:rsidDel="00000000" w:rsidR="00000000" w:rsidRPr="00000000">
        <w:rPr>
          <w:rFonts w:ascii="Inter" w:cs="Inter" w:eastAsia="Inter" w:hAnsi="Inter"/>
          <w:rtl w:val="0"/>
        </w:rPr>
        <w:t xml:space="preserve">The MiCAR framework should afford regulators a degree of comfort as to what is being permitted to enter the regulatory sphere. </w:t>
      </w:r>
    </w:p>
    <w:p w:rsidR="00000000" w:rsidDel="00000000" w:rsidP="00000000" w:rsidRDefault="00000000" w:rsidRPr="00000000" w14:paraId="000000D8">
      <w:pPr>
        <w:spacing w:after="140" w:line="290" w:lineRule="auto"/>
        <w:rPr>
          <w:rFonts w:ascii="Inter" w:cs="Inter" w:eastAsia="Inter" w:hAnsi="Inter"/>
        </w:rPr>
      </w:pPr>
      <w:r w:rsidDel="00000000" w:rsidR="00000000" w:rsidRPr="00000000">
        <w:rPr>
          <w:rFonts w:ascii="Inter" w:cs="Inter" w:eastAsia="Inter" w:hAnsi="Inter"/>
          <w:rtl w:val="0"/>
        </w:rPr>
        <w:t xml:space="preserve">In particular, Article 62 of MiCAR requires a crypto-asset service provider to include details on the types of crypto-assets for which it intends to offer services, as part of any application for authorization. Article 76(1)(a) further requires that operators of a trading platform include exclusion criteria within their operating rules.</w:t>
      </w:r>
    </w:p>
    <w:p w:rsidR="00000000" w:rsidDel="00000000" w:rsidP="00000000" w:rsidRDefault="00000000" w:rsidRPr="00000000" w14:paraId="000000D9">
      <w:pPr>
        <w:spacing w:after="140" w:line="290" w:lineRule="auto"/>
        <w:rPr>
          <w:rFonts w:ascii="Inter" w:cs="Inter" w:eastAsia="Inter" w:hAnsi="Inter"/>
        </w:rPr>
      </w:pPr>
      <w:r w:rsidDel="00000000" w:rsidR="00000000" w:rsidRPr="00000000">
        <w:rPr>
          <w:rFonts w:ascii="Inter" w:cs="Inter" w:eastAsia="Inter" w:hAnsi="Inter"/>
          <w:rtl w:val="0"/>
        </w:rPr>
        <w:t xml:space="preserve">In addition, Article 94 of MiCAR provides both supervisory and investigative powers to national competent authorities.</w:t>
      </w:r>
      <w:r w:rsidDel="00000000" w:rsidR="00000000" w:rsidRPr="00000000">
        <w:rPr>
          <w:rFonts w:ascii="Inter" w:cs="Inter" w:eastAsia="Inter" w:hAnsi="Inter"/>
          <w:vertAlign w:val="superscript"/>
        </w:rPr>
        <w:footnoteReference w:customMarkFollows="0" w:id="28"/>
      </w:r>
      <w:r w:rsidDel="00000000" w:rsidR="00000000" w:rsidRPr="00000000">
        <w:rPr>
          <w:rFonts w:ascii="Inter" w:cs="Inter" w:eastAsia="Inter" w:hAnsi="Inter"/>
          <w:rtl w:val="0"/>
        </w:rPr>
        <w:t xml:space="preserve"> These powers include issuing specific directions to entities to ensure compliance with MiCAR and imposing conditions or restrictions on operations. </w:t>
      </w:r>
    </w:p>
    <w:p w:rsidR="00000000" w:rsidDel="00000000" w:rsidP="00000000" w:rsidRDefault="00000000" w:rsidRPr="00000000" w14:paraId="000000DA">
      <w:pPr>
        <w:spacing w:after="200" w:line="290.4" w:lineRule="auto"/>
        <w:rPr>
          <w:rFonts w:ascii="Inter" w:cs="Inter" w:eastAsia="Inter" w:hAnsi="Inter"/>
        </w:rPr>
      </w:pPr>
      <w:r w:rsidDel="00000000" w:rsidR="00000000" w:rsidRPr="00000000">
        <w:rPr>
          <w:rFonts w:ascii="Inter" w:cs="Inter" w:eastAsia="Inter" w:hAnsi="Inter"/>
          <w:rtl w:val="0"/>
        </w:rPr>
        <w:t xml:space="preserve">MiCAR also provides the national competent authorities with powers to:</w:t>
      </w:r>
    </w:p>
    <w:p w:rsidR="00000000" w:rsidDel="00000000" w:rsidP="00000000" w:rsidRDefault="00000000" w:rsidRPr="00000000" w14:paraId="000000DB">
      <w:pPr>
        <w:numPr>
          <w:ilvl w:val="0"/>
          <w:numId w:val="10"/>
        </w:numPr>
        <w:spacing w:after="140" w:line="290" w:lineRule="auto"/>
        <w:ind w:left="720" w:hanging="360"/>
        <w:rPr>
          <w:rFonts w:ascii="Inter" w:cs="Inter" w:eastAsia="Inter" w:hAnsi="Inter"/>
        </w:rPr>
      </w:pPr>
      <w:r w:rsidDel="00000000" w:rsidR="00000000" w:rsidRPr="00000000">
        <w:rPr>
          <w:rFonts w:ascii="Inter" w:cs="Inter" w:eastAsia="Inter" w:hAnsi="Inter"/>
          <w:rtl w:val="0"/>
        </w:rPr>
        <w:t xml:space="preserve">suspend the provision of crypto-asset services for up to 30 consecutive working days or where there are reasonable grounds for suspecting an infringement of MiCAR has occurred, or ban such provision of services outright where an infringement has occurred;</w:t>
      </w:r>
      <w:r w:rsidDel="00000000" w:rsidR="00000000" w:rsidRPr="00000000">
        <w:rPr>
          <w:rFonts w:ascii="Inter" w:cs="Inter" w:eastAsia="Inter" w:hAnsi="Inter"/>
          <w:vertAlign w:val="superscript"/>
        </w:rPr>
        <w:footnoteReference w:customMarkFollows="0" w:id="29"/>
      </w:r>
      <w:r w:rsidDel="00000000" w:rsidR="00000000" w:rsidRPr="00000000">
        <w:rPr>
          <w:rtl w:val="0"/>
        </w:rPr>
      </w:r>
    </w:p>
    <w:p w:rsidR="00000000" w:rsidDel="00000000" w:rsidP="00000000" w:rsidRDefault="00000000" w:rsidRPr="00000000" w14:paraId="000000DC">
      <w:pPr>
        <w:numPr>
          <w:ilvl w:val="0"/>
          <w:numId w:val="10"/>
        </w:numPr>
        <w:spacing w:after="140" w:line="290" w:lineRule="auto"/>
        <w:ind w:left="720" w:hanging="360"/>
        <w:rPr>
          <w:rFonts w:ascii="Inter" w:cs="Inter" w:eastAsia="Inter" w:hAnsi="Inter"/>
        </w:rPr>
      </w:pPr>
      <w:r w:rsidDel="00000000" w:rsidR="00000000" w:rsidRPr="00000000">
        <w:rPr>
          <w:rFonts w:ascii="Inter" w:cs="Inter" w:eastAsia="Inter" w:hAnsi="Inter"/>
          <w:rtl w:val="0"/>
        </w:rPr>
        <w:t xml:space="preserve">effect disclosure of all material information which could have an effect on the provision of crypto-asset services, in order to protect the interests of clients in particular retail holders, or the smooth operation of the market;</w:t>
      </w:r>
      <w:r w:rsidDel="00000000" w:rsidR="00000000" w:rsidRPr="00000000">
        <w:rPr>
          <w:rFonts w:ascii="Inter" w:cs="Inter" w:eastAsia="Inter" w:hAnsi="Inter"/>
          <w:vertAlign w:val="superscript"/>
        </w:rPr>
        <w:footnoteReference w:customMarkFollows="0" w:id="30"/>
      </w:r>
      <w:r w:rsidDel="00000000" w:rsidR="00000000" w:rsidRPr="00000000">
        <w:rPr>
          <w:rFonts w:ascii="Inter" w:cs="Inter" w:eastAsia="Inter" w:hAnsi="Inter"/>
          <w:rtl w:val="0"/>
        </w:rPr>
        <w:t xml:space="preserve"> and</w:t>
      </w:r>
    </w:p>
    <w:p w:rsidR="00000000" w:rsidDel="00000000" w:rsidP="00000000" w:rsidRDefault="00000000" w:rsidRPr="00000000" w14:paraId="000000DD">
      <w:pPr>
        <w:numPr>
          <w:ilvl w:val="0"/>
          <w:numId w:val="10"/>
        </w:numPr>
        <w:spacing w:after="140" w:line="290" w:lineRule="auto"/>
        <w:ind w:left="720" w:hanging="360"/>
        <w:rPr>
          <w:rFonts w:ascii="Inter" w:cs="Inter" w:eastAsia="Inter" w:hAnsi="Inter"/>
        </w:rPr>
      </w:pPr>
      <w:r w:rsidDel="00000000" w:rsidR="00000000" w:rsidRPr="00000000">
        <w:rPr>
          <w:rFonts w:ascii="Inter" w:cs="Inter" w:eastAsia="Inter" w:hAnsi="Inter"/>
          <w:rtl w:val="0"/>
        </w:rPr>
        <w:t xml:space="preserve">temporarily suspend the provision of crypto-asset services where they are detrimental to the interests of clients, in particular retail holders.</w:t>
      </w:r>
      <w:r w:rsidDel="00000000" w:rsidR="00000000" w:rsidRPr="00000000">
        <w:rPr>
          <w:rFonts w:ascii="Inter" w:cs="Inter" w:eastAsia="Inter" w:hAnsi="Inter"/>
          <w:vertAlign w:val="superscript"/>
        </w:rPr>
        <w:footnoteReference w:customMarkFollows="0" w:id="31"/>
      </w:r>
      <w:r w:rsidDel="00000000" w:rsidR="00000000" w:rsidRPr="00000000">
        <w:rPr>
          <w:rtl w:val="0"/>
        </w:rPr>
      </w:r>
    </w:p>
    <w:p w:rsidR="00000000" w:rsidDel="00000000" w:rsidP="00000000" w:rsidRDefault="00000000" w:rsidRPr="00000000" w14:paraId="000000DE">
      <w:pPr>
        <w:spacing w:after="200" w:line="290.4" w:lineRule="auto"/>
        <w:rPr>
          <w:rFonts w:ascii="Inter" w:cs="Inter" w:eastAsia="Inter" w:hAnsi="Inter"/>
          <w:b w:val="1"/>
        </w:rPr>
      </w:pPr>
      <w:r w:rsidDel="00000000" w:rsidR="00000000" w:rsidRPr="00000000">
        <w:rPr>
          <w:rFonts w:ascii="Inter" w:cs="Inter" w:eastAsia="Inter" w:hAnsi="Inter"/>
          <w:b w:val="1"/>
          <w:color w:val="0052ff"/>
          <w:sz w:val="26"/>
          <w:szCs w:val="26"/>
          <w:rtl w:val="0"/>
        </w:rPr>
        <w:t xml:space="preserve">Conclusion</w:t>
      </w:r>
      <w:r w:rsidDel="00000000" w:rsidR="00000000" w:rsidRPr="00000000">
        <w:rPr>
          <w:rtl w:val="0"/>
        </w:rPr>
      </w:r>
    </w:p>
    <w:p w:rsidR="00000000" w:rsidDel="00000000" w:rsidP="00000000" w:rsidRDefault="00000000" w:rsidRPr="00000000" w14:paraId="000000DF">
      <w:pPr>
        <w:spacing w:after="200" w:line="290.4" w:lineRule="auto"/>
        <w:rPr>
          <w:rFonts w:ascii="Inter" w:cs="Inter" w:eastAsia="Inter" w:hAnsi="Inter"/>
        </w:rPr>
      </w:pPr>
      <w:r w:rsidDel="00000000" w:rsidR="00000000" w:rsidRPr="00000000">
        <w:rPr>
          <w:rFonts w:ascii="Inter" w:cs="Inter" w:eastAsia="Inter" w:hAnsi="Inter"/>
          <w:rtl w:val="0"/>
        </w:rPr>
        <w:t xml:space="preserve">We believe that MiCAR Crypto-Assets should be considered eligible assets under the UCITS EAD given liquidity and other features that are comparable to transferable securities and other eligible assets. The implementation of MiCAR, as well as regulatory frameworks globally, will heighten the transparency of crypto asset markets, and provide for regulatory oversight of trading, both of which should provide comfort to the Regulator when considering expanding the list of eligible assets. </w:t>
      </w:r>
    </w:p>
    <w:p w:rsidR="00000000" w:rsidDel="00000000" w:rsidP="00000000" w:rsidRDefault="00000000" w:rsidRPr="00000000" w14:paraId="000000E0">
      <w:pPr>
        <w:spacing w:after="200" w:line="290.4" w:lineRule="auto"/>
        <w:rPr>
          <w:rFonts w:ascii="Inter" w:cs="Inter" w:eastAsia="Inter" w:hAnsi="Inte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sectPr>
      <w:type w:val="nextPage"/>
      <w:pgSz w:h="16838" w:w="11906" w:orient="portrait"/>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ambria"/>
  <w:font w:name="Courier New"/>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ESMA acknowledges that most of the asset classes listed below have not been clearly defined in EU legislation and this might be a source of divergent interpretations and misunderstandings. Where possible, ESMA invites stakeholders to specify their understanding or definition of the relevant asset classes under the “additional comments” box.</w:t>
      </w:r>
    </w:p>
  </w:footnote>
  <w:footnote w:id="1">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Where relevant, please distinguish between indirect exposures via instruments such as delta-one instruments, exchange-traded products, derivatives, or AIFs (EU or non-EU). </w:t>
      </w:r>
    </w:p>
  </w:footnote>
  <w:footnote w:id="2">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Please share any available data or estimates that help to assess the amount or extent to which there are existing UCITS exposures (distinguishing between direct and indirect, where possible) to these asset classes. Where no reliable data is available, ESMA would appreciate receiving estimates in terms of numbers and/or percentages of UCITS exposed to these asset classes and what is the average proportion in the relevant portfolios. Any additional data and insights on strategies, techniques and instruments used to gain exposure to these asset classes would be also highly appreciated.</w:t>
      </w:r>
    </w:p>
  </w:footnote>
  <w:footnote w:id="3">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Please include under this column any other evidence or views that you would like to share. </w:t>
      </w:r>
    </w:p>
  </w:footnote>
  <w:footnote w:id="4">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Where relevant, please distinguish between leveraged/structured loans, collateralised loan obligations (CLOs) and other types of loans or loan participations (please specify).</w:t>
      </w:r>
    </w:p>
  </w:footnote>
  <w:footnote w:id="5">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Where relevant, please distinguish between equity instruments issued by (1) private companies and (2) shares in public companies that that are not listed.</w:t>
      </w:r>
    </w:p>
  </w:footnote>
  <w:footnote w:id="6">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bookmarkStart w:colFirst="0" w:colLast="0" w:name="_gjdgxs" w:id="0"/>
      <w:bookmarkEnd w:id="0"/>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Where relevant, please specify what type of crypto assets and whether the implementation of MICA will change anything in terms of your assessment. With respect to indirect exposures, ESMA is particularly interested in stakeholder input on exchange-traded products including ETFs with crypto assets as an underlying. </w:t>
      </w:r>
    </w:p>
  </w:footnote>
  <w:footnote w:id="7">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bookmarkStart w:colFirst="0" w:colLast="0" w:name="_30j0zll" w:id="4"/>
      <w:bookmarkEnd w:id="4"/>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With respect to indirect exposures, ESMA is particularly interested in stakeholder input on ETFs with commodities/precious metals as underlying. Please note that under the current UCITS rules, precious metals and certificates representing them are not eligible (Article 50(2)(b) of the UCITS Directive).</w:t>
      </w:r>
    </w:p>
  </w:footnote>
  <w:footnote w:id="8">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Where relevant, please distinguish between different types of AIFs (e.g. open-ended, closed-ended) and investment strategies (e.g. real estate, private equity, hedge funds). </w:t>
      </w:r>
    </w:p>
  </w:footnote>
  <w:footnote w:id="9">
    <w:p w:rsidR="00000000" w:rsidDel="00000000" w:rsidP="00000000" w:rsidRDefault="00000000" w:rsidRPr="00000000" w14:paraId="000000F0">
      <w:pPr>
        <w:spacing w:after="60" w:line="290.4" w:lineRule="auto"/>
        <w:ind w:left="227"/>
        <w:jc w:val="both"/>
        <w:rPr>
          <w:rFonts w:ascii="Inter" w:cs="Inter" w:eastAsia="Inter" w:hAnsi="Inter"/>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ab/>
      </w:r>
      <w:r w:rsidDel="00000000" w:rsidR="00000000" w:rsidRPr="00000000">
        <w:rPr>
          <w:rFonts w:ascii="Inter" w:cs="Inter" w:eastAsia="Inter" w:hAnsi="Inter"/>
          <w:sz w:val="16"/>
          <w:szCs w:val="16"/>
          <w:rtl w:val="0"/>
        </w:rPr>
        <w:t xml:space="preserve">Regulation (EU) 2023/1114, as amended (“</w:t>
      </w:r>
      <w:r w:rsidDel="00000000" w:rsidR="00000000" w:rsidRPr="00000000">
        <w:rPr>
          <w:rFonts w:ascii="Inter" w:cs="Inter" w:eastAsia="Inter" w:hAnsi="Inter"/>
          <w:b w:val="1"/>
          <w:sz w:val="16"/>
          <w:szCs w:val="16"/>
          <w:rtl w:val="0"/>
        </w:rPr>
        <w:t xml:space="preserve">MiCAR</w:t>
      </w:r>
      <w:r w:rsidDel="00000000" w:rsidR="00000000" w:rsidRPr="00000000">
        <w:rPr>
          <w:rFonts w:ascii="Inter" w:cs="Inter" w:eastAsia="Inter" w:hAnsi="Inter"/>
          <w:sz w:val="16"/>
          <w:szCs w:val="16"/>
          <w:rtl w:val="0"/>
        </w:rPr>
        <w:t xml:space="preserve">”) </w:t>
      </w:r>
    </w:p>
  </w:footnote>
  <w:footnote w:id="10">
    <w:p w:rsidR="00000000" w:rsidDel="00000000" w:rsidP="00000000" w:rsidRDefault="00000000" w:rsidRPr="00000000" w14:paraId="000000F1">
      <w:pPr>
        <w:spacing w:after="60" w:line="290.4" w:lineRule="auto"/>
        <w:ind w:left="227"/>
        <w:jc w:val="both"/>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ab/>
      </w:r>
      <w:r w:rsidDel="00000000" w:rsidR="00000000" w:rsidRPr="00000000">
        <w:rPr>
          <w:rFonts w:ascii="Inter" w:cs="Inter" w:eastAsia="Inter" w:hAnsi="Inter"/>
          <w:sz w:val="16"/>
          <w:szCs w:val="16"/>
          <w:rtl w:val="0"/>
        </w:rPr>
        <w:t xml:space="preserve">Directive 2009/65/EC, as amended (the “</w:t>
      </w:r>
      <w:r w:rsidDel="00000000" w:rsidR="00000000" w:rsidRPr="00000000">
        <w:rPr>
          <w:rFonts w:ascii="Inter" w:cs="Inter" w:eastAsia="Inter" w:hAnsi="Inter"/>
          <w:b w:val="1"/>
          <w:sz w:val="16"/>
          <w:szCs w:val="16"/>
          <w:rtl w:val="0"/>
        </w:rPr>
        <w:t xml:space="preserve">UCITS Directive</w:t>
      </w:r>
      <w:r w:rsidDel="00000000" w:rsidR="00000000" w:rsidRPr="00000000">
        <w:rPr>
          <w:rFonts w:ascii="Inter" w:cs="Inter" w:eastAsia="Inter" w:hAnsi="Inter"/>
          <w:sz w:val="16"/>
          <w:szCs w:val="16"/>
          <w:rtl w:val="0"/>
        </w:rPr>
        <w:t xml:space="preserve">”)</w:t>
      </w:r>
      <w:r w:rsidDel="00000000" w:rsidR="00000000" w:rsidRPr="00000000">
        <w:rPr>
          <w:rtl w:val="0"/>
        </w:rPr>
      </w:r>
    </w:p>
  </w:footnote>
  <w:footnote w:id="11">
    <w:p w:rsidR="00000000" w:rsidDel="00000000" w:rsidP="00000000" w:rsidRDefault="00000000" w:rsidRPr="00000000" w14:paraId="000000F2">
      <w:pPr>
        <w:spacing w:after="60" w:line="290.4" w:lineRule="auto"/>
        <w:ind w:left="227"/>
        <w:jc w:val="both"/>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ab/>
      </w:r>
      <w:r w:rsidDel="00000000" w:rsidR="00000000" w:rsidRPr="00000000">
        <w:rPr>
          <w:rFonts w:ascii="Inter" w:cs="Inter" w:eastAsia="Inter" w:hAnsi="Inter"/>
          <w:sz w:val="16"/>
          <w:szCs w:val="16"/>
          <w:rtl w:val="0"/>
        </w:rPr>
        <w:t xml:space="preserve">Commission Directive 2007/16/EC, as amended (the “</w:t>
      </w:r>
      <w:r w:rsidDel="00000000" w:rsidR="00000000" w:rsidRPr="00000000">
        <w:rPr>
          <w:rFonts w:ascii="Inter" w:cs="Inter" w:eastAsia="Inter" w:hAnsi="Inter"/>
          <w:b w:val="1"/>
          <w:sz w:val="16"/>
          <w:szCs w:val="16"/>
          <w:rtl w:val="0"/>
        </w:rPr>
        <w:t xml:space="preserve">UCITS EAD</w:t>
      </w:r>
      <w:r w:rsidDel="00000000" w:rsidR="00000000" w:rsidRPr="00000000">
        <w:rPr>
          <w:rFonts w:ascii="Inter" w:cs="Inter" w:eastAsia="Inter" w:hAnsi="Inter"/>
          <w:sz w:val="16"/>
          <w:szCs w:val="16"/>
          <w:rtl w:val="0"/>
        </w:rPr>
        <w:t xml:space="preserve">”)</w:t>
      </w:r>
      <w:r w:rsidDel="00000000" w:rsidR="00000000" w:rsidRPr="00000000">
        <w:rPr>
          <w:rtl w:val="0"/>
        </w:rPr>
      </w:r>
    </w:p>
  </w:footnote>
  <w:footnote w:id="12">
    <w:p w:rsidR="00000000" w:rsidDel="00000000" w:rsidP="00000000" w:rsidRDefault="00000000" w:rsidRPr="00000000" w14:paraId="000000F3">
      <w:pPr>
        <w:spacing w:after="0" w:line="240" w:lineRule="auto"/>
        <w:ind w:left="180"/>
        <w:rPr>
          <w:rFonts w:ascii="Inter" w:cs="Inter" w:eastAsia="Inter" w:hAnsi="Inter"/>
          <w:sz w:val="16"/>
          <w:szCs w:val="16"/>
        </w:rPr>
      </w:pPr>
      <w:r w:rsidDel="00000000" w:rsidR="00000000" w:rsidRPr="00000000">
        <w:rPr>
          <w:rStyle w:val="FootnoteReference"/>
          <w:vertAlign w:val="superscript"/>
        </w:rPr>
        <w:footnoteRef/>
      </w:r>
      <w:r w:rsidDel="00000000" w:rsidR="00000000" w:rsidRPr="00000000">
        <w:rPr>
          <w:rFonts w:ascii="Inter" w:cs="Inter" w:eastAsia="Inter" w:hAnsi="Inter"/>
          <w:sz w:val="20"/>
          <w:szCs w:val="20"/>
          <w:rtl w:val="0"/>
        </w:rPr>
        <w:t xml:space="preserve"> </w:t>
        <w:tab/>
      </w:r>
      <w:r w:rsidDel="00000000" w:rsidR="00000000" w:rsidRPr="00000000">
        <w:rPr>
          <w:rFonts w:ascii="Inter" w:cs="Inter" w:eastAsia="Inter" w:hAnsi="Inter"/>
          <w:sz w:val="16"/>
          <w:szCs w:val="16"/>
          <w:rtl w:val="0"/>
        </w:rPr>
        <w:t xml:space="preserve">Here we consider money market instruments of the type listed in Article 50(1)(a) to (d) (inclusive)</w:t>
      </w:r>
    </w:p>
  </w:footnote>
  <w:footnote w:id="13">
    <w:p w:rsidR="00000000" w:rsidDel="00000000" w:rsidP="00000000" w:rsidRDefault="00000000" w:rsidRPr="00000000" w14:paraId="000000F4">
      <w:pPr>
        <w:spacing w:after="0" w:line="240" w:lineRule="auto"/>
        <w:rPr>
          <w:rFonts w:ascii="Inter" w:cs="Inter" w:eastAsia="Inter" w:hAnsi="Inter"/>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ESMA has specified that the term “regulated market in a member state” as referred to in Article 50(1)(a) of the UCITS Directive can encompass a multilateral trading facility (MTF) as defined under Article 4(1)(15) of MiFID II.</w:t>
      </w:r>
      <w:r w:rsidDel="00000000" w:rsidR="00000000" w:rsidRPr="00000000">
        <w:rPr>
          <w:rtl w:val="0"/>
        </w:rPr>
      </w:r>
    </w:p>
  </w:footnote>
  <w:footnote w:id="14">
    <w:p w:rsidR="00000000" w:rsidDel="00000000" w:rsidP="00000000" w:rsidRDefault="00000000" w:rsidRPr="00000000" w14:paraId="000000F5">
      <w:pPr>
        <w:spacing w:after="60" w:line="290.4" w:lineRule="auto"/>
        <w:ind w:left="270"/>
        <w:jc w:val="both"/>
        <w:rPr>
          <w:rFonts w:ascii="Inter" w:cs="Inter" w:eastAsia="Inter" w:hAnsi="Inter"/>
          <w:sz w:val="16"/>
          <w:szCs w:val="16"/>
        </w:rPr>
      </w:pPr>
      <w:r w:rsidDel="00000000" w:rsidR="00000000" w:rsidRPr="00000000">
        <w:rPr>
          <w:rStyle w:val="FootnoteReference"/>
          <w:vertAlign w:val="superscript"/>
        </w:rPr>
        <w:footnoteRef/>
      </w:r>
      <w:r w:rsidDel="00000000" w:rsidR="00000000" w:rsidRPr="00000000">
        <w:rPr>
          <w:rFonts w:ascii="Inter" w:cs="Inter" w:eastAsia="Inter" w:hAnsi="Inter"/>
          <w:sz w:val="16"/>
          <w:szCs w:val="16"/>
          <w:rtl w:val="0"/>
        </w:rPr>
        <w:tab/>
        <w:t xml:space="preserve">MiCAR, Art 3(5)</w:t>
      </w:r>
    </w:p>
  </w:footnote>
  <w:footnote w:id="15">
    <w:p w:rsidR="00000000" w:rsidDel="00000000" w:rsidP="00000000" w:rsidRDefault="00000000" w:rsidRPr="00000000" w14:paraId="000000F6">
      <w:pPr>
        <w:spacing w:after="0" w:line="240" w:lineRule="auto"/>
        <w:ind w:left="230.39999999999998"/>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Inter" w:cs="Inter" w:eastAsia="Inter" w:hAnsi="Inter"/>
          <w:sz w:val="16"/>
          <w:szCs w:val="16"/>
          <w:rtl w:val="0"/>
        </w:rPr>
        <w:t xml:space="preserve"> </w:t>
        <w:tab/>
        <w:t xml:space="preserve">N.b. in short this means that the liquidity of transferable securities cannot compromise the ability of the UCITS to comply with its obligation to repurchase or redeem its units or shares at the request of its investors. The final paragraph of Article 2(1) of the UCITS EAD states that, with respect to this criterion, unless there is information available to the UCITS that would lead to a different determination, financial instruments which are admitted or dealt in on a [regulated market] shall be presumed not to compromise the ability of the UCITS to comply accordingly.</w:t>
      </w:r>
      <w:r w:rsidDel="00000000" w:rsidR="00000000" w:rsidRPr="00000000">
        <w:rPr>
          <w:rtl w:val="0"/>
        </w:rPr>
      </w:r>
    </w:p>
  </w:footnote>
  <w:footnote w:id="16">
    <w:p w:rsidR="00000000" w:rsidDel="00000000" w:rsidP="00000000" w:rsidRDefault="00000000" w:rsidRPr="00000000" w14:paraId="000000F7">
      <w:pPr>
        <w:spacing w:after="60" w:line="290.4" w:lineRule="auto"/>
        <w:ind w:left="227"/>
        <w:jc w:val="both"/>
        <w:rPr>
          <w:rFonts w:ascii="Inter" w:cs="Inter" w:eastAsia="Inter" w:hAnsi="Inter"/>
          <w:sz w:val="16"/>
          <w:szCs w:val="16"/>
        </w:rPr>
      </w:pPr>
      <w:r w:rsidDel="00000000" w:rsidR="00000000" w:rsidRPr="00000000">
        <w:rPr>
          <w:rStyle w:val="FootnoteReference"/>
          <w:vertAlign w:val="superscript"/>
        </w:rPr>
        <w:footnoteRef/>
      </w:r>
      <w:r w:rsidDel="00000000" w:rsidR="00000000" w:rsidRPr="00000000">
        <w:rPr>
          <w:rFonts w:ascii="Inter" w:cs="Inter" w:eastAsia="Inter" w:hAnsi="Inter"/>
          <w:sz w:val="16"/>
          <w:szCs w:val="16"/>
          <w:rtl w:val="0"/>
        </w:rPr>
        <w:tab/>
        <w:t xml:space="preserve">See point 27: CESR/06-005 - CESR’s Advice to the European Commission on Clarification of Definitions concerning Eligible Assets for Investments of UCITS </w:t>
      </w:r>
    </w:p>
  </w:footnote>
  <w:footnote w:id="17">
    <w:p w:rsidR="00000000" w:rsidDel="00000000" w:rsidP="00000000" w:rsidRDefault="00000000" w:rsidRPr="00000000" w14:paraId="000000F8">
      <w:pPr>
        <w:spacing w:after="60" w:line="290.4" w:lineRule="auto"/>
        <w:ind w:left="227.00000000000003"/>
        <w:jc w:val="both"/>
        <w:rPr>
          <w:rFonts w:ascii="Inter" w:cs="Inter" w:eastAsia="Inter" w:hAnsi="Inter"/>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ab/>
      </w:r>
      <w:r w:rsidDel="00000000" w:rsidR="00000000" w:rsidRPr="00000000">
        <w:rPr>
          <w:rFonts w:ascii="Inter" w:cs="Inter" w:eastAsia="Inter" w:hAnsi="Inter"/>
          <w:sz w:val="16"/>
          <w:szCs w:val="16"/>
          <w:rtl w:val="0"/>
        </w:rPr>
        <w:t xml:space="preserve">See Box 1: CESR/06-005 - CESR’s Advice to the European Commission on Clarification of Definitions concerning Eligible Assets for Investments of UCITS </w:t>
      </w:r>
    </w:p>
  </w:footnote>
  <w:footnote w:id="18">
    <w:p w:rsidR="00000000" w:rsidDel="00000000" w:rsidP="00000000" w:rsidRDefault="00000000" w:rsidRPr="00000000" w14:paraId="000000F9">
      <w:pPr>
        <w:spacing w:after="60" w:line="276" w:lineRule="auto"/>
        <w:ind w:left="225"/>
        <w:jc w:val="both"/>
        <w:rPr>
          <w:rFonts w:ascii="Inter" w:cs="Inter" w:eastAsia="Inter" w:hAnsi="Inter"/>
          <w:sz w:val="16"/>
          <w:szCs w:val="16"/>
        </w:rPr>
      </w:pPr>
      <w:r w:rsidDel="00000000" w:rsidR="00000000" w:rsidRPr="00000000">
        <w:rPr>
          <w:rStyle w:val="FootnoteReference"/>
          <w:vertAlign w:val="superscript"/>
        </w:rPr>
        <w:footnoteRef/>
      </w:r>
      <w:r w:rsidDel="00000000" w:rsidR="00000000" w:rsidRPr="00000000">
        <w:rPr>
          <w:rFonts w:ascii="Inter" w:cs="Inter" w:eastAsia="Inter" w:hAnsi="Inter"/>
          <w:sz w:val="16"/>
          <w:szCs w:val="16"/>
          <w:rtl w:val="0"/>
        </w:rPr>
        <w:t xml:space="preserve"> </w:t>
        <w:tab/>
        <w:t xml:space="preserve">However, assessing the liquidity of a portfolio by taking into account only the Liquidity Criteria of each of its individual transferable securities is not an accurate proxy for determining whether a UCITS will be able to comply with its obligation to redeem foreseeable redemption requests. </w:t>
      </w:r>
    </w:p>
    <w:p w:rsidR="00000000" w:rsidDel="00000000" w:rsidP="00000000" w:rsidRDefault="00000000" w:rsidRPr="00000000" w14:paraId="000000FA">
      <w:pPr>
        <w:spacing w:after="60" w:line="276" w:lineRule="auto"/>
        <w:ind w:left="180" w:firstLine="0"/>
        <w:jc w:val="both"/>
        <w:rPr>
          <w:rFonts w:ascii="Inter" w:cs="Inter" w:eastAsia="Inter" w:hAnsi="Inter"/>
          <w:sz w:val="16"/>
          <w:szCs w:val="16"/>
        </w:rPr>
      </w:pPr>
      <w:r w:rsidDel="00000000" w:rsidR="00000000" w:rsidRPr="00000000">
        <w:rPr>
          <w:rFonts w:ascii="Inter" w:cs="Inter" w:eastAsia="Inter" w:hAnsi="Inter"/>
          <w:sz w:val="16"/>
          <w:szCs w:val="16"/>
          <w:rtl w:val="0"/>
        </w:rPr>
        <w:t xml:space="preserve">The liquidity of a transferable security should therefore also take into account the redemption frequency of a given UCITS (See point 26: </w:t>
      </w:r>
      <w:hyperlink r:id="rId1">
        <w:r w:rsidDel="00000000" w:rsidR="00000000" w:rsidRPr="00000000">
          <w:rPr>
            <w:rFonts w:ascii="Inter" w:cs="Inter" w:eastAsia="Inter" w:hAnsi="Inter"/>
            <w:color w:val="1155cc"/>
            <w:sz w:val="16"/>
            <w:szCs w:val="16"/>
            <w:u w:val="single"/>
            <w:rtl w:val="0"/>
          </w:rPr>
          <w:t xml:space="preserve">CESR/06-005</w:t>
        </w:r>
      </w:hyperlink>
      <w:r w:rsidDel="00000000" w:rsidR="00000000" w:rsidRPr="00000000">
        <w:rPr>
          <w:rFonts w:ascii="Inter" w:cs="Inter" w:eastAsia="Inter" w:hAnsi="Inter"/>
          <w:sz w:val="16"/>
          <w:szCs w:val="16"/>
          <w:rtl w:val="0"/>
        </w:rPr>
        <w:t xml:space="preserve">). For instance, a daily dealing UCITS will need to maintain a different liquidity profile compared to a UCITS that deals less frequently (the “Suitability Assessment”, See section 1.2: </w:t>
      </w:r>
      <w:hyperlink r:id="rId2">
        <w:r w:rsidDel="00000000" w:rsidR="00000000" w:rsidRPr="00000000">
          <w:rPr>
            <w:rFonts w:ascii="Inter" w:cs="Inter" w:eastAsia="Inter" w:hAnsi="Inter"/>
            <w:color w:val="1155cc"/>
            <w:sz w:val="16"/>
            <w:szCs w:val="16"/>
            <w:u w:val="single"/>
            <w:rtl w:val="0"/>
          </w:rPr>
          <w:t xml:space="preserve">CESR/06-013</w:t>
        </w:r>
      </w:hyperlink>
      <w:r w:rsidDel="00000000" w:rsidR="00000000" w:rsidRPr="00000000">
        <w:rPr>
          <w:rFonts w:ascii="Inter" w:cs="Inter" w:eastAsia="Inter" w:hAnsi="Inter"/>
          <w:sz w:val="16"/>
          <w:szCs w:val="16"/>
          <w:rtl w:val="0"/>
        </w:rPr>
        <w:t xml:space="preserve">).</w:t>
      </w:r>
    </w:p>
    <w:p w:rsidR="00000000" w:rsidDel="00000000" w:rsidP="00000000" w:rsidRDefault="00000000" w:rsidRPr="00000000" w14:paraId="000000FB">
      <w:pPr>
        <w:spacing w:after="60" w:line="276" w:lineRule="auto"/>
        <w:ind w:left="180" w:firstLine="0"/>
        <w:jc w:val="both"/>
        <w:rPr>
          <w:rFonts w:ascii="Inter" w:cs="Inter" w:eastAsia="Inter" w:hAnsi="Inter"/>
          <w:sz w:val="16"/>
          <w:szCs w:val="16"/>
        </w:rPr>
      </w:pPr>
      <w:r w:rsidDel="00000000" w:rsidR="00000000" w:rsidRPr="00000000">
        <w:rPr>
          <w:rFonts w:ascii="Inter" w:cs="Inter" w:eastAsia="Inter" w:hAnsi="Inter"/>
          <w:sz w:val="16"/>
          <w:szCs w:val="16"/>
          <w:rtl w:val="0"/>
        </w:rPr>
        <w:t xml:space="preserve">While a UCITS’ assets as a whole must meet certain liquidity criteria in view of supporting redemption requests, this does not mean that each transferable security (or category thereof) must be able to do so on their own. CESR made it clear that there must be adequate prospective liquidity so that the UCITS is reasonably satisfied that it can redeem investors upon request, putting the emphasis on the reasonable and foreseeable nature of the redemption requests (See point 26: </w:t>
      </w:r>
      <w:hyperlink r:id="rId3">
        <w:r w:rsidDel="00000000" w:rsidR="00000000" w:rsidRPr="00000000">
          <w:rPr>
            <w:rFonts w:ascii="Inter" w:cs="Inter" w:eastAsia="Inter" w:hAnsi="Inter"/>
            <w:color w:val="1155cc"/>
            <w:sz w:val="16"/>
            <w:szCs w:val="16"/>
            <w:u w:val="single"/>
            <w:rtl w:val="0"/>
          </w:rPr>
          <w:t xml:space="preserve">CESR/06-005</w:t>
        </w:r>
      </w:hyperlink>
      <w:r w:rsidDel="00000000" w:rsidR="00000000" w:rsidRPr="00000000">
        <w:rPr>
          <w:rFonts w:ascii="Inter" w:cs="Inter" w:eastAsia="Inter" w:hAnsi="Inter"/>
          <w:sz w:val="16"/>
          <w:szCs w:val="16"/>
          <w:rtl w:val="0"/>
        </w:rPr>
        <w:t xml:space="preserve">). One should therefore take into account the liquidity of all constituents of the portfolio as a whole and assess their adequacy in light of the redemption frequency of the UCITS in question. In this respect, holdings in crypto-assets could be subject to investment limits similar to those applied to any other eligible investments.</w:t>
      </w:r>
    </w:p>
    <w:p w:rsidR="00000000" w:rsidDel="00000000" w:rsidP="00000000" w:rsidRDefault="00000000" w:rsidRPr="00000000" w14:paraId="000000FC">
      <w:pPr>
        <w:spacing w:after="60" w:line="276" w:lineRule="auto"/>
        <w:ind w:left="180" w:firstLine="0"/>
        <w:jc w:val="both"/>
        <w:rPr>
          <w:rFonts w:ascii="Inter" w:cs="Inter" w:eastAsia="Inter" w:hAnsi="Inter"/>
          <w:sz w:val="16"/>
          <w:szCs w:val="16"/>
        </w:rPr>
      </w:pPr>
      <w:r w:rsidDel="00000000" w:rsidR="00000000" w:rsidRPr="00000000">
        <w:rPr>
          <w:rFonts w:ascii="Inter" w:cs="Inter" w:eastAsia="Inter" w:hAnsi="Inter"/>
          <w:sz w:val="16"/>
          <w:szCs w:val="16"/>
          <w:rtl w:val="0"/>
        </w:rPr>
        <w:t xml:space="preserve">Taking this into account, the liquidity of the UCITS as a whole would hence not be materially affected by the UCITS’ additional exposure to crypto-assets (conforming to the Liquidity Criteria), as long as the holding percentage is reasonably adapted to the redemption frequency of the UCITS and the other constituents of its portfolio (and their liquidity).</w:t>
      </w:r>
    </w:p>
  </w:footnote>
  <w:footnote w:id="19">
    <w:p w:rsidR="00000000" w:rsidDel="00000000" w:rsidP="00000000" w:rsidRDefault="00000000" w:rsidRPr="00000000" w14:paraId="000000FD">
      <w:pPr>
        <w:spacing w:after="60" w:line="290.4" w:lineRule="auto"/>
        <w:ind w:left="227"/>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Inter" w:cs="Inter" w:eastAsia="Inter" w:hAnsi="Inter"/>
          <w:sz w:val="16"/>
          <w:szCs w:val="16"/>
          <w:rtl w:val="0"/>
        </w:rPr>
        <w:tab/>
        <w:t xml:space="preserve">We refer also to ESMA’s consultation paper on technical standards specifying certain requirements of MiCAR (</w:t>
      </w:r>
      <w:hyperlink r:id="rId4">
        <w:r w:rsidDel="00000000" w:rsidR="00000000" w:rsidRPr="00000000">
          <w:rPr>
            <w:rFonts w:ascii="Inter" w:cs="Inter" w:eastAsia="Inter" w:hAnsi="Inter"/>
            <w:sz w:val="16"/>
            <w:szCs w:val="16"/>
            <w:rtl w:val="0"/>
          </w:rPr>
          <w:t xml:space="preserve">ESMA74-449133380-425_MiCA_Consultation_Paper_1st_package.pdf (europa.eu)</w:t>
        </w:r>
      </w:hyperlink>
      <w:r w:rsidDel="00000000" w:rsidR="00000000" w:rsidRPr="00000000">
        <w:rPr>
          <w:rFonts w:ascii="Inter" w:cs="Inter" w:eastAsia="Inter" w:hAnsi="Inter"/>
          <w:sz w:val="16"/>
          <w:szCs w:val="16"/>
          <w:rtl w:val="0"/>
        </w:rPr>
        <w:t xml:space="preserve">) and ESMA’s related final report the draft technical standards (</w:t>
      </w:r>
      <w:hyperlink r:id="rId5">
        <w:r w:rsidDel="00000000" w:rsidR="00000000" w:rsidRPr="00000000">
          <w:rPr>
            <w:rFonts w:ascii="Inter" w:cs="Inter" w:eastAsia="Inter" w:hAnsi="Inter"/>
            <w:sz w:val="16"/>
            <w:szCs w:val="16"/>
            <w:rtl w:val="0"/>
          </w:rPr>
          <w:t xml:space="preserve">ESMA18-72330276-1634_Final_Report_on_certain_technical_standards_under_MiCA_First_Package.pdf (europa.eu)</w:t>
        </w:r>
      </w:hyperlink>
      <w:r w:rsidDel="00000000" w:rsidR="00000000" w:rsidRPr="00000000">
        <w:rPr>
          <w:rFonts w:ascii="Inter" w:cs="Inter" w:eastAsia="Inter" w:hAnsi="Inter"/>
          <w:sz w:val="16"/>
          <w:szCs w:val="16"/>
          <w:rtl w:val="0"/>
        </w:rPr>
        <w:t xml:space="preserve">)</w:t>
      </w:r>
      <w:r w:rsidDel="00000000" w:rsidR="00000000" w:rsidRPr="00000000">
        <w:rPr>
          <w:rtl w:val="0"/>
        </w:rPr>
      </w:r>
    </w:p>
  </w:footnote>
  <w:footnote w:id="20">
    <w:p w:rsidR="00000000" w:rsidDel="00000000" w:rsidP="00000000" w:rsidRDefault="00000000" w:rsidRPr="00000000" w14:paraId="000000FE">
      <w:pPr>
        <w:spacing w:after="60" w:line="290.4" w:lineRule="auto"/>
        <w:ind w:left="227"/>
        <w:rPr>
          <w:rFonts w:ascii="Inter" w:cs="Inter" w:eastAsia="Inter" w:hAnsi="Inter"/>
          <w:sz w:val="16"/>
          <w:szCs w:val="16"/>
        </w:rPr>
      </w:pPr>
      <w:r w:rsidDel="00000000" w:rsidR="00000000" w:rsidRPr="00000000">
        <w:rPr>
          <w:rStyle w:val="FootnoteReference"/>
          <w:vertAlign w:val="superscript"/>
        </w:rPr>
        <w:footnoteRef/>
      </w:r>
      <w:r w:rsidDel="00000000" w:rsidR="00000000" w:rsidRPr="00000000">
        <w:rPr>
          <w:rFonts w:ascii="Inter" w:cs="Inter" w:eastAsia="Inter" w:hAnsi="Inter"/>
          <w:sz w:val="16"/>
          <w:szCs w:val="16"/>
          <w:rtl w:val="0"/>
        </w:rPr>
        <w:tab/>
        <w:t xml:space="preserve">Again we refer to ESMA’s consultation paper on technical standards specifying certain requirements of MiCAR (</w:t>
      </w:r>
      <w:hyperlink r:id="rId6">
        <w:r w:rsidDel="00000000" w:rsidR="00000000" w:rsidRPr="00000000">
          <w:rPr>
            <w:rFonts w:ascii="Inter" w:cs="Inter" w:eastAsia="Inter" w:hAnsi="Inter"/>
            <w:color w:val="0000ff"/>
            <w:sz w:val="16"/>
            <w:szCs w:val="16"/>
            <w:u w:val="single"/>
            <w:rtl w:val="0"/>
          </w:rPr>
          <w:t xml:space="preserve">ESMA74-449133380-425_MiCA_Consultation_Paper_1st_package.pdf (europa.eu)</w:t>
        </w:r>
      </w:hyperlink>
      <w:r w:rsidDel="00000000" w:rsidR="00000000" w:rsidRPr="00000000">
        <w:rPr>
          <w:rFonts w:ascii="Inter" w:cs="Inter" w:eastAsia="Inter" w:hAnsi="Inter"/>
          <w:sz w:val="16"/>
          <w:szCs w:val="16"/>
          <w:rtl w:val="0"/>
        </w:rPr>
        <w:t xml:space="preserve">) and ESMA’s related final report the draft technical standards (</w:t>
      </w:r>
      <w:hyperlink r:id="rId7">
        <w:r w:rsidDel="00000000" w:rsidR="00000000" w:rsidRPr="00000000">
          <w:rPr>
            <w:rFonts w:ascii="Inter" w:cs="Inter" w:eastAsia="Inter" w:hAnsi="Inter"/>
            <w:color w:val="0000ff"/>
            <w:sz w:val="16"/>
            <w:szCs w:val="16"/>
            <w:u w:val="single"/>
            <w:rtl w:val="0"/>
          </w:rPr>
          <w:t xml:space="preserve">ESMA18-72330276-1634_Final_Report_on_certain_technical_standards_under_MiCA_First_Package.pdf (europa.eu)</w:t>
        </w:r>
      </w:hyperlink>
      <w:r w:rsidDel="00000000" w:rsidR="00000000" w:rsidRPr="00000000">
        <w:rPr>
          <w:rFonts w:ascii="Inter" w:cs="Inter" w:eastAsia="Inter" w:hAnsi="Inter"/>
          <w:sz w:val="16"/>
          <w:szCs w:val="16"/>
          <w:rtl w:val="0"/>
        </w:rPr>
        <w:t xml:space="preserve">)</w:t>
      </w:r>
    </w:p>
  </w:footnote>
  <w:footnote w:id="21">
    <w:p w:rsidR="00000000" w:rsidDel="00000000" w:rsidP="00000000" w:rsidRDefault="00000000" w:rsidRPr="00000000" w14:paraId="000000FF">
      <w:pPr>
        <w:spacing w:after="60" w:line="290.4" w:lineRule="auto"/>
        <w:ind w:left="227"/>
        <w:jc w:val="both"/>
        <w:rPr>
          <w:rFonts w:ascii="Inter" w:cs="Inter" w:eastAsia="Inter" w:hAnsi="Inter"/>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ab/>
      </w:r>
      <w:r w:rsidDel="00000000" w:rsidR="00000000" w:rsidRPr="00000000">
        <w:rPr>
          <w:rFonts w:ascii="Inter" w:cs="Inter" w:eastAsia="Inter" w:hAnsi="Inter"/>
          <w:sz w:val="16"/>
          <w:szCs w:val="16"/>
          <w:rtl w:val="0"/>
        </w:rPr>
        <w:t xml:space="preserve">See section 1.5 “Transferability” : CESR/06-013 - CESR’s Advice to the European Commission on Clarification of Definitions concerning Eligible Assets for Investments of UCITS : Feedback Statement</w:t>
      </w:r>
    </w:p>
  </w:footnote>
  <w:footnote w:id="22">
    <w:p w:rsidR="00000000" w:rsidDel="00000000" w:rsidP="00000000" w:rsidRDefault="00000000" w:rsidRPr="00000000" w14:paraId="00000100">
      <w:pPr>
        <w:spacing w:after="0" w:line="240" w:lineRule="auto"/>
        <w:ind w:left="270"/>
        <w:rPr>
          <w:rFonts w:ascii="Inter" w:cs="Inter" w:eastAsia="Inter" w:hAnsi="Inter"/>
          <w:sz w:val="16"/>
          <w:szCs w:val="16"/>
        </w:rPr>
      </w:pPr>
      <w:r w:rsidDel="00000000" w:rsidR="00000000" w:rsidRPr="00000000">
        <w:rPr>
          <w:rStyle w:val="FootnoteReference"/>
          <w:vertAlign w:val="superscript"/>
        </w:rPr>
        <w:footnoteRef/>
      </w:r>
      <w:r w:rsidDel="00000000" w:rsidR="00000000" w:rsidRPr="00000000">
        <w:rPr>
          <w:rFonts w:ascii="Inter" w:cs="Inter" w:eastAsia="Inter" w:hAnsi="Inter"/>
          <w:sz w:val="16"/>
          <w:szCs w:val="16"/>
          <w:rtl w:val="0"/>
        </w:rPr>
        <w:t xml:space="preserve"> </w:t>
        <w:tab/>
        <w:t xml:space="preserve">See Article 4(1) of the UCITS EAD, which clarifies the meaning of “liquid instruments” (used within the definition of “money market instruments” in the UCITS Directive) to mean financial instruments which can be sold at limited cost in an adequately short time frame, taking into account the obligation of the UCITS to repurchase or redeem its units at the request of any unit holder. </w:t>
      </w:r>
    </w:p>
    <w:p w:rsidR="00000000" w:rsidDel="00000000" w:rsidP="00000000" w:rsidRDefault="00000000" w:rsidRPr="00000000" w14:paraId="00000101">
      <w:pPr>
        <w:spacing w:after="0" w:line="240" w:lineRule="auto"/>
        <w:rPr>
          <w:rFonts w:ascii="Inter" w:cs="Inter" w:eastAsia="Inter" w:hAnsi="Inter"/>
          <w:sz w:val="20"/>
          <w:szCs w:val="20"/>
        </w:rPr>
      </w:pPr>
      <w:r w:rsidDel="00000000" w:rsidR="00000000" w:rsidRPr="00000000">
        <w:rPr>
          <w:rtl w:val="0"/>
        </w:rPr>
      </w:r>
    </w:p>
  </w:footnote>
  <w:footnote w:id="23">
    <w:p w:rsidR="00000000" w:rsidDel="00000000" w:rsidP="00000000" w:rsidRDefault="00000000" w:rsidRPr="00000000" w14:paraId="00000102">
      <w:pPr>
        <w:spacing w:after="60" w:line="290.4" w:lineRule="auto"/>
        <w:ind w:left="227"/>
        <w:jc w:val="both"/>
        <w:rPr>
          <w:rFonts w:ascii="Inter" w:cs="Inter" w:eastAsia="Inter" w:hAnsi="Inter"/>
          <w:sz w:val="16"/>
          <w:szCs w:val="16"/>
        </w:rPr>
      </w:pPr>
      <w:r w:rsidDel="00000000" w:rsidR="00000000" w:rsidRPr="00000000">
        <w:rPr>
          <w:rStyle w:val="FootnoteReference"/>
          <w:vertAlign w:val="superscript"/>
        </w:rPr>
        <w:footnoteRef/>
      </w:r>
      <w:r w:rsidDel="00000000" w:rsidR="00000000" w:rsidRPr="00000000">
        <w:rPr>
          <w:rFonts w:ascii="Inter" w:cs="Inter" w:eastAsia="Inter" w:hAnsi="Inter"/>
          <w:sz w:val="16"/>
          <w:szCs w:val="16"/>
          <w:rtl w:val="0"/>
        </w:rPr>
        <w:tab/>
        <w:t xml:space="preserve">MiCAR, Article 37(3)(b). </w:t>
      </w:r>
    </w:p>
  </w:footnote>
  <w:footnote w:id="24">
    <w:p w:rsidR="00000000" w:rsidDel="00000000" w:rsidP="00000000" w:rsidRDefault="00000000" w:rsidRPr="00000000" w14:paraId="00000103">
      <w:pPr>
        <w:spacing w:after="60" w:line="290.4" w:lineRule="auto"/>
        <w:ind w:left="270"/>
        <w:jc w:val="both"/>
        <w:rPr>
          <w:rFonts w:ascii="Inter" w:cs="Inter" w:eastAsia="Inter" w:hAnsi="Inter"/>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ab/>
      </w:r>
      <w:r w:rsidDel="00000000" w:rsidR="00000000" w:rsidRPr="00000000">
        <w:rPr>
          <w:rFonts w:ascii="Inter" w:cs="Inter" w:eastAsia="Inter" w:hAnsi="Inter"/>
          <w:sz w:val="16"/>
          <w:szCs w:val="16"/>
          <w:rtl w:val="0"/>
        </w:rPr>
        <w:t xml:space="preserve">MiCAR, Article 54. </w:t>
      </w:r>
    </w:p>
  </w:footnote>
  <w:footnote w:id="25">
    <w:p w:rsidR="00000000" w:rsidDel="00000000" w:rsidP="00000000" w:rsidRDefault="00000000" w:rsidRPr="00000000" w14:paraId="00000104">
      <w:pPr>
        <w:spacing w:after="60" w:line="290.4" w:lineRule="auto"/>
        <w:ind w:left="270"/>
        <w:jc w:val="both"/>
        <w:rPr>
          <w:rFonts w:ascii="Inter" w:cs="Inter" w:eastAsia="Inter" w:hAnsi="Inter"/>
          <w:sz w:val="16"/>
          <w:szCs w:val="16"/>
        </w:rPr>
      </w:pPr>
      <w:r w:rsidDel="00000000" w:rsidR="00000000" w:rsidRPr="00000000">
        <w:rPr>
          <w:rStyle w:val="FootnoteReference"/>
          <w:vertAlign w:val="superscript"/>
        </w:rPr>
        <w:footnoteRef/>
      </w:r>
      <w:r w:rsidDel="00000000" w:rsidR="00000000" w:rsidRPr="00000000">
        <w:rPr>
          <w:rFonts w:ascii="Inter" w:cs="Inter" w:eastAsia="Inter" w:hAnsi="Inter"/>
          <w:sz w:val="16"/>
          <w:szCs w:val="16"/>
          <w:rtl w:val="0"/>
        </w:rPr>
        <w:t xml:space="preserve"> </w:t>
        <w:tab/>
        <w:t xml:space="preserve">MiCAR, Article 15</w:t>
      </w:r>
    </w:p>
  </w:footnote>
  <w:footnote w:id="26">
    <w:p w:rsidR="00000000" w:rsidDel="00000000" w:rsidP="00000000" w:rsidRDefault="00000000" w:rsidRPr="00000000" w14:paraId="00000105">
      <w:pPr>
        <w:spacing w:after="60" w:line="290.4" w:lineRule="auto"/>
        <w:ind w:left="270"/>
        <w:jc w:val="both"/>
        <w:rPr>
          <w:rFonts w:ascii="Inter" w:cs="Inter" w:eastAsia="Inter" w:hAnsi="Inter"/>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w:t>
        <w:tab/>
      </w:r>
      <w:r w:rsidDel="00000000" w:rsidR="00000000" w:rsidRPr="00000000">
        <w:rPr>
          <w:rFonts w:ascii="Inter" w:cs="Inter" w:eastAsia="Inter" w:hAnsi="Inter"/>
          <w:sz w:val="16"/>
          <w:szCs w:val="16"/>
          <w:rtl w:val="0"/>
        </w:rPr>
        <w:t xml:space="preserve">MiCAR, Article 9</w:t>
      </w:r>
    </w:p>
  </w:footnote>
  <w:footnote w:id="27">
    <w:p w:rsidR="00000000" w:rsidDel="00000000" w:rsidP="00000000" w:rsidRDefault="00000000" w:rsidRPr="00000000" w14:paraId="00000106">
      <w:pPr>
        <w:spacing w:after="60" w:line="290.4" w:lineRule="auto"/>
        <w:ind w:left="270"/>
        <w:jc w:val="both"/>
        <w:rPr>
          <w:rFonts w:ascii="Inter" w:cs="Inter" w:eastAsia="Inter" w:hAnsi="Inter"/>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w:t>
        <w:tab/>
      </w:r>
      <w:r w:rsidDel="00000000" w:rsidR="00000000" w:rsidRPr="00000000">
        <w:rPr>
          <w:rFonts w:ascii="Inter" w:cs="Inter" w:eastAsia="Inter" w:hAnsi="Inter"/>
          <w:sz w:val="16"/>
          <w:szCs w:val="16"/>
          <w:rtl w:val="0"/>
        </w:rPr>
        <w:t xml:space="preserve">MiCAR, Article 13</w:t>
      </w:r>
    </w:p>
  </w:footnote>
  <w:footnote w:id="28">
    <w:p w:rsidR="00000000" w:rsidDel="00000000" w:rsidP="00000000" w:rsidRDefault="00000000" w:rsidRPr="00000000" w14:paraId="00000107">
      <w:pPr>
        <w:spacing w:after="60" w:line="290.4" w:lineRule="auto"/>
        <w:ind w:left="270"/>
        <w:jc w:val="both"/>
        <w:rPr>
          <w:rFonts w:ascii="Inter" w:cs="Inter" w:eastAsia="Inter" w:hAnsi="Inter"/>
          <w:sz w:val="16"/>
          <w:szCs w:val="16"/>
        </w:rPr>
      </w:pPr>
      <w:r w:rsidDel="00000000" w:rsidR="00000000" w:rsidRPr="00000000">
        <w:rPr>
          <w:rStyle w:val="FootnoteReference"/>
          <w:vertAlign w:val="superscript"/>
        </w:rPr>
        <w:footnoteRef/>
      </w:r>
      <w:r w:rsidDel="00000000" w:rsidR="00000000" w:rsidRPr="00000000">
        <w:rPr>
          <w:rFonts w:ascii="Inter" w:cs="Inter" w:eastAsia="Inter" w:hAnsi="Inter"/>
          <w:sz w:val="16"/>
          <w:szCs w:val="16"/>
          <w:rtl w:val="0"/>
        </w:rPr>
        <w:t xml:space="preserve"> </w:t>
        <w:tab/>
        <w:t xml:space="preserve">MiCAR, Article 94(2)</w:t>
      </w:r>
    </w:p>
  </w:footnote>
  <w:footnote w:id="29">
    <w:p w:rsidR="00000000" w:rsidDel="00000000" w:rsidP="00000000" w:rsidRDefault="00000000" w:rsidRPr="00000000" w14:paraId="00000108">
      <w:pPr>
        <w:spacing w:after="60" w:line="290.4" w:lineRule="auto"/>
        <w:ind w:left="270"/>
        <w:jc w:val="both"/>
        <w:rPr>
          <w:rFonts w:ascii="Inter" w:cs="Inter" w:eastAsia="Inter" w:hAnsi="Inter"/>
          <w:sz w:val="16"/>
          <w:szCs w:val="16"/>
        </w:rPr>
      </w:pPr>
      <w:r w:rsidDel="00000000" w:rsidR="00000000" w:rsidRPr="00000000">
        <w:rPr>
          <w:rStyle w:val="FootnoteReference"/>
          <w:vertAlign w:val="superscript"/>
        </w:rPr>
        <w:footnoteRef/>
      </w:r>
      <w:r w:rsidDel="00000000" w:rsidR="00000000" w:rsidRPr="00000000">
        <w:rPr>
          <w:rFonts w:ascii="Inter" w:cs="Inter" w:eastAsia="Inter" w:hAnsi="Inter"/>
          <w:sz w:val="16"/>
          <w:szCs w:val="16"/>
          <w:rtl w:val="0"/>
        </w:rPr>
        <w:t xml:space="preserve"> </w:t>
        <w:tab/>
        <w:t xml:space="preserve">MiCAR, Article 94(b), Article 94(c)</w:t>
      </w:r>
    </w:p>
  </w:footnote>
  <w:footnote w:id="30">
    <w:p w:rsidR="00000000" w:rsidDel="00000000" w:rsidP="00000000" w:rsidRDefault="00000000" w:rsidRPr="00000000" w14:paraId="00000109">
      <w:pPr>
        <w:spacing w:after="60" w:line="290.4" w:lineRule="auto"/>
        <w:ind w:left="270"/>
        <w:jc w:val="both"/>
        <w:rPr>
          <w:rFonts w:ascii="Inter" w:cs="Inter" w:eastAsia="Inter" w:hAnsi="Inter"/>
          <w:sz w:val="16"/>
          <w:szCs w:val="16"/>
        </w:rPr>
      </w:pPr>
      <w:r w:rsidDel="00000000" w:rsidR="00000000" w:rsidRPr="00000000">
        <w:rPr>
          <w:rStyle w:val="FootnoteReference"/>
          <w:vertAlign w:val="superscript"/>
        </w:rPr>
        <w:footnoteRef/>
      </w:r>
      <w:r w:rsidDel="00000000" w:rsidR="00000000" w:rsidRPr="00000000">
        <w:rPr>
          <w:rFonts w:ascii="Inter" w:cs="Inter" w:eastAsia="Inter" w:hAnsi="Inter"/>
          <w:sz w:val="16"/>
          <w:szCs w:val="16"/>
          <w:rtl w:val="0"/>
        </w:rPr>
        <w:t xml:space="preserve"> </w:t>
        <w:tab/>
        <w:t xml:space="preserve">MiCAR, Article 94(d)</w:t>
      </w:r>
    </w:p>
  </w:footnote>
  <w:footnote w:id="31">
    <w:p w:rsidR="00000000" w:rsidDel="00000000" w:rsidP="00000000" w:rsidRDefault="00000000" w:rsidRPr="00000000" w14:paraId="0000010A">
      <w:pPr>
        <w:spacing w:after="60" w:line="290.4" w:lineRule="auto"/>
        <w:ind w:left="270"/>
        <w:jc w:val="both"/>
        <w:rPr>
          <w:rFonts w:ascii="Inter" w:cs="Inter" w:eastAsia="Inter" w:hAnsi="Inter"/>
          <w:sz w:val="16"/>
          <w:szCs w:val="16"/>
        </w:rPr>
      </w:pPr>
      <w:r w:rsidDel="00000000" w:rsidR="00000000" w:rsidRPr="00000000">
        <w:rPr>
          <w:rStyle w:val="FootnoteReference"/>
          <w:vertAlign w:val="superscript"/>
        </w:rPr>
        <w:footnoteRef/>
      </w:r>
      <w:r w:rsidDel="00000000" w:rsidR="00000000" w:rsidRPr="00000000">
        <w:rPr>
          <w:rFonts w:ascii="Inter" w:cs="Inter" w:eastAsia="Inter" w:hAnsi="Inter"/>
          <w:sz w:val="16"/>
          <w:szCs w:val="16"/>
          <w:rtl w:val="0"/>
        </w:rPr>
        <w:t xml:space="preserve"> </w:t>
        <w:tab/>
        <w:t xml:space="preserve">MiCAR, Article 94(f)</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B">
    <w:pPr>
      <w:tabs>
        <w:tab w:val="center" w:leader="none" w:pos="4513"/>
        <w:tab w:val="right" w:leader="none" w:pos="9026"/>
      </w:tabs>
      <w:spacing w:after="0" w:line="240" w:lineRule="auto"/>
      <w:jc w:val="right"/>
      <w:rPr>
        <w:rFonts w:ascii="Arial" w:cs="Arial" w:eastAsia="Arial" w:hAnsi="Arial"/>
        <w:smallCaps w:val="1"/>
        <w:color w:val="ff0000"/>
      </w:rPr>
    </w:pPr>
    <w:r w:rsidDel="00000000" w:rsidR="00000000" w:rsidRPr="00000000">
      <w:rPr>
        <w:rFonts w:ascii="Arial" w:cs="Arial" w:eastAsia="Arial" w:hAnsi="Arial"/>
        <w:smallCaps w:val="1"/>
        <w:color w:val="ff0000"/>
      </w:rPr>
      <w:drawing>
        <wp:anchor allowOverlap="1" behindDoc="0" distB="0" distT="0" distL="114300" distR="114300" hidden="0" layoutInCell="1" locked="0" relativeHeight="0" simplePos="0">
          <wp:simplePos x="0" y="0"/>
          <wp:positionH relativeFrom="page">
            <wp:posOffset>892914</wp:posOffset>
          </wp:positionH>
          <wp:positionV relativeFrom="page">
            <wp:posOffset>547370</wp:posOffset>
          </wp:positionV>
          <wp:extent cx="2296800" cy="601200"/>
          <wp:effectExtent b="0" l="0" r="0" t="0"/>
          <wp:wrapNone/>
          <wp:docPr id="7"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2296800" cy="601200"/>
                  </a:xfrm>
                  <a:prstGeom prst="rect"/>
                  <a:ln/>
                </pic:spPr>
              </pic:pic>
            </a:graphicData>
          </a:graphic>
        </wp:anchor>
      </w:drawing>
    </w:r>
    <w:r w:rsidDel="00000000" w:rsidR="00000000" w:rsidRPr="00000000">
      <w:rPr>
        <w:rFonts w:ascii="Arial" w:cs="Arial" w:eastAsia="Arial" w:hAnsi="Arial"/>
        <w:color w:val="001b4f"/>
        <w:sz w:val="16"/>
        <w:szCs w:val="16"/>
        <w:rtl w:val="0"/>
      </w:rPr>
      <w:t xml:space="preserve">7 May 2024</w:t>
    </w:r>
    <w:r w:rsidDel="00000000" w:rsidR="00000000" w:rsidRPr="00000000">
      <w:rPr>
        <w:rtl w:val="0"/>
      </w:rPr>
    </w:r>
  </w:p>
  <w:p w:rsidR="00000000" w:rsidDel="00000000" w:rsidP="00000000" w:rsidRDefault="00000000" w:rsidRPr="00000000" w14:paraId="000000EC">
    <w:pPr>
      <w:tabs>
        <w:tab w:val="center" w:leader="none" w:pos="4513"/>
        <w:tab w:val="right" w:leader="none" w:pos="9026"/>
      </w:tabs>
      <w:spacing w:after="0" w:line="240" w:lineRule="auto"/>
      <w:jc w:val="right"/>
      <w:rPr>
        <w:rFonts w:ascii="Arial" w:cs="Arial" w:eastAsia="Arial" w:hAnsi="Arial"/>
        <w:color w:val="001b4f"/>
        <w:sz w:val="16"/>
        <w:szCs w:val="16"/>
      </w:rPr>
    </w:pPr>
    <w:r w:rsidDel="00000000" w:rsidR="00000000" w:rsidRPr="00000000">
      <w:rPr>
        <w:rFonts w:ascii="Arial" w:cs="Arial" w:eastAsia="Arial" w:hAnsi="Arial"/>
        <w:color w:val="001b4f"/>
        <w:sz w:val="16"/>
        <w:szCs w:val="16"/>
        <w:rtl w:val="0"/>
      </w:rPr>
      <w:t xml:space="preserve">ESMA 34-1270380148-1066</w:t>
    </w:r>
  </w:p>
  <w:p w:rsidR="00000000" w:rsidDel="00000000" w:rsidP="00000000" w:rsidRDefault="00000000" w:rsidRPr="00000000" w14:paraId="000000ED">
    <w:pPr>
      <w:spacing w:after="250" w:line="276" w:lineRule="auto"/>
      <w:jc w:val="both"/>
      <w:rPr>
        <w:rFonts w:ascii="Arial" w:cs="Arial" w:eastAsia="Arial" w:hAnsi="Arial"/>
        <w:color w:val="181818"/>
      </w:rPr>
    </w:pPr>
    <w:r w:rsidDel="00000000" w:rsidR="00000000" w:rsidRPr="00000000">
      <w:rPr>
        <w:rtl w:val="0"/>
      </w:rPr>
    </w:r>
  </w:p>
  <w:p w:rsidR="00000000" w:rsidDel="00000000" w:rsidP="00000000" w:rsidRDefault="00000000" w:rsidRPr="00000000" w14:paraId="000000EE">
    <w:pPr>
      <w:spacing w:after="250" w:line="276" w:lineRule="auto"/>
      <w:jc w:val="both"/>
      <w:rPr>
        <w:rFonts w:ascii="Arial" w:cs="Arial" w:eastAsia="Arial" w:hAnsi="Arial"/>
        <w:color w:val="181818"/>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mbria" w:cs="Cambria" w:eastAsia="Cambria" w:hAnsi="Cambria"/>
      <w:sz w:val="20"/>
      <w:szCs w:val="20"/>
    </w:rPr>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png"/><Relationship Id="rId13" Type="http://schemas.openxmlformats.org/officeDocument/2006/relationships/image" Target="media/image4.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5" Type="http://schemas.openxmlformats.org/officeDocument/2006/relationships/hyperlink" Target="https://www.esma.europa.eu/system/files/webform/207770/104219/Coinbase_response_to_3rd_ESMA_consultation_on_requirements_in_MiCA.pdf" TargetMode="External"/><Relationship Id="rId14" Type="http://schemas.openxmlformats.org/officeDocument/2006/relationships/image" Target="media/image6.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esma.europa.eu/press-news/consultations/call-evidence-review-ucits-eligible-assets-directive"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www.esma.europa.eu/sites/default/files/library/2015/11/06_005_0.pdf" TargetMode="External"/><Relationship Id="rId2" Type="http://schemas.openxmlformats.org/officeDocument/2006/relationships/hyperlink" Target="https://www.esma.europa.eu/sites/default/files/library/2015/11/06_013.pdf" TargetMode="External"/><Relationship Id="rId3" Type="http://schemas.openxmlformats.org/officeDocument/2006/relationships/hyperlink" Target="https://www.esma.europa.eu/sites/default/files/library/2015/11/06_005_0.pdf" TargetMode="External"/><Relationship Id="rId4" Type="http://schemas.openxmlformats.org/officeDocument/2006/relationships/hyperlink" Target="https://www.esma.europa.eu/sites/default/files/2023-07/ESMA74-449133380-425_MiCA_Consultation_Paper_1st_package.pdf" TargetMode="External"/><Relationship Id="rId5" Type="http://schemas.openxmlformats.org/officeDocument/2006/relationships/hyperlink" Target="https://www.esma.europa.eu/sites/default/files/2024-03/ESMA18-72330276-1634_Final_Report_on_certain_technical_standards_under_MiCA_First_Package.pdf" TargetMode="External"/><Relationship Id="rId6" Type="http://schemas.openxmlformats.org/officeDocument/2006/relationships/hyperlink" Target="https://www.esma.europa.eu/sites/default/files/2023-07/ESMA74-449133380-425_MiCA_Consultation_Paper_1st_package.pdf" TargetMode="External"/><Relationship Id="rId7" Type="http://schemas.openxmlformats.org/officeDocument/2006/relationships/hyperlink" Target="https://www.esma.europa.eu/sites/default/files/2024-03/ESMA18-72330276-1634_Final_Report_on_certain_technical_standards_under_MiCA_First_Packag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0x0101000ED1C6BF2ECFE74585EFFEA9E6E27962010B006EE2F6F0923B8D47B938E8456CAF7C4C</vt:lpwstr>
  </property>
  <property fmtid="{D5CDD505-2E9C-101B-9397-08002B2CF9AE}" pid="3" name="TeamName">
    <vt:lpwstr>5</vt:lpwstr>
  </property>
  <property fmtid="{D5CDD505-2E9C-101B-9397-08002B2CF9AE}" pid="4" name="Topic">
    <vt:lpwstr>254</vt:lpwstr>
  </property>
  <property fmtid="{D5CDD505-2E9C-101B-9397-08002B2CF9AE}" pid="5" name="ConfidentialityLevel">
    <vt:lpwstr>6;#Regular|07f1e362-856b-423d-bea6-a14079762141</vt:lpwstr>
  </property>
  <property fmtid="{D5CDD505-2E9C-101B-9397-08002B2CF9AE}" pid="6" name="TeamTopic">
    <vt:lpwstr>33;#UCITS|a853cb80-aed9-44bd-ac2a-0e80b5a444d7</vt:lpwstr>
  </property>
  <property fmtid="{D5CDD505-2E9C-101B-9397-08002B2CF9AE}" pid="7" name="DocumentType">
    <vt:lpwstr>DocumentType</vt:lpwstr>
  </property>
  <property fmtid="{D5CDD505-2E9C-101B-9397-08002B2CF9AE}" pid="8" name="EsmaAudience">
    <vt:lpwstr>EsmaAudience</vt:lpwstr>
  </property>
  <property fmtid="{D5CDD505-2E9C-101B-9397-08002B2CF9AE}" pid="9" name="_dlc_DocIdItemGuid">
    <vt:lpwstr>1a846c82-0d53-46e2-86e5-7d75005f4a47</vt:lpwstr>
  </property>
</Properties>
</file>