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EF7FE" w14:textId="05BFA884" w:rsidR="66107C87" w:rsidRDefault="7C53680C" w:rsidP="3FE99FEE">
      <w:pPr>
        <w:spacing w:after="250" w:line="276" w:lineRule="auto"/>
        <w:jc w:val="both"/>
        <w:rPr>
          <w:rFonts w:ascii="Arial" w:eastAsia="MS PGothic" w:hAnsi="Arial" w:cs="Arial"/>
          <w:b/>
          <w:bCs/>
          <w:color w:val="181818"/>
        </w:rPr>
      </w:pPr>
      <w:r w:rsidRPr="28CED790">
        <w:rPr>
          <w:rFonts w:ascii="Arial" w:eastAsia="MS PGothic" w:hAnsi="Arial" w:cs="Arial"/>
          <w:b/>
          <w:bCs/>
          <w:color w:val="181818"/>
        </w:rPr>
        <w:t xml:space="preserve">Annex </w:t>
      </w:r>
      <w:r w:rsidR="2A636CE1" w:rsidRPr="28CED790">
        <w:rPr>
          <w:rFonts w:ascii="Arial" w:eastAsia="MS PGothic" w:hAnsi="Arial" w:cs="Arial"/>
          <w:b/>
          <w:bCs/>
          <w:color w:val="181818"/>
        </w:rPr>
        <w:t xml:space="preserve">– </w:t>
      </w:r>
      <w:r w:rsidR="002F58FB" w:rsidRPr="002F58FB">
        <w:rPr>
          <w:rFonts w:ascii="Arial" w:eastAsia="MS PGothic" w:hAnsi="Arial" w:cs="Arial"/>
          <w:b/>
          <w:bCs/>
          <w:color w:val="181818"/>
        </w:rPr>
        <w:t>Question 20</w:t>
      </w:r>
      <w:r w:rsidR="00394809">
        <w:rPr>
          <w:rFonts w:ascii="Arial" w:eastAsia="MS PGothic" w:hAnsi="Arial" w:cs="Arial"/>
          <w:b/>
          <w:bCs/>
          <w:color w:val="181818"/>
        </w:rPr>
        <w:t>.</w:t>
      </w:r>
      <w:r w:rsidR="002D58CD">
        <w:rPr>
          <w:rFonts w:ascii="Arial" w:eastAsia="MS PGothic" w:hAnsi="Arial" w:cs="Arial"/>
          <w:b/>
          <w:bCs/>
          <w:color w:val="181818"/>
        </w:rPr>
        <w:t xml:space="preserve"> </w:t>
      </w:r>
      <w:r w:rsidR="00394809">
        <w:rPr>
          <w:rFonts w:ascii="Arial" w:eastAsia="MS PGothic" w:hAnsi="Arial" w:cs="Arial"/>
          <w:b/>
          <w:bCs/>
          <w:color w:val="181818"/>
        </w:rPr>
        <w:t>T</w:t>
      </w:r>
      <w:r w:rsidR="002D58CD">
        <w:rPr>
          <w:rFonts w:ascii="Arial" w:eastAsia="MS PGothic" w:hAnsi="Arial" w:cs="Arial"/>
          <w:b/>
          <w:bCs/>
          <w:color w:val="181818"/>
        </w:rPr>
        <w:t xml:space="preserve">able on </w:t>
      </w:r>
      <w:r w:rsidR="0048151A">
        <w:rPr>
          <w:rFonts w:ascii="Arial" w:eastAsia="MS PGothic" w:hAnsi="Arial" w:cs="Arial"/>
          <w:b/>
          <w:bCs/>
          <w:color w:val="181818"/>
        </w:rPr>
        <w:t xml:space="preserve">eligible assets </w:t>
      </w:r>
      <w:r w:rsidR="002F58FB" w:rsidRPr="002F58FB">
        <w:rPr>
          <w:rFonts w:ascii="Arial" w:eastAsia="MS PGothic" w:hAnsi="Arial" w:cs="Arial"/>
          <w:b/>
          <w:bCs/>
          <w:color w:val="181818"/>
        </w:rPr>
        <w:t>UCITS EAD</w:t>
      </w:r>
      <w:r w:rsidR="53D130EB" w:rsidRPr="28CED790">
        <w:rPr>
          <w:rFonts w:ascii="Arial" w:eastAsia="MS PGothic" w:hAnsi="Arial" w:cs="Arial"/>
          <w:b/>
          <w:bCs/>
          <w:color w:val="181818"/>
        </w:rPr>
        <w:t xml:space="preserve">. </w:t>
      </w:r>
    </w:p>
    <w:p w14:paraId="10145F69" w14:textId="4B8E6890" w:rsidR="00554F00" w:rsidRDefault="002F58FB" w:rsidP="3FE99FEE">
      <w:pPr>
        <w:spacing w:after="250" w:line="276" w:lineRule="auto"/>
        <w:jc w:val="both"/>
        <w:rPr>
          <w:rFonts w:ascii="Arial" w:eastAsia="MS PGothic" w:hAnsi="Arial" w:cs="Arial"/>
          <w:color w:val="181818"/>
        </w:rPr>
      </w:pPr>
      <w:r w:rsidRPr="002F58FB">
        <w:rPr>
          <w:rFonts w:ascii="Arial" w:eastAsia="MS PGothic" w:hAnsi="Arial" w:cs="Arial"/>
          <w:color w:val="181818"/>
          <w:szCs w:val="20"/>
        </w:rPr>
        <w:t xml:space="preserve">For the purposes of Question 20, please </w:t>
      </w:r>
      <w:r w:rsidR="00A87C58">
        <w:rPr>
          <w:rFonts w:ascii="Arial" w:eastAsia="MS PGothic" w:hAnsi="Arial" w:cs="Arial"/>
          <w:color w:val="181818"/>
          <w:szCs w:val="20"/>
        </w:rPr>
        <w:t>complete</w:t>
      </w:r>
      <w:r w:rsidRPr="002F58FB">
        <w:rPr>
          <w:rFonts w:ascii="Arial" w:eastAsia="MS PGothic" w:hAnsi="Arial" w:cs="Arial"/>
          <w:color w:val="181818"/>
          <w:szCs w:val="20"/>
        </w:rPr>
        <w:t xml:space="preserve"> the table </w:t>
      </w:r>
      <w:r w:rsidR="006C47BC">
        <w:rPr>
          <w:rFonts w:ascii="Arial" w:eastAsia="MS PGothic" w:hAnsi="Arial" w:cs="Arial"/>
          <w:color w:val="181818"/>
          <w:szCs w:val="20"/>
        </w:rPr>
        <w:t>below</w:t>
      </w:r>
      <w:r w:rsidRPr="002F58FB">
        <w:rPr>
          <w:rFonts w:ascii="Arial" w:eastAsia="MS PGothic" w:hAnsi="Arial" w:cs="Arial"/>
          <w:color w:val="181818"/>
          <w:szCs w:val="20"/>
        </w:rPr>
        <w:t xml:space="preserve"> with the requested information</w:t>
      </w:r>
      <w:r w:rsidR="00F042E8">
        <w:rPr>
          <w:rFonts w:ascii="Arial" w:eastAsia="MS PGothic" w:hAnsi="Arial" w:cs="Arial"/>
          <w:color w:val="181818"/>
          <w:szCs w:val="20"/>
        </w:rPr>
        <w:t xml:space="preserve">, taking into account the instructions </w:t>
      </w:r>
      <w:r w:rsidR="00FB3EA8">
        <w:rPr>
          <w:rFonts w:ascii="Arial" w:eastAsia="MS PGothic" w:hAnsi="Arial" w:cs="Arial"/>
          <w:color w:val="181818"/>
          <w:szCs w:val="20"/>
        </w:rPr>
        <w:t xml:space="preserve">provided in </w:t>
      </w:r>
      <w:r w:rsidR="006B7B4A">
        <w:rPr>
          <w:rFonts w:ascii="Arial" w:eastAsia="MS PGothic" w:hAnsi="Arial" w:cs="Arial"/>
          <w:color w:val="181818"/>
          <w:szCs w:val="20"/>
        </w:rPr>
        <w:t>the footnotes</w:t>
      </w:r>
      <w:r w:rsidRPr="002F58FB">
        <w:rPr>
          <w:rFonts w:ascii="Arial" w:eastAsia="MS PGothic" w:hAnsi="Arial" w:cs="Arial"/>
          <w:color w:val="181818"/>
          <w:szCs w:val="20"/>
        </w:rPr>
        <w:t xml:space="preserve">. After </w:t>
      </w:r>
      <w:r w:rsidR="003D2C3C">
        <w:rPr>
          <w:rFonts w:ascii="Arial" w:eastAsia="MS PGothic" w:hAnsi="Arial" w:cs="Arial"/>
          <w:color w:val="181818"/>
          <w:szCs w:val="20"/>
        </w:rPr>
        <w:t>having</w:t>
      </w:r>
      <w:r w:rsidRPr="002F58FB">
        <w:rPr>
          <w:rFonts w:ascii="Arial" w:eastAsia="MS PGothic" w:hAnsi="Arial" w:cs="Arial"/>
          <w:color w:val="181818"/>
          <w:szCs w:val="20"/>
        </w:rPr>
        <w:t xml:space="preserve"> </w:t>
      </w:r>
      <w:r w:rsidR="00F042E8">
        <w:rPr>
          <w:rFonts w:ascii="Arial" w:eastAsia="MS PGothic" w:hAnsi="Arial" w:cs="Arial"/>
          <w:color w:val="181818"/>
          <w:szCs w:val="20"/>
        </w:rPr>
        <w:t xml:space="preserve">completed </w:t>
      </w:r>
      <w:r w:rsidRPr="002F58FB">
        <w:rPr>
          <w:rFonts w:ascii="Arial" w:eastAsia="MS PGothic" w:hAnsi="Arial" w:cs="Arial"/>
          <w:color w:val="181818"/>
          <w:szCs w:val="20"/>
        </w:rPr>
        <w:t xml:space="preserve">the form, </w:t>
      </w:r>
      <w:r w:rsidR="00FD12FD">
        <w:rPr>
          <w:rFonts w:ascii="Arial" w:eastAsia="MS PGothic" w:hAnsi="Arial" w:cs="Arial"/>
          <w:color w:val="181818"/>
          <w:szCs w:val="20"/>
        </w:rPr>
        <w:t xml:space="preserve">please </w:t>
      </w:r>
      <w:r w:rsidRPr="002F58FB">
        <w:rPr>
          <w:rFonts w:ascii="Arial" w:eastAsia="MS PGothic" w:hAnsi="Arial" w:cs="Arial"/>
          <w:color w:val="181818"/>
          <w:szCs w:val="20"/>
        </w:rPr>
        <w:t xml:space="preserve">save the document </w:t>
      </w:r>
      <w:r w:rsidR="0040029B">
        <w:rPr>
          <w:rFonts w:ascii="Arial" w:eastAsia="MS PGothic" w:hAnsi="Arial" w:cs="Arial"/>
          <w:color w:val="181818"/>
          <w:szCs w:val="20"/>
        </w:rPr>
        <w:t>(</w:t>
      </w:r>
      <w:r w:rsidR="00FE6B1B">
        <w:rPr>
          <w:rFonts w:ascii="Arial" w:eastAsia="MS PGothic" w:hAnsi="Arial" w:cs="Arial"/>
          <w:color w:val="181818"/>
          <w:szCs w:val="20"/>
        </w:rPr>
        <w:t>according to the following convention:</w:t>
      </w:r>
      <w:r w:rsidRPr="002F58FB">
        <w:rPr>
          <w:rFonts w:ascii="Arial" w:eastAsia="MS PGothic" w:hAnsi="Arial" w:cs="Arial"/>
          <w:color w:val="181818"/>
          <w:szCs w:val="20"/>
        </w:rPr>
        <w:t xml:space="preserve"> </w:t>
      </w:r>
      <w:r w:rsidR="00FE6B1B">
        <w:rPr>
          <w:rFonts w:ascii="Arial" w:eastAsia="MS PGothic" w:hAnsi="Arial" w:cs="Arial"/>
          <w:color w:val="181818"/>
          <w:szCs w:val="20"/>
        </w:rPr>
        <w:t>“</w:t>
      </w:r>
      <w:r w:rsidRPr="002F58FB">
        <w:rPr>
          <w:rFonts w:ascii="Arial" w:eastAsia="MS PGothic" w:hAnsi="Arial" w:cs="Arial"/>
          <w:color w:val="181818"/>
          <w:szCs w:val="20"/>
        </w:rPr>
        <w:t>ESMA_</w:t>
      </w:r>
      <w:r w:rsidR="00915CEE">
        <w:rPr>
          <w:rFonts w:ascii="Arial" w:eastAsia="MS PGothic" w:hAnsi="Arial" w:cs="Arial"/>
          <w:color w:val="181818"/>
          <w:szCs w:val="20"/>
        </w:rPr>
        <w:t>Q20</w:t>
      </w:r>
      <w:r w:rsidRPr="002F58FB">
        <w:rPr>
          <w:rFonts w:ascii="Arial" w:eastAsia="MS PGothic" w:hAnsi="Arial" w:cs="Arial"/>
          <w:color w:val="181818"/>
          <w:szCs w:val="20"/>
        </w:rPr>
        <w:t>_nameofrespondent</w:t>
      </w:r>
      <w:r w:rsidR="00915CEE">
        <w:rPr>
          <w:rFonts w:ascii="Arial" w:eastAsia="MS PGothic" w:hAnsi="Arial" w:cs="Arial"/>
          <w:color w:val="181818"/>
          <w:szCs w:val="20"/>
        </w:rPr>
        <w:t>”</w:t>
      </w:r>
      <w:r w:rsidR="0040029B">
        <w:rPr>
          <w:rFonts w:ascii="Arial" w:eastAsia="MS PGothic" w:hAnsi="Arial" w:cs="Arial"/>
          <w:color w:val="181818"/>
          <w:szCs w:val="20"/>
        </w:rPr>
        <w:t>)</w:t>
      </w:r>
      <w:r w:rsidRPr="002F58FB">
        <w:rPr>
          <w:rFonts w:ascii="Arial" w:eastAsia="MS PGothic" w:hAnsi="Arial" w:cs="Arial"/>
          <w:color w:val="181818"/>
          <w:szCs w:val="20"/>
        </w:rPr>
        <w:t xml:space="preserve"> and</w:t>
      </w:r>
      <w:r w:rsidR="0040029B">
        <w:rPr>
          <w:rFonts w:ascii="Arial" w:eastAsia="MS PGothic" w:hAnsi="Arial" w:cs="Arial"/>
          <w:color w:val="181818"/>
          <w:szCs w:val="20"/>
        </w:rPr>
        <w:t xml:space="preserve"> </w:t>
      </w:r>
      <w:r w:rsidR="0051598D">
        <w:rPr>
          <w:rFonts w:ascii="Arial" w:eastAsia="MS PGothic" w:hAnsi="Arial" w:cs="Arial"/>
          <w:color w:val="181818"/>
          <w:szCs w:val="20"/>
        </w:rPr>
        <w:t xml:space="preserve">upload </w:t>
      </w:r>
      <w:r w:rsidR="0040029B">
        <w:rPr>
          <w:rFonts w:ascii="Arial" w:eastAsia="MS PGothic" w:hAnsi="Arial" w:cs="Arial"/>
          <w:color w:val="181818"/>
          <w:szCs w:val="20"/>
        </w:rPr>
        <w:t>it</w:t>
      </w:r>
      <w:r w:rsidR="006C7811">
        <w:rPr>
          <w:rFonts w:ascii="Arial" w:eastAsia="MS PGothic" w:hAnsi="Arial" w:cs="Arial"/>
          <w:color w:val="181818"/>
          <w:szCs w:val="20"/>
        </w:rPr>
        <w:t xml:space="preserve"> </w:t>
      </w:r>
      <w:r w:rsidR="005A6BF0" w:rsidRPr="005A6BF0">
        <w:rPr>
          <w:rFonts w:ascii="Arial" w:eastAsia="MS PGothic" w:hAnsi="Arial" w:cs="Arial"/>
          <w:bCs/>
          <w:color w:val="181818"/>
          <w:szCs w:val="20"/>
        </w:rPr>
        <w:t xml:space="preserve">online at </w:t>
      </w:r>
      <w:hyperlink r:id="rId10" w:history="1">
        <w:r w:rsidR="00901098" w:rsidRPr="00150222">
          <w:rPr>
            <w:rStyle w:val="Hyperlink"/>
            <w:rFonts w:ascii="Arial" w:eastAsia="MS PGothic" w:hAnsi="Arial" w:cs="Arial"/>
            <w:bCs/>
            <w:szCs w:val="20"/>
          </w:rPr>
          <w:t>https://www.esma.europa.eu/press-news/consultations/call-evidence-review-ucits-eligible-assets-directive</w:t>
        </w:r>
      </w:hyperlink>
      <w:r w:rsidR="00901098">
        <w:rPr>
          <w:rFonts w:ascii="Arial" w:eastAsia="MS PGothic" w:hAnsi="Arial" w:cs="Arial"/>
          <w:bCs/>
          <w:i/>
          <w:iCs/>
          <w:color w:val="181818"/>
          <w:szCs w:val="20"/>
        </w:rPr>
        <w:t xml:space="preserve"> </w:t>
      </w:r>
      <w:r w:rsidR="005A6BF0" w:rsidRPr="005A6BF0">
        <w:rPr>
          <w:rFonts w:ascii="Arial" w:eastAsia="MS PGothic" w:hAnsi="Arial" w:cs="Arial"/>
          <w:bCs/>
          <w:color w:val="181818"/>
          <w:szCs w:val="20"/>
        </w:rPr>
        <w:t xml:space="preserve">under the heading </w:t>
      </w:r>
      <w:r w:rsidR="005A6BF0" w:rsidRPr="005A6BF0">
        <w:rPr>
          <w:rFonts w:ascii="Arial" w:eastAsia="MS PGothic" w:hAnsi="Arial" w:cs="Arial"/>
          <w:bCs/>
          <w:i/>
          <w:iCs/>
          <w:color w:val="181818"/>
          <w:szCs w:val="20"/>
        </w:rPr>
        <w:t>‘Your input - Consultations’</w:t>
      </w:r>
      <w:r w:rsidR="005A6BF0">
        <w:rPr>
          <w:rFonts w:ascii="Arial" w:eastAsia="MS PGothic" w:hAnsi="Arial" w:cs="Arial"/>
          <w:bCs/>
          <w:color w:val="181818"/>
          <w:szCs w:val="20"/>
        </w:rPr>
        <w:t>, as an Annex to the Reply Form</w:t>
      </w:r>
      <w:r w:rsidR="0040029B">
        <w:rPr>
          <w:rFonts w:ascii="Arial" w:eastAsia="MS PGothic" w:hAnsi="Arial" w:cs="Arial"/>
          <w:color w:val="181818"/>
          <w:szCs w:val="20"/>
        </w:rPr>
        <w:t xml:space="preserve">. </w:t>
      </w:r>
      <w:r w:rsidR="008B6D19">
        <w:rPr>
          <w:rFonts w:ascii="Arial" w:eastAsia="MS PGothic" w:hAnsi="Arial" w:cs="Arial"/>
          <w:color w:val="181818"/>
          <w:szCs w:val="20"/>
        </w:rPr>
        <w:t xml:space="preserve">In case you upload a pdf file, please choose an editable form. </w:t>
      </w:r>
    </w:p>
    <w:tbl>
      <w:tblPr>
        <w:tblStyle w:val="Tablenone1"/>
        <w:tblW w:w="9320" w:type="dxa"/>
        <w:tblLook w:val="04A0" w:firstRow="1" w:lastRow="0" w:firstColumn="1" w:lastColumn="0" w:noHBand="0" w:noVBand="1"/>
      </w:tblPr>
      <w:tblGrid>
        <w:gridCol w:w="1965"/>
        <w:gridCol w:w="1948"/>
        <w:gridCol w:w="1729"/>
        <w:gridCol w:w="1977"/>
        <w:gridCol w:w="1701"/>
      </w:tblGrid>
      <w:tr w:rsidR="00B33432" w:rsidRPr="00B33432" w14:paraId="42644C63" w14:textId="77777777" w:rsidTr="008059ED">
        <w:tc>
          <w:tcPr>
            <w:tcW w:w="1984" w:type="dxa"/>
          </w:tcPr>
          <w:p w14:paraId="0268D242"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Asset class</w:t>
            </w:r>
            <w:r w:rsidRPr="00B33432">
              <w:rPr>
                <w:rFonts w:ascii="Arial" w:hAnsi="Arial" w:cs="Arial"/>
                <w:b/>
                <w:bCs/>
                <w:color w:val="181818"/>
                <w:sz w:val="16"/>
                <w:vertAlign w:val="superscript"/>
              </w:rPr>
              <w:footnoteReference w:id="2"/>
            </w:r>
          </w:p>
        </w:tc>
        <w:tc>
          <w:tcPr>
            <w:tcW w:w="1948" w:type="dxa"/>
          </w:tcPr>
          <w:p w14:paraId="60F87FED"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Merits of allowing direct UCITS exposures</w:t>
            </w:r>
          </w:p>
        </w:tc>
        <w:tc>
          <w:tcPr>
            <w:tcW w:w="1732" w:type="dxa"/>
          </w:tcPr>
          <w:p w14:paraId="49FEA0C2"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 xml:space="preserve">Merits of allowing </w:t>
            </w:r>
            <w:r w:rsidRPr="00B33432">
              <w:rPr>
                <w:rFonts w:ascii="Arial" w:hAnsi="Arial" w:cs="Arial"/>
                <w:b/>
                <w:i/>
                <w:color w:val="181818"/>
              </w:rPr>
              <w:t>indirect</w:t>
            </w:r>
            <w:r w:rsidRPr="00B33432">
              <w:rPr>
                <w:rFonts w:ascii="Arial" w:hAnsi="Arial" w:cs="Arial"/>
                <w:b/>
                <w:bCs/>
                <w:color w:val="181818"/>
              </w:rPr>
              <w:t xml:space="preserve"> UCITS exposures</w:t>
            </w:r>
            <w:r w:rsidRPr="00B33432">
              <w:rPr>
                <w:rFonts w:ascii="Arial" w:hAnsi="Arial" w:cs="Arial"/>
                <w:b/>
                <w:bCs/>
                <w:color w:val="181818"/>
                <w:sz w:val="16"/>
                <w:vertAlign w:val="superscript"/>
              </w:rPr>
              <w:footnoteReference w:id="3"/>
            </w:r>
          </w:p>
        </w:tc>
        <w:tc>
          <w:tcPr>
            <w:tcW w:w="1989" w:type="dxa"/>
          </w:tcPr>
          <w:p w14:paraId="5668F975"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Extent/amount of existing UCITS exposures</w:t>
            </w:r>
            <w:r w:rsidRPr="00B33432">
              <w:rPr>
                <w:rFonts w:ascii="Arial" w:hAnsi="Arial" w:cs="Arial"/>
                <w:b/>
                <w:bCs/>
                <w:color w:val="181818"/>
                <w:sz w:val="16"/>
                <w:vertAlign w:val="superscript"/>
              </w:rPr>
              <w:footnoteReference w:id="4"/>
            </w:r>
            <w:r w:rsidRPr="00B33432">
              <w:rPr>
                <w:rFonts w:ascii="Arial" w:hAnsi="Arial" w:cs="Arial"/>
                <w:b/>
                <w:bCs/>
                <w:color w:val="181818"/>
              </w:rPr>
              <w:t xml:space="preserve"> </w:t>
            </w:r>
          </w:p>
        </w:tc>
        <w:tc>
          <w:tcPr>
            <w:tcW w:w="1667" w:type="dxa"/>
          </w:tcPr>
          <w:p w14:paraId="50147042"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Additional comments</w:t>
            </w:r>
            <w:r w:rsidRPr="00B33432">
              <w:rPr>
                <w:rFonts w:ascii="Arial" w:hAnsi="Arial" w:cs="Arial"/>
                <w:b/>
                <w:bCs/>
                <w:vertAlign w:val="superscript"/>
              </w:rPr>
              <w:footnoteReference w:id="5"/>
            </w:r>
          </w:p>
        </w:tc>
      </w:tr>
      <w:tr w:rsidR="00D73DF8" w:rsidRPr="00B33432" w14:paraId="52801425" w14:textId="77777777" w:rsidTr="008059ED">
        <w:tc>
          <w:tcPr>
            <w:tcW w:w="1984" w:type="dxa"/>
          </w:tcPr>
          <w:p w14:paraId="06FDDDF6" w14:textId="77777777" w:rsidR="00D73DF8" w:rsidRPr="00B33432" w:rsidRDefault="00D73DF8" w:rsidP="00D73DF8">
            <w:pPr>
              <w:spacing w:after="250" w:line="276" w:lineRule="auto"/>
              <w:rPr>
                <w:rFonts w:ascii="Arial" w:hAnsi="Arial" w:cs="Arial"/>
                <w:color w:val="181818"/>
              </w:rPr>
            </w:pPr>
            <w:r w:rsidRPr="00B33432">
              <w:rPr>
                <w:rFonts w:ascii="Arial" w:hAnsi="Arial" w:cs="Arial"/>
              </w:rPr>
              <w:t>1. Loans</w:t>
            </w:r>
            <w:r w:rsidRPr="00B33432">
              <w:rPr>
                <w:rFonts w:ascii="Arial" w:hAnsi="Arial" w:cs="Arial"/>
                <w:sz w:val="16"/>
                <w:vertAlign w:val="superscript"/>
              </w:rPr>
              <w:footnoteReference w:id="6"/>
            </w:r>
          </w:p>
        </w:tc>
        <w:tc>
          <w:tcPr>
            <w:tcW w:w="1948" w:type="dxa"/>
          </w:tcPr>
          <w:p w14:paraId="6FD3E8EB" w14:textId="77777777" w:rsidR="00D73DF8" w:rsidRDefault="00D73DF8" w:rsidP="00D73DF8">
            <w:pPr>
              <w:rPr>
                <w:rFonts w:ascii="Open Sans" w:hAnsi="Open Sans" w:cs="Open Sans"/>
                <w:lang w:val="en-GB"/>
              </w:rPr>
            </w:pPr>
            <w:r w:rsidRPr="00C2108A">
              <w:rPr>
                <w:rFonts w:ascii="Open Sans" w:hAnsi="Open Sans" w:cs="Open Sans"/>
                <w:lang w:val="en-GB"/>
              </w:rPr>
              <w:t>AIMA considers that there would be merit in widening the scope of eligible assets</w:t>
            </w:r>
            <w:r>
              <w:rPr>
                <w:rFonts w:ascii="Open Sans" w:hAnsi="Open Sans" w:cs="Open Sans"/>
                <w:lang w:val="en-GB"/>
              </w:rPr>
              <w:t>,</w:t>
            </w:r>
            <w:r w:rsidRPr="00C2108A">
              <w:rPr>
                <w:rFonts w:ascii="Open Sans" w:hAnsi="Open Sans" w:cs="Open Sans"/>
                <w:lang w:val="en-GB"/>
              </w:rPr>
              <w:t xml:space="preserve"> </w:t>
            </w:r>
            <w:r>
              <w:rPr>
                <w:rFonts w:ascii="Open Sans" w:hAnsi="Open Sans" w:cs="Open Sans"/>
                <w:lang w:val="en-GB"/>
              </w:rPr>
              <w:t xml:space="preserve">or further clarifying, </w:t>
            </w:r>
            <w:r w:rsidRPr="00C2108A">
              <w:rPr>
                <w:rFonts w:ascii="Open Sans" w:hAnsi="Open Sans" w:cs="Open Sans"/>
                <w:lang w:val="en-GB"/>
              </w:rPr>
              <w:t>that UCITS funds can invest in to include all forms of loans</w:t>
            </w:r>
            <w:r>
              <w:rPr>
                <w:rFonts w:ascii="Open Sans" w:hAnsi="Open Sans" w:cs="Open Sans"/>
                <w:lang w:val="en-GB"/>
              </w:rPr>
              <w:t>, such as direct leveraged loans and CLOs</w:t>
            </w:r>
            <w:r w:rsidRPr="00C2108A">
              <w:rPr>
                <w:rFonts w:ascii="Open Sans" w:hAnsi="Open Sans" w:cs="Open Sans"/>
                <w:lang w:val="en-GB"/>
              </w:rPr>
              <w:t>.</w:t>
            </w:r>
            <w:r>
              <w:rPr>
                <w:rFonts w:ascii="Open Sans" w:hAnsi="Open Sans" w:cs="Open Sans"/>
                <w:lang w:val="en-GB"/>
              </w:rPr>
              <w:t xml:space="preserve"> </w:t>
            </w:r>
            <w:r w:rsidRPr="00712024">
              <w:rPr>
                <w:rFonts w:ascii="Open Sans" w:hAnsi="Open Sans" w:cs="Open Sans"/>
                <w:lang w:val="en-GB"/>
              </w:rPr>
              <w:t xml:space="preserve">Many loans are transferable and there is an active secondary market. </w:t>
            </w:r>
            <w:r>
              <w:rPr>
                <w:rFonts w:ascii="Open Sans" w:hAnsi="Open Sans" w:cs="Open Sans"/>
                <w:lang w:val="en-GB"/>
              </w:rPr>
              <w:t xml:space="preserve">For </w:t>
            </w:r>
            <w:r>
              <w:rPr>
                <w:rFonts w:ascii="Open Sans" w:hAnsi="Open Sans" w:cs="Open Sans"/>
                <w:lang w:val="en-GB"/>
              </w:rPr>
              <w:lastRenderedPageBreak/>
              <w:t xml:space="preserve">example, we support the fact that </w:t>
            </w:r>
            <w:r w:rsidRPr="0054733C">
              <w:rPr>
                <w:rFonts w:ascii="Open Sans" w:hAnsi="Open Sans" w:cs="Open Sans"/>
                <w:lang w:val="en-GB"/>
              </w:rPr>
              <w:t xml:space="preserve">syndicated loans </w:t>
            </w:r>
            <w:r>
              <w:rPr>
                <w:rFonts w:ascii="Open Sans" w:hAnsi="Open Sans" w:cs="Open Sans"/>
                <w:lang w:val="en-GB"/>
              </w:rPr>
              <w:t xml:space="preserve">are </w:t>
            </w:r>
            <w:r w:rsidRPr="0054733C">
              <w:rPr>
                <w:rFonts w:ascii="Open Sans" w:hAnsi="Open Sans" w:cs="Open Sans"/>
                <w:lang w:val="en-GB"/>
              </w:rPr>
              <w:t>deemed eligible if they meet liquidity</w:t>
            </w:r>
            <w:r>
              <w:rPr>
                <w:rFonts w:ascii="Open Sans" w:hAnsi="Open Sans" w:cs="Open Sans"/>
                <w:lang w:val="en-GB"/>
              </w:rPr>
              <w:t xml:space="preserve">/ </w:t>
            </w:r>
            <w:r w:rsidRPr="0054733C">
              <w:rPr>
                <w:rFonts w:ascii="Open Sans" w:hAnsi="Open Sans" w:cs="Open Sans"/>
                <w:lang w:val="en-GB"/>
              </w:rPr>
              <w:t>valuations and negotiability</w:t>
            </w:r>
            <w:r>
              <w:rPr>
                <w:rFonts w:ascii="Open Sans" w:hAnsi="Open Sans" w:cs="Open Sans"/>
                <w:lang w:val="en-GB"/>
              </w:rPr>
              <w:t>.</w:t>
            </w:r>
          </w:p>
          <w:p w14:paraId="2F9B7F46" w14:textId="77777777" w:rsidR="00D73DF8" w:rsidRDefault="00D73DF8" w:rsidP="00D73DF8">
            <w:pPr>
              <w:rPr>
                <w:rFonts w:ascii="Open Sans" w:hAnsi="Open Sans" w:cs="Open Sans"/>
                <w:lang w:val="en-GB"/>
              </w:rPr>
            </w:pPr>
          </w:p>
          <w:p w14:paraId="7B6E7CAA" w14:textId="77777777" w:rsidR="00D73DF8" w:rsidRDefault="00D73DF8" w:rsidP="00D73DF8">
            <w:pPr>
              <w:rPr>
                <w:rFonts w:ascii="Open Sans" w:hAnsi="Open Sans" w:cs="Open Sans"/>
                <w:lang w:val="en-GB"/>
              </w:rPr>
            </w:pPr>
            <w:r>
              <w:rPr>
                <w:rFonts w:ascii="Open Sans" w:hAnsi="Open Sans" w:cs="Open Sans"/>
                <w:lang w:val="en-GB"/>
              </w:rPr>
              <w:t>Among the benefits include (i) d</w:t>
            </w:r>
            <w:r w:rsidRPr="008E269C">
              <w:rPr>
                <w:rFonts w:ascii="Open Sans" w:hAnsi="Open Sans" w:cs="Open Sans"/>
                <w:lang w:val="en-GB"/>
              </w:rPr>
              <w:t>iversification in issuer type, as the type of issuer will differ to those of standard bonds, complementing traditional credit exposure</w:t>
            </w:r>
            <w:r>
              <w:rPr>
                <w:rFonts w:ascii="Open Sans" w:hAnsi="Open Sans" w:cs="Open Sans"/>
                <w:lang w:val="en-GB"/>
              </w:rPr>
              <w:t xml:space="preserve">; (ii) </w:t>
            </w:r>
            <w:r w:rsidRPr="00614BE7">
              <w:rPr>
                <w:rFonts w:ascii="Open Sans" w:hAnsi="Open Sans" w:cs="Open Sans"/>
                <w:lang w:val="en-GB"/>
              </w:rPr>
              <w:t>access to an established market, e.g.</w:t>
            </w:r>
            <w:r>
              <w:rPr>
                <w:rFonts w:ascii="Open Sans" w:hAnsi="Open Sans" w:cs="Open Sans"/>
                <w:lang w:val="en-GB"/>
              </w:rPr>
              <w:t>,</w:t>
            </w:r>
            <w:r w:rsidRPr="00614BE7">
              <w:rPr>
                <w:rFonts w:ascii="Open Sans" w:hAnsi="Open Sans" w:cs="Open Sans"/>
                <w:lang w:val="en-GB"/>
              </w:rPr>
              <w:t xml:space="preserve"> in line with the requirements of the US Investment Company Act of 1940 for standardised loans, especially senior/leveraged loan</w:t>
            </w:r>
            <w:r>
              <w:rPr>
                <w:rFonts w:ascii="Open Sans" w:hAnsi="Open Sans" w:cs="Open Sans"/>
                <w:lang w:val="en-GB"/>
              </w:rPr>
              <w:t>; and (iii) w</w:t>
            </w:r>
            <w:r w:rsidRPr="008924B4">
              <w:rPr>
                <w:rFonts w:ascii="Open Sans" w:hAnsi="Open Sans" w:cs="Open Sans"/>
                <w:lang w:val="en-GB"/>
              </w:rPr>
              <w:t>here the UCITS is invested in assets related to the issuer, it can benefit the portfolio to permit the UCITS to assist in restructuring actions of that issuer through participating in loans it issues</w:t>
            </w:r>
            <w:r>
              <w:rPr>
                <w:rFonts w:ascii="Open Sans" w:hAnsi="Open Sans" w:cs="Open Sans"/>
                <w:lang w:val="en-GB"/>
              </w:rPr>
              <w:t>.</w:t>
            </w:r>
          </w:p>
          <w:p w14:paraId="58B17699" w14:textId="77777777" w:rsidR="00D73DF8" w:rsidRDefault="00D73DF8" w:rsidP="00D73DF8">
            <w:pPr>
              <w:rPr>
                <w:rFonts w:ascii="Open Sans" w:hAnsi="Open Sans" w:cs="Open Sans"/>
                <w:lang w:val="en-GB"/>
              </w:rPr>
            </w:pPr>
          </w:p>
          <w:p w14:paraId="2B1FBAB4" w14:textId="77777777" w:rsidR="00D73DF8" w:rsidRPr="00BE2DC0" w:rsidRDefault="00D73DF8" w:rsidP="00D73DF8">
            <w:pPr>
              <w:rPr>
                <w:rFonts w:ascii="Open Sans" w:hAnsi="Open Sans" w:cs="Open Sans"/>
                <w:lang w:val="en-GB"/>
              </w:rPr>
            </w:pPr>
            <w:r w:rsidRPr="00BE2DC0">
              <w:rPr>
                <w:rFonts w:ascii="Open Sans" w:hAnsi="Open Sans" w:cs="Open Sans"/>
                <w:lang w:val="en-GB"/>
              </w:rPr>
              <w:t xml:space="preserve">Loans bring the potential for higher yields to </w:t>
            </w:r>
            <w:r w:rsidRPr="00BE2DC0">
              <w:rPr>
                <w:rFonts w:ascii="Open Sans" w:hAnsi="Open Sans" w:cs="Open Sans"/>
                <w:lang w:val="en-GB"/>
              </w:rPr>
              <w:lastRenderedPageBreak/>
              <w:t xml:space="preserve">investors, relative to public credit such as </w:t>
            </w:r>
            <w:r w:rsidRPr="00D1202E">
              <w:rPr>
                <w:rFonts w:ascii="Open Sans" w:hAnsi="Open Sans" w:cs="Open Sans"/>
                <w:lang w:val="en-GB"/>
              </w:rPr>
              <w:t>investment-grade and high-yield bonds</w:t>
            </w:r>
            <w:r w:rsidRPr="00BE2DC0">
              <w:rPr>
                <w:rFonts w:ascii="Open Sans" w:hAnsi="Open Sans" w:cs="Open Sans"/>
                <w:lang w:val="en-GB"/>
              </w:rPr>
              <w:t>, with insulation from the price-effects of rate duration, owing to their floating-rate nature.</w:t>
            </w:r>
          </w:p>
          <w:p w14:paraId="7B4A4D2D" w14:textId="77777777" w:rsidR="00D73DF8" w:rsidRPr="00BE2DC0" w:rsidRDefault="00D73DF8" w:rsidP="00D73DF8">
            <w:pPr>
              <w:rPr>
                <w:rFonts w:ascii="Open Sans" w:hAnsi="Open Sans" w:cs="Open Sans"/>
                <w:lang w:val="en-GB"/>
              </w:rPr>
            </w:pPr>
          </w:p>
          <w:p w14:paraId="6C7FA39E" w14:textId="77777777" w:rsidR="00D73DF8" w:rsidRPr="00BE2DC0" w:rsidRDefault="00D73DF8" w:rsidP="00D73DF8">
            <w:pPr>
              <w:rPr>
                <w:rFonts w:ascii="Open Sans" w:hAnsi="Open Sans" w:cs="Open Sans"/>
                <w:lang w:val="en-GB"/>
              </w:rPr>
            </w:pPr>
            <w:r>
              <w:rPr>
                <w:rFonts w:ascii="Open Sans" w:hAnsi="Open Sans" w:cs="Open Sans"/>
                <w:lang w:val="en-GB"/>
              </w:rPr>
              <w:t>I</w:t>
            </w:r>
            <w:r w:rsidRPr="00BE2DC0">
              <w:rPr>
                <w:rFonts w:ascii="Open Sans" w:hAnsi="Open Sans" w:cs="Open Sans"/>
                <w:lang w:val="en-GB"/>
              </w:rPr>
              <w:t xml:space="preserve">n the large-cap, leveraged loan market, over 90% of loans are daily tradeable via 20+ OTC trading desks.  </w:t>
            </w:r>
          </w:p>
          <w:p w14:paraId="77B4D05E" w14:textId="77777777" w:rsidR="00D73DF8" w:rsidRPr="00BE2DC0" w:rsidRDefault="00D73DF8" w:rsidP="00D73DF8">
            <w:pPr>
              <w:rPr>
                <w:rFonts w:ascii="Open Sans" w:hAnsi="Open Sans" w:cs="Open Sans"/>
                <w:lang w:val="en-GB"/>
              </w:rPr>
            </w:pPr>
          </w:p>
          <w:p w14:paraId="6EAA9C9C" w14:textId="77777777" w:rsidR="00D73DF8" w:rsidRPr="00BE2DC0" w:rsidRDefault="00D73DF8" w:rsidP="00D73DF8">
            <w:pPr>
              <w:rPr>
                <w:rFonts w:ascii="Open Sans" w:hAnsi="Open Sans" w:cs="Open Sans"/>
                <w:lang w:val="en-GB"/>
              </w:rPr>
            </w:pPr>
            <w:r w:rsidRPr="00BE2DC0">
              <w:rPr>
                <w:rFonts w:ascii="Open Sans" w:hAnsi="Open Sans" w:cs="Open Sans"/>
                <w:lang w:val="en-GB"/>
              </w:rPr>
              <w:t>There is also active retail fund participation in the US loan market in comparison to Europe.</w:t>
            </w:r>
          </w:p>
          <w:p w14:paraId="2246ED42" w14:textId="77777777" w:rsidR="00D73DF8" w:rsidRPr="00BE2DC0" w:rsidRDefault="00D73DF8" w:rsidP="00D73DF8">
            <w:pPr>
              <w:rPr>
                <w:rFonts w:ascii="Open Sans" w:hAnsi="Open Sans" w:cs="Open Sans"/>
                <w:lang w:val="en-GB"/>
              </w:rPr>
            </w:pPr>
          </w:p>
          <w:p w14:paraId="1608B5B3" w14:textId="77777777" w:rsidR="00D73DF8" w:rsidRPr="00BE2DC0" w:rsidRDefault="00D73DF8" w:rsidP="00D73DF8">
            <w:pPr>
              <w:rPr>
                <w:rFonts w:ascii="Open Sans" w:hAnsi="Open Sans" w:cs="Open Sans"/>
                <w:lang w:val="en-GB"/>
              </w:rPr>
            </w:pPr>
            <w:r w:rsidRPr="00BE2DC0">
              <w:rPr>
                <w:rFonts w:ascii="Open Sans" w:hAnsi="Open Sans" w:cs="Open Sans"/>
                <w:lang w:val="en-GB"/>
              </w:rPr>
              <w:t>The European leveraged loan market is larger than the European corporate high yield bond market.</w:t>
            </w:r>
          </w:p>
          <w:p w14:paraId="672F5AC2" w14:textId="77777777" w:rsidR="00D73DF8" w:rsidRDefault="00D73DF8" w:rsidP="00D73DF8">
            <w:pPr>
              <w:rPr>
                <w:rFonts w:ascii="Open Sans" w:hAnsi="Open Sans" w:cs="Open Sans"/>
                <w:lang w:val="en-GB"/>
              </w:rPr>
            </w:pPr>
            <w:r w:rsidRPr="00BE2DC0">
              <w:rPr>
                <w:rFonts w:ascii="Open Sans" w:hAnsi="Open Sans" w:cs="Open Sans"/>
                <w:lang w:val="en-GB"/>
              </w:rPr>
              <w:t xml:space="preserve">European loan market trading liquidity is strong, consisting of secondary trading activity (c. 30% annual turnover) and inherent prepayment features of the </w:t>
            </w:r>
            <w:r w:rsidRPr="00BE2DC0">
              <w:rPr>
                <w:rFonts w:ascii="Open Sans" w:hAnsi="Open Sans" w:cs="Open Sans"/>
                <w:lang w:val="en-GB"/>
              </w:rPr>
              <w:lastRenderedPageBreak/>
              <w:t>asset class (c. 25% average p.a.).</w:t>
            </w:r>
          </w:p>
          <w:p w14:paraId="672A6659" w14:textId="77777777" w:rsidR="00D73DF8" w:rsidRPr="00B33432" w:rsidRDefault="00D73DF8" w:rsidP="00D73DF8">
            <w:pPr>
              <w:spacing w:after="250" w:line="276" w:lineRule="auto"/>
              <w:jc w:val="both"/>
              <w:rPr>
                <w:rFonts w:ascii="Arial" w:hAnsi="Arial" w:cs="Arial"/>
                <w:color w:val="181818"/>
              </w:rPr>
            </w:pPr>
          </w:p>
        </w:tc>
        <w:tc>
          <w:tcPr>
            <w:tcW w:w="1732" w:type="dxa"/>
          </w:tcPr>
          <w:p w14:paraId="0A37501D" w14:textId="3209A20E" w:rsidR="00D73DF8" w:rsidRPr="00B33432" w:rsidRDefault="00E51166" w:rsidP="00E51166">
            <w:pPr>
              <w:rPr>
                <w:rFonts w:ascii="Arial" w:hAnsi="Arial" w:cs="Arial"/>
                <w:color w:val="181818"/>
              </w:rPr>
            </w:pPr>
            <w:r w:rsidRPr="00D92FBF">
              <w:rPr>
                <w:rFonts w:ascii="Open Sans" w:hAnsi="Open Sans" w:cs="Open Sans"/>
                <w:lang w:val="en-GB"/>
              </w:rPr>
              <w:lastRenderedPageBreak/>
              <w:t>Indirect exposure can provide a more diversified exposure to the underlying loans, though it may be linked to higher costs and reduced transparency.</w:t>
            </w:r>
          </w:p>
        </w:tc>
        <w:tc>
          <w:tcPr>
            <w:tcW w:w="1989" w:type="dxa"/>
          </w:tcPr>
          <w:p w14:paraId="5DAB6C7B" w14:textId="77777777" w:rsidR="00D73DF8" w:rsidRPr="00B33432" w:rsidRDefault="00D73DF8" w:rsidP="00D73DF8">
            <w:pPr>
              <w:spacing w:after="250" w:line="276" w:lineRule="auto"/>
              <w:jc w:val="both"/>
              <w:rPr>
                <w:rFonts w:ascii="Arial" w:hAnsi="Arial" w:cs="Arial"/>
                <w:color w:val="181818"/>
              </w:rPr>
            </w:pPr>
          </w:p>
        </w:tc>
        <w:tc>
          <w:tcPr>
            <w:tcW w:w="1667" w:type="dxa"/>
          </w:tcPr>
          <w:p w14:paraId="4F364C24" w14:textId="2FC89DA5" w:rsidR="00C47B7D" w:rsidRPr="00414A0E" w:rsidRDefault="00C47B7D" w:rsidP="00C47B7D">
            <w:pPr>
              <w:rPr>
                <w:rFonts w:ascii="Open Sans" w:hAnsi="Open Sans" w:cs="Open Sans"/>
                <w:lang w:val="en-GB"/>
              </w:rPr>
            </w:pPr>
            <w:r w:rsidRPr="00414A0E">
              <w:rPr>
                <w:rFonts w:ascii="Open Sans" w:hAnsi="Open Sans" w:cs="Open Sans"/>
                <w:lang w:val="en-GB"/>
              </w:rPr>
              <w:t xml:space="preserve">Loans share significant structural similarities and credit risk to floating rate notes </w:t>
            </w:r>
            <w:r>
              <w:rPr>
                <w:rFonts w:ascii="Open Sans" w:hAnsi="Open Sans" w:cs="Open Sans"/>
                <w:lang w:val="en-GB"/>
              </w:rPr>
              <w:t xml:space="preserve">(FRN) </w:t>
            </w:r>
            <w:r w:rsidRPr="00414A0E">
              <w:rPr>
                <w:rFonts w:ascii="Open Sans" w:hAnsi="Open Sans" w:cs="Open Sans"/>
                <w:lang w:val="en-GB"/>
              </w:rPr>
              <w:t>which are UCITS eligible. Unlike the FRN market, that is small and highly concentrated market, the European loan market is large (</w:t>
            </w:r>
            <w:r w:rsidR="004F59FD">
              <w:rPr>
                <w:rFonts w:ascii="Open Sans" w:hAnsi="Open Sans" w:cs="Open Sans"/>
                <w:lang w:val="en-GB"/>
              </w:rPr>
              <w:t>c.</w:t>
            </w:r>
            <w:r w:rsidRPr="00414A0E">
              <w:rPr>
                <w:rFonts w:ascii="Open Sans" w:hAnsi="Open Sans" w:cs="Open Sans"/>
                <w:lang w:val="en-GB"/>
              </w:rPr>
              <w:t>€415 billion).</w:t>
            </w:r>
          </w:p>
          <w:p w14:paraId="5CEECD23" w14:textId="77777777" w:rsidR="00C47B7D" w:rsidRDefault="00C47B7D" w:rsidP="00C47B7D">
            <w:pPr>
              <w:rPr>
                <w:rFonts w:ascii="Open Sans" w:hAnsi="Open Sans" w:cs="Open Sans"/>
                <w:lang w:val="en-GB"/>
              </w:rPr>
            </w:pPr>
            <w:r w:rsidRPr="00414A0E">
              <w:rPr>
                <w:rFonts w:ascii="Open Sans" w:hAnsi="Open Sans" w:cs="Open Sans"/>
                <w:lang w:val="en-GB"/>
              </w:rPr>
              <w:lastRenderedPageBreak/>
              <w:t xml:space="preserve">Loan valuation is based on independent pricing from a large selection of brokers (20+ in Europe). </w:t>
            </w:r>
          </w:p>
          <w:p w14:paraId="359A6FEB" w14:textId="04B633D3" w:rsidR="00D73DF8" w:rsidRDefault="00C47B7D" w:rsidP="00C47B7D">
            <w:pPr>
              <w:rPr>
                <w:rFonts w:ascii="Open Sans" w:hAnsi="Open Sans" w:cs="Open Sans"/>
                <w:lang w:val="en-GB"/>
              </w:rPr>
            </w:pPr>
            <w:r w:rsidRPr="00414A0E">
              <w:rPr>
                <w:rFonts w:ascii="Open Sans" w:hAnsi="Open Sans" w:cs="Open Sans"/>
                <w:lang w:val="en-GB"/>
              </w:rPr>
              <w:t>The US loan market has long had an established,</w:t>
            </w:r>
            <w:r>
              <w:rPr>
                <w:rFonts w:ascii="Open Sans" w:hAnsi="Open Sans" w:cs="Open Sans"/>
                <w:lang w:val="en-GB"/>
              </w:rPr>
              <w:t xml:space="preserve"> </w:t>
            </w:r>
            <w:r w:rsidRPr="008724FF">
              <w:rPr>
                <w:rFonts w:ascii="Open Sans" w:hAnsi="Open Sans" w:cs="Open Sans"/>
                <w:lang w:val="en-GB"/>
              </w:rPr>
              <w:t>retail mutual fund presence.</w:t>
            </w:r>
          </w:p>
          <w:p w14:paraId="02EB378F" w14:textId="1FF64FBD" w:rsidR="00C47B7D" w:rsidRPr="00C47B7D" w:rsidRDefault="00C47B7D" w:rsidP="00C47B7D">
            <w:pPr>
              <w:spacing w:after="250" w:line="276" w:lineRule="auto"/>
              <w:jc w:val="both"/>
              <w:rPr>
                <w:rFonts w:ascii="Open Sans" w:hAnsi="Open Sans" w:cs="Open Sans"/>
                <w:lang w:val="en-GB"/>
              </w:rPr>
            </w:pPr>
          </w:p>
        </w:tc>
      </w:tr>
      <w:tr w:rsidR="00D73DF8" w:rsidRPr="00B33432" w14:paraId="131FC414" w14:textId="77777777" w:rsidTr="008059ED">
        <w:tc>
          <w:tcPr>
            <w:tcW w:w="1984" w:type="dxa"/>
          </w:tcPr>
          <w:p w14:paraId="55346258" w14:textId="77777777" w:rsidR="00D73DF8" w:rsidRPr="00B33432" w:rsidRDefault="00D73DF8" w:rsidP="00D73DF8">
            <w:pPr>
              <w:spacing w:after="250" w:line="276" w:lineRule="auto"/>
              <w:rPr>
                <w:rFonts w:ascii="Arial" w:hAnsi="Arial" w:cs="Arial"/>
              </w:rPr>
            </w:pPr>
            <w:r w:rsidRPr="00B33432">
              <w:rPr>
                <w:rFonts w:ascii="Arial" w:hAnsi="Arial" w:cs="Arial"/>
              </w:rPr>
              <w:lastRenderedPageBreak/>
              <w:t>2. Catastrophe bonds (‘Cat bonds’)</w:t>
            </w:r>
          </w:p>
        </w:tc>
        <w:tc>
          <w:tcPr>
            <w:tcW w:w="1948" w:type="dxa"/>
          </w:tcPr>
          <w:p w14:paraId="6A05A809" w14:textId="77777777" w:rsidR="00D73DF8" w:rsidRPr="00B33432" w:rsidRDefault="00D73DF8" w:rsidP="00D73DF8">
            <w:pPr>
              <w:spacing w:after="250" w:line="276" w:lineRule="auto"/>
              <w:jc w:val="both"/>
              <w:rPr>
                <w:rFonts w:ascii="Arial" w:hAnsi="Arial" w:cs="Arial"/>
                <w:color w:val="181818"/>
              </w:rPr>
            </w:pPr>
          </w:p>
        </w:tc>
        <w:tc>
          <w:tcPr>
            <w:tcW w:w="1732" w:type="dxa"/>
          </w:tcPr>
          <w:p w14:paraId="5A39BBE3" w14:textId="77777777" w:rsidR="00D73DF8" w:rsidRPr="00B33432" w:rsidRDefault="00D73DF8" w:rsidP="00D73DF8">
            <w:pPr>
              <w:spacing w:after="250" w:line="276" w:lineRule="auto"/>
              <w:jc w:val="both"/>
              <w:rPr>
                <w:rFonts w:ascii="Arial" w:hAnsi="Arial" w:cs="Arial"/>
                <w:color w:val="181818"/>
              </w:rPr>
            </w:pPr>
          </w:p>
        </w:tc>
        <w:tc>
          <w:tcPr>
            <w:tcW w:w="1989" w:type="dxa"/>
          </w:tcPr>
          <w:p w14:paraId="41C8F396" w14:textId="77777777" w:rsidR="00D73DF8" w:rsidRPr="00B33432" w:rsidRDefault="00D73DF8" w:rsidP="00D73DF8">
            <w:pPr>
              <w:spacing w:after="250" w:line="276" w:lineRule="auto"/>
              <w:jc w:val="both"/>
              <w:rPr>
                <w:rFonts w:ascii="Arial" w:hAnsi="Arial" w:cs="Arial"/>
                <w:color w:val="181818"/>
              </w:rPr>
            </w:pPr>
          </w:p>
        </w:tc>
        <w:tc>
          <w:tcPr>
            <w:tcW w:w="1667" w:type="dxa"/>
          </w:tcPr>
          <w:p w14:paraId="72A3D3EC" w14:textId="77777777" w:rsidR="00D73DF8" w:rsidRPr="00B33432" w:rsidRDefault="00D73DF8" w:rsidP="00D73DF8">
            <w:pPr>
              <w:spacing w:after="250" w:line="276" w:lineRule="auto"/>
              <w:jc w:val="both"/>
              <w:rPr>
                <w:rFonts w:ascii="Arial" w:hAnsi="Arial" w:cs="Arial"/>
                <w:color w:val="181818"/>
              </w:rPr>
            </w:pPr>
          </w:p>
        </w:tc>
      </w:tr>
      <w:tr w:rsidR="00B46066" w:rsidRPr="00B33432" w14:paraId="756B6A0E" w14:textId="77777777" w:rsidTr="008059ED">
        <w:tc>
          <w:tcPr>
            <w:tcW w:w="1984" w:type="dxa"/>
          </w:tcPr>
          <w:p w14:paraId="2C56CC88" w14:textId="77777777" w:rsidR="00B46066" w:rsidRPr="00B33432" w:rsidRDefault="00B46066" w:rsidP="00B46066">
            <w:pPr>
              <w:spacing w:after="250" w:line="276" w:lineRule="auto"/>
              <w:rPr>
                <w:rFonts w:ascii="Arial" w:hAnsi="Arial" w:cs="Arial"/>
                <w:color w:val="181818"/>
              </w:rPr>
            </w:pPr>
            <w:r w:rsidRPr="00B33432">
              <w:rPr>
                <w:rFonts w:ascii="Arial" w:hAnsi="Arial" w:cs="Arial"/>
              </w:rPr>
              <w:t>3. Contingent Convertible bonds (‘CoCo bonds’)</w:t>
            </w:r>
          </w:p>
        </w:tc>
        <w:tc>
          <w:tcPr>
            <w:tcW w:w="1948" w:type="dxa"/>
          </w:tcPr>
          <w:p w14:paraId="66FEF407" w14:textId="77777777" w:rsidR="00B46066" w:rsidRPr="00D1202E" w:rsidRDefault="00B46066" w:rsidP="00B46066">
            <w:pPr>
              <w:rPr>
                <w:rFonts w:ascii="Open Sans" w:hAnsi="Open Sans" w:cs="Open Sans"/>
                <w:lang w:val="en-GB"/>
              </w:rPr>
            </w:pPr>
            <w:r w:rsidRPr="00D1202E">
              <w:rPr>
                <w:rFonts w:ascii="Open Sans" w:hAnsi="Open Sans" w:cs="Open Sans"/>
                <w:lang w:val="en-GB"/>
              </w:rPr>
              <w:t>CoCo</w:t>
            </w:r>
            <w:r>
              <w:rPr>
                <w:rFonts w:ascii="Open Sans" w:hAnsi="Open Sans" w:cs="Open Sans"/>
                <w:lang w:val="en-GB"/>
              </w:rPr>
              <w:t xml:space="preserve"> bond</w:t>
            </w:r>
            <w:r w:rsidRPr="00D1202E">
              <w:rPr>
                <w:rFonts w:ascii="Open Sans" w:hAnsi="Open Sans" w:cs="Open Sans"/>
                <w:lang w:val="en-GB"/>
              </w:rPr>
              <w:t>s represent a liquid asset class comparable to investment-grade and high-yield bonds issued by European and US corporates. They trade through investment banks and dealers like any other bond, with reliable valuations continuously available from multiple sources such as market data providers, market makers, dealers and investment banks. Settlement processes</w:t>
            </w:r>
            <w:r>
              <w:rPr>
                <w:rFonts w:ascii="Open Sans" w:hAnsi="Open Sans" w:cs="Open Sans"/>
                <w:lang w:val="en-GB"/>
              </w:rPr>
              <w:t xml:space="preserve"> and cycles</w:t>
            </w:r>
            <w:r w:rsidRPr="00D1202E">
              <w:rPr>
                <w:rFonts w:ascii="Open Sans" w:hAnsi="Open Sans" w:cs="Open Sans"/>
                <w:lang w:val="en-GB"/>
              </w:rPr>
              <w:t xml:space="preserve"> for CoCo</w:t>
            </w:r>
            <w:r>
              <w:rPr>
                <w:rFonts w:ascii="Open Sans" w:hAnsi="Open Sans" w:cs="Open Sans"/>
                <w:lang w:val="en-GB"/>
              </w:rPr>
              <w:t xml:space="preserve"> bond</w:t>
            </w:r>
            <w:r w:rsidRPr="00D1202E">
              <w:rPr>
                <w:rFonts w:ascii="Open Sans" w:hAnsi="Open Sans" w:cs="Open Sans"/>
                <w:lang w:val="en-GB"/>
              </w:rPr>
              <w:t>s are straightforward and mirror those of other bonds, posing no custody or safekeeping issues.</w:t>
            </w:r>
          </w:p>
          <w:p w14:paraId="5DE4A4D5" w14:textId="77777777" w:rsidR="00B46066" w:rsidRPr="00D1202E" w:rsidRDefault="00B46066" w:rsidP="00B46066">
            <w:pPr>
              <w:rPr>
                <w:rFonts w:ascii="Open Sans" w:hAnsi="Open Sans" w:cs="Open Sans"/>
                <w:lang w:val="en-GB"/>
              </w:rPr>
            </w:pPr>
          </w:p>
          <w:p w14:paraId="279455A0" w14:textId="77777777" w:rsidR="00B46066" w:rsidRDefault="00B46066" w:rsidP="00B46066">
            <w:pPr>
              <w:rPr>
                <w:rFonts w:ascii="Open Sans" w:hAnsi="Open Sans" w:cs="Open Sans"/>
                <w:lang w:val="en-GB"/>
              </w:rPr>
            </w:pPr>
            <w:r w:rsidRPr="00D1202E">
              <w:rPr>
                <w:rFonts w:ascii="Open Sans" w:hAnsi="Open Sans" w:cs="Open Sans"/>
                <w:lang w:val="en-GB"/>
              </w:rPr>
              <w:t>Banks and insurers, the primary CoCo</w:t>
            </w:r>
            <w:r>
              <w:rPr>
                <w:rFonts w:ascii="Open Sans" w:hAnsi="Open Sans" w:cs="Open Sans"/>
                <w:lang w:val="en-GB"/>
              </w:rPr>
              <w:t xml:space="preserve"> bond</w:t>
            </w:r>
            <w:r w:rsidRPr="00D1202E">
              <w:rPr>
                <w:rFonts w:ascii="Open Sans" w:hAnsi="Open Sans" w:cs="Open Sans"/>
                <w:lang w:val="en-GB"/>
              </w:rPr>
              <w:t xml:space="preserve"> issuers, operate under stringent </w:t>
            </w:r>
            <w:r w:rsidRPr="00D1202E">
              <w:rPr>
                <w:rFonts w:ascii="Open Sans" w:hAnsi="Open Sans" w:cs="Open Sans"/>
                <w:lang w:val="en-GB"/>
              </w:rPr>
              <w:lastRenderedPageBreak/>
              <w:t xml:space="preserve">regulatory frameworks worldwide, including Basel capital rules and oversight from bodies like the ECB, EBA and BoE, ensuring robust risk management to prevent failures. Regulators regularly subject banks to stress testing to assess their resilience against adverse macro-economic conditions, further bolstering investor confidence. </w:t>
            </w:r>
          </w:p>
          <w:p w14:paraId="00A5913A" w14:textId="77777777" w:rsidR="00B46066" w:rsidRDefault="00B46066" w:rsidP="00B46066">
            <w:pPr>
              <w:rPr>
                <w:rFonts w:ascii="Open Sans" w:hAnsi="Open Sans" w:cs="Open Sans"/>
                <w:lang w:val="en-GB"/>
              </w:rPr>
            </w:pPr>
          </w:p>
          <w:p w14:paraId="6AC11717" w14:textId="77777777" w:rsidR="00B46066" w:rsidRPr="00D1202E" w:rsidRDefault="00B46066" w:rsidP="00B46066">
            <w:pPr>
              <w:rPr>
                <w:rFonts w:ascii="Open Sans" w:hAnsi="Open Sans" w:cs="Open Sans"/>
                <w:lang w:val="en-GB"/>
              </w:rPr>
            </w:pPr>
            <w:r w:rsidRPr="00D1202E">
              <w:rPr>
                <w:rFonts w:ascii="Open Sans" w:hAnsi="Open Sans" w:cs="Open Sans"/>
                <w:lang w:val="en-GB"/>
              </w:rPr>
              <w:t>Capital ratios are now reported with enhanced transparency and standardisation through regular Pillar 3 disclosures on a quarterly or semi-annual basis.</w:t>
            </w:r>
            <w:r>
              <w:rPr>
                <w:rFonts w:ascii="Open Sans" w:hAnsi="Open Sans" w:cs="Open Sans"/>
                <w:lang w:val="en-GB"/>
              </w:rPr>
              <w:t xml:space="preserve"> T</w:t>
            </w:r>
            <w:r w:rsidRPr="009A58D8">
              <w:rPr>
                <w:rFonts w:ascii="Open Sans" w:hAnsi="Open Sans" w:cs="Open Sans"/>
                <w:lang w:val="en-GB"/>
              </w:rPr>
              <w:t>he probability of a</w:t>
            </w:r>
            <w:r>
              <w:rPr>
                <w:rFonts w:ascii="Open Sans" w:hAnsi="Open Sans" w:cs="Open Sans"/>
                <w:lang w:val="en-GB"/>
              </w:rPr>
              <w:t>n adverse</w:t>
            </w:r>
            <w:r w:rsidRPr="009A58D8">
              <w:rPr>
                <w:rFonts w:ascii="Open Sans" w:hAnsi="Open Sans" w:cs="Open Sans"/>
                <w:lang w:val="en-GB"/>
              </w:rPr>
              <w:t xml:space="preserve"> trigger event</w:t>
            </w:r>
            <w:r>
              <w:rPr>
                <w:rFonts w:ascii="Open Sans" w:hAnsi="Open Sans" w:cs="Open Sans"/>
                <w:lang w:val="en-GB"/>
              </w:rPr>
              <w:t xml:space="preserve"> occurring</w:t>
            </w:r>
            <w:r w:rsidRPr="009A58D8">
              <w:rPr>
                <w:rFonts w:ascii="Open Sans" w:hAnsi="Open Sans" w:cs="Open Sans"/>
                <w:lang w:val="en-GB"/>
              </w:rPr>
              <w:t xml:space="preserve"> is low as banks have significantly increased their capital ratios and improved their profitability since the global financial crisis. </w:t>
            </w:r>
            <w:r>
              <w:rPr>
                <w:rFonts w:ascii="Open Sans" w:hAnsi="Open Sans" w:cs="Open Sans"/>
                <w:lang w:val="en-GB"/>
              </w:rPr>
              <w:t>D</w:t>
            </w:r>
            <w:r w:rsidRPr="009A58D8">
              <w:rPr>
                <w:rFonts w:ascii="Open Sans" w:hAnsi="Open Sans" w:cs="Open Sans"/>
                <w:lang w:val="en-GB"/>
              </w:rPr>
              <w:t>ata from the ECB</w:t>
            </w:r>
            <w:r>
              <w:rPr>
                <w:rFonts w:ascii="Open Sans" w:hAnsi="Open Sans" w:cs="Open Sans"/>
                <w:lang w:val="en-GB"/>
              </w:rPr>
              <w:t xml:space="preserve"> confirmed that</w:t>
            </w:r>
            <w:r w:rsidRPr="009A58D8">
              <w:rPr>
                <w:rFonts w:ascii="Open Sans" w:hAnsi="Open Sans" w:cs="Open Sans"/>
                <w:lang w:val="en-GB"/>
              </w:rPr>
              <w:t xml:space="preserve"> the average CET1 </w:t>
            </w:r>
            <w:r w:rsidRPr="009A58D8">
              <w:rPr>
                <w:rFonts w:ascii="Open Sans" w:hAnsi="Open Sans" w:cs="Open Sans"/>
                <w:lang w:val="en-GB"/>
              </w:rPr>
              <w:lastRenderedPageBreak/>
              <w:t>ratio of EU banks was 15.7% as of December 2023, well above CoC</w:t>
            </w:r>
            <w:r>
              <w:rPr>
                <w:rFonts w:ascii="Open Sans" w:hAnsi="Open Sans" w:cs="Open Sans"/>
                <w:lang w:val="en-GB"/>
              </w:rPr>
              <w:t>o bond</w:t>
            </w:r>
            <w:r w:rsidRPr="009A58D8">
              <w:rPr>
                <w:rFonts w:ascii="Open Sans" w:hAnsi="Open Sans" w:cs="Open Sans"/>
                <w:lang w:val="en-GB"/>
              </w:rPr>
              <w:t xml:space="preserve"> trigger levels (5.125% or 7%) that would result in either permanent write down or conversion to equity.</w:t>
            </w:r>
          </w:p>
          <w:p w14:paraId="0C9FAFF7" w14:textId="77777777" w:rsidR="00B46066" w:rsidRPr="00D1202E" w:rsidRDefault="00B46066" w:rsidP="00B46066">
            <w:pPr>
              <w:rPr>
                <w:rFonts w:ascii="Open Sans" w:hAnsi="Open Sans" w:cs="Open Sans"/>
                <w:lang w:val="en-GB"/>
              </w:rPr>
            </w:pPr>
          </w:p>
          <w:p w14:paraId="652E572B" w14:textId="77777777" w:rsidR="00B46066" w:rsidRDefault="00B46066" w:rsidP="00B46066">
            <w:pPr>
              <w:rPr>
                <w:rFonts w:ascii="Open Sans" w:hAnsi="Open Sans" w:cs="Open Sans"/>
                <w:lang w:val="en-GB"/>
              </w:rPr>
            </w:pPr>
            <w:r w:rsidRPr="00D1202E">
              <w:rPr>
                <w:rFonts w:ascii="Open Sans" w:hAnsi="Open Sans" w:cs="Open Sans"/>
                <w:lang w:val="en-GB"/>
              </w:rPr>
              <w:t>UCITS funds offer retail investors diversified exposure to multiple CoCo</w:t>
            </w:r>
            <w:r>
              <w:rPr>
                <w:rFonts w:ascii="Open Sans" w:hAnsi="Open Sans" w:cs="Open Sans"/>
                <w:lang w:val="en-GB"/>
              </w:rPr>
              <w:t xml:space="preserve"> bond</w:t>
            </w:r>
            <w:r w:rsidRPr="00D1202E">
              <w:rPr>
                <w:rFonts w:ascii="Open Sans" w:hAnsi="Open Sans" w:cs="Open Sans"/>
                <w:lang w:val="en-GB"/>
              </w:rPr>
              <w:t>s and issuers, mitigating concentration risk due to stringent investment restrictions. Actively managed UCITS funds employ rigorous due diligence and investment processes before investing, enabling adjustments to risk levels based on market conditions or the avoidance of issuers and bonds that do not align with the fund</w:t>
            </w:r>
            <w:r>
              <w:rPr>
                <w:rFonts w:ascii="Open Sans" w:hAnsi="Open Sans" w:cs="Open Sans"/>
                <w:lang w:val="en-GB"/>
              </w:rPr>
              <w:t>’</w:t>
            </w:r>
            <w:r w:rsidRPr="00D1202E">
              <w:rPr>
                <w:rFonts w:ascii="Open Sans" w:hAnsi="Open Sans" w:cs="Open Sans"/>
                <w:lang w:val="en-GB"/>
              </w:rPr>
              <w:t xml:space="preserve">s risk-reward profile. </w:t>
            </w:r>
          </w:p>
          <w:p w14:paraId="3DD2EE8E" w14:textId="77777777" w:rsidR="00B46066" w:rsidRDefault="00B46066" w:rsidP="00B46066">
            <w:pPr>
              <w:rPr>
                <w:rFonts w:ascii="Open Sans" w:hAnsi="Open Sans" w:cs="Open Sans"/>
                <w:lang w:val="en-GB"/>
              </w:rPr>
            </w:pPr>
          </w:p>
          <w:p w14:paraId="28190391" w14:textId="77777777" w:rsidR="00B46066" w:rsidRDefault="00B46066" w:rsidP="00B46066">
            <w:pPr>
              <w:rPr>
                <w:rFonts w:ascii="Open Sans" w:hAnsi="Open Sans" w:cs="Open Sans"/>
                <w:lang w:val="en-GB"/>
              </w:rPr>
            </w:pPr>
            <w:r>
              <w:rPr>
                <w:rFonts w:ascii="Open Sans" w:hAnsi="Open Sans" w:cs="Open Sans"/>
                <w:lang w:val="en-GB"/>
              </w:rPr>
              <w:t xml:space="preserve">The </w:t>
            </w:r>
            <w:r w:rsidRPr="00D1202E">
              <w:rPr>
                <w:rFonts w:ascii="Open Sans" w:hAnsi="Open Sans" w:cs="Open Sans"/>
                <w:lang w:val="en-GB"/>
              </w:rPr>
              <w:t>prospectuses and final terms</w:t>
            </w:r>
            <w:r>
              <w:rPr>
                <w:rFonts w:ascii="Open Sans" w:hAnsi="Open Sans" w:cs="Open Sans"/>
                <w:lang w:val="en-GB"/>
              </w:rPr>
              <w:t xml:space="preserve"> of each CoCo bond issued</w:t>
            </w:r>
            <w:r w:rsidRPr="00D1202E">
              <w:rPr>
                <w:rFonts w:ascii="Open Sans" w:hAnsi="Open Sans" w:cs="Open Sans"/>
                <w:lang w:val="en-GB"/>
              </w:rPr>
              <w:t xml:space="preserve"> clearly </w:t>
            </w:r>
            <w:r w:rsidRPr="00D1202E">
              <w:rPr>
                <w:rFonts w:ascii="Open Sans" w:hAnsi="Open Sans" w:cs="Open Sans"/>
                <w:lang w:val="en-GB"/>
              </w:rPr>
              <w:lastRenderedPageBreak/>
              <w:t>outline the terms and conditions of each issuance, which have become increasingly standardised</w:t>
            </w:r>
            <w:r>
              <w:rPr>
                <w:rFonts w:ascii="Open Sans" w:hAnsi="Open Sans" w:cs="Open Sans"/>
                <w:lang w:val="en-GB"/>
              </w:rPr>
              <w:t xml:space="preserve"> since inception of the asset class and</w:t>
            </w:r>
            <w:r w:rsidRPr="00D1202E">
              <w:rPr>
                <w:rFonts w:ascii="Open Sans" w:hAnsi="Open Sans" w:cs="Open Sans"/>
                <w:lang w:val="en-GB"/>
              </w:rPr>
              <w:t xml:space="preserve"> with established market conventions over the years</w:t>
            </w:r>
            <w:r>
              <w:rPr>
                <w:rFonts w:ascii="Open Sans" w:hAnsi="Open Sans" w:cs="Open Sans"/>
                <w:lang w:val="en-GB"/>
              </w:rPr>
              <w:t xml:space="preserve"> which has been further encouraged by the EBA</w:t>
            </w:r>
            <w:r w:rsidRPr="00D1202E">
              <w:rPr>
                <w:rFonts w:ascii="Open Sans" w:hAnsi="Open Sans" w:cs="Open Sans"/>
                <w:lang w:val="en-GB"/>
              </w:rPr>
              <w:t>.</w:t>
            </w:r>
          </w:p>
          <w:p w14:paraId="44134BB5" w14:textId="77777777" w:rsidR="00B46066" w:rsidRDefault="00B46066" w:rsidP="00B46066">
            <w:pPr>
              <w:rPr>
                <w:rFonts w:ascii="Open Sans" w:hAnsi="Open Sans" w:cs="Open Sans"/>
                <w:lang w:val="en-GB"/>
              </w:rPr>
            </w:pPr>
          </w:p>
          <w:p w14:paraId="0D0B940D" w14:textId="62AA8DEB" w:rsidR="00B46066" w:rsidRPr="00B46066" w:rsidRDefault="00B46066" w:rsidP="00B46066">
            <w:pPr>
              <w:rPr>
                <w:rFonts w:ascii="Open Sans" w:hAnsi="Open Sans" w:cs="Open Sans"/>
                <w:lang w:val="en-GB"/>
              </w:rPr>
            </w:pPr>
            <w:r w:rsidRPr="003D3E56">
              <w:rPr>
                <w:rFonts w:ascii="Open Sans" w:hAnsi="Open Sans" w:cs="Open Sans"/>
                <w:lang w:val="en-GB"/>
              </w:rPr>
              <w:t>CoCo</w:t>
            </w:r>
            <w:r>
              <w:rPr>
                <w:rFonts w:ascii="Open Sans" w:hAnsi="Open Sans" w:cs="Open Sans"/>
                <w:lang w:val="en-GB"/>
              </w:rPr>
              <w:t xml:space="preserve"> bonds</w:t>
            </w:r>
            <w:r w:rsidRPr="003D3E56">
              <w:rPr>
                <w:rFonts w:ascii="Open Sans" w:hAnsi="Open Sans" w:cs="Open Sans"/>
                <w:lang w:val="en-GB"/>
              </w:rPr>
              <w:t xml:space="preserve"> are a key source of funding for the banking sector</w:t>
            </w:r>
            <w:r>
              <w:rPr>
                <w:rFonts w:ascii="Open Sans" w:hAnsi="Open Sans" w:cs="Open Sans"/>
                <w:lang w:val="en-GB"/>
              </w:rPr>
              <w:t>, with UCITS becoming key buyers. Removing a key funding source could risk destabilising the banking system, increase ownership by short-term and opportunistic investors, frustrate the creation of a Capital Markets Union and undermine retail participation in the CMU.</w:t>
            </w:r>
          </w:p>
        </w:tc>
        <w:tc>
          <w:tcPr>
            <w:tcW w:w="1732" w:type="dxa"/>
          </w:tcPr>
          <w:p w14:paraId="5DA9522D" w14:textId="77777777" w:rsidR="00B46066" w:rsidRDefault="005A5C46" w:rsidP="005A5C46">
            <w:pPr>
              <w:rPr>
                <w:rFonts w:ascii="Open Sans" w:hAnsi="Open Sans" w:cs="Open Sans"/>
                <w:lang w:val="en-GB"/>
              </w:rPr>
            </w:pPr>
            <w:r w:rsidRPr="00633416">
              <w:rPr>
                <w:rFonts w:ascii="Open Sans" w:hAnsi="Open Sans" w:cs="Open Sans"/>
                <w:lang w:val="en-GB"/>
              </w:rPr>
              <w:lastRenderedPageBreak/>
              <w:t>UCITS typically take direct exposure, however indirect exposure should be allowed on the basis of investing via another regulated vehicle or regulated product such as a UCITS or other type of collective investment scheme.</w:t>
            </w:r>
          </w:p>
          <w:p w14:paraId="0E27B00A" w14:textId="10F91A3B" w:rsidR="005A5C46" w:rsidRPr="00B33432" w:rsidRDefault="005A5C46" w:rsidP="00B46066">
            <w:pPr>
              <w:spacing w:after="250" w:line="276" w:lineRule="auto"/>
              <w:jc w:val="both"/>
              <w:rPr>
                <w:rFonts w:ascii="Arial" w:hAnsi="Arial" w:cs="Arial"/>
                <w:color w:val="181818"/>
              </w:rPr>
            </w:pPr>
          </w:p>
        </w:tc>
        <w:tc>
          <w:tcPr>
            <w:tcW w:w="1989" w:type="dxa"/>
          </w:tcPr>
          <w:p w14:paraId="60061E4C" w14:textId="77777777" w:rsidR="00B46066" w:rsidRPr="00B33432" w:rsidRDefault="00B46066" w:rsidP="00B46066">
            <w:pPr>
              <w:spacing w:after="250" w:line="276" w:lineRule="auto"/>
              <w:jc w:val="both"/>
              <w:rPr>
                <w:rFonts w:ascii="Arial" w:hAnsi="Arial" w:cs="Arial"/>
                <w:color w:val="181818"/>
              </w:rPr>
            </w:pPr>
          </w:p>
        </w:tc>
        <w:tc>
          <w:tcPr>
            <w:tcW w:w="1667" w:type="dxa"/>
          </w:tcPr>
          <w:p w14:paraId="44EAFD9C" w14:textId="77777777" w:rsidR="00B46066" w:rsidRPr="00B33432" w:rsidRDefault="00B46066" w:rsidP="00B46066">
            <w:pPr>
              <w:spacing w:after="250" w:line="276" w:lineRule="auto"/>
              <w:jc w:val="both"/>
              <w:rPr>
                <w:rFonts w:ascii="Arial" w:hAnsi="Arial" w:cs="Arial"/>
                <w:color w:val="181818"/>
              </w:rPr>
            </w:pPr>
          </w:p>
        </w:tc>
      </w:tr>
      <w:tr w:rsidR="00B46066" w:rsidRPr="00B33432" w14:paraId="02325B0B" w14:textId="77777777" w:rsidTr="008059ED">
        <w:tc>
          <w:tcPr>
            <w:tcW w:w="1984" w:type="dxa"/>
          </w:tcPr>
          <w:p w14:paraId="4EA5968E" w14:textId="77777777" w:rsidR="00B46066" w:rsidRPr="00B33432" w:rsidRDefault="00B46066" w:rsidP="00B46066">
            <w:pPr>
              <w:spacing w:after="250" w:line="276" w:lineRule="auto"/>
              <w:rPr>
                <w:rFonts w:ascii="Arial" w:hAnsi="Arial" w:cs="Arial"/>
                <w:color w:val="181818"/>
              </w:rPr>
            </w:pPr>
            <w:r w:rsidRPr="00B33432">
              <w:rPr>
                <w:rFonts w:ascii="Arial" w:hAnsi="Arial" w:cs="Arial"/>
              </w:rPr>
              <w:lastRenderedPageBreak/>
              <w:t>4. Unrated bonds</w:t>
            </w:r>
          </w:p>
        </w:tc>
        <w:tc>
          <w:tcPr>
            <w:tcW w:w="1948" w:type="dxa"/>
          </w:tcPr>
          <w:p w14:paraId="4B94D5A5" w14:textId="3750A708" w:rsidR="00B46066" w:rsidRPr="00B33432" w:rsidRDefault="00376242" w:rsidP="00B46066">
            <w:pPr>
              <w:spacing w:after="250" w:line="276" w:lineRule="auto"/>
              <w:jc w:val="both"/>
              <w:rPr>
                <w:rFonts w:ascii="Arial" w:hAnsi="Arial" w:cs="Arial"/>
                <w:color w:val="181818"/>
              </w:rPr>
            </w:pPr>
            <w:r>
              <w:rPr>
                <w:rFonts w:ascii="Open Sans" w:hAnsi="Open Sans" w:cs="Open Sans"/>
                <w:color w:val="181818"/>
                <w:lang w:val="en-GB"/>
              </w:rPr>
              <w:t>No comment</w:t>
            </w:r>
          </w:p>
        </w:tc>
        <w:tc>
          <w:tcPr>
            <w:tcW w:w="1732" w:type="dxa"/>
          </w:tcPr>
          <w:p w14:paraId="3DEEC669" w14:textId="77777777" w:rsidR="00B46066" w:rsidRPr="00B33432" w:rsidRDefault="00B46066" w:rsidP="00B46066">
            <w:pPr>
              <w:spacing w:after="250" w:line="276" w:lineRule="auto"/>
              <w:jc w:val="both"/>
              <w:rPr>
                <w:rFonts w:ascii="Arial" w:hAnsi="Arial" w:cs="Arial"/>
                <w:color w:val="181818"/>
              </w:rPr>
            </w:pPr>
          </w:p>
        </w:tc>
        <w:tc>
          <w:tcPr>
            <w:tcW w:w="1989" w:type="dxa"/>
          </w:tcPr>
          <w:p w14:paraId="3656B9AB" w14:textId="77777777" w:rsidR="00B46066" w:rsidRPr="00B33432" w:rsidRDefault="00B46066" w:rsidP="00B46066">
            <w:pPr>
              <w:spacing w:after="250" w:line="276" w:lineRule="auto"/>
              <w:jc w:val="both"/>
              <w:rPr>
                <w:rFonts w:ascii="Arial" w:hAnsi="Arial" w:cs="Arial"/>
                <w:color w:val="181818"/>
              </w:rPr>
            </w:pPr>
          </w:p>
        </w:tc>
        <w:tc>
          <w:tcPr>
            <w:tcW w:w="1667" w:type="dxa"/>
          </w:tcPr>
          <w:p w14:paraId="45FB0818" w14:textId="77777777" w:rsidR="00B46066" w:rsidRPr="00B33432" w:rsidRDefault="00B46066" w:rsidP="00B46066">
            <w:pPr>
              <w:spacing w:after="250" w:line="276" w:lineRule="auto"/>
              <w:jc w:val="both"/>
              <w:rPr>
                <w:rFonts w:ascii="Arial" w:hAnsi="Arial" w:cs="Arial"/>
                <w:color w:val="181818"/>
              </w:rPr>
            </w:pPr>
          </w:p>
        </w:tc>
      </w:tr>
      <w:tr w:rsidR="00B46066" w:rsidRPr="00B33432" w14:paraId="68D99D9D" w14:textId="77777777" w:rsidTr="008059ED">
        <w:tc>
          <w:tcPr>
            <w:tcW w:w="1984" w:type="dxa"/>
          </w:tcPr>
          <w:p w14:paraId="17D8B71D" w14:textId="77777777" w:rsidR="00B46066" w:rsidRPr="00B33432" w:rsidRDefault="00B46066" w:rsidP="00B46066">
            <w:pPr>
              <w:spacing w:after="250" w:line="276" w:lineRule="auto"/>
              <w:rPr>
                <w:rFonts w:ascii="Arial" w:hAnsi="Arial" w:cs="Arial"/>
                <w:color w:val="181818"/>
              </w:rPr>
            </w:pPr>
            <w:r w:rsidRPr="00B33432">
              <w:rPr>
                <w:rFonts w:ascii="Arial" w:hAnsi="Arial" w:cs="Arial"/>
              </w:rPr>
              <w:t>5. Distressed securities</w:t>
            </w:r>
          </w:p>
        </w:tc>
        <w:tc>
          <w:tcPr>
            <w:tcW w:w="1948" w:type="dxa"/>
          </w:tcPr>
          <w:p w14:paraId="049F31CB" w14:textId="5F0523F6" w:rsidR="00B46066" w:rsidRPr="00B33432" w:rsidRDefault="00376242" w:rsidP="00B46066">
            <w:pPr>
              <w:spacing w:after="250" w:line="276" w:lineRule="auto"/>
              <w:jc w:val="both"/>
              <w:rPr>
                <w:rFonts w:ascii="Arial" w:hAnsi="Arial" w:cs="Arial"/>
                <w:color w:val="181818"/>
              </w:rPr>
            </w:pPr>
            <w:r>
              <w:rPr>
                <w:rFonts w:ascii="Open Sans" w:hAnsi="Open Sans" w:cs="Open Sans"/>
                <w:color w:val="181818"/>
                <w:lang w:val="en-GB"/>
              </w:rPr>
              <w:t>No comment</w:t>
            </w:r>
          </w:p>
        </w:tc>
        <w:tc>
          <w:tcPr>
            <w:tcW w:w="1732" w:type="dxa"/>
          </w:tcPr>
          <w:p w14:paraId="53128261" w14:textId="77777777" w:rsidR="00B46066" w:rsidRPr="00B33432" w:rsidRDefault="00B46066" w:rsidP="00B46066">
            <w:pPr>
              <w:spacing w:after="250" w:line="276" w:lineRule="auto"/>
              <w:jc w:val="both"/>
              <w:rPr>
                <w:rFonts w:ascii="Arial" w:hAnsi="Arial" w:cs="Arial"/>
                <w:color w:val="181818"/>
              </w:rPr>
            </w:pPr>
          </w:p>
        </w:tc>
        <w:tc>
          <w:tcPr>
            <w:tcW w:w="1989" w:type="dxa"/>
          </w:tcPr>
          <w:p w14:paraId="62486C05" w14:textId="77777777" w:rsidR="00B46066" w:rsidRPr="00B33432" w:rsidRDefault="00B46066" w:rsidP="00B46066">
            <w:pPr>
              <w:spacing w:after="250" w:line="276" w:lineRule="auto"/>
              <w:jc w:val="both"/>
              <w:rPr>
                <w:rFonts w:ascii="Arial" w:hAnsi="Arial" w:cs="Arial"/>
                <w:color w:val="181818"/>
              </w:rPr>
            </w:pPr>
          </w:p>
        </w:tc>
        <w:tc>
          <w:tcPr>
            <w:tcW w:w="1667" w:type="dxa"/>
          </w:tcPr>
          <w:p w14:paraId="4101652C" w14:textId="77777777" w:rsidR="00B46066" w:rsidRPr="00B33432" w:rsidRDefault="00B46066" w:rsidP="00B46066">
            <w:pPr>
              <w:spacing w:after="250" w:line="276" w:lineRule="auto"/>
              <w:jc w:val="both"/>
              <w:rPr>
                <w:rFonts w:ascii="Arial" w:hAnsi="Arial" w:cs="Arial"/>
                <w:color w:val="181818"/>
              </w:rPr>
            </w:pPr>
          </w:p>
        </w:tc>
      </w:tr>
      <w:tr w:rsidR="00B46066" w:rsidRPr="00B33432" w14:paraId="2B493676" w14:textId="77777777" w:rsidTr="008059ED">
        <w:tc>
          <w:tcPr>
            <w:tcW w:w="1984" w:type="dxa"/>
          </w:tcPr>
          <w:p w14:paraId="45E99430" w14:textId="77777777" w:rsidR="00B46066" w:rsidRPr="00B33432" w:rsidRDefault="00B46066" w:rsidP="00B46066">
            <w:pPr>
              <w:spacing w:after="250" w:line="276" w:lineRule="auto"/>
              <w:rPr>
                <w:rFonts w:ascii="Arial" w:hAnsi="Arial" w:cs="Arial"/>
              </w:rPr>
            </w:pPr>
            <w:r w:rsidRPr="00B33432">
              <w:rPr>
                <w:rFonts w:ascii="Arial" w:hAnsi="Arial" w:cs="Arial"/>
              </w:rPr>
              <w:lastRenderedPageBreak/>
              <w:t>6. Unlisted equities</w:t>
            </w:r>
            <w:r w:rsidRPr="00B33432">
              <w:rPr>
                <w:rFonts w:ascii="Arial" w:hAnsi="Arial" w:cs="Arial"/>
                <w:sz w:val="16"/>
                <w:vertAlign w:val="superscript"/>
              </w:rPr>
              <w:footnoteReference w:id="7"/>
            </w:r>
          </w:p>
        </w:tc>
        <w:tc>
          <w:tcPr>
            <w:tcW w:w="1948" w:type="dxa"/>
          </w:tcPr>
          <w:p w14:paraId="4B99056E" w14:textId="584E6C14" w:rsidR="00B46066" w:rsidRPr="00B33432" w:rsidRDefault="00376242" w:rsidP="00B46066">
            <w:pPr>
              <w:spacing w:after="250" w:line="276" w:lineRule="auto"/>
              <w:jc w:val="both"/>
              <w:rPr>
                <w:rFonts w:ascii="Arial" w:hAnsi="Arial" w:cs="Arial"/>
                <w:color w:val="181818"/>
              </w:rPr>
            </w:pPr>
            <w:r>
              <w:rPr>
                <w:rFonts w:ascii="Open Sans" w:hAnsi="Open Sans" w:cs="Open Sans"/>
                <w:color w:val="181818"/>
                <w:lang w:val="en-GB"/>
              </w:rPr>
              <w:t>No comment</w:t>
            </w:r>
          </w:p>
        </w:tc>
        <w:tc>
          <w:tcPr>
            <w:tcW w:w="1732" w:type="dxa"/>
          </w:tcPr>
          <w:p w14:paraId="1299C43A" w14:textId="77777777" w:rsidR="00B46066" w:rsidRPr="00B33432" w:rsidRDefault="00B46066" w:rsidP="00B46066">
            <w:pPr>
              <w:spacing w:after="250" w:line="276" w:lineRule="auto"/>
              <w:jc w:val="both"/>
              <w:rPr>
                <w:rFonts w:ascii="Arial" w:hAnsi="Arial" w:cs="Arial"/>
                <w:color w:val="181818"/>
              </w:rPr>
            </w:pPr>
          </w:p>
        </w:tc>
        <w:tc>
          <w:tcPr>
            <w:tcW w:w="1989" w:type="dxa"/>
          </w:tcPr>
          <w:p w14:paraId="4DDBEF00" w14:textId="77777777" w:rsidR="00B46066" w:rsidRPr="00B33432" w:rsidRDefault="00B46066" w:rsidP="00B46066">
            <w:pPr>
              <w:spacing w:after="250" w:line="276" w:lineRule="auto"/>
              <w:jc w:val="both"/>
              <w:rPr>
                <w:rFonts w:ascii="Arial" w:hAnsi="Arial" w:cs="Arial"/>
                <w:color w:val="181818"/>
              </w:rPr>
            </w:pPr>
          </w:p>
        </w:tc>
        <w:tc>
          <w:tcPr>
            <w:tcW w:w="1667" w:type="dxa"/>
          </w:tcPr>
          <w:p w14:paraId="3461D779" w14:textId="77777777" w:rsidR="00B46066" w:rsidRPr="00B33432" w:rsidRDefault="00B46066" w:rsidP="00B46066">
            <w:pPr>
              <w:spacing w:after="250" w:line="276" w:lineRule="auto"/>
              <w:jc w:val="both"/>
              <w:rPr>
                <w:rFonts w:ascii="Arial" w:hAnsi="Arial" w:cs="Arial"/>
                <w:color w:val="181818"/>
              </w:rPr>
            </w:pPr>
          </w:p>
        </w:tc>
      </w:tr>
      <w:tr w:rsidR="00EB202D" w:rsidRPr="00B33432" w14:paraId="5539B04B" w14:textId="77777777" w:rsidTr="008059ED">
        <w:tc>
          <w:tcPr>
            <w:tcW w:w="1984" w:type="dxa"/>
          </w:tcPr>
          <w:p w14:paraId="378D969D" w14:textId="77777777" w:rsidR="00EB202D" w:rsidRPr="00B33432" w:rsidRDefault="00EB202D" w:rsidP="00EB202D">
            <w:pPr>
              <w:spacing w:after="250" w:line="276" w:lineRule="auto"/>
              <w:rPr>
                <w:rFonts w:ascii="Arial" w:hAnsi="Arial" w:cs="Arial"/>
              </w:rPr>
            </w:pPr>
            <w:r w:rsidRPr="00B33432">
              <w:rPr>
                <w:rFonts w:ascii="Arial" w:hAnsi="Arial" w:cs="Arial"/>
              </w:rPr>
              <w:t>7. Crypto assets</w:t>
            </w:r>
            <w:r w:rsidRPr="00B33432">
              <w:rPr>
                <w:rFonts w:ascii="Arial" w:hAnsi="Arial" w:cs="Arial"/>
                <w:vertAlign w:val="superscript"/>
              </w:rPr>
              <w:footnoteReference w:id="8"/>
            </w:r>
          </w:p>
        </w:tc>
        <w:tc>
          <w:tcPr>
            <w:tcW w:w="1948" w:type="dxa"/>
          </w:tcPr>
          <w:p w14:paraId="698565D4" w14:textId="77777777" w:rsidR="00EB202D" w:rsidRDefault="00EB202D" w:rsidP="00EB202D">
            <w:pPr>
              <w:rPr>
                <w:rFonts w:ascii="Open Sans" w:hAnsi="Open Sans" w:cs="Open Sans"/>
                <w:lang w:val="en-GB"/>
              </w:rPr>
            </w:pPr>
            <w:r w:rsidRPr="00EB202D">
              <w:rPr>
                <w:rFonts w:ascii="Open Sans" w:hAnsi="Open Sans" w:cs="Open Sans"/>
                <w:lang w:val="en-GB"/>
              </w:rPr>
              <w:t>Possible diversification benefits depending on the asset class – cryptocurrencies have been characterised as having low correlation with traditional asset classes, with value being driven by market adoption, technological advancement, regulatory developments, and other factors unique to this asset class.</w:t>
            </w:r>
          </w:p>
          <w:p w14:paraId="5003B298" w14:textId="77777777" w:rsidR="00EB202D" w:rsidRDefault="00EB202D" w:rsidP="00EB202D">
            <w:pPr>
              <w:rPr>
                <w:rFonts w:ascii="Open Sans" w:hAnsi="Open Sans" w:cs="Open Sans"/>
                <w:lang w:val="en-GB"/>
              </w:rPr>
            </w:pPr>
          </w:p>
          <w:p w14:paraId="3CF2D8B6" w14:textId="3DA0770B" w:rsidR="00EB202D" w:rsidRPr="00EB202D" w:rsidRDefault="00EB202D" w:rsidP="00EB202D">
            <w:pPr>
              <w:rPr>
                <w:rFonts w:ascii="Open Sans" w:hAnsi="Open Sans" w:cs="Open Sans"/>
                <w:lang w:val="en-GB"/>
              </w:rPr>
            </w:pPr>
            <w:r w:rsidRPr="00EB202D">
              <w:rPr>
                <w:rFonts w:ascii="Open Sans" w:hAnsi="Open Sans" w:cs="Open Sans"/>
                <w:lang w:val="en-GB"/>
              </w:rPr>
              <w:t xml:space="preserve">In the long term, direct crypto asset exposure for UCITS may become feasible when crypto assets become more integrated into the traditional financial system and thus operational hurdles for UCITS asset managers wanting to directly invest into crypto </w:t>
            </w:r>
            <w:r w:rsidRPr="00EB202D">
              <w:rPr>
                <w:rFonts w:ascii="Open Sans" w:hAnsi="Open Sans" w:cs="Open Sans"/>
                <w:lang w:val="en-GB"/>
              </w:rPr>
              <w:lastRenderedPageBreak/>
              <w:t>assets are reduced (e.g., allowing  for the use of traditional service providers such as custodians). The Markets in Crypto-Assets Regulation (MiCA) establishes a harmonised EU regulatory framework for crypto assets, which will standardise and increase investor protection and thereby advances the further institutionalisation of crypto assets.</w:t>
            </w:r>
          </w:p>
        </w:tc>
        <w:tc>
          <w:tcPr>
            <w:tcW w:w="1732" w:type="dxa"/>
          </w:tcPr>
          <w:p w14:paraId="0FB78278" w14:textId="5CF432FD" w:rsidR="00EB202D" w:rsidRPr="00B33432" w:rsidRDefault="009B29FA" w:rsidP="009B29FA">
            <w:pPr>
              <w:rPr>
                <w:rFonts w:ascii="Arial" w:hAnsi="Arial" w:cs="Arial"/>
                <w:color w:val="181818"/>
              </w:rPr>
            </w:pPr>
            <w:r w:rsidRPr="009B29FA">
              <w:rPr>
                <w:rFonts w:ascii="Open Sans" w:hAnsi="Open Sans" w:cs="Open Sans"/>
                <w:lang w:val="en-GB"/>
              </w:rPr>
              <w:lastRenderedPageBreak/>
              <w:t>Indirect exposure enables UCITS managers to gain exposure via traditional wrappers while removing certain challenges of direct investments, such as the need for a specialised crypto asset custodian; and access to crypto asset trading venues.</w:t>
            </w:r>
          </w:p>
        </w:tc>
        <w:tc>
          <w:tcPr>
            <w:tcW w:w="1989" w:type="dxa"/>
          </w:tcPr>
          <w:p w14:paraId="1FC39945" w14:textId="77777777" w:rsidR="00EB202D" w:rsidRPr="00B33432" w:rsidRDefault="00EB202D" w:rsidP="00EB202D">
            <w:pPr>
              <w:spacing w:after="250" w:line="276" w:lineRule="auto"/>
              <w:jc w:val="both"/>
              <w:rPr>
                <w:rFonts w:ascii="Arial" w:hAnsi="Arial" w:cs="Arial"/>
                <w:color w:val="181818"/>
              </w:rPr>
            </w:pPr>
          </w:p>
        </w:tc>
        <w:tc>
          <w:tcPr>
            <w:tcW w:w="1667" w:type="dxa"/>
          </w:tcPr>
          <w:p w14:paraId="0562CB0E" w14:textId="77777777" w:rsidR="00EB202D" w:rsidRPr="00B33432" w:rsidRDefault="00EB202D" w:rsidP="00EB202D">
            <w:pPr>
              <w:spacing w:after="250" w:line="276" w:lineRule="auto"/>
              <w:jc w:val="both"/>
              <w:rPr>
                <w:rFonts w:ascii="Arial" w:hAnsi="Arial" w:cs="Arial"/>
                <w:color w:val="181818"/>
              </w:rPr>
            </w:pPr>
          </w:p>
        </w:tc>
      </w:tr>
      <w:tr w:rsidR="008059ED" w:rsidRPr="00B33432" w14:paraId="6582FE19" w14:textId="77777777" w:rsidTr="008059ED">
        <w:tc>
          <w:tcPr>
            <w:tcW w:w="1984" w:type="dxa"/>
          </w:tcPr>
          <w:p w14:paraId="73AF3CD4" w14:textId="77777777" w:rsidR="008059ED" w:rsidRPr="00B33432" w:rsidRDefault="008059ED" w:rsidP="008059ED">
            <w:pPr>
              <w:spacing w:after="250" w:line="276" w:lineRule="auto"/>
              <w:rPr>
                <w:rFonts w:ascii="Arial" w:hAnsi="Arial" w:cs="Arial"/>
              </w:rPr>
            </w:pPr>
            <w:r w:rsidRPr="00B33432">
              <w:rPr>
                <w:rFonts w:ascii="Arial" w:hAnsi="Arial" w:cs="Arial"/>
              </w:rPr>
              <w:t>8. Commodities and precious metals</w:t>
            </w:r>
            <w:r w:rsidRPr="00B33432">
              <w:rPr>
                <w:rFonts w:ascii="Arial" w:hAnsi="Arial" w:cs="Arial"/>
                <w:sz w:val="16"/>
                <w:vertAlign w:val="superscript"/>
              </w:rPr>
              <w:footnoteReference w:id="9"/>
            </w:r>
          </w:p>
        </w:tc>
        <w:tc>
          <w:tcPr>
            <w:tcW w:w="1948" w:type="dxa"/>
          </w:tcPr>
          <w:p w14:paraId="6447241C" w14:textId="77777777" w:rsidR="008059ED" w:rsidRDefault="008059ED" w:rsidP="008059ED">
            <w:pPr>
              <w:rPr>
                <w:rFonts w:ascii="Open Sans" w:hAnsi="Open Sans" w:cs="Open Sans"/>
                <w:lang w:val="en-GB"/>
              </w:rPr>
            </w:pPr>
            <w:r w:rsidRPr="00C2108A">
              <w:rPr>
                <w:rFonts w:ascii="Open Sans" w:hAnsi="Open Sans" w:cs="Open Sans"/>
                <w:lang w:val="en-GB"/>
              </w:rPr>
              <w:t>The commodity markets are a key global liquid market that is today missing from the UCITS universe.</w:t>
            </w:r>
          </w:p>
          <w:p w14:paraId="18413299" w14:textId="77777777" w:rsidR="008059ED" w:rsidRDefault="008059ED" w:rsidP="008059ED">
            <w:pPr>
              <w:rPr>
                <w:rFonts w:ascii="Open Sans" w:hAnsi="Open Sans" w:cs="Open Sans"/>
                <w:lang w:val="en-GB"/>
              </w:rPr>
            </w:pPr>
          </w:p>
          <w:p w14:paraId="183EC4B1" w14:textId="77777777" w:rsidR="008059ED" w:rsidRDefault="008059ED" w:rsidP="008059ED">
            <w:pPr>
              <w:rPr>
                <w:rFonts w:ascii="Open Sans" w:hAnsi="Open Sans" w:cs="Open Sans"/>
                <w:lang w:val="en-GB"/>
              </w:rPr>
            </w:pPr>
            <w:r w:rsidRPr="00C2108A">
              <w:rPr>
                <w:rFonts w:ascii="Open Sans" w:hAnsi="Open Sans" w:cs="Open Sans"/>
                <w:lang w:val="en-GB"/>
              </w:rPr>
              <w:t xml:space="preserve">Allowing exposures to commodities in UCITS would add a key diversifier to the trading universe as well as allow for hedging of certain exposures that may be inherent to certain other investments (for </w:t>
            </w:r>
            <w:r w:rsidRPr="00C2108A">
              <w:rPr>
                <w:rFonts w:ascii="Open Sans" w:hAnsi="Open Sans" w:cs="Open Sans"/>
                <w:lang w:val="en-GB"/>
              </w:rPr>
              <w:lastRenderedPageBreak/>
              <w:t xml:space="preserve">example allowing the reduction of the exposure to certain raw materials or energy markets when investing a certain industrial sector).  </w:t>
            </w:r>
          </w:p>
          <w:p w14:paraId="3B0C7B1D" w14:textId="77777777" w:rsidR="008059ED" w:rsidRDefault="008059ED" w:rsidP="008059ED">
            <w:pPr>
              <w:rPr>
                <w:rFonts w:ascii="Open Sans" w:hAnsi="Open Sans" w:cs="Open Sans"/>
                <w:lang w:val="en-GB"/>
              </w:rPr>
            </w:pPr>
          </w:p>
          <w:p w14:paraId="68DBE5F1" w14:textId="77777777" w:rsidR="008059ED" w:rsidRPr="00C2108A" w:rsidRDefault="008059ED" w:rsidP="008059ED">
            <w:pPr>
              <w:rPr>
                <w:rFonts w:ascii="Open Sans" w:hAnsi="Open Sans" w:cs="Open Sans"/>
                <w:lang w:val="en-GB"/>
              </w:rPr>
            </w:pPr>
            <w:r w:rsidRPr="00C2108A">
              <w:rPr>
                <w:rFonts w:ascii="Open Sans" w:hAnsi="Open Sans" w:cs="Open Sans"/>
                <w:lang w:val="en-GB"/>
              </w:rPr>
              <w:t>The listed commodity futures market is highly liquid and developed as well as operated by prominent established exchanges both in the EU and outside.</w:t>
            </w:r>
          </w:p>
          <w:p w14:paraId="521EEFFC" w14:textId="77777777" w:rsidR="008059ED" w:rsidRDefault="008059ED" w:rsidP="008059ED">
            <w:pPr>
              <w:rPr>
                <w:rFonts w:ascii="Open Sans" w:hAnsi="Open Sans" w:cs="Open Sans"/>
                <w:lang w:val="en-GB"/>
              </w:rPr>
            </w:pPr>
            <w:r w:rsidRPr="00C2108A">
              <w:rPr>
                <w:rFonts w:ascii="Open Sans" w:hAnsi="Open Sans" w:cs="Open Sans"/>
                <w:lang w:val="en-GB"/>
              </w:rPr>
              <w:t>UCITS funds should be allowed to have both direct and indirect exposures to such futures contracts.</w:t>
            </w:r>
          </w:p>
          <w:p w14:paraId="2260EDF0" w14:textId="77777777" w:rsidR="008059ED" w:rsidRDefault="008059ED" w:rsidP="008059ED">
            <w:pPr>
              <w:rPr>
                <w:rFonts w:ascii="Open Sans" w:hAnsi="Open Sans" w:cs="Open Sans"/>
                <w:lang w:val="en-GB"/>
              </w:rPr>
            </w:pPr>
          </w:p>
          <w:p w14:paraId="172EABB5" w14:textId="747DF8AC" w:rsidR="008059ED" w:rsidRDefault="008059ED" w:rsidP="008059ED">
            <w:pPr>
              <w:rPr>
                <w:rFonts w:ascii="Open Sans" w:hAnsi="Open Sans" w:cs="Open Sans"/>
                <w:lang w:val="en-GB"/>
              </w:rPr>
            </w:pPr>
            <w:r w:rsidRPr="00C2108A">
              <w:rPr>
                <w:rFonts w:ascii="Open Sans" w:hAnsi="Open Sans" w:cs="Open Sans"/>
                <w:lang w:val="en-GB"/>
              </w:rPr>
              <w:t>Commodity underlyings should be an eligible asset of such futures contracts</w:t>
            </w:r>
            <w:r>
              <w:rPr>
                <w:rFonts w:ascii="Open Sans" w:hAnsi="Open Sans" w:cs="Open Sans"/>
                <w:lang w:val="en-GB"/>
              </w:rPr>
              <w:t>.</w:t>
            </w:r>
          </w:p>
          <w:p w14:paraId="34CE0A41" w14:textId="61B92789" w:rsidR="008059ED" w:rsidRPr="008059ED" w:rsidRDefault="008059ED" w:rsidP="008059ED">
            <w:pPr>
              <w:rPr>
                <w:rFonts w:ascii="Open Sans" w:hAnsi="Open Sans" w:cs="Open Sans"/>
                <w:lang w:val="en-GB"/>
              </w:rPr>
            </w:pPr>
            <w:r w:rsidRPr="00C2108A">
              <w:rPr>
                <w:rFonts w:ascii="Open Sans" w:hAnsi="Open Sans" w:cs="Open Sans"/>
                <w:lang w:val="en-GB"/>
              </w:rPr>
              <w:t>Commodity futures contracts have similar risk levels as individual equities and the notional exposure limits per contract should be similar to those of single equity exposures</w:t>
            </w:r>
            <w:r>
              <w:rPr>
                <w:rFonts w:ascii="Open Sans" w:hAnsi="Open Sans" w:cs="Open Sans"/>
                <w:lang w:val="en-GB"/>
              </w:rPr>
              <w:t>,</w:t>
            </w:r>
            <w:r w:rsidRPr="00C2108A">
              <w:rPr>
                <w:rFonts w:ascii="Open Sans" w:hAnsi="Open Sans" w:cs="Open Sans"/>
                <w:lang w:val="en-GB"/>
              </w:rPr>
              <w:t xml:space="preserve"> </w:t>
            </w:r>
            <w:r>
              <w:rPr>
                <w:rFonts w:ascii="Open Sans" w:hAnsi="Open Sans" w:cs="Open Sans"/>
                <w:lang w:val="en-GB"/>
              </w:rPr>
              <w:t>i.</w:t>
            </w:r>
            <w:r w:rsidRPr="00C2108A">
              <w:rPr>
                <w:rFonts w:ascii="Open Sans" w:hAnsi="Open Sans" w:cs="Open Sans"/>
                <w:lang w:val="en-GB"/>
              </w:rPr>
              <w:t>e</w:t>
            </w:r>
            <w:r>
              <w:rPr>
                <w:rFonts w:ascii="Open Sans" w:hAnsi="Open Sans" w:cs="Open Sans"/>
                <w:lang w:val="en-GB"/>
              </w:rPr>
              <w:t>.,</w:t>
            </w:r>
            <w:r w:rsidRPr="00C2108A">
              <w:rPr>
                <w:rFonts w:ascii="Open Sans" w:hAnsi="Open Sans" w:cs="Open Sans"/>
                <w:lang w:val="en-GB"/>
              </w:rPr>
              <w:t xml:space="preserve"> max 5% of exposure to one </w:t>
            </w:r>
            <w:r w:rsidRPr="00C2108A">
              <w:rPr>
                <w:rFonts w:ascii="Open Sans" w:hAnsi="Open Sans" w:cs="Open Sans"/>
                <w:lang w:val="en-GB"/>
              </w:rPr>
              <w:lastRenderedPageBreak/>
              <w:t>underlying commodity market.</w:t>
            </w:r>
          </w:p>
        </w:tc>
        <w:tc>
          <w:tcPr>
            <w:tcW w:w="1732" w:type="dxa"/>
          </w:tcPr>
          <w:p w14:paraId="62EBF3C5" w14:textId="77777777" w:rsidR="008059ED" w:rsidRPr="00B33432" w:rsidRDefault="008059ED" w:rsidP="008059ED">
            <w:pPr>
              <w:spacing w:after="250" w:line="276" w:lineRule="auto"/>
              <w:jc w:val="both"/>
              <w:rPr>
                <w:rFonts w:ascii="Arial" w:hAnsi="Arial" w:cs="Arial"/>
                <w:color w:val="181818"/>
              </w:rPr>
            </w:pPr>
          </w:p>
        </w:tc>
        <w:tc>
          <w:tcPr>
            <w:tcW w:w="1989" w:type="dxa"/>
          </w:tcPr>
          <w:p w14:paraId="6D98A12B" w14:textId="77777777" w:rsidR="008059ED" w:rsidRPr="00B33432" w:rsidRDefault="008059ED" w:rsidP="008059ED">
            <w:pPr>
              <w:spacing w:after="250" w:line="276" w:lineRule="auto"/>
              <w:jc w:val="both"/>
              <w:rPr>
                <w:rFonts w:ascii="Arial" w:hAnsi="Arial" w:cs="Arial"/>
                <w:color w:val="181818"/>
              </w:rPr>
            </w:pPr>
          </w:p>
        </w:tc>
        <w:tc>
          <w:tcPr>
            <w:tcW w:w="1667" w:type="dxa"/>
          </w:tcPr>
          <w:p w14:paraId="2946DB82" w14:textId="77777777" w:rsidR="008059ED" w:rsidRPr="00B33432" w:rsidRDefault="008059ED" w:rsidP="008059ED">
            <w:pPr>
              <w:spacing w:after="250" w:line="276" w:lineRule="auto"/>
              <w:jc w:val="both"/>
              <w:rPr>
                <w:rFonts w:ascii="Arial" w:hAnsi="Arial" w:cs="Arial"/>
                <w:color w:val="181818"/>
              </w:rPr>
            </w:pPr>
          </w:p>
        </w:tc>
      </w:tr>
      <w:tr w:rsidR="008059ED" w:rsidRPr="00B33432" w14:paraId="1D06A7CA" w14:textId="77777777" w:rsidTr="008059ED">
        <w:tc>
          <w:tcPr>
            <w:tcW w:w="1984" w:type="dxa"/>
          </w:tcPr>
          <w:p w14:paraId="695108F8" w14:textId="77777777" w:rsidR="008059ED" w:rsidRPr="00B33432" w:rsidRDefault="008059ED" w:rsidP="008059ED">
            <w:pPr>
              <w:spacing w:after="250" w:line="276" w:lineRule="auto"/>
              <w:rPr>
                <w:rFonts w:ascii="Arial" w:hAnsi="Arial" w:cs="Arial"/>
              </w:rPr>
            </w:pPr>
            <w:r w:rsidRPr="00B33432">
              <w:rPr>
                <w:rFonts w:ascii="Arial" w:hAnsi="Arial" w:cs="Arial"/>
              </w:rPr>
              <w:lastRenderedPageBreak/>
              <w:t>9. Exchange-traded commodities (‘ETCs’)</w:t>
            </w:r>
          </w:p>
        </w:tc>
        <w:tc>
          <w:tcPr>
            <w:tcW w:w="1948" w:type="dxa"/>
          </w:tcPr>
          <w:p w14:paraId="5997CC1D" w14:textId="7467A6AF" w:rsidR="008059ED" w:rsidRPr="00B33432" w:rsidRDefault="00D64E16" w:rsidP="008059ED">
            <w:pPr>
              <w:spacing w:after="250" w:line="276" w:lineRule="auto"/>
              <w:jc w:val="both"/>
              <w:rPr>
                <w:rFonts w:ascii="Arial" w:hAnsi="Arial" w:cs="Arial"/>
                <w:color w:val="181818"/>
              </w:rPr>
            </w:pPr>
            <w:r>
              <w:rPr>
                <w:rFonts w:ascii="Open Sans" w:hAnsi="Open Sans" w:cs="Open Sans"/>
                <w:color w:val="181818"/>
                <w:lang w:val="en-GB"/>
              </w:rPr>
              <w:t>See previous responses</w:t>
            </w:r>
          </w:p>
        </w:tc>
        <w:tc>
          <w:tcPr>
            <w:tcW w:w="1732" w:type="dxa"/>
          </w:tcPr>
          <w:p w14:paraId="110FFD37" w14:textId="77777777" w:rsidR="008059ED" w:rsidRPr="00B33432" w:rsidRDefault="008059ED" w:rsidP="008059ED">
            <w:pPr>
              <w:spacing w:after="250" w:line="276" w:lineRule="auto"/>
              <w:jc w:val="both"/>
              <w:rPr>
                <w:rFonts w:ascii="Arial" w:hAnsi="Arial" w:cs="Arial"/>
                <w:color w:val="181818"/>
              </w:rPr>
            </w:pPr>
          </w:p>
        </w:tc>
        <w:tc>
          <w:tcPr>
            <w:tcW w:w="1989" w:type="dxa"/>
          </w:tcPr>
          <w:p w14:paraId="6B699379" w14:textId="77777777" w:rsidR="008059ED" w:rsidRPr="00B33432" w:rsidRDefault="008059ED" w:rsidP="008059ED">
            <w:pPr>
              <w:spacing w:after="250" w:line="276" w:lineRule="auto"/>
              <w:jc w:val="both"/>
              <w:rPr>
                <w:rFonts w:ascii="Arial" w:hAnsi="Arial" w:cs="Arial"/>
                <w:color w:val="181818"/>
              </w:rPr>
            </w:pPr>
          </w:p>
        </w:tc>
        <w:tc>
          <w:tcPr>
            <w:tcW w:w="1667" w:type="dxa"/>
          </w:tcPr>
          <w:p w14:paraId="3FE9F23F" w14:textId="77777777" w:rsidR="008059ED" w:rsidRPr="00B33432" w:rsidRDefault="008059ED" w:rsidP="008059ED">
            <w:pPr>
              <w:spacing w:after="250" w:line="276" w:lineRule="auto"/>
              <w:jc w:val="both"/>
              <w:rPr>
                <w:rFonts w:ascii="Arial" w:hAnsi="Arial" w:cs="Arial"/>
                <w:color w:val="181818"/>
              </w:rPr>
            </w:pPr>
          </w:p>
        </w:tc>
      </w:tr>
      <w:tr w:rsidR="008059ED" w:rsidRPr="00B33432" w14:paraId="241FBBEE" w14:textId="77777777" w:rsidTr="008059ED">
        <w:tc>
          <w:tcPr>
            <w:tcW w:w="1984" w:type="dxa"/>
          </w:tcPr>
          <w:p w14:paraId="168EC9A2" w14:textId="77777777" w:rsidR="008059ED" w:rsidRPr="00B33432" w:rsidRDefault="008059ED" w:rsidP="008059ED">
            <w:pPr>
              <w:spacing w:after="250" w:line="276" w:lineRule="auto"/>
              <w:rPr>
                <w:rFonts w:ascii="Arial" w:hAnsi="Arial" w:cs="Arial"/>
              </w:rPr>
            </w:pPr>
            <w:r w:rsidRPr="00B33432">
              <w:rPr>
                <w:rFonts w:ascii="Arial" w:hAnsi="Arial" w:cs="Arial"/>
              </w:rPr>
              <w:t>10. Real estate</w:t>
            </w:r>
          </w:p>
        </w:tc>
        <w:tc>
          <w:tcPr>
            <w:tcW w:w="1948" w:type="dxa"/>
          </w:tcPr>
          <w:p w14:paraId="1F72F646" w14:textId="7C6D2832" w:rsidR="008059ED" w:rsidRPr="00B33432" w:rsidRDefault="005A1B1A" w:rsidP="008059ED">
            <w:pPr>
              <w:spacing w:after="250" w:line="276" w:lineRule="auto"/>
              <w:jc w:val="both"/>
              <w:rPr>
                <w:rFonts w:ascii="Arial" w:hAnsi="Arial" w:cs="Arial"/>
                <w:color w:val="181818"/>
              </w:rPr>
            </w:pPr>
            <w:r>
              <w:rPr>
                <w:rFonts w:ascii="Open Sans" w:hAnsi="Open Sans" w:cs="Open Sans"/>
                <w:color w:val="181818"/>
                <w:lang w:val="en-GB"/>
              </w:rPr>
              <w:t>No comment</w:t>
            </w:r>
          </w:p>
        </w:tc>
        <w:tc>
          <w:tcPr>
            <w:tcW w:w="1732" w:type="dxa"/>
          </w:tcPr>
          <w:p w14:paraId="08CE6F91" w14:textId="77777777" w:rsidR="008059ED" w:rsidRPr="00B33432" w:rsidRDefault="008059ED" w:rsidP="008059ED">
            <w:pPr>
              <w:spacing w:after="250" w:line="276" w:lineRule="auto"/>
              <w:jc w:val="both"/>
              <w:rPr>
                <w:rFonts w:ascii="Arial" w:hAnsi="Arial" w:cs="Arial"/>
                <w:color w:val="181818"/>
              </w:rPr>
            </w:pPr>
          </w:p>
        </w:tc>
        <w:tc>
          <w:tcPr>
            <w:tcW w:w="1989" w:type="dxa"/>
          </w:tcPr>
          <w:p w14:paraId="61CDCEAD" w14:textId="77777777" w:rsidR="008059ED" w:rsidRPr="00B33432" w:rsidRDefault="008059ED" w:rsidP="008059ED">
            <w:pPr>
              <w:spacing w:after="250" w:line="276" w:lineRule="auto"/>
              <w:jc w:val="both"/>
              <w:rPr>
                <w:rFonts w:ascii="Arial" w:hAnsi="Arial" w:cs="Arial"/>
                <w:color w:val="181818"/>
              </w:rPr>
            </w:pPr>
          </w:p>
        </w:tc>
        <w:tc>
          <w:tcPr>
            <w:tcW w:w="1667" w:type="dxa"/>
          </w:tcPr>
          <w:p w14:paraId="6BB9E253" w14:textId="77777777" w:rsidR="008059ED" w:rsidRPr="00B33432" w:rsidRDefault="008059ED" w:rsidP="008059ED">
            <w:pPr>
              <w:spacing w:after="250" w:line="276" w:lineRule="auto"/>
              <w:jc w:val="both"/>
              <w:rPr>
                <w:rFonts w:ascii="Arial" w:hAnsi="Arial" w:cs="Arial"/>
                <w:color w:val="181818"/>
              </w:rPr>
            </w:pPr>
          </w:p>
        </w:tc>
      </w:tr>
      <w:tr w:rsidR="008059ED" w:rsidRPr="00B33432" w14:paraId="7FD6362C" w14:textId="77777777" w:rsidTr="008059ED">
        <w:tc>
          <w:tcPr>
            <w:tcW w:w="1984" w:type="dxa"/>
          </w:tcPr>
          <w:p w14:paraId="146B0B65" w14:textId="77777777" w:rsidR="008059ED" w:rsidRPr="00B33432" w:rsidRDefault="008059ED" w:rsidP="008059ED">
            <w:pPr>
              <w:spacing w:after="250" w:line="276" w:lineRule="auto"/>
              <w:rPr>
                <w:rFonts w:ascii="Arial" w:hAnsi="Arial" w:cs="Arial"/>
              </w:rPr>
            </w:pPr>
            <w:r w:rsidRPr="00B33432">
              <w:rPr>
                <w:rFonts w:ascii="Arial" w:hAnsi="Arial" w:cs="Arial"/>
              </w:rPr>
              <w:t>11. Real Estate Investment Trusts (‘REITs’)</w:t>
            </w:r>
          </w:p>
        </w:tc>
        <w:tc>
          <w:tcPr>
            <w:tcW w:w="1948" w:type="dxa"/>
          </w:tcPr>
          <w:p w14:paraId="23DE523C" w14:textId="22FFDE27" w:rsidR="008059ED" w:rsidRPr="00B33432" w:rsidRDefault="005A1B1A" w:rsidP="008059ED">
            <w:pPr>
              <w:spacing w:after="250" w:line="276" w:lineRule="auto"/>
              <w:jc w:val="both"/>
              <w:rPr>
                <w:rFonts w:ascii="Arial" w:hAnsi="Arial" w:cs="Arial"/>
                <w:color w:val="181818"/>
              </w:rPr>
            </w:pPr>
            <w:r>
              <w:rPr>
                <w:rFonts w:ascii="Open Sans" w:hAnsi="Open Sans" w:cs="Open Sans"/>
                <w:color w:val="181818"/>
                <w:lang w:val="en-GB"/>
              </w:rPr>
              <w:t>No comment</w:t>
            </w:r>
          </w:p>
        </w:tc>
        <w:tc>
          <w:tcPr>
            <w:tcW w:w="1732" w:type="dxa"/>
          </w:tcPr>
          <w:p w14:paraId="52E56223" w14:textId="77777777" w:rsidR="008059ED" w:rsidRPr="00B33432" w:rsidRDefault="008059ED" w:rsidP="008059ED">
            <w:pPr>
              <w:spacing w:after="250" w:line="276" w:lineRule="auto"/>
              <w:jc w:val="both"/>
              <w:rPr>
                <w:rFonts w:ascii="Arial" w:hAnsi="Arial" w:cs="Arial"/>
                <w:color w:val="181818"/>
              </w:rPr>
            </w:pPr>
          </w:p>
        </w:tc>
        <w:tc>
          <w:tcPr>
            <w:tcW w:w="1989" w:type="dxa"/>
          </w:tcPr>
          <w:p w14:paraId="07547A01" w14:textId="77777777" w:rsidR="008059ED" w:rsidRPr="00B33432" w:rsidRDefault="008059ED" w:rsidP="008059ED">
            <w:pPr>
              <w:spacing w:after="250" w:line="276" w:lineRule="auto"/>
              <w:jc w:val="both"/>
              <w:rPr>
                <w:rFonts w:ascii="Arial" w:hAnsi="Arial" w:cs="Arial"/>
                <w:color w:val="181818"/>
              </w:rPr>
            </w:pPr>
          </w:p>
        </w:tc>
        <w:tc>
          <w:tcPr>
            <w:tcW w:w="1667" w:type="dxa"/>
          </w:tcPr>
          <w:p w14:paraId="5043CB0F" w14:textId="77777777" w:rsidR="008059ED" w:rsidRPr="00B33432" w:rsidRDefault="008059ED" w:rsidP="008059ED">
            <w:pPr>
              <w:spacing w:after="250" w:line="276" w:lineRule="auto"/>
              <w:jc w:val="both"/>
              <w:rPr>
                <w:rFonts w:ascii="Arial" w:hAnsi="Arial" w:cs="Arial"/>
                <w:color w:val="181818"/>
              </w:rPr>
            </w:pPr>
          </w:p>
        </w:tc>
      </w:tr>
      <w:tr w:rsidR="008059ED" w:rsidRPr="00B33432" w14:paraId="585437CF" w14:textId="77777777" w:rsidTr="008059ED">
        <w:tc>
          <w:tcPr>
            <w:tcW w:w="1984" w:type="dxa"/>
          </w:tcPr>
          <w:p w14:paraId="17F5DE1B" w14:textId="77777777" w:rsidR="008059ED" w:rsidRPr="00B33432" w:rsidRDefault="008059ED" w:rsidP="008059ED">
            <w:pPr>
              <w:spacing w:after="250" w:line="276" w:lineRule="auto"/>
              <w:rPr>
                <w:rFonts w:ascii="Arial" w:hAnsi="Arial" w:cs="Arial"/>
              </w:rPr>
            </w:pPr>
            <w:r w:rsidRPr="00B33432">
              <w:rPr>
                <w:rFonts w:ascii="Arial" w:hAnsi="Arial" w:cs="Arial"/>
              </w:rPr>
              <w:t>12. Special Purpose Acquisition Companies (‘SPACs’)</w:t>
            </w:r>
          </w:p>
        </w:tc>
        <w:tc>
          <w:tcPr>
            <w:tcW w:w="1948" w:type="dxa"/>
          </w:tcPr>
          <w:p w14:paraId="07459315" w14:textId="0E2BE9CD" w:rsidR="008059ED" w:rsidRPr="00B33432" w:rsidRDefault="005A1B1A" w:rsidP="008059ED">
            <w:pPr>
              <w:spacing w:after="250" w:line="276" w:lineRule="auto"/>
              <w:jc w:val="both"/>
              <w:rPr>
                <w:rFonts w:ascii="Arial" w:hAnsi="Arial" w:cs="Arial"/>
                <w:color w:val="181818"/>
              </w:rPr>
            </w:pPr>
            <w:r>
              <w:rPr>
                <w:rFonts w:ascii="Open Sans" w:hAnsi="Open Sans" w:cs="Open Sans"/>
                <w:color w:val="181818"/>
                <w:lang w:val="en-GB"/>
              </w:rPr>
              <w:t>No comment</w:t>
            </w:r>
          </w:p>
        </w:tc>
        <w:tc>
          <w:tcPr>
            <w:tcW w:w="1732" w:type="dxa"/>
          </w:tcPr>
          <w:p w14:paraId="6537F28F" w14:textId="77777777" w:rsidR="008059ED" w:rsidRPr="00B33432" w:rsidRDefault="008059ED" w:rsidP="008059ED">
            <w:pPr>
              <w:spacing w:after="250" w:line="276" w:lineRule="auto"/>
              <w:jc w:val="both"/>
              <w:rPr>
                <w:rFonts w:ascii="Arial" w:hAnsi="Arial" w:cs="Arial"/>
                <w:color w:val="181818"/>
              </w:rPr>
            </w:pPr>
          </w:p>
        </w:tc>
        <w:tc>
          <w:tcPr>
            <w:tcW w:w="1989" w:type="dxa"/>
          </w:tcPr>
          <w:p w14:paraId="6DFB9E20" w14:textId="77777777" w:rsidR="008059ED" w:rsidRPr="00B33432" w:rsidRDefault="008059ED" w:rsidP="008059ED">
            <w:pPr>
              <w:spacing w:after="250" w:line="276" w:lineRule="auto"/>
              <w:jc w:val="both"/>
              <w:rPr>
                <w:rFonts w:ascii="Arial" w:hAnsi="Arial" w:cs="Arial"/>
                <w:color w:val="181818"/>
              </w:rPr>
            </w:pPr>
          </w:p>
        </w:tc>
        <w:tc>
          <w:tcPr>
            <w:tcW w:w="1667" w:type="dxa"/>
          </w:tcPr>
          <w:p w14:paraId="70DF9E56" w14:textId="77777777" w:rsidR="008059ED" w:rsidRPr="00B33432" w:rsidRDefault="008059ED" w:rsidP="008059ED">
            <w:pPr>
              <w:spacing w:after="250" w:line="276" w:lineRule="auto"/>
              <w:jc w:val="both"/>
              <w:rPr>
                <w:rFonts w:ascii="Arial" w:hAnsi="Arial" w:cs="Arial"/>
                <w:color w:val="181818"/>
              </w:rPr>
            </w:pPr>
          </w:p>
        </w:tc>
      </w:tr>
      <w:tr w:rsidR="00BC40DD" w:rsidRPr="00B33432" w14:paraId="72D194A9" w14:textId="77777777" w:rsidTr="008059ED">
        <w:tc>
          <w:tcPr>
            <w:tcW w:w="1984" w:type="dxa"/>
          </w:tcPr>
          <w:p w14:paraId="31158681" w14:textId="77777777" w:rsidR="00BC40DD" w:rsidRPr="00B33432" w:rsidRDefault="00BC40DD" w:rsidP="00BC40DD">
            <w:pPr>
              <w:spacing w:after="250" w:line="276" w:lineRule="auto"/>
              <w:rPr>
                <w:rFonts w:ascii="Arial" w:hAnsi="Arial" w:cs="Arial"/>
              </w:rPr>
            </w:pPr>
            <w:r w:rsidRPr="00B33432">
              <w:rPr>
                <w:rFonts w:ascii="Arial" w:hAnsi="Arial" w:cs="Arial"/>
              </w:rPr>
              <w:t>13. EU AIFs</w:t>
            </w:r>
            <w:r w:rsidRPr="00B33432">
              <w:rPr>
                <w:rFonts w:ascii="Arial" w:hAnsi="Arial" w:cs="Arial"/>
                <w:sz w:val="16"/>
                <w:vertAlign w:val="superscript"/>
              </w:rPr>
              <w:footnoteReference w:id="10"/>
            </w:r>
          </w:p>
        </w:tc>
        <w:tc>
          <w:tcPr>
            <w:tcW w:w="1948" w:type="dxa"/>
          </w:tcPr>
          <w:p w14:paraId="6C2FA745" w14:textId="77777777" w:rsidR="00BC40DD" w:rsidRDefault="00BC40DD" w:rsidP="00BC40DD">
            <w:pPr>
              <w:rPr>
                <w:rFonts w:ascii="Open Sans" w:hAnsi="Open Sans" w:cs="Open Sans"/>
                <w:lang w:val="en-GB"/>
              </w:rPr>
            </w:pPr>
            <w:r w:rsidRPr="008127C7">
              <w:rPr>
                <w:rFonts w:ascii="Open Sans" w:hAnsi="Open Sans" w:cs="Open Sans"/>
                <w:lang w:val="en-GB"/>
              </w:rPr>
              <w:t>Investing in an AIF</w:t>
            </w:r>
            <w:r>
              <w:rPr>
                <w:rFonts w:ascii="Open Sans" w:hAnsi="Open Sans" w:cs="Open Sans"/>
                <w:lang w:val="en-GB"/>
              </w:rPr>
              <w:t xml:space="preserve"> – </w:t>
            </w:r>
            <w:r w:rsidRPr="006200B1">
              <w:rPr>
                <w:rFonts w:ascii="Open Sans" w:hAnsi="Open Sans" w:cs="Open Sans"/>
                <w:color w:val="181818"/>
                <w:lang w:val="en-US"/>
              </w:rPr>
              <w:t>both open</w:t>
            </w:r>
            <w:r>
              <w:rPr>
                <w:rFonts w:ascii="Open Sans" w:hAnsi="Open Sans" w:cs="Open Sans"/>
                <w:color w:val="181818"/>
                <w:lang w:val="en-US"/>
              </w:rPr>
              <w:t>-</w:t>
            </w:r>
            <w:r w:rsidRPr="006200B1">
              <w:rPr>
                <w:rFonts w:ascii="Open Sans" w:hAnsi="Open Sans" w:cs="Open Sans"/>
                <w:color w:val="181818"/>
                <w:lang w:val="en-US"/>
              </w:rPr>
              <w:t>ended and closed</w:t>
            </w:r>
            <w:r>
              <w:rPr>
                <w:rFonts w:ascii="Open Sans" w:hAnsi="Open Sans" w:cs="Open Sans"/>
                <w:color w:val="181818"/>
                <w:lang w:val="en-US"/>
              </w:rPr>
              <w:t>-</w:t>
            </w:r>
            <w:r w:rsidRPr="006200B1">
              <w:rPr>
                <w:rFonts w:ascii="Open Sans" w:hAnsi="Open Sans" w:cs="Open Sans"/>
                <w:color w:val="181818"/>
                <w:lang w:val="en-US"/>
              </w:rPr>
              <w:t>ended AIFs across strategies</w:t>
            </w:r>
            <w:r>
              <w:rPr>
                <w:rFonts w:ascii="Open Sans" w:hAnsi="Open Sans" w:cs="Open Sans"/>
                <w:color w:val="181818"/>
                <w:lang w:val="en-US"/>
              </w:rPr>
              <w:t xml:space="preserve"> – </w:t>
            </w:r>
            <w:r w:rsidRPr="008127C7">
              <w:rPr>
                <w:rFonts w:ascii="Open Sans" w:hAnsi="Open Sans" w:cs="Open Sans"/>
                <w:lang w:val="en-GB"/>
              </w:rPr>
              <w:t>permits exposure to a diversified portfolio of underlying to which the UCIT</w:t>
            </w:r>
            <w:r w:rsidRPr="00FF7736">
              <w:rPr>
                <w:rFonts w:ascii="Open Sans" w:hAnsi="Open Sans" w:cs="Open Sans"/>
                <w:lang w:val="en-GB"/>
              </w:rPr>
              <w:t>S</w:t>
            </w:r>
            <w:r w:rsidRPr="008127C7">
              <w:rPr>
                <w:rFonts w:ascii="Open Sans" w:hAnsi="Open Sans" w:cs="Open Sans"/>
                <w:lang w:val="en-GB"/>
              </w:rPr>
              <w:t xml:space="preserve"> may be </w:t>
            </w:r>
            <w:r w:rsidRPr="00FF7736">
              <w:rPr>
                <w:rFonts w:ascii="Open Sans" w:hAnsi="Open Sans" w:cs="Open Sans"/>
                <w:lang w:val="en-GB"/>
              </w:rPr>
              <w:t>un</w:t>
            </w:r>
            <w:r w:rsidRPr="008127C7">
              <w:rPr>
                <w:rFonts w:ascii="Open Sans" w:hAnsi="Open Sans" w:cs="Open Sans"/>
                <w:lang w:val="en-GB"/>
              </w:rPr>
              <w:t>able to obtain direct exposure.</w:t>
            </w:r>
          </w:p>
          <w:p w14:paraId="7B30F6BA" w14:textId="77777777" w:rsidR="00BC40DD" w:rsidRPr="008127C7" w:rsidRDefault="00BC40DD" w:rsidP="00BC40DD">
            <w:pPr>
              <w:rPr>
                <w:rFonts w:ascii="Open Sans" w:hAnsi="Open Sans" w:cs="Open Sans"/>
                <w:lang w:val="en-GB"/>
              </w:rPr>
            </w:pPr>
          </w:p>
          <w:p w14:paraId="207636BB" w14:textId="77777777" w:rsidR="00BC40DD" w:rsidRDefault="00BC40DD" w:rsidP="00BC40DD">
            <w:pPr>
              <w:rPr>
                <w:rFonts w:ascii="Open Sans" w:hAnsi="Open Sans" w:cs="Open Sans"/>
                <w:lang w:val="en-GB"/>
              </w:rPr>
            </w:pPr>
            <w:r w:rsidRPr="00FF7736">
              <w:rPr>
                <w:rFonts w:ascii="Open Sans" w:hAnsi="Open Sans" w:cs="Open Sans"/>
                <w:lang w:val="en-GB"/>
              </w:rPr>
              <w:t>Higher returns may be generated by virtue of the flexibility of AIF managers in their investment approaches (e.g.</w:t>
            </w:r>
            <w:r>
              <w:rPr>
                <w:rFonts w:ascii="Open Sans" w:hAnsi="Open Sans" w:cs="Open Sans"/>
                <w:lang w:val="en-GB"/>
              </w:rPr>
              <w:t>,</w:t>
            </w:r>
            <w:r w:rsidRPr="00FF7736">
              <w:rPr>
                <w:rFonts w:ascii="Open Sans" w:hAnsi="Open Sans" w:cs="Open Sans"/>
                <w:lang w:val="en-GB"/>
              </w:rPr>
              <w:t xml:space="preserve"> leverage and short selling strategies) as well as the expertise of </w:t>
            </w:r>
            <w:r w:rsidRPr="00FF7736">
              <w:rPr>
                <w:rFonts w:ascii="Open Sans" w:hAnsi="Open Sans" w:cs="Open Sans"/>
                <w:lang w:val="en-GB"/>
              </w:rPr>
              <w:lastRenderedPageBreak/>
              <w:t>AIF managers in this domain.</w:t>
            </w:r>
          </w:p>
          <w:p w14:paraId="44E871BC" w14:textId="77777777" w:rsidR="00BC40DD" w:rsidRPr="00B33432" w:rsidRDefault="00BC40DD" w:rsidP="00BC40DD">
            <w:pPr>
              <w:spacing w:after="250" w:line="276" w:lineRule="auto"/>
              <w:jc w:val="both"/>
              <w:rPr>
                <w:rFonts w:ascii="Arial" w:hAnsi="Arial" w:cs="Arial"/>
                <w:color w:val="181818"/>
              </w:rPr>
            </w:pPr>
          </w:p>
        </w:tc>
        <w:tc>
          <w:tcPr>
            <w:tcW w:w="1732" w:type="dxa"/>
          </w:tcPr>
          <w:p w14:paraId="144A5D23" w14:textId="77777777" w:rsidR="00BC40DD" w:rsidRPr="00B33432" w:rsidRDefault="00BC40DD" w:rsidP="00BC40DD">
            <w:pPr>
              <w:spacing w:after="250" w:line="276" w:lineRule="auto"/>
              <w:jc w:val="both"/>
              <w:rPr>
                <w:rFonts w:ascii="Arial" w:hAnsi="Arial" w:cs="Arial"/>
                <w:color w:val="181818"/>
              </w:rPr>
            </w:pPr>
          </w:p>
        </w:tc>
        <w:tc>
          <w:tcPr>
            <w:tcW w:w="1989" w:type="dxa"/>
          </w:tcPr>
          <w:p w14:paraId="738610EB" w14:textId="77777777" w:rsidR="00BC40DD" w:rsidRPr="00B33432" w:rsidRDefault="00BC40DD" w:rsidP="00BC40DD">
            <w:pPr>
              <w:spacing w:after="250" w:line="276" w:lineRule="auto"/>
              <w:jc w:val="both"/>
              <w:rPr>
                <w:rFonts w:ascii="Arial" w:hAnsi="Arial" w:cs="Arial"/>
                <w:color w:val="181818"/>
              </w:rPr>
            </w:pPr>
          </w:p>
        </w:tc>
        <w:tc>
          <w:tcPr>
            <w:tcW w:w="1667" w:type="dxa"/>
          </w:tcPr>
          <w:p w14:paraId="637805D2" w14:textId="77777777" w:rsidR="00BC40DD" w:rsidRPr="00B33432" w:rsidRDefault="00BC40DD" w:rsidP="00BC40DD">
            <w:pPr>
              <w:spacing w:after="250" w:line="276" w:lineRule="auto"/>
              <w:jc w:val="both"/>
              <w:rPr>
                <w:rFonts w:ascii="Arial" w:hAnsi="Arial" w:cs="Arial"/>
                <w:color w:val="181818"/>
              </w:rPr>
            </w:pPr>
          </w:p>
        </w:tc>
      </w:tr>
      <w:tr w:rsidR="00BC40DD" w:rsidRPr="00B33432" w14:paraId="50B47933" w14:textId="77777777" w:rsidTr="008059ED">
        <w:tc>
          <w:tcPr>
            <w:tcW w:w="1984" w:type="dxa"/>
          </w:tcPr>
          <w:p w14:paraId="5B21E6DB" w14:textId="77777777" w:rsidR="00BC40DD" w:rsidRPr="00B33432" w:rsidRDefault="00BC40DD" w:rsidP="00BC40DD">
            <w:pPr>
              <w:spacing w:after="250" w:line="276" w:lineRule="auto"/>
              <w:rPr>
                <w:rFonts w:ascii="Arial" w:hAnsi="Arial" w:cs="Arial"/>
              </w:rPr>
            </w:pPr>
            <w:r w:rsidRPr="00B33432">
              <w:rPr>
                <w:rFonts w:ascii="Arial" w:hAnsi="Arial" w:cs="Arial"/>
              </w:rPr>
              <w:t>14. Non-EU AIFs</w:t>
            </w:r>
          </w:p>
        </w:tc>
        <w:tc>
          <w:tcPr>
            <w:tcW w:w="1948" w:type="dxa"/>
          </w:tcPr>
          <w:p w14:paraId="463F29E8" w14:textId="74A7948E" w:rsidR="00BC40DD" w:rsidRPr="00B33432" w:rsidRDefault="00296020" w:rsidP="00BC40DD">
            <w:pPr>
              <w:spacing w:after="250" w:line="276" w:lineRule="auto"/>
              <w:jc w:val="both"/>
              <w:rPr>
                <w:rFonts w:ascii="Arial" w:hAnsi="Arial" w:cs="Arial"/>
                <w:color w:val="181818"/>
              </w:rPr>
            </w:pPr>
            <w:r>
              <w:rPr>
                <w:rFonts w:ascii="Open Sans" w:hAnsi="Open Sans" w:cs="Open Sans"/>
                <w:color w:val="181818"/>
                <w:lang w:val="en-GB"/>
              </w:rPr>
              <w:t>See previous responses</w:t>
            </w:r>
          </w:p>
        </w:tc>
        <w:tc>
          <w:tcPr>
            <w:tcW w:w="1732" w:type="dxa"/>
          </w:tcPr>
          <w:p w14:paraId="3B7B4B86" w14:textId="77777777" w:rsidR="00BC40DD" w:rsidRPr="00B33432" w:rsidRDefault="00BC40DD" w:rsidP="00BC40DD">
            <w:pPr>
              <w:spacing w:after="250" w:line="276" w:lineRule="auto"/>
              <w:jc w:val="both"/>
              <w:rPr>
                <w:rFonts w:ascii="Arial" w:hAnsi="Arial" w:cs="Arial"/>
                <w:color w:val="181818"/>
              </w:rPr>
            </w:pPr>
          </w:p>
        </w:tc>
        <w:tc>
          <w:tcPr>
            <w:tcW w:w="1989" w:type="dxa"/>
          </w:tcPr>
          <w:p w14:paraId="3A0FF5F2" w14:textId="77777777" w:rsidR="00BC40DD" w:rsidRPr="00B33432" w:rsidRDefault="00BC40DD" w:rsidP="00BC40DD">
            <w:pPr>
              <w:spacing w:after="250" w:line="276" w:lineRule="auto"/>
              <w:jc w:val="both"/>
              <w:rPr>
                <w:rFonts w:ascii="Arial" w:hAnsi="Arial" w:cs="Arial"/>
                <w:color w:val="181818"/>
              </w:rPr>
            </w:pPr>
          </w:p>
        </w:tc>
        <w:tc>
          <w:tcPr>
            <w:tcW w:w="1667" w:type="dxa"/>
          </w:tcPr>
          <w:p w14:paraId="5630AD66" w14:textId="77777777" w:rsidR="00BC40DD" w:rsidRPr="00B33432" w:rsidRDefault="00BC40DD" w:rsidP="00BC40DD">
            <w:pPr>
              <w:spacing w:after="250" w:line="276" w:lineRule="auto"/>
              <w:jc w:val="both"/>
              <w:rPr>
                <w:rFonts w:ascii="Arial" w:hAnsi="Arial" w:cs="Arial"/>
                <w:color w:val="181818"/>
              </w:rPr>
            </w:pPr>
          </w:p>
        </w:tc>
      </w:tr>
      <w:tr w:rsidR="00C13B13" w:rsidRPr="00B33432" w14:paraId="5A25875C" w14:textId="77777777" w:rsidTr="008059ED">
        <w:tc>
          <w:tcPr>
            <w:tcW w:w="1984" w:type="dxa"/>
          </w:tcPr>
          <w:p w14:paraId="0BD070FC" w14:textId="77777777" w:rsidR="00C13B13" w:rsidRPr="00B33432" w:rsidRDefault="00C13B13" w:rsidP="00C13B13">
            <w:pPr>
              <w:spacing w:after="250" w:line="276" w:lineRule="auto"/>
              <w:rPr>
                <w:rFonts w:ascii="Arial" w:hAnsi="Arial" w:cs="Arial"/>
              </w:rPr>
            </w:pPr>
            <w:r w:rsidRPr="00B33432">
              <w:rPr>
                <w:rFonts w:ascii="Arial" w:hAnsi="Arial" w:cs="Arial"/>
              </w:rPr>
              <w:t>15. Emission allowances</w:t>
            </w:r>
          </w:p>
        </w:tc>
        <w:tc>
          <w:tcPr>
            <w:tcW w:w="1948" w:type="dxa"/>
          </w:tcPr>
          <w:p w14:paraId="6D5B4541" w14:textId="77777777" w:rsidR="00C13B13" w:rsidRDefault="00C13B13" w:rsidP="00C13B13">
            <w:pPr>
              <w:rPr>
                <w:rFonts w:ascii="Open Sans" w:hAnsi="Open Sans" w:cs="Open Sans"/>
                <w:lang w:val="en-GB"/>
              </w:rPr>
            </w:pPr>
            <w:r w:rsidRPr="00963819">
              <w:rPr>
                <w:rFonts w:ascii="Open Sans" w:hAnsi="Open Sans" w:cs="Open Sans"/>
                <w:lang w:val="en-GB"/>
              </w:rPr>
              <w:t>Low correlation to equities, bonds and other assets classes so may be a useful diversifier and/or hedge.</w:t>
            </w:r>
          </w:p>
          <w:p w14:paraId="617CBC15" w14:textId="77777777" w:rsidR="00C13B13" w:rsidRPr="00963819" w:rsidRDefault="00C13B13" w:rsidP="00C13B13">
            <w:pPr>
              <w:rPr>
                <w:rFonts w:ascii="Open Sans" w:hAnsi="Open Sans" w:cs="Open Sans"/>
                <w:lang w:val="en-GB"/>
              </w:rPr>
            </w:pPr>
          </w:p>
          <w:p w14:paraId="424FBB4A" w14:textId="77777777" w:rsidR="00C13B13" w:rsidRDefault="00C13B13" w:rsidP="00C13B13">
            <w:pPr>
              <w:rPr>
                <w:rFonts w:ascii="Open Sans" w:hAnsi="Open Sans" w:cs="Open Sans"/>
                <w:lang w:val="en-GB"/>
              </w:rPr>
            </w:pPr>
            <w:r w:rsidRPr="00963819">
              <w:rPr>
                <w:rFonts w:ascii="Open Sans" w:hAnsi="Open Sans" w:cs="Open Sans"/>
                <w:lang w:val="en-GB"/>
              </w:rPr>
              <w:t>Outright exposure can deliver positive returns to UCITS portfolios and therefore enhance the overall return characteristics of UCITS funds.</w:t>
            </w:r>
          </w:p>
          <w:p w14:paraId="6FFEB216" w14:textId="77777777" w:rsidR="00C13B13" w:rsidRDefault="00C13B13" w:rsidP="00C13B13">
            <w:pPr>
              <w:rPr>
                <w:rFonts w:ascii="Open Sans" w:hAnsi="Open Sans" w:cs="Open Sans"/>
                <w:lang w:val="en-GB"/>
              </w:rPr>
            </w:pPr>
          </w:p>
          <w:p w14:paraId="61829076" w14:textId="07D0CABF" w:rsidR="00C13B13" w:rsidRPr="001767C0" w:rsidRDefault="00C13B13" w:rsidP="00C13B13">
            <w:pPr>
              <w:rPr>
                <w:rFonts w:ascii="Open Sans" w:hAnsi="Open Sans" w:cs="Open Sans"/>
                <w:lang w:val="en-GB"/>
              </w:rPr>
            </w:pPr>
            <w:r w:rsidRPr="00963819">
              <w:rPr>
                <w:rFonts w:ascii="Open Sans" w:hAnsi="Open Sans" w:cs="Open Sans"/>
                <w:lang w:val="en-GB"/>
              </w:rPr>
              <w:t>UCITS are managed by professional and regulated investment managers who will have the appropriate expertise to understand how and why these instruments can be utilised within a balanced and diversified portfolio.</w:t>
            </w:r>
          </w:p>
        </w:tc>
        <w:tc>
          <w:tcPr>
            <w:tcW w:w="1732" w:type="dxa"/>
          </w:tcPr>
          <w:p w14:paraId="1812F7E9" w14:textId="77777777" w:rsidR="00C13B13" w:rsidRDefault="00C13B13" w:rsidP="00C13B13">
            <w:pPr>
              <w:rPr>
                <w:rFonts w:ascii="Open Sans" w:hAnsi="Open Sans" w:cs="Open Sans"/>
                <w:lang w:val="en-GB"/>
              </w:rPr>
            </w:pPr>
            <w:r w:rsidRPr="00963819">
              <w:rPr>
                <w:rFonts w:ascii="Open Sans" w:hAnsi="Open Sans" w:cs="Open Sans"/>
                <w:lang w:val="en-GB"/>
              </w:rPr>
              <w:t>Indirect exposure through ETFs, ETNs, ETCs etc can be more operationally efficient and address some of the potential operational and  regulatory issues (for example the requirements for Union Registry Accounts).</w:t>
            </w:r>
          </w:p>
          <w:p w14:paraId="2BA226A1" w14:textId="30361F7C" w:rsidR="00C13B13" w:rsidRPr="00B33432" w:rsidRDefault="00C13B13" w:rsidP="00C13B13">
            <w:pPr>
              <w:spacing w:after="250" w:line="276" w:lineRule="auto"/>
              <w:jc w:val="both"/>
              <w:rPr>
                <w:rFonts w:ascii="Arial" w:hAnsi="Arial" w:cs="Arial"/>
                <w:color w:val="181818"/>
              </w:rPr>
            </w:pPr>
          </w:p>
        </w:tc>
        <w:tc>
          <w:tcPr>
            <w:tcW w:w="1989" w:type="dxa"/>
          </w:tcPr>
          <w:p w14:paraId="17AD93B2" w14:textId="77777777" w:rsidR="00C13B13" w:rsidRPr="00B33432" w:rsidRDefault="00C13B13" w:rsidP="00C13B13">
            <w:pPr>
              <w:spacing w:after="250" w:line="276" w:lineRule="auto"/>
              <w:jc w:val="both"/>
              <w:rPr>
                <w:rFonts w:ascii="Arial" w:hAnsi="Arial" w:cs="Arial"/>
                <w:color w:val="181818"/>
              </w:rPr>
            </w:pPr>
          </w:p>
        </w:tc>
        <w:tc>
          <w:tcPr>
            <w:tcW w:w="1667" w:type="dxa"/>
          </w:tcPr>
          <w:p w14:paraId="08F57E43" w14:textId="77777777" w:rsidR="00C13B13" w:rsidRDefault="00C13B13" w:rsidP="00C13B13">
            <w:pPr>
              <w:rPr>
                <w:rFonts w:ascii="Open Sans" w:hAnsi="Open Sans" w:cs="Open Sans"/>
                <w:lang w:val="en-GB"/>
              </w:rPr>
            </w:pPr>
            <w:r w:rsidRPr="00963819">
              <w:rPr>
                <w:rFonts w:ascii="Open Sans" w:hAnsi="Open Sans" w:cs="Open Sans"/>
                <w:lang w:val="en-GB"/>
              </w:rPr>
              <w:t>There is no reason why UCITS investors should be deprived of the opportunity to gain exposure to carbon and its potential for dampening volatility / providing a hedge or enhancing the risk / return characteristics of a UCITS portfolio.  While the use of such instruments may be technical, they are managed by professional regulated investment managers. For UCITS investors, what is important is the potential beneficial outcomes experienced within a well-regulated structure.</w:t>
            </w:r>
          </w:p>
          <w:p w14:paraId="39D1CBA1" w14:textId="77777777" w:rsidR="00C13B13" w:rsidRDefault="00C13B13" w:rsidP="00C13B13">
            <w:pPr>
              <w:rPr>
                <w:rFonts w:ascii="Open Sans" w:hAnsi="Open Sans" w:cs="Open Sans"/>
                <w:lang w:val="en-GB"/>
              </w:rPr>
            </w:pPr>
            <w:r w:rsidRPr="00963819">
              <w:rPr>
                <w:rFonts w:ascii="Open Sans" w:hAnsi="Open Sans" w:cs="Open Sans"/>
                <w:lang w:val="en-GB"/>
              </w:rPr>
              <w:t xml:space="preserve">The market is well understood by </w:t>
            </w:r>
            <w:r w:rsidRPr="00963819">
              <w:rPr>
                <w:rFonts w:ascii="Open Sans" w:hAnsi="Open Sans" w:cs="Open Sans"/>
                <w:lang w:val="en-GB"/>
              </w:rPr>
              <w:lastRenderedPageBreak/>
              <w:t>market participants and is long since established and liquid.</w:t>
            </w:r>
          </w:p>
          <w:p w14:paraId="0DE4B5B7" w14:textId="24966C9F" w:rsidR="00C13B13" w:rsidRPr="00C13B13" w:rsidRDefault="00C13B13" w:rsidP="00C13B13">
            <w:pPr>
              <w:rPr>
                <w:rFonts w:ascii="Open Sans" w:hAnsi="Open Sans" w:cs="Open Sans"/>
                <w:lang w:val="en-GB"/>
              </w:rPr>
            </w:pPr>
            <w:r w:rsidRPr="00963819">
              <w:rPr>
                <w:rFonts w:ascii="Open Sans" w:hAnsi="Open Sans" w:cs="Open Sans"/>
                <w:lang w:val="en-GB"/>
              </w:rPr>
              <w:t>Consideration should be given to appropriate limits in much the same way as issue/issuer and counterparty limits that apply to UCITS.</w:t>
            </w:r>
          </w:p>
        </w:tc>
      </w:tr>
      <w:tr w:rsidR="00C13B13" w:rsidRPr="00B33432" w14:paraId="4663360E" w14:textId="77777777" w:rsidTr="008059ED">
        <w:tc>
          <w:tcPr>
            <w:tcW w:w="1984" w:type="dxa"/>
          </w:tcPr>
          <w:p w14:paraId="556F47DB" w14:textId="77777777" w:rsidR="00C13B13" w:rsidRPr="00B33432" w:rsidRDefault="00C13B13" w:rsidP="00C13B13">
            <w:pPr>
              <w:spacing w:after="250" w:line="276" w:lineRule="auto"/>
              <w:rPr>
                <w:rFonts w:ascii="Arial" w:hAnsi="Arial" w:cs="Arial"/>
              </w:rPr>
            </w:pPr>
            <w:r w:rsidRPr="00B33432">
              <w:rPr>
                <w:rFonts w:ascii="Arial" w:hAnsi="Arial" w:cs="Arial"/>
              </w:rPr>
              <w:lastRenderedPageBreak/>
              <w:t>16. Delta-one instruments</w:t>
            </w:r>
          </w:p>
        </w:tc>
        <w:tc>
          <w:tcPr>
            <w:tcW w:w="1948" w:type="dxa"/>
          </w:tcPr>
          <w:p w14:paraId="66204FF1" w14:textId="3CB21FDF" w:rsidR="00C13B13" w:rsidRPr="00B33432" w:rsidRDefault="004E24AA" w:rsidP="00C13B13">
            <w:pPr>
              <w:spacing w:after="250" w:line="276" w:lineRule="auto"/>
              <w:jc w:val="both"/>
              <w:rPr>
                <w:rFonts w:ascii="Arial" w:hAnsi="Arial" w:cs="Arial"/>
                <w:color w:val="181818"/>
              </w:rPr>
            </w:pPr>
            <w:r>
              <w:rPr>
                <w:rFonts w:ascii="Open Sans" w:hAnsi="Open Sans" w:cs="Open Sans"/>
                <w:color w:val="181818"/>
                <w:lang w:val="en-GB"/>
              </w:rPr>
              <w:t>See previous responses</w:t>
            </w:r>
          </w:p>
        </w:tc>
        <w:tc>
          <w:tcPr>
            <w:tcW w:w="1732" w:type="dxa"/>
          </w:tcPr>
          <w:p w14:paraId="2DBF0D7D" w14:textId="77777777" w:rsidR="00C13B13" w:rsidRPr="00B33432" w:rsidRDefault="00C13B13" w:rsidP="00C13B13">
            <w:pPr>
              <w:spacing w:after="250" w:line="276" w:lineRule="auto"/>
              <w:jc w:val="both"/>
              <w:rPr>
                <w:rFonts w:ascii="Arial" w:hAnsi="Arial" w:cs="Arial"/>
                <w:color w:val="181818"/>
              </w:rPr>
            </w:pPr>
          </w:p>
        </w:tc>
        <w:tc>
          <w:tcPr>
            <w:tcW w:w="1989" w:type="dxa"/>
          </w:tcPr>
          <w:p w14:paraId="6B62F1B3" w14:textId="77777777" w:rsidR="00C13B13" w:rsidRPr="00B33432" w:rsidRDefault="00C13B13" w:rsidP="00C13B13">
            <w:pPr>
              <w:spacing w:after="250" w:line="276" w:lineRule="auto"/>
              <w:jc w:val="both"/>
              <w:rPr>
                <w:rFonts w:ascii="Arial" w:hAnsi="Arial" w:cs="Arial"/>
                <w:color w:val="181818"/>
              </w:rPr>
            </w:pPr>
          </w:p>
        </w:tc>
        <w:tc>
          <w:tcPr>
            <w:tcW w:w="1667" w:type="dxa"/>
          </w:tcPr>
          <w:p w14:paraId="02F2C34E" w14:textId="77777777" w:rsidR="00C13B13" w:rsidRPr="00B33432" w:rsidRDefault="00C13B13" w:rsidP="00C13B13">
            <w:pPr>
              <w:spacing w:after="250" w:line="276" w:lineRule="auto"/>
              <w:jc w:val="both"/>
              <w:rPr>
                <w:rFonts w:ascii="Arial" w:hAnsi="Arial" w:cs="Arial"/>
                <w:color w:val="181818"/>
              </w:rPr>
            </w:pPr>
          </w:p>
        </w:tc>
      </w:tr>
      <w:tr w:rsidR="00C13B13" w:rsidRPr="00B33432" w14:paraId="6004F4E8" w14:textId="77777777" w:rsidTr="008059ED">
        <w:tc>
          <w:tcPr>
            <w:tcW w:w="1984" w:type="dxa"/>
          </w:tcPr>
          <w:p w14:paraId="73D5771C" w14:textId="77777777" w:rsidR="00C13B13" w:rsidRPr="00B33432" w:rsidRDefault="00C13B13" w:rsidP="00C13B13">
            <w:pPr>
              <w:spacing w:after="250" w:line="276" w:lineRule="auto"/>
              <w:rPr>
                <w:rFonts w:ascii="Arial" w:hAnsi="Arial" w:cs="Arial"/>
              </w:rPr>
            </w:pPr>
            <w:r w:rsidRPr="00B33432">
              <w:rPr>
                <w:rFonts w:ascii="Arial" w:hAnsi="Arial" w:cs="Arial"/>
              </w:rPr>
              <w:t>17. Exchange-traded notes (‘ETNs’)</w:t>
            </w:r>
          </w:p>
        </w:tc>
        <w:tc>
          <w:tcPr>
            <w:tcW w:w="1948" w:type="dxa"/>
          </w:tcPr>
          <w:p w14:paraId="680A4E5D" w14:textId="2093D7A1" w:rsidR="00C13B13" w:rsidRPr="00B33432" w:rsidRDefault="004E24AA" w:rsidP="00C13B13">
            <w:pPr>
              <w:spacing w:after="250" w:line="276" w:lineRule="auto"/>
              <w:jc w:val="both"/>
              <w:rPr>
                <w:rFonts w:ascii="Arial" w:hAnsi="Arial" w:cs="Arial"/>
                <w:color w:val="181818"/>
              </w:rPr>
            </w:pPr>
            <w:r>
              <w:rPr>
                <w:rFonts w:ascii="Open Sans" w:hAnsi="Open Sans" w:cs="Open Sans"/>
                <w:color w:val="181818"/>
                <w:lang w:val="en-GB"/>
              </w:rPr>
              <w:t>See previous responses</w:t>
            </w:r>
          </w:p>
        </w:tc>
        <w:tc>
          <w:tcPr>
            <w:tcW w:w="1732" w:type="dxa"/>
          </w:tcPr>
          <w:p w14:paraId="19219836" w14:textId="77777777" w:rsidR="00C13B13" w:rsidRPr="00B33432" w:rsidRDefault="00C13B13" w:rsidP="00C13B13">
            <w:pPr>
              <w:spacing w:after="250" w:line="276" w:lineRule="auto"/>
              <w:jc w:val="both"/>
              <w:rPr>
                <w:rFonts w:ascii="Arial" w:hAnsi="Arial" w:cs="Arial"/>
                <w:color w:val="181818"/>
              </w:rPr>
            </w:pPr>
          </w:p>
        </w:tc>
        <w:tc>
          <w:tcPr>
            <w:tcW w:w="1989" w:type="dxa"/>
          </w:tcPr>
          <w:p w14:paraId="296FEF7D" w14:textId="77777777" w:rsidR="00C13B13" w:rsidRPr="00B33432" w:rsidRDefault="00C13B13" w:rsidP="00C13B13">
            <w:pPr>
              <w:spacing w:after="250" w:line="276" w:lineRule="auto"/>
              <w:jc w:val="both"/>
              <w:rPr>
                <w:rFonts w:ascii="Arial" w:hAnsi="Arial" w:cs="Arial"/>
                <w:color w:val="181818"/>
              </w:rPr>
            </w:pPr>
          </w:p>
        </w:tc>
        <w:tc>
          <w:tcPr>
            <w:tcW w:w="1667" w:type="dxa"/>
          </w:tcPr>
          <w:p w14:paraId="7194DBDC" w14:textId="77777777" w:rsidR="00C13B13" w:rsidRPr="00B33432" w:rsidRDefault="00C13B13" w:rsidP="00C13B13">
            <w:pPr>
              <w:spacing w:after="250" w:line="276" w:lineRule="auto"/>
              <w:jc w:val="both"/>
              <w:rPr>
                <w:rFonts w:ascii="Arial" w:hAnsi="Arial" w:cs="Arial"/>
                <w:color w:val="181818"/>
              </w:rPr>
            </w:pPr>
          </w:p>
        </w:tc>
      </w:tr>
      <w:tr w:rsidR="00C13B13" w:rsidRPr="00B33432" w14:paraId="66BB473F" w14:textId="77777777" w:rsidTr="008059ED">
        <w:tc>
          <w:tcPr>
            <w:tcW w:w="1984" w:type="dxa"/>
          </w:tcPr>
          <w:p w14:paraId="08FCC5EB" w14:textId="77777777" w:rsidR="00C13B13" w:rsidRPr="00B33432" w:rsidRDefault="00C13B13" w:rsidP="00C13B13">
            <w:pPr>
              <w:spacing w:after="250" w:line="276" w:lineRule="auto"/>
              <w:rPr>
                <w:rFonts w:ascii="Arial" w:hAnsi="Arial" w:cs="Arial"/>
              </w:rPr>
            </w:pPr>
            <w:r w:rsidRPr="00B33432">
              <w:rPr>
                <w:rFonts w:ascii="Arial" w:hAnsi="Arial" w:cs="Arial"/>
              </w:rPr>
              <w:t>18. Asset-backed securities (‘ABS’) including mortgage-backed securities (‘MBS’)</w:t>
            </w:r>
          </w:p>
        </w:tc>
        <w:tc>
          <w:tcPr>
            <w:tcW w:w="1948" w:type="dxa"/>
          </w:tcPr>
          <w:p w14:paraId="769D0D3C" w14:textId="441D2255" w:rsidR="00C13B13" w:rsidRPr="00B33432" w:rsidRDefault="004C5832" w:rsidP="00C13B13">
            <w:pPr>
              <w:spacing w:after="250" w:line="276" w:lineRule="auto"/>
              <w:jc w:val="both"/>
              <w:rPr>
                <w:rFonts w:ascii="Arial" w:hAnsi="Arial" w:cs="Arial"/>
                <w:color w:val="181818"/>
              </w:rPr>
            </w:pPr>
            <w:r>
              <w:rPr>
                <w:rFonts w:ascii="Open Sans" w:hAnsi="Open Sans" w:cs="Open Sans"/>
                <w:color w:val="181818"/>
                <w:lang w:val="en-GB"/>
              </w:rPr>
              <w:t>No comment</w:t>
            </w:r>
          </w:p>
        </w:tc>
        <w:tc>
          <w:tcPr>
            <w:tcW w:w="1732" w:type="dxa"/>
          </w:tcPr>
          <w:p w14:paraId="54CD245A" w14:textId="77777777" w:rsidR="00C13B13" w:rsidRPr="00B33432" w:rsidRDefault="00C13B13" w:rsidP="00C13B13">
            <w:pPr>
              <w:spacing w:after="250" w:line="276" w:lineRule="auto"/>
              <w:jc w:val="both"/>
              <w:rPr>
                <w:rFonts w:ascii="Arial" w:hAnsi="Arial" w:cs="Arial"/>
                <w:color w:val="181818"/>
              </w:rPr>
            </w:pPr>
          </w:p>
        </w:tc>
        <w:tc>
          <w:tcPr>
            <w:tcW w:w="1989" w:type="dxa"/>
          </w:tcPr>
          <w:p w14:paraId="1231BE67" w14:textId="77777777" w:rsidR="00C13B13" w:rsidRPr="00B33432" w:rsidRDefault="00C13B13" w:rsidP="00C13B13">
            <w:pPr>
              <w:spacing w:after="250" w:line="276" w:lineRule="auto"/>
              <w:jc w:val="both"/>
              <w:rPr>
                <w:rFonts w:ascii="Arial" w:hAnsi="Arial" w:cs="Arial"/>
                <w:color w:val="181818"/>
              </w:rPr>
            </w:pPr>
          </w:p>
        </w:tc>
        <w:tc>
          <w:tcPr>
            <w:tcW w:w="1667" w:type="dxa"/>
          </w:tcPr>
          <w:p w14:paraId="36FEB5B0" w14:textId="77777777" w:rsidR="00C13B13" w:rsidRPr="00B33432" w:rsidRDefault="00C13B13" w:rsidP="00C13B13">
            <w:pPr>
              <w:spacing w:after="250" w:line="276" w:lineRule="auto"/>
              <w:jc w:val="both"/>
              <w:rPr>
                <w:rFonts w:ascii="Arial" w:hAnsi="Arial" w:cs="Arial"/>
                <w:color w:val="181818"/>
              </w:rPr>
            </w:pPr>
          </w:p>
        </w:tc>
      </w:tr>
      <w:tr w:rsidR="00C13B13" w:rsidRPr="00B33432" w14:paraId="16623728" w14:textId="77777777" w:rsidTr="008059ED">
        <w:tc>
          <w:tcPr>
            <w:tcW w:w="1984" w:type="dxa"/>
          </w:tcPr>
          <w:p w14:paraId="2D5FBB9B" w14:textId="77777777" w:rsidR="00C13B13" w:rsidRPr="00B33432" w:rsidRDefault="00C13B13" w:rsidP="00C13B13">
            <w:pPr>
              <w:spacing w:after="250" w:line="276" w:lineRule="auto"/>
              <w:rPr>
                <w:rFonts w:ascii="Arial" w:hAnsi="Arial" w:cs="Arial"/>
              </w:rPr>
            </w:pPr>
            <w:r w:rsidRPr="00B33432">
              <w:rPr>
                <w:rFonts w:ascii="Arial" w:hAnsi="Arial" w:cs="Arial"/>
              </w:rPr>
              <w:t>19. Other relevant asset classes (please specify)</w:t>
            </w:r>
          </w:p>
        </w:tc>
        <w:tc>
          <w:tcPr>
            <w:tcW w:w="1948" w:type="dxa"/>
          </w:tcPr>
          <w:p w14:paraId="30D7AA69" w14:textId="3D7A19BB" w:rsidR="00C13B13" w:rsidRPr="00B33432" w:rsidRDefault="004C5832" w:rsidP="00C13B13">
            <w:pPr>
              <w:spacing w:after="250" w:line="276" w:lineRule="auto"/>
              <w:jc w:val="both"/>
              <w:rPr>
                <w:rFonts w:ascii="Arial" w:hAnsi="Arial" w:cs="Arial"/>
                <w:color w:val="181818"/>
              </w:rPr>
            </w:pPr>
            <w:r>
              <w:rPr>
                <w:rFonts w:ascii="Open Sans" w:hAnsi="Open Sans" w:cs="Open Sans"/>
                <w:color w:val="181818"/>
                <w:lang w:val="en-GB"/>
              </w:rPr>
              <w:t>No comment</w:t>
            </w:r>
          </w:p>
        </w:tc>
        <w:tc>
          <w:tcPr>
            <w:tcW w:w="1732" w:type="dxa"/>
          </w:tcPr>
          <w:p w14:paraId="7196D064" w14:textId="77777777" w:rsidR="00C13B13" w:rsidRPr="00B33432" w:rsidRDefault="00C13B13" w:rsidP="00C13B13">
            <w:pPr>
              <w:spacing w:after="250" w:line="276" w:lineRule="auto"/>
              <w:jc w:val="both"/>
              <w:rPr>
                <w:rFonts w:ascii="Arial" w:hAnsi="Arial" w:cs="Arial"/>
                <w:color w:val="181818"/>
              </w:rPr>
            </w:pPr>
          </w:p>
        </w:tc>
        <w:tc>
          <w:tcPr>
            <w:tcW w:w="1989" w:type="dxa"/>
          </w:tcPr>
          <w:p w14:paraId="34FF1C98" w14:textId="77777777" w:rsidR="00C13B13" w:rsidRPr="00B33432" w:rsidRDefault="00C13B13" w:rsidP="00C13B13">
            <w:pPr>
              <w:spacing w:after="250" w:line="276" w:lineRule="auto"/>
              <w:jc w:val="both"/>
              <w:rPr>
                <w:rFonts w:ascii="Arial" w:hAnsi="Arial" w:cs="Arial"/>
                <w:color w:val="181818"/>
              </w:rPr>
            </w:pPr>
          </w:p>
        </w:tc>
        <w:tc>
          <w:tcPr>
            <w:tcW w:w="1667" w:type="dxa"/>
          </w:tcPr>
          <w:p w14:paraId="6D072C0D" w14:textId="77777777" w:rsidR="00C13B13" w:rsidRPr="00B33432" w:rsidRDefault="00C13B13" w:rsidP="00C13B13">
            <w:pPr>
              <w:spacing w:after="250" w:line="276" w:lineRule="auto"/>
              <w:jc w:val="both"/>
              <w:rPr>
                <w:rFonts w:ascii="Arial" w:hAnsi="Arial" w:cs="Arial"/>
                <w:color w:val="181818"/>
              </w:rPr>
            </w:pPr>
          </w:p>
        </w:tc>
      </w:tr>
    </w:tbl>
    <w:p w14:paraId="48A21919" w14:textId="77777777" w:rsidR="00B33432" w:rsidRPr="00B33432" w:rsidRDefault="00B33432" w:rsidP="00B33432">
      <w:pPr>
        <w:spacing w:after="120" w:line="276" w:lineRule="auto"/>
        <w:jc w:val="both"/>
        <w:rPr>
          <w:rFonts w:ascii="Arial" w:eastAsia="MS PGothic" w:hAnsi="Arial" w:cs="Arial"/>
          <w:color w:val="181818"/>
          <w:szCs w:val="20"/>
        </w:rPr>
      </w:pPr>
    </w:p>
    <w:p w14:paraId="6BD18F9B" w14:textId="77777777" w:rsidR="004C269D" w:rsidRDefault="004C269D"/>
    <w:sectPr w:rsidR="004C269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2771B" w14:textId="77777777" w:rsidR="00C365B4" w:rsidRDefault="00C365B4" w:rsidP="00B33432">
      <w:pPr>
        <w:spacing w:after="0" w:line="240" w:lineRule="auto"/>
      </w:pPr>
      <w:r>
        <w:separator/>
      </w:r>
    </w:p>
  </w:endnote>
  <w:endnote w:type="continuationSeparator" w:id="0">
    <w:p w14:paraId="75EE4071" w14:textId="77777777" w:rsidR="00C365B4" w:rsidRDefault="00C365B4" w:rsidP="00B33432">
      <w:pPr>
        <w:spacing w:after="0" w:line="240" w:lineRule="auto"/>
      </w:pPr>
      <w:r>
        <w:continuationSeparator/>
      </w:r>
    </w:p>
  </w:endnote>
  <w:endnote w:type="continuationNotice" w:id="1">
    <w:p w14:paraId="22DD8C81" w14:textId="77777777" w:rsidR="00C365B4" w:rsidRDefault="00C36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0000500000000000000"/>
    <w:charset w:val="00"/>
    <w:family w:val="auto"/>
    <w:pitch w:val="variable"/>
    <w:sig w:usb0="20000A87" w:usb1="40000000"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B57A6" w14:textId="77777777" w:rsidR="00C365B4" w:rsidRDefault="00C365B4" w:rsidP="00B33432">
      <w:pPr>
        <w:spacing w:after="0" w:line="240" w:lineRule="auto"/>
      </w:pPr>
      <w:r>
        <w:separator/>
      </w:r>
    </w:p>
  </w:footnote>
  <w:footnote w:type="continuationSeparator" w:id="0">
    <w:p w14:paraId="128651FB" w14:textId="77777777" w:rsidR="00C365B4" w:rsidRDefault="00C365B4" w:rsidP="00B33432">
      <w:pPr>
        <w:spacing w:after="0" w:line="240" w:lineRule="auto"/>
      </w:pPr>
      <w:r>
        <w:continuationSeparator/>
      </w:r>
    </w:p>
  </w:footnote>
  <w:footnote w:type="continuationNotice" w:id="1">
    <w:p w14:paraId="1967645F" w14:textId="77777777" w:rsidR="00C365B4" w:rsidRDefault="00C365B4">
      <w:pPr>
        <w:spacing w:after="0" w:line="240" w:lineRule="auto"/>
      </w:pPr>
    </w:p>
  </w:footnote>
  <w:footnote w:id="2">
    <w:p w14:paraId="53A506E4"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ESMA acknowledges that most of the asset classes listed below have not been clearly defined in EU legislation and this might be a source of divergent interpretations and misunderstandings. Where possible, ESMA invites stakeholders to specify their understanding or definition of the relevant asset classes under the “additional comments” box.</w:t>
      </w:r>
    </w:p>
  </w:footnote>
  <w:footnote w:id="3">
    <w:p w14:paraId="5DF96E01"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indirect exposures via instruments such as delta-one instruments, exchange-traded products, derivatives, or AIFs (EU or non-EU). </w:t>
      </w:r>
    </w:p>
  </w:footnote>
  <w:footnote w:id="4">
    <w:p w14:paraId="0C264AC6"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Please share any available data or estimates that help to assess the amount or extent to which there are existing UCITS exposures (distinguishing between direct and indirect, where possible) to these asset classes. Where no reliable data is available, ESMA would appreciate receiving estimates in terms of numbers and/or percentages of UCITS exposed to these asset classes and what is the average proportion in the relevant portfolios. Any additional data and insights on strategies, techniques and instruments used to gain exposure to these asset classes would be also highly appreciated.</w:t>
      </w:r>
    </w:p>
  </w:footnote>
  <w:footnote w:id="5">
    <w:p w14:paraId="5718C342"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Please include under this column any other evidence or views that you would like to share. </w:t>
      </w:r>
    </w:p>
  </w:footnote>
  <w:footnote w:id="6">
    <w:p w14:paraId="34D4CF9B" w14:textId="77777777" w:rsidR="00D73DF8" w:rsidRPr="00332B8C" w:rsidRDefault="00D73DF8"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leveraged/structured loans, collateralised loan obligations (CLOs) and other types of loans or loan participations (please specify).</w:t>
      </w:r>
    </w:p>
  </w:footnote>
  <w:footnote w:id="7">
    <w:p w14:paraId="48EF4E2A" w14:textId="77777777" w:rsidR="00B46066" w:rsidRPr="00332B8C" w:rsidRDefault="00B46066"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equity instruments issued by (1) </w:t>
      </w:r>
      <w:r w:rsidRPr="00332B8C">
        <w:rPr>
          <w:rFonts w:ascii="Arial" w:hAnsi="Arial" w:cs="Arial"/>
          <w:lang w:val="en-US"/>
        </w:rPr>
        <w:t>private companies and (2) shares in public companies that that are not listed.</w:t>
      </w:r>
    </w:p>
  </w:footnote>
  <w:footnote w:id="8">
    <w:p w14:paraId="156E5F12" w14:textId="77777777" w:rsidR="00EB202D" w:rsidRPr="00332B8C" w:rsidRDefault="00EB202D"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specify what type of crypto assets and whether the implementation of MICA will change anything in terms of your assessment. </w:t>
      </w:r>
      <w:bookmarkStart w:id="0" w:name="_Hlk163456352"/>
      <w:r w:rsidRPr="00332B8C">
        <w:rPr>
          <w:rFonts w:ascii="Arial" w:hAnsi="Arial" w:cs="Arial"/>
        </w:rPr>
        <w:t xml:space="preserve">With respect to indirect exposures, ESMA is particularly interested in stakeholder input on exchange-traded products including ETFs with crypto assets as an underlying. </w:t>
      </w:r>
      <w:bookmarkEnd w:id="0"/>
    </w:p>
  </w:footnote>
  <w:footnote w:id="9">
    <w:p w14:paraId="4A59E86A" w14:textId="77777777" w:rsidR="008059ED" w:rsidRPr="00332B8C" w:rsidRDefault="008059ED"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t>
      </w:r>
      <w:bookmarkStart w:id="1" w:name="_Hlk163456407"/>
      <w:r w:rsidRPr="00332B8C">
        <w:rPr>
          <w:rFonts w:ascii="Arial" w:hAnsi="Arial" w:cs="Arial"/>
        </w:rPr>
        <w:t>With respect to indirect exposures, ESMA is particularly interested in stakeholder input on ETFs with commodities/precious metals as underlying.</w:t>
      </w:r>
      <w:bookmarkEnd w:id="1"/>
      <w:r w:rsidRPr="00332B8C">
        <w:rPr>
          <w:rFonts w:ascii="Arial" w:hAnsi="Arial" w:cs="Arial"/>
        </w:rPr>
        <w:t xml:space="preserve"> Please note that under the current UCITS rules, precious metals and certificates representing them are not eligible (Article 50(2)(b) of the UCITS Directive).</w:t>
      </w:r>
    </w:p>
  </w:footnote>
  <w:footnote w:id="10">
    <w:p w14:paraId="09998020" w14:textId="77777777" w:rsidR="00BC40DD" w:rsidRPr="00332B8C" w:rsidRDefault="00BC40DD"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different types of AIFs (e.g. open-ended, closed-ended) and investment strategies (e.g. real estate, private equity, hedge funds).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BB383" w14:textId="77777777" w:rsidR="002D6186" w:rsidRPr="002D6186" w:rsidRDefault="002D6186" w:rsidP="002D6186">
    <w:pPr>
      <w:tabs>
        <w:tab w:val="center" w:pos="4513"/>
        <w:tab w:val="right" w:pos="9026"/>
      </w:tabs>
      <w:spacing w:after="0" w:line="240" w:lineRule="auto"/>
      <w:jc w:val="right"/>
      <w:rPr>
        <w:rFonts w:ascii="Arial" w:eastAsia="MS PGothic" w:hAnsi="Arial" w:cs="Arial"/>
        <w:bCs/>
        <w:caps/>
        <w:color w:val="FF0000"/>
        <w:szCs w:val="20"/>
      </w:rPr>
    </w:pPr>
    <w:r w:rsidRPr="002D6186">
      <w:rPr>
        <w:rFonts w:ascii="Arial" w:eastAsia="MS PGothic" w:hAnsi="Arial" w:cs="Arial"/>
        <w:bCs/>
        <w:caps/>
        <w:noProof/>
        <w:color w:val="FF0000"/>
        <w:szCs w:val="20"/>
      </w:rPr>
      <w:drawing>
        <wp:anchor distT="0" distB="0" distL="114300" distR="114300" simplePos="0" relativeHeight="251658240" behindDoc="0" locked="0" layoutInCell="1" allowOverlap="1" wp14:anchorId="6009BBBF" wp14:editId="70747D81">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2D6186">
      <w:rPr>
        <w:rFonts w:ascii="Arial" w:eastAsia="MS PGothic" w:hAnsi="Arial" w:cs="Arial"/>
        <w:color w:val="001B4F"/>
        <w:sz w:val="16"/>
        <w:szCs w:val="20"/>
      </w:rPr>
      <w:t>7 May 2024</w:t>
    </w:r>
  </w:p>
  <w:p w14:paraId="3E32722B" w14:textId="5F6683E2" w:rsidR="002D6186" w:rsidRPr="002D6186" w:rsidRDefault="002D6186" w:rsidP="002D6186">
    <w:pPr>
      <w:tabs>
        <w:tab w:val="center" w:pos="4513"/>
        <w:tab w:val="right" w:pos="9026"/>
      </w:tabs>
      <w:spacing w:after="0" w:line="240" w:lineRule="auto"/>
      <w:jc w:val="right"/>
      <w:rPr>
        <w:rFonts w:ascii="Arial" w:eastAsia="MS PGothic" w:hAnsi="Arial" w:cs="Arial"/>
        <w:color w:val="001B4F"/>
        <w:sz w:val="16"/>
        <w:szCs w:val="20"/>
      </w:rPr>
    </w:pPr>
    <w:r w:rsidRPr="002D6186">
      <w:rPr>
        <w:rFonts w:ascii="Arial" w:eastAsia="MS PGothic" w:hAnsi="Arial" w:cs="Arial"/>
        <w:color w:val="001B4F"/>
        <w:sz w:val="16"/>
        <w:szCs w:val="20"/>
      </w:rPr>
      <w:t>ESMA 34-1270380148-10</w:t>
    </w:r>
    <w:r w:rsidR="00AF55C3">
      <w:rPr>
        <w:rFonts w:ascii="Arial" w:eastAsia="MS PGothic" w:hAnsi="Arial" w:cs="Arial"/>
        <w:color w:val="001B4F"/>
        <w:sz w:val="16"/>
        <w:szCs w:val="20"/>
      </w:rPr>
      <w:t>66</w:t>
    </w:r>
  </w:p>
  <w:p w14:paraId="3052C3B3" w14:textId="77777777" w:rsidR="002D6186" w:rsidRPr="002D6186" w:rsidRDefault="002D6186" w:rsidP="002D6186">
    <w:pPr>
      <w:spacing w:after="250" w:line="276" w:lineRule="auto"/>
      <w:jc w:val="both"/>
      <w:rPr>
        <w:rFonts w:ascii="Arial" w:eastAsia="MS PGothic" w:hAnsi="Arial" w:cs="Arial"/>
        <w:color w:val="181818"/>
        <w:szCs w:val="20"/>
      </w:rPr>
    </w:pPr>
  </w:p>
  <w:p w14:paraId="722A68F7" w14:textId="77777777" w:rsidR="002D6186" w:rsidRPr="002D6186" w:rsidRDefault="002D6186" w:rsidP="002D6186">
    <w:pPr>
      <w:spacing w:after="250" w:line="276" w:lineRule="auto"/>
      <w:jc w:val="both"/>
      <w:rPr>
        <w:rFonts w:ascii="Arial" w:eastAsia="MS PGothic" w:hAnsi="Arial" w:cs="Arial"/>
        <w:color w:val="181818"/>
        <w:szCs w:val="20"/>
      </w:rPr>
    </w:pPr>
  </w:p>
  <w:p w14:paraId="74BAAB78" w14:textId="588A28CA" w:rsidR="002D6186" w:rsidRPr="002D6186" w:rsidRDefault="002D6186" w:rsidP="002D6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32"/>
    <w:rsid w:val="00023D31"/>
    <w:rsid w:val="00025A1B"/>
    <w:rsid w:val="00050BF8"/>
    <w:rsid w:val="00065543"/>
    <w:rsid w:val="00067CE6"/>
    <w:rsid w:val="000D6E83"/>
    <w:rsid w:val="001301D9"/>
    <w:rsid w:val="001462AD"/>
    <w:rsid w:val="00150222"/>
    <w:rsid w:val="00152FEF"/>
    <w:rsid w:val="00162CAE"/>
    <w:rsid w:val="001767C0"/>
    <w:rsid w:val="0017743F"/>
    <w:rsid w:val="001A53B9"/>
    <w:rsid w:val="001B11A8"/>
    <w:rsid w:val="00203EF5"/>
    <w:rsid w:val="002072B4"/>
    <w:rsid w:val="00243F87"/>
    <w:rsid w:val="0025199F"/>
    <w:rsid w:val="0026434D"/>
    <w:rsid w:val="00264F16"/>
    <w:rsid w:val="00266B15"/>
    <w:rsid w:val="002829AC"/>
    <w:rsid w:val="00282BD2"/>
    <w:rsid w:val="00290E24"/>
    <w:rsid w:val="00296020"/>
    <w:rsid w:val="002A740A"/>
    <w:rsid w:val="002D58CD"/>
    <w:rsid w:val="002D6186"/>
    <w:rsid w:val="002F58FB"/>
    <w:rsid w:val="00304E46"/>
    <w:rsid w:val="00332B8C"/>
    <w:rsid w:val="0035372F"/>
    <w:rsid w:val="00376242"/>
    <w:rsid w:val="00394809"/>
    <w:rsid w:val="003A6B50"/>
    <w:rsid w:val="003D2C3C"/>
    <w:rsid w:val="0040029B"/>
    <w:rsid w:val="004664E3"/>
    <w:rsid w:val="00470FA5"/>
    <w:rsid w:val="0048151A"/>
    <w:rsid w:val="004C269D"/>
    <w:rsid w:val="004C5832"/>
    <w:rsid w:val="004E24AA"/>
    <w:rsid w:val="004F280B"/>
    <w:rsid w:val="004F59FD"/>
    <w:rsid w:val="00501AC4"/>
    <w:rsid w:val="0050210B"/>
    <w:rsid w:val="00502D1C"/>
    <w:rsid w:val="0051598D"/>
    <w:rsid w:val="00523239"/>
    <w:rsid w:val="00537FD1"/>
    <w:rsid w:val="00544A7D"/>
    <w:rsid w:val="00546B72"/>
    <w:rsid w:val="00554F00"/>
    <w:rsid w:val="00556DBB"/>
    <w:rsid w:val="00557028"/>
    <w:rsid w:val="00580D8A"/>
    <w:rsid w:val="005846C0"/>
    <w:rsid w:val="00585E49"/>
    <w:rsid w:val="00594512"/>
    <w:rsid w:val="005A1B1A"/>
    <w:rsid w:val="005A35D5"/>
    <w:rsid w:val="005A5C46"/>
    <w:rsid w:val="005A6BF0"/>
    <w:rsid w:val="005C1551"/>
    <w:rsid w:val="005C347A"/>
    <w:rsid w:val="005E0910"/>
    <w:rsid w:val="005E31F2"/>
    <w:rsid w:val="005E75CC"/>
    <w:rsid w:val="00605E0B"/>
    <w:rsid w:val="00611825"/>
    <w:rsid w:val="0061475B"/>
    <w:rsid w:val="00686D73"/>
    <w:rsid w:val="006A17C8"/>
    <w:rsid w:val="006B6977"/>
    <w:rsid w:val="006B7B4A"/>
    <w:rsid w:val="006C47BC"/>
    <w:rsid w:val="006C7811"/>
    <w:rsid w:val="00712439"/>
    <w:rsid w:val="00753DB8"/>
    <w:rsid w:val="00784D7C"/>
    <w:rsid w:val="00794019"/>
    <w:rsid w:val="007A589D"/>
    <w:rsid w:val="008059ED"/>
    <w:rsid w:val="00811292"/>
    <w:rsid w:val="00817444"/>
    <w:rsid w:val="008351CF"/>
    <w:rsid w:val="00847BDD"/>
    <w:rsid w:val="0087027F"/>
    <w:rsid w:val="00886D9C"/>
    <w:rsid w:val="008B6D19"/>
    <w:rsid w:val="008C4D04"/>
    <w:rsid w:val="008D1492"/>
    <w:rsid w:val="00901098"/>
    <w:rsid w:val="00915CEE"/>
    <w:rsid w:val="00920E73"/>
    <w:rsid w:val="009212B4"/>
    <w:rsid w:val="009244B3"/>
    <w:rsid w:val="00951595"/>
    <w:rsid w:val="00967D76"/>
    <w:rsid w:val="00971266"/>
    <w:rsid w:val="00997493"/>
    <w:rsid w:val="009A3E35"/>
    <w:rsid w:val="009B29FA"/>
    <w:rsid w:val="009F7052"/>
    <w:rsid w:val="00A338CF"/>
    <w:rsid w:val="00A35853"/>
    <w:rsid w:val="00A53BC9"/>
    <w:rsid w:val="00A73913"/>
    <w:rsid w:val="00A85F46"/>
    <w:rsid w:val="00A87C58"/>
    <w:rsid w:val="00AE6FD6"/>
    <w:rsid w:val="00AF3545"/>
    <w:rsid w:val="00AF55C3"/>
    <w:rsid w:val="00B01DB8"/>
    <w:rsid w:val="00B33432"/>
    <w:rsid w:val="00B46066"/>
    <w:rsid w:val="00B53F54"/>
    <w:rsid w:val="00B626E5"/>
    <w:rsid w:val="00B62E29"/>
    <w:rsid w:val="00BB49D8"/>
    <w:rsid w:val="00BC40DD"/>
    <w:rsid w:val="00BC577D"/>
    <w:rsid w:val="00BD4295"/>
    <w:rsid w:val="00BD7454"/>
    <w:rsid w:val="00C06FE4"/>
    <w:rsid w:val="00C13B13"/>
    <w:rsid w:val="00C202C8"/>
    <w:rsid w:val="00C242FA"/>
    <w:rsid w:val="00C365B4"/>
    <w:rsid w:val="00C36669"/>
    <w:rsid w:val="00C47B7D"/>
    <w:rsid w:val="00C745C1"/>
    <w:rsid w:val="00C95659"/>
    <w:rsid w:val="00CB1B38"/>
    <w:rsid w:val="00CF043C"/>
    <w:rsid w:val="00CF0B7A"/>
    <w:rsid w:val="00D01FE5"/>
    <w:rsid w:val="00D10784"/>
    <w:rsid w:val="00D16F57"/>
    <w:rsid w:val="00D45009"/>
    <w:rsid w:val="00D6002F"/>
    <w:rsid w:val="00D64553"/>
    <w:rsid w:val="00D64E16"/>
    <w:rsid w:val="00D73DF8"/>
    <w:rsid w:val="00D86E5D"/>
    <w:rsid w:val="00DD67D7"/>
    <w:rsid w:val="00DF78BC"/>
    <w:rsid w:val="00E51166"/>
    <w:rsid w:val="00E771B9"/>
    <w:rsid w:val="00E87C61"/>
    <w:rsid w:val="00EB202D"/>
    <w:rsid w:val="00EE4C70"/>
    <w:rsid w:val="00EE5B1A"/>
    <w:rsid w:val="00EF2185"/>
    <w:rsid w:val="00F03868"/>
    <w:rsid w:val="00F03D56"/>
    <w:rsid w:val="00F042E8"/>
    <w:rsid w:val="00F278BC"/>
    <w:rsid w:val="00F5738E"/>
    <w:rsid w:val="00F92D6A"/>
    <w:rsid w:val="00FB3EA8"/>
    <w:rsid w:val="00FC4846"/>
    <w:rsid w:val="00FD12FD"/>
    <w:rsid w:val="00FE6B1B"/>
    <w:rsid w:val="00FF17AE"/>
    <w:rsid w:val="06C380F5"/>
    <w:rsid w:val="095C8AB7"/>
    <w:rsid w:val="0CAEFC23"/>
    <w:rsid w:val="0EBCB8B4"/>
    <w:rsid w:val="1AFD8AD6"/>
    <w:rsid w:val="28CED790"/>
    <w:rsid w:val="2A636CE1"/>
    <w:rsid w:val="3DB91EF3"/>
    <w:rsid w:val="3FE99FEE"/>
    <w:rsid w:val="47F6D3D0"/>
    <w:rsid w:val="50D66E22"/>
    <w:rsid w:val="53D130EB"/>
    <w:rsid w:val="606EC105"/>
    <w:rsid w:val="66107C87"/>
    <w:rsid w:val="7C53680C"/>
    <w:rsid w:val="7D9B8A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D7B325"/>
  <w15:chartTrackingRefBased/>
  <w15:docId w15:val="{F0F16392-A36C-48A7-B6A1-DF2E3C58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34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432"/>
    <w:rPr>
      <w:sz w:val="20"/>
      <w:szCs w:val="20"/>
    </w:rPr>
  </w:style>
  <w:style w:type="table" w:customStyle="1" w:styleId="Tablenone1">
    <w:name w:val="Table none1"/>
    <w:basedOn w:val="TableNormal"/>
    <w:next w:val="TableGrid"/>
    <w:uiPriority w:val="39"/>
    <w:rsid w:val="00B33432"/>
    <w:pPr>
      <w:spacing w:after="0" w:line="240" w:lineRule="auto"/>
    </w:pPr>
    <w:rPr>
      <w:rFonts w:eastAsia="MS PGothic"/>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1">
    <w:name w:val="Ref1"/>
    <w:basedOn w:val="DefaultParagraphFont"/>
    <w:link w:val="Superscript6Point"/>
    <w:uiPriority w:val="99"/>
    <w:unhideWhenUsed/>
    <w:qFormat/>
    <w:rsid w:val="00B33432"/>
    <w:rPr>
      <w:rFonts w:ascii="Arial" w:hAnsi="Arial"/>
      <w:sz w:val="16"/>
      <w:vertAlign w:val="superscript"/>
    </w:rPr>
  </w:style>
  <w:style w:type="paragraph" w:customStyle="1" w:styleId="Superscript6Point">
    <w:name w:val="Superscript 6 Point"/>
    <w:aliases w:val="Odwołanie przypisu,de nota al pie,footnote ref,2001+ Fußnotenzeichen, Exposant 3 Point,BVI fnr Знак Знак,BVI fnr Car Car Знак Знак,BVI fnr Car Знак Знак,R,16 Point,number"/>
    <w:basedOn w:val="Normal"/>
    <w:link w:val="Ref1"/>
    <w:uiPriority w:val="99"/>
    <w:rsid w:val="00B33432"/>
    <w:pPr>
      <w:spacing w:before="120" w:line="240" w:lineRule="exact"/>
    </w:pPr>
    <w:rPr>
      <w:rFonts w:ascii="Arial" w:eastAsia="MS PGothic" w:hAnsi="Arial"/>
      <w:sz w:val="16"/>
      <w:szCs w:val="20"/>
      <w:vertAlign w:val="superscript"/>
      <w:lang w:val="nl-BE"/>
    </w:rPr>
  </w:style>
  <w:style w:type="table" w:styleId="TableGrid">
    <w:name w:val="Table Grid"/>
    <w:basedOn w:val="TableNormal"/>
    <w:uiPriority w:val="39"/>
    <w:rsid w:val="00B3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33432"/>
    <w:rPr>
      <w:vertAlign w:val="superscript"/>
    </w:rPr>
  </w:style>
  <w:style w:type="paragraph" w:styleId="Header">
    <w:name w:val="header"/>
    <w:basedOn w:val="Normal"/>
    <w:link w:val="HeaderChar"/>
    <w:uiPriority w:val="99"/>
    <w:unhideWhenUsed/>
    <w:rsid w:val="00F0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D56"/>
  </w:style>
  <w:style w:type="paragraph" w:styleId="Footer">
    <w:name w:val="footer"/>
    <w:basedOn w:val="Normal"/>
    <w:link w:val="FooterChar"/>
    <w:uiPriority w:val="99"/>
    <w:unhideWhenUsed/>
    <w:rsid w:val="00F0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D56"/>
  </w:style>
  <w:style w:type="paragraph" w:styleId="BalloonText">
    <w:name w:val="Balloon Text"/>
    <w:basedOn w:val="Normal"/>
    <w:link w:val="BalloonTextChar"/>
    <w:uiPriority w:val="99"/>
    <w:semiHidden/>
    <w:unhideWhenUsed/>
    <w:rsid w:val="002D6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86"/>
    <w:rPr>
      <w:rFonts w:ascii="Segoe UI" w:hAnsi="Segoe UI" w:cs="Segoe UI"/>
      <w:sz w:val="18"/>
      <w:szCs w:val="18"/>
    </w:rPr>
  </w:style>
  <w:style w:type="character" w:styleId="Hyperlink">
    <w:name w:val="Hyperlink"/>
    <w:basedOn w:val="DefaultParagraphFont"/>
    <w:uiPriority w:val="99"/>
    <w:unhideWhenUsed/>
    <w:rsid w:val="00901098"/>
    <w:rPr>
      <w:color w:val="0563C1" w:themeColor="hyperlink"/>
      <w:u w:val="single"/>
    </w:rPr>
  </w:style>
  <w:style w:type="character" w:styleId="UnresolvedMention">
    <w:name w:val="Unresolved Mention"/>
    <w:basedOn w:val="DefaultParagraphFont"/>
    <w:uiPriority w:val="99"/>
    <w:semiHidden/>
    <w:unhideWhenUsed/>
    <w:rsid w:val="00901098"/>
    <w:rPr>
      <w:color w:val="605E5C"/>
      <w:shd w:val="clear" w:color="auto" w:fill="E1DFDD"/>
    </w:rPr>
  </w:style>
  <w:style w:type="character" w:styleId="FollowedHyperlink">
    <w:name w:val="FollowedHyperlink"/>
    <w:basedOn w:val="DefaultParagraphFont"/>
    <w:uiPriority w:val="99"/>
    <w:semiHidden/>
    <w:unhideWhenUsed/>
    <w:rsid w:val="009010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hyperlink" Target="https://www.esma.europa.eu/press-news/consultations/call-evidence-review-ucits-eligible-assets-directive"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561825-94c0-4c62-a85c-c77844bc56d9">
      <Value>6</Value>
      <Value>33</Value>
      <Value>254</Value>
      <Value>5</Value>
    </TaxCatchAll>
    <SharedWithUsers xmlns="be561825-94c0-4c62-a85c-c77844bc56d9">
      <UserInfo>
        <DisplayName>Iris Hude</DisplayName>
        <AccountId>82</AccountId>
        <AccountType/>
      </UserInfo>
    </SharedWithUsers>
    <lcf76f155ced4ddcb4097134ff3c332f xmlns="070258fd-6908-4ba7-80b1-ffadf41f64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4A9C8E1C550046A338A91C668A8EF1" ma:contentTypeVersion="18" ma:contentTypeDescription="Create a new document." ma:contentTypeScope="" ma:versionID="7856fa038712a0ec4de4c6073cb6b75b">
  <xsd:schema xmlns:xsd="http://www.w3.org/2001/XMLSchema" xmlns:xs="http://www.w3.org/2001/XMLSchema" xmlns:p="http://schemas.microsoft.com/office/2006/metadata/properties" xmlns:ns2="be561825-94c0-4c62-a85c-c77844bc56d9" xmlns:ns3="070258fd-6908-4ba7-80b1-ffadf41f6455" targetNamespace="http://schemas.microsoft.com/office/2006/metadata/properties" ma:root="true" ma:fieldsID="60779e7777009015ef220e798b1adfed" ns2:_="" ns3:_="">
    <xsd:import namespace="be561825-94c0-4c62-a85c-c77844bc56d9"/>
    <xsd:import namespace="070258fd-6908-4ba7-80b1-ffadf41f64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61825-94c0-4c62-a85c-c77844bc56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b440d0-4992-4e57-aa46-2cdef7ecbbaf}" ma:internalName="TaxCatchAll" ma:showField="CatchAllData" ma:web="be561825-94c0-4c62-a85c-c77844bc56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0258fd-6908-4ba7-80b1-ffadf41f64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50ef45-74aa-4e9b-ad44-a9c71088606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43A0A-BC65-43F9-A5CA-D69219D7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697FA-BE24-4878-AFDB-AD64CEE0912C}">
  <ds:schemaRefs>
    <ds:schemaRef ds:uri="6992b194-ece9-4b26-973e-e25c2ee2cdcd"/>
    <ds:schemaRef ds:uri="http://purl.org/dc/terms/"/>
    <ds:schemaRef ds:uri="http://schemas.microsoft.com/office/2006/documentManagement/types"/>
    <ds:schemaRef ds:uri="http://schemas.openxmlformats.org/package/2006/metadata/core-properties"/>
    <ds:schemaRef ds:uri="d0fb0f98-34f9-4d57-9559-eb8efd17aa5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EA7A7A2-6427-448E-874A-271A41F0E951}"/>
</file>

<file path=customXml/itemProps4.xml><?xml version="1.0" encoding="utf-8"?>
<ds:datastoreItem xmlns:ds="http://schemas.openxmlformats.org/officeDocument/2006/customXml" ds:itemID="{93EC7362-CE0E-45A1-9F25-BE624802C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1595</Words>
  <Characters>9092</Characters>
  <Application>Microsoft Office Word</Application>
  <DocSecurity>0</DocSecurity>
  <Lines>75</Lines>
  <Paragraphs>21</Paragraphs>
  <ScaleCrop>false</ScaleCrop>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Costila</dc:creator>
  <cp:keywords/>
  <dc:description/>
  <cp:lastModifiedBy>James Delaney</cp:lastModifiedBy>
  <cp:revision>21</cp:revision>
  <dcterms:created xsi:type="dcterms:W3CDTF">2024-08-07T17:15:00Z</dcterms:created>
  <dcterms:modified xsi:type="dcterms:W3CDTF">2024-08-07T17:23:00Z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0x0101000A4A9C8E1C550046A338A91C668A8EF1</vt:lpwstr>
  </property>
  <property fmtid="{D5CDD505-2E9C-101B-9397-08002B2CF9AE}" pid="3" name="TeamName">
    <vt:lpwstr>5</vt:lpwstr>
  </property>
  <property fmtid="{D5CDD505-2E9C-101B-9397-08002B2CF9AE}" pid="4" name="Topic">
    <vt:lpwstr>254</vt:lpwstr>
  </property>
  <property fmtid="{D5CDD505-2E9C-101B-9397-08002B2CF9AE}" pid="5" name="ConfidentialityLevel">
    <vt:lpwstr>6;#Regular|07f1e362-856b-423d-bea6-a14079762141</vt:lpwstr>
  </property>
  <property fmtid="{D5CDD505-2E9C-101B-9397-08002B2CF9AE}" pid="6" name="TeamTopic">
    <vt:lpwstr>33;#UCITS|a853cb80-aed9-44bd-ac2a-0e80b5a444d7</vt:lpwstr>
  </property>
  <property fmtid="{D5CDD505-2E9C-101B-9397-08002B2CF9AE}" pid="7" name="DocumentType">
    <vt:lpwstr/>
  </property>
  <property fmtid="{D5CDD505-2E9C-101B-9397-08002B2CF9AE}" pid="8" name="EsmaAudience">
    <vt:lpwstr/>
  </property>
  <property fmtid="{D5CDD505-2E9C-101B-9397-08002B2CF9AE}" pid="9" name="_dlc_DocIdItemGuid">
    <vt:lpwstr>1a846c82-0d53-46e2-86e5-7d75005f4a47</vt:lpwstr>
  </property>
</Properties>
</file>