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0F73999B"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FE77E2A"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On the review of the UCITS Eligible Assets Directive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3A45AF35" w:rsidR="002533FC" w:rsidRPr="005B6B12" w:rsidRDefault="002533FC" w:rsidP="002533FC">
          <w:r w:rsidRPr="005B6B12">
            <w:t>ESMA will consider all comments received by</w:t>
          </w:r>
          <w:r w:rsidR="008334D4">
            <w:t xml:space="preserve"> </w:t>
          </w:r>
          <w:r w:rsidR="008334D4" w:rsidRPr="008334D4">
            <w:rPr>
              <w:b/>
              <w:bCs/>
            </w:rPr>
            <w:t>Wednesday</w:t>
          </w:r>
          <w:r w:rsidRPr="008334D4">
            <w:rPr>
              <w:b/>
              <w:bCs/>
            </w:rPr>
            <w:t xml:space="preserve"> </w:t>
          </w:r>
          <w:r w:rsidR="00667FF6" w:rsidRPr="008334D4">
            <w:rPr>
              <w:b/>
              <w:bCs/>
            </w:rPr>
            <w:t>7 August</w:t>
          </w:r>
          <w:r w:rsidR="00667FF6" w:rsidRPr="00667FF6">
            <w:rPr>
              <w:b/>
              <w:bCs/>
            </w:rPr>
            <w:t xml:space="preserve"> 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2E9458DC"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D07D6E">
            <w:rPr>
              <w:bCs/>
            </w:rPr>
            <w:t>EADC</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3C336E6E"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86332B">
            <w:rPr>
              <w:bCs/>
            </w:rPr>
            <w:t>EADC</w:t>
          </w:r>
          <w:r w:rsidRPr="00C5469A">
            <w:rPr>
              <w:bCs/>
            </w:rPr>
            <w:t xml:space="preserve">_nameofrespondent. </w:t>
          </w:r>
        </w:p>
        <w:p w14:paraId="210BE93A" w14:textId="1C20553E"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86332B">
            <w:rPr>
              <w:bCs/>
            </w:rPr>
            <w:t>EADC</w:t>
          </w:r>
          <w:r w:rsidRPr="00C5469A">
            <w:rPr>
              <w:bCs/>
            </w:rPr>
            <w:t xml:space="preserve"> _ABCD.</w:t>
          </w:r>
        </w:p>
        <w:p w14:paraId="60FF11C9" w14:textId="121D1164" w:rsidR="00EC6066" w:rsidRPr="0026459D" w:rsidRDefault="51A403BF" w:rsidP="5788A89C">
          <w:pPr>
            <w:ind w:left="142"/>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 xml:space="preserve">submitted online at </w:t>
          </w:r>
          <w:hyperlink r:id="rId16">
            <w:r w:rsidR="4B7EB2E9" w:rsidRPr="5788A89C">
              <w:rPr>
                <w:rStyle w:val="Hyperlink"/>
                <w:szCs w:val="22"/>
              </w:rPr>
              <w:t>https://www.esma.europa.eu/press-news/consultations/call-evidence-review-ucits-eligible-assets-directive</w:t>
            </w:r>
          </w:hyperlink>
          <w:r>
            <w:t xml:space="preserve"> 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4690CAFC" w14:textId="460BB8F7" w:rsidR="00EC6066" w:rsidRDefault="00C72E8C" w:rsidP="00EC6066">
      <w:r w:rsidRPr="00C72E8C">
        <w:t xml:space="preserve">This Call for Evidence is of particular interest for investors and consumer groups interested in retail investment products, management companies of Undertakings for Collective Investment in Transferable Securities (UCITS), self-managed UCITS investment companies, depositaries of UCITS and trade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12C448C5" w:rsidR="00635BCA" w:rsidRPr="00557BD2" w:rsidRDefault="00E005DE" w:rsidP="00D21C35">
                <w:r>
                  <w:t>Alternative Investment Management Association (AIMA)</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permStart w:id="476595074" w:edGrp="everyone" w:displacedByCustomXml="prev"/>
            <w:tc>
              <w:tcPr>
                <w:tcW w:w="4531" w:type="dxa"/>
              </w:tcPr>
              <w:p w14:paraId="7403D812" w14:textId="4A5436EE" w:rsidR="00635BCA" w:rsidRPr="00557BD2" w:rsidRDefault="00FD71A5" w:rsidP="00D21C35">
                <w:r>
                  <w:t>Trade Association</w:t>
                </w:r>
              </w:p>
            </w:tc>
            <w:permEnd w:id="476595074"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1AAF99B7" w:rsidR="00635BCA" w:rsidRPr="00557BD2" w:rsidRDefault="00E005DE" w:rsidP="00D21C35">
                <w:r>
                  <w:t>International</w:t>
                </w:r>
              </w:p>
            </w:tc>
            <w:permEnd w:id="1581805691" w:displacedByCustomXml="next"/>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4CBE5AC1" w14:textId="77777777" w:rsidR="00667FF6" w:rsidRDefault="00667FF6" w:rsidP="00DB686B">
      <w:pPr>
        <w:pStyle w:val="Questionstyle"/>
        <w:numPr>
          <w:ilvl w:val="0"/>
          <w:numId w:val="14"/>
        </w:numPr>
        <w:rPr>
          <w:color w:val="auto"/>
        </w:rPr>
      </w:pPr>
      <w:r>
        <w:t>In your view, what is the most pressing issue to address in the UCITS EAD with a view to improving investor protection, clarity and supervisory convergence across the EU?</w:t>
      </w:r>
    </w:p>
    <w:p w14:paraId="3DAC8524" w14:textId="77777777" w:rsidR="00667FF6" w:rsidRDefault="00667FF6" w:rsidP="00667FF6">
      <w:bookmarkStart w:id="0" w:name="_Hlk166078273"/>
      <w:r>
        <w:t>&lt;ESMA_QUESTION_EADC_1&gt;</w:t>
      </w:r>
    </w:p>
    <w:bookmarkEnd w:id="0"/>
    <w:p w14:paraId="06EA111F" w14:textId="77777777" w:rsidR="00F70436" w:rsidRDefault="00F70436" w:rsidP="00E10D16">
      <w:pPr>
        <w:spacing w:after="200"/>
        <w:rPr>
          <w:rFonts w:ascii="Open Sans" w:hAnsi="Open Sans" w:cs="Open Sans"/>
          <w:sz w:val="20"/>
        </w:rPr>
      </w:pPr>
      <w:permStart w:id="1975413025" w:edGrp="everyone"/>
      <w:r w:rsidRPr="20C0B123">
        <w:rPr>
          <w:rFonts w:ascii="Open Sans" w:hAnsi="Open Sans" w:cs="Open Sans"/>
          <w:sz w:val="20"/>
        </w:rPr>
        <w:t xml:space="preserve">AIMA welcomes the work that ESMA is undertaking in this Call for Evidence to review and develop the UCITS framework in line with market developments. The </w:t>
      </w:r>
      <w:r w:rsidRPr="005848B8">
        <w:rPr>
          <w:rFonts w:ascii="Open Sans" w:hAnsi="Open Sans" w:cs="Open Sans"/>
          <w:sz w:val="20"/>
        </w:rPr>
        <w:t>Directive 2007/16/EC on UCITS eligible assets (‘UCITS EAD’)</w:t>
      </w:r>
      <w:r w:rsidRPr="20C0B123">
        <w:rPr>
          <w:rFonts w:ascii="Open Sans" w:hAnsi="Open Sans" w:cs="Open Sans"/>
          <w:sz w:val="20"/>
        </w:rPr>
        <w:t xml:space="preserve">, in combination with robust diversification and concentration rules, has generally worked well for investors, allowing them to benefit from </w:t>
      </w:r>
      <w:r>
        <w:rPr>
          <w:rFonts w:ascii="Open Sans" w:hAnsi="Open Sans" w:cs="Open Sans"/>
          <w:sz w:val="20"/>
        </w:rPr>
        <w:t>expert</w:t>
      </w:r>
      <w:r w:rsidRPr="20C0B123">
        <w:rPr>
          <w:rFonts w:ascii="Open Sans" w:hAnsi="Open Sans" w:cs="Open Sans"/>
          <w:sz w:val="20"/>
        </w:rPr>
        <w:t xml:space="preserve"> investment management techniques and enhanced risk management within a diversified and well-regulated structure. AIMA believes that the policy decision made in UCITS III to expand the scope of eligible assets for UCITS investment to keep it in line with market developments remains the right choice. </w:t>
      </w:r>
    </w:p>
    <w:p w14:paraId="5C9F7481" w14:textId="77777777" w:rsidR="00F70436" w:rsidRDefault="00F70436" w:rsidP="00E10D16">
      <w:pPr>
        <w:spacing w:after="200"/>
        <w:rPr>
          <w:rFonts w:ascii="Open Sans" w:hAnsi="Open Sans" w:cs="Open Sans"/>
          <w:sz w:val="20"/>
        </w:rPr>
      </w:pPr>
      <w:r w:rsidRPr="20C0B123">
        <w:rPr>
          <w:rFonts w:ascii="Open Sans" w:hAnsi="Open Sans" w:cs="Open Sans"/>
          <w:sz w:val="20"/>
        </w:rPr>
        <w:t>With regard to investor protection, AIMA acknowledges that some portfolio management techniques may be challenging for some non-professional investors to understand. However, the use of more complex portfolio management techniques does not necessarily make the investment strategy difficult to understand if properly disclosed and we believe all investors should have access to such advanced portfolio management techniques</w:t>
      </w:r>
      <w:r>
        <w:rPr>
          <w:rFonts w:ascii="Open Sans" w:hAnsi="Open Sans" w:cs="Open Sans"/>
          <w:sz w:val="20"/>
        </w:rPr>
        <w:t>, where aligned with their investment objectives and risk tolerance</w:t>
      </w:r>
      <w:r w:rsidRPr="20C0B123">
        <w:rPr>
          <w:rFonts w:ascii="Open Sans" w:hAnsi="Open Sans" w:cs="Open Sans"/>
          <w:sz w:val="20"/>
        </w:rPr>
        <w:t xml:space="preserve">. </w:t>
      </w:r>
    </w:p>
    <w:p w14:paraId="6C455313" w14:textId="77777777" w:rsidR="00F70436" w:rsidRPr="005848B8" w:rsidRDefault="00F70436" w:rsidP="00E10D16">
      <w:pPr>
        <w:spacing w:after="200"/>
        <w:rPr>
          <w:rFonts w:ascii="Open Sans" w:hAnsi="Open Sans" w:cs="Open Sans"/>
          <w:sz w:val="20"/>
        </w:rPr>
      </w:pPr>
      <w:r>
        <w:rPr>
          <w:rFonts w:ascii="Open Sans" w:hAnsi="Open Sans" w:cs="Open Sans"/>
          <w:sz w:val="20"/>
        </w:rPr>
        <w:t>W</w:t>
      </w:r>
      <w:r w:rsidRPr="005848B8">
        <w:rPr>
          <w:rFonts w:ascii="Open Sans" w:hAnsi="Open Sans" w:cs="Open Sans"/>
          <w:sz w:val="20"/>
        </w:rPr>
        <w:t xml:space="preserve">e acknowledge that it is crucial for </w:t>
      </w:r>
      <w:r>
        <w:rPr>
          <w:rFonts w:ascii="Open Sans" w:hAnsi="Open Sans" w:cs="Open Sans"/>
          <w:sz w:val="20"/>
        </w:rPr>
        <w:t xml:space="preserve">retail </w:t>
      </w:r>
      <w:r w:rsidRPr="005848B8">
        <w:rPr>
          <w:rFonts w:ascii="Open Sans" w:hAnsi="Open Sans" w:cs="Open Sans"/>
          <w:sz w:val="20"/>
        </w:rPr>
        <w:t xml:space="preserve">investors to understand the potential risks and rewards of </w:t>
      </w:r>
      <w:r>
        <w:rPr>
          <w:rFonts w:ascii="Open Sans" w:hAnsi="Open Sans" w:cs="Open Sans"/>
          <w:sz w:val="20"/>
        </w:rPr>
        <w:t>an investment</w:t>
      </w:r>
      <w:r w:rsidRPr="005848B8">
        <w:rPr>
          <w:rFonts w:ascii="Open Sans" w:hAnsi="Open Sans" w:cs="Open Sans"/>
          <w:sz w:val="20"/>
        </w:rPr>
        <w:t xml:space="preserve"> and that this information is clearly communicated and understandable as set out </w:t>
      </w:r>
      <w:r>
        <w:rPr>
          <w:rFonts w:ascii="Open Sans" w:hAnsi="Open Sans" w:cs="Open Sans"/>
          <w:sz w:val="20"/>
        </w:rPr>
        <w:t xml:space="preserve">in the prospectus and </w:t>
      </w:r>
      <w:r w:rsidRPr="005848B8">
        <w:rPr>
          <w:rFonts w:ascii="Open Sans" w:hAnsi="Open Sans" w:cs="Open Sans"/>
          <w:sz w:val="20"/>
        </w:rPr>
        <w:t xml:space="preserve">by the obligation to prepare a key information document in accordance with Regulation (EU) No 1286/2014. </w:t>
      </w:r>
      <w:r>
        <w:rPr>
          <w:rFonts w:ascii="Open Sans" w:hAnsi="Open Sans" w:cs="Open Sans"/>
          <w:sz w:val="20"/>
        </w:rPr>
        <w:t>I</w:t>
      </w:r>
      <w:r w:rsidRPr="005848B8">
        <w:rPr>
          <w:rFonts w:ascii="Open Sans" w:hAnsi="Open Sans" w:cs="Open Sans"/>
          <w:sz w:val="20"/>
        </w:rPr>
        <w:t xml:space="preserve">mportantly, </w:t>
      </w:r>
      <w:r>
        <w:rPr>
          <w:rFonts w:ascii="Open Sans" w:hAnsi="Open Sans" w:cs="Open Sans"/>
          <w:sz w:val="20"/>
        </w:rPr>
        <w:t xml:space="preserve">the </w:t>
      </w:r>
      <w:r w:rsidRPr="005848B8">
        <w:rPr>
          <w:rFonts w:ascii="Open Sans" w:hAnsi="Open Sans" w:cs="Open Sans"/>
          <w:sz w:val="20"/>
        </w:rPr>
        <w:t xml:space="preserve">fiduciary treatment by the investment managers and distributors </w:t>
      </w:r>
      <w:r>
        <w:rPr>
          <w:rFonts w:ascii="Open Sans" w:hAnsi="Open Sans" w:cs="Open Sans"/>
          <w:sz w:val="20"/>
        </w:rPr>
        <w:t>allows investors</w:t>
      </w:r>
      <w:r w:rsidRPr="005848B8">
        <w:rPr>
          <w:rFonts w:ascii="Open Sans" w:hAnsi="Open Sans" w:cs="Open Sans"/>
          <w:sz w:val="20"/>
        </w:rPr>
        <w:t xml:space="preserve"> to trust and rely on the investment as a suitable component of </w:t>
      </w:r>
      <w:r w:rsidRPr="005848B8">
        <w:rPr>
          <w:rFonts w:ascii="Open Sans" w:hAnsi="Open Sans" w:cs="Open Sans"/>
          <w:sz w:val="20"/>
        </w:rPr>
        <w:lastRenderedPageBreak/>
        <w:t>their savings and investment strategy.</w:t>
      </w:r>
      <w:r>
        <w:rPr>
          <w:rFonts w:ascii="Open Sans" w:hAnsi="Open Sans" w:cs="Open Sans"/>
          <w:sz w:val="20"/>
        </w:rPr>
        <w:t xml:space="preserve"> It is why structures exist today in legislation to enable greater participation in capital markets and </w:t>
      </w:r>
      <w:r w:rsidRPr="00CE4BEC">
        <w:rPr>
          <w:rFonts w:ascii="Open Sans" w:hAnsi="Open Sans" w:cs="Open Sans"/>
          <w:sz w:val="20"/>
        </w:rPr>
        <w:t>wealth creation opportunities</w:t>
      </w:r>
      <w:r>
        <w:rPr>
          <w:rFonts w:ascii="Open Sans" w:hAnsi="Open Sans" w:cs="Open Sans"/>
          <w:sz w:val="20"/>
        </w:rPr>
        <w:t xml:space="preserve">, </w:t>
      </w:r>
      <w:r w:rsidRPr="00F123C4">
        <w:rPr>
          <w:rFonts w:ascii="Open Sans" w:hAnsi="Open Sans" w:cs="Open Sans"/>
          <w:sz w:val="20"/>
        </w:rPr>
        <w:t>through enhanced returns, additional income generation and diversification of risk</w:t>
      </w:r>
      <w:r>
        <w:rPr>
          <w:rFonts w:ascii="Open Sans" w:hAnsi="Open Sans" w:cs="Open Sans"/>
          <w:sz w:val="20"/>
        </w:rPr>
        <w:t xml:space="preserve">.  </w:t>
      </w:r>
    </w:p>
    <w:p w14:paraId="3A90F46B" w14:textId="77777777" w:rsidR="00F70436" w:rsidRPr="000A5119" w:rsidRDefault="00F70436" w:rsidP="00E10D16">
      <w:pPr>
        <w:spacing w:after="200"/>
        <w:rPr>
          <w:rFonts w:ascii="Open Sans" w:hAnsi="Open Sans" w:cs="Open Sans"/>
          <w:sz w:val="20"/>
        </w:rPr>
      </w:pPr>
      <w:r w:rsidRPr="20C0B123">
        <w:rPr>
          <w:rFonts w:ascii="Open Sans" w:hAnsi="Open Sans" w:cs="Open Sans"/>
          <w:sz w:val="20"/>
        </w:rPr>
        <w:t>It should also be noted that many of the asset classes identified in this Call for Evidence are available for retail investors to invest in directly without the protection afforded by investing via a highly regulated product such as a UCITS fund managed by suitably qualified professionals.</w:t>
      </w:r>
    </w:p>
    <w:p w14:paraId="65FD71BA" w14:textId="77777777" w:rsidR="00F70436" w:rsidRPr="000A5119" w:rsidRDefault="00F70436" w:rsidP="00E10D16">
      <w:pPr>
        <w:spacing w:after="200"/>
        <w:rPr>
          <w:rFonts w:ascii="Open Sans" w:hAnsi="Open Sans" w:cs="Open Sans"/>
          <w:sz w:val="20"/>
        </w:rPr>
      </w:pPr>
      <w:r w:rsidRPr="000A5119">
        <w:rPr>
          <w:rFonts w:ascii="Open Sans" w:hAnsi="Open Sans" w:cs="Open Sans"/>
          <w:sz w:val="20"/>
        </w:rPr>
        <w:t xml:space="preserve">In addition, managers frequently add to the discourse on the asset classes that they invest in by publishing high-quality research, insights, and other updates provided to investors on a regular basis that enable retail investors to increase their understanding of the risks and rewards available. If UCITS funds cannot invest in a particular asset class then investment managers are unlikely to publish this information and retail investors </w:t>
      </w:r>
      <w:r>
        <w:rPr>
          <w:rFonts w:ascii="Open Sans" w:hAnsi="Open Sans" w:cs="Open Sans"/>
          <w:sz w:val="20"/>
        </w:rPr>
        <w:t>could</w:t>
      </w:r>
      <w:r w:rsidRPr="000A5119">
        <w:rPr>
          <w:rFonts w:ascii="Open Sans" w:hAnsi="Open Sans" w:cs="Open Sans"/>
          <w:sz w:val="20"/>
        </w:rPr>
        <w:t xml:space="preserve"> be more reliant on information made available by </w:t>
      </w:r>
      <w:r>
        <w:rPr>
          <w:rFonts w:ascii="Open Sans" w:hAnsi="Open Sans" w:cs="Open Sans"/>
          <w:sz w:val="20"/>
        </w:rPr>
        <w:t xml:space="preserve">potentially </w:t>
      </w:r>
      <w:r w:rsidRPr="000A5119">
        <w:rPr>
          <w:rFonts w:ascii="Open Sans" w:hAnsi="Open Sans" w:cs="Open Sans"/>
          <w:sz w:val="20"/>
        </w:rPr>
        <w:t>unregulated and less qualified entities or individuals.</w:t>
      </w:r>
    </w:p>
    <w:p w14:paraId="4700EA00" w14:textId="77777777" w:rsidR="00F70436" w:rsidRPr="005848B8" w:rsidRDefault="00F70436" w:rsidP="00E10D16">
      <w:pPr>
        <w:spacing w:after="200"/>
        <w:rPr>
          <w:rFonts w:ascii="Open Sans" w:hAnsi="Open Sans" w:cs="Open Sans"/>
          <w:sz w:val="20"/>
        </w:rPr>
      </w:pPr>
      <w:r>
        <w:rPr>
          <w:rFonts w:ascii="Open Sans" w:hAnsi="Open Sans" w:cs="Open Sans"/>
          <w:sz w:val="20"/>
        </w:rPr>
        <w:t>Given the abov</w:t>
      </w:r>
      <w:r w:rsidRPr="005848B8">
        <w:rPr>
          <w:rFonts w:ascii="Open Sans" w:hAnsi="Open Sans" w:cs="Open Sans"/>
          <w:sz w:val="20"/>
        </w:rPr>
        <w:t>e</w:t>
      </w:r>
      <w:r>
        <w:rPr>
          <w:rFonts w:ascii="Open Sans" w:hAnsi="Open Sans" w:cs="Open Sans"/>
          <w:sz w:val="20"/>
        </w:rPr>
        <w:t>, we</w:t>
      </w:r>
      <w:r w:rsidRPr="005848B8">
        <w:rPr>
          <w:rFonts w:ascii="Open Sans" w:hAnsi="Open Sans" w:cs="Open Sans"/>
          <w:sz w:val="20"/>
        </w:rPr>
        <w:t xml:space="preserve"> would urge ESMA to recommend that the European Commission address market developments by amending the UCITS EAD positively in certain areas, rather than</w:t>
      </w:r>
      <w:r>
        <w:rPr>
          <w:rFonts w:ascii="Open Sans" w:hAnsi="Open Sans" w:cs="Open Sans"/>
          <w:sz w:val="20"/>
        </w:rPr>
        <w:t xml:space="preserve"> restricting the investment strategies that can be used by</w:t>
      </w:r>
      <w:r w:rsidRPr="005848B8">
        <w:rPr>
          <w:rFonts w:ascii="Open Sans" w:hAnsi="Open Sans" w:cs="Open Sans"/>
          <w:sz w:val="20"/>
        </w:rPr>
        <w:t xml:space="preserve"> disallowing investments in certain assets perceived to be overly complex. </w:t>
      </w:r>
      <w:r>
        <w:rPr>
          <w:rFonts w:ascii="Open Sans" w:hAnsi="Open Sans" w:cs="Open Sans"/>
          <w:sz w:val="20"/>
        </w:rPr>
        <w:t xml:space="preserve">We note that investor protection is already being strengthened in other areas for UCITS. </w:t>
      </w:r>
      <w:r w:rsidRPr="005848B8">
        <w:rPr>
          <w:rFonts w:ascii="Open Sans" w:hAnsi="Open Sans" w:cs="Open Sans"/>
          <w:sz w:val="20"/>
        </w:rPr>
        <w:t>Recent changes to the UCITS Directive, for example, on the availability and use of liquidity management tools will further enhance the investor protection provisions for UCITS.</w:t>
      </w:r>
      <w:r w:rsidRPr="005848B8">
        <w:rPr>
          <w:rStyle w:val="FootnoteReference"/>
          <w:rFonts w:ascii="Open Sans" w:hAnsi="Open Sans" w:cs="Open Sans"/>
          <w:sz w:val="20"/>
        </w:rPr>
        <w:footnoteReference w:id="2"/>
      </w:r>
      <w:r w:rsidRPr="005848B8">
        <w:rPr>
          <w:rFonts w:ascii="Open Sans" w:hAnsi="Open Sans" w:cs="Open Sans"/>
          <w:sz w:val="20"/>
        </w:rPr>
        <w:t xml:space="preserve"> </w:t>
      </w:r>
      <w:r>
        <w:rPr>
          <w:rFonts w:ascii="Open Sans" w:hAnsi="Open Sans" w:cs="Open Sans"/>
          <w:sz w:val="20"/>
        </w:rPr>
        <w:t xml:space="preserve"> </w:t>
      </w:r>
      <w:r w:rsidRPr="005848B8">
        <w:rPr>
          <w:rFonts w:ascii="Open Sans" w:hAnsi="Open Sans" w:cs="Open Sans"/>
          <w:sz w:val="20"/>
        </w:rPr>
        <w:t xml:space="preserve">UCITS management companies will also become subject to more </w:t>
      </w:r>
      <w:r>
        <w:rPr>
          <w:rFonts w:ascii="Open Sans" w:hAnsi="Open Sans" w:cs="Open Sans"/>
          <w:sz w:val="20"/>
        </w:rPr>
        <w:t>stringent</w:t>
      </w:r>
      <w:r w:rsidRPr="005848B8">
        <w:rPr>
          <w:rFonts w:ascii="Open Sans" w:hAnsi="Open Sans" w:cs="Open Sans"/>
          <w:sz w:val="20"/>
        </w:rPr>
        <w:t xml:space="preserve"> supervisory reporting obligations in respect of each UCITS they manage</w:t>
      </w:r>
      <w:r>
        <w:rPr>
          <w:rFonts w:ascii="Open Sans" w:hAnsi="Open Sans" w:cs="Open Sans"/>
          <w:sz w:val="20"/>
        </w:rPr>
        <w:t>, with the final details of these obligations still being developed at Level 2</w:t>
      </w:r>
      <w:r w:rsidRPr="005848B8">
        <w:rPr>
          <w:rFonts w:ascii="Open Sans" w:hAnsi="Open Sans" w:cs="Open Sans"/>
          <w:sz w:val="20"/>
        </w:rPr>
        <w:t>.</w:t>
      </w:r>
    </w:p>
    <w:p w14:paraId="091DDE64" w14:textId="77777777" w:rsidR="00F70436" w:rsidRPr="005848B8" w:rsidRDefault="00F70436" w:rsidP="00E10D16">
      <w:pPr>
        <w:spacing w:after="200"/>
        <w:rPr>
          <w:rFonts w:ascii="Open Sans" w:hAnsi="Open Sans" w:cs="Open Sans"/>
          <w:sz w:val="20"/>
        </w:rPr>
      </w:pPr>
      <w:r w:rsidRPr="20C0B123">
        <w:rPr>
          <w:rFonts w:ascii="Open Sans" w:hAnsi="Open Sans" w:cs="Open Sans"/>
          <w:sz w:val="20"/>
        </w:rPr>
        <w:t xml:space="preserve">We would therefore advocate for ESMA to recommend for the UCITS EAD to be amended with the introduction of further diversified return streams that assets such as commodities, for example, can bring. Moreover, this will help to ensure that a broader spectrum of investors participate in the deepening and strengthening of Europe’s capital markets. </w:t>
      </w:r>
    </w:p>
    <w:p w14:paraId="59E95461" w14:textId="77777777" w:rsidR="00F70436" w:rsidRPr="00032C38" w:rsidRDefault="00F70436" w:rsidP="00E10D16">
      <w:pPr>
        <w:spacing w:after="200"/>
        <w:rPr>
          <w:rFonts w:ascii="Open Sans" w:hAnsi="Open Sans" w:cs="Open Sans"/>
          <w:i/>
          <w:iCs/>
          <w:sz w:val="20"/>
        </w:rPr>
      </w:pPr>
      <w:r w:rsidRPr="00032C38">
        <w:rPr>
          <w:rFonts w:ascii="Open Sans" w:hAnsi="Open Sans" w:cs="Open Sans"/>
          <w:i/>
          <w:iCs/>
          <w:sz w:val="20"/>
        </w:rPr>
        <w:t>Commodity derivatives</w:t>
      </w:r>
    </w:p>
    <w:p w14:paraId="6756F3F7" w14:textId="77777777" w:rsidR="00F70436" w:rsidRDefault="00F70436" w:rsidP="00E10D16">
      <w:pPr>
        <w:spacing w:after="200"/>
        <w:rPr>
          <w:rFonts w:ascii="Open Sans" w:hAnsi="Open Sans" w:cs="Open Sans"/>
          <w:sz w:val="20"/>
        </w:rPr>
      </w:pPr>
      <w:r w:rsidRPr="005848B8">
        <w:rPr>
          <w:rFonts w:ascii="Open Sans" w:hAnsi="Open Sans" w:cs="Open Sans"/>
          <w:sz w:val="20"/>
        </w:rPr>
        <w:t xml:space="preserve">AIMA considers that if the scope of eligible assets is to be reviewed in connection with the Call for Evidence, </w:t>
      </w:r>
      <w:r w:rsidRPr="007E7E29">
        <w:rPr>
          <w:rFonts w:ascii="Open Sans" w:hAnsi="Open Sans" w:cs="Open Sans"/>
          <w:sz w:val="20"/>
        </w:rPr>
        <w:t xml:space="preserve">instead of further restricting </w:t>
      </w:r>
      <w:r w:rsidRPr="005848B8">
        <w:rPr>
          <w:rFonts w:ascii="Open Sans" w:hAnsi="Open Sans" w:cs="Open Sans"/>
          <w:sz w:val="20"/>
        </w:rPr>
        <w:t>the list of eligible assets in which a UCITS can invest</w:t>
      </w:r>
      <w:r>
        <w:rPr>
          <w:rFonts w:ascii="Open Sans" w:hAnsi="Open Sans" w:cs="Open Sans"/>
          <w:sz w:val="20"/>
        </w:rPr>
        <w:t>, this</w:t>
      </w:r>
      <w:r w:rsidRPr="005848B8">
        <w:rPr>
          <w:rFonts w:ascii="Open Sans" w:hAnsi="Open Sans" w:cs="Open Sans"/>
          <w:sz w:val="20"/>
        </w:rPr>
        <w:t xml:space="preserve"> should</w:t>
      </w:r>
      <w:r>
        <w:rPr>
          <w:rFonts w:ascii="Open Sans" w:hAnsi="Open Sans" w:cs="Open Sans"/>
          <w:sz w:val="20"/>
        </w:rPr>
        <w:t xml:space="preserve"> instead</w:t>
      </w:r>
      <w:r w:rsidRPr="005848B8">
        <w:rPr>
          <w:rFonts w:ascii="Open Sans" w:hAnsi="Open Sans" w:cs="Open Sans"/>
          <w:sz w:val="20"/>
        </w:rPr>
        <w:t xml:space="preserve"> be expanded </w:t>
      </w:r>
      <w:r>
        <w:rPr>
          <w:rFonts w:ascii="Open Sans" w:hAnsi="Open Sans" w:cs="Open Sans"/>
          <w:sz w:val="20"/>
        </w:rPr>
        <w:t>to more clearly include cash settled commodity derivatives as eligible</w:t>
      </w:r>
      <w:r w:rsidRPr="005848B8">
        <w:rPr>
          <w:rFonts w:ascii="Open Sans" w:hAnsi="Open Sans" w:cs="Open Sans"/>
          <w:sz w:val="20"/>
        </w:rPr>
        <w:t xml:space="preserve"> financial derivative instruments (FDI). The current difficulty with the treatment of commodities does not just affect investors access to a</w:t>
      </w:r>
      <w:r>
        <w:rPr>
          <w:rFonts w:ascii="Open Sans" w:hAnsi="Open Sans" w:cs="Open Sans"/>
          <w:sz w:val="20"/>
        </w:rPr>
        <w:t xml:space="preserve">n alternative </w:t>
      </w:r>
      <w:r w:rsidRPr="005848B8">
        <w:rPr>
          <w:rFonts w:ascii="Open Sans" w:hAnsi="Open Sans" w:cs="Open Sans"/>
          <w:sz w:val="20"/>
        </w:rPr>
        <w:t xml:space="preserve">return stream it also restricts their access to investment techniques and strategies like commodity trading advisors (CTAs) and managed futures </w:t>
      </w:r>
      <w:r w:rsidRPr="005848B8">
        <w:rPr>
          <w:rFonts w:ascii="Open Sans" w:hAnsi="Open Sans" w:cs="Open Sans"/>
          <w:sz w:val="20"/>
        </w:rPr>
        <w:lastRenderedPageBreak/>
        <w:t xml:space="preserve">funds for the simple reason it is hard to run these strategies without commodities. </w:t>
      </w:r>
      <w:r>
        <w:rPr>
          <w:rFonts w:ascii="Open Sans" w:hAnsi="Open Sans" w:cs="Open Sans"/>
          <w:sz w:val="20"/>
        </w:rPr>
        <w:t xml:space="preserve">By extension, and to ensure that the UCITS brand remains current, we would also suggest that digital assets derivatives (e.g., Bitcoin futures) should be permitted underliers for UCITS (noting, e.g., the </w:t>
      </w:r>
      <w:r w:rsidRPr="00E74294">
        <w:rPr>
          <w:rFonts w:ascii="Open Sans" w:hAnsi="Open Sans" w:cs="Open Sans"/>
          <w:sz w:val="20"/>
        </w:rPr>
        <w:t xml:space="preserve">U.S. </w:t>
      </w:r>
      <w:r>
        <w:rPr>
          <w:rFonts w:ascii="Open Sans" w:hAnsi="Open Sans" w:cs="Open Sans"/>
          <w:sz w:val="20"/>
        </w:rPr>
        <w:t xml:space="preserve">CFTC’s treatment of these as commodity derivatives). </w:t>
      </w:r>
    </w:p>
    <w:p w14:paraId="0DDA25B2" w14:textId="77777777" w:rsidR="00F70436" w:rsidRPr="005848B8" w:rsidRDefault="00F70436" w:rsidP="00E10D16">
      <w:pPr>
        <w:spacing w:after="200"/>
        <w:rPr>
          <w:rFonts w:ascii="Open Sans" w:hAnsi="Open Sans" w:cs="Open Sans"/>
          <w:sz w:val="20"/>
        </w:rPr>
      </w:pPr>
      <w:r w:rsidRPr="20C0B123">
        <w:rPr>
          <w:rFonts w:ascii="Open Sans" w:hAnsi="Open Sans" w:cs="Open Sans"/>
          <w:sz w:val="20"/>
        </w:rPr>
        <w:t xml:space="preserve">In this regard, AIMA once again urges ESMA to recommend </w:t>
      </w:r>
      <w:r>
        <w:rPr>
          <w:rFonts w:ascii="Open Sans" w:hAnsi="Open Sans" w:cs="Open Sans"/>
          <w:sz w:val="20"/>
        </w:rPr>
        <w:t xml:space="preserve">to </w:t>
      </w:r>
      <w:r w:rsidRPr="20C0B123">
        <w:rPr>
          <w:rFonts w:ascii="Open Sans" w:hAnsi="Open Sans" w:cs="Open Sans"/>
          <w:sz w:val="20"/>
        </w:rPr>
        <w:t xml:space="preserve">the Commission to focus on the outcomes to be achieved by the UCITS and their investors rather than on the perceived complexity of the underlying assets which, as we have already noted, are subject to relevant regulations. As noted above, the important issue for investors is that they can understand the overall risk-reward profile of the fund as a whole. To this end, it is important that Member State regulators ensure UCITS managers provide clear disclosure of the risks and rewards associated with the fund. Once investors have clear information about the fund as a whole it should not be necessary to ensure that the investor understands the risk-reward profile of each underlying asset in which the fund may invest </w:t>
      </w:r>
      <w:r>
        <w:rPr>
          <w:rFonts w:ascii="Open Sans" w:hAnsi="Open Sans" w:cs="Open Sans"/>
          <w:sz w:val="20"/>
        </w:rPr>
        <w:t>in line with relevant regulations –</w:t>
      </w:r>
      <w:r w:rsidRPr="20C0B123">
        <w:rPr>
          <w:rFonts w:ascii="Open Sans" w:hAnsi="Open Sans" w:cs="Open Sans"/>
          <w:sz w:val="20"/>
        </w:rPr>
        <w:t xml:space="preserve"> that is the role of the professional investment manager and it is this skill and expertise which the investor is seeking to benefit from by investing in the UCITS.</w:t>
      </w:r>
    </w:p>
    <w:p w14:paraId="04E4E4C6" w14:textId="77777777" w:rsidR="00F70436" w:rsidRDefault="00F70436" w:rsidP="00E10D16">
      <w:pPr>
        <w:spacing w:after="200"/>
        <w:rPr>
          <w:rFonts w:ascii="Open Sans" w:hAnsi="Open Sans" w:cs="Open Sans"/>
          <w:sz w:val="20"/>
        </w:rPr>
      </w:pPr>
      <w:r w:rsidRPr="005848B8">
        <w:rPr>
          <w:rFonts w:ascii="Open Sans" w:hAnsi="Open Sans" w:cs="Open Sans"/>
          <w:sz w:val="20"/>
        </w:rPr>
        <w:t>The risk management process requires significant amounts of disclosure to the home Member State regulator before a fund is approved</w:t>
      </w:r>
      <w:r>
        <w:rPr>
          <w:rFonts w:ascii="Open Sans" w:hAnsi="Open Sans" w:cs="Open Sans"/>
          <w:sz w:val="20"/>
        </w:rPr>
        <w:t xml:space="preserve"> </w:t>
      </w:r>
      <w:r w:rsidRPr="00C2108A">
        <w:rPr>
          <w:rFonts w:ascii="Open Sans" w:hAnsi="Open Sans" w:cs="Open Sans"/>
          <w:sz w:val="20"/>
        </w:rPr>
        <w:t xml:space="preserve">and </w:t>
      </w:r>
      <w:r>
        <w:rPr>
          <w:rFonts w:ascii="Open Sans" w:hAnsi="Open Sans" w:cs="Open Sans"/>
          <w:sz w:val="20"/>
        </w:rPr>
        <w:t xml:space="preserve">subsequently offered </w:t>
      </w:r>
      <w:r w:rsidRPr="00C2108A">
        <w:rPr>
          <w:rFonts w:ascii="Open Sans" w:hAnsi="Open Sans" w:cs="Open Sans"/>
          <w:sz w:val="20"/>
        </w:rPr>
        <w:t>to investors</w:t>
      </w:r>
      <w:r w:rsidRPr="005848B8">
        <w:rPr>
          <w:rFonts w:ascii="Open Sans" w:hAnsi="Open Sans" w:cs="Open Sans"/>
          <w:sz w:val="20"/>
        </w:rPr>
        <w:t>. Th</w:t>
      </w:r>
      <w:r>
        <w:rPr>
          <w:rFonts w:ascii="Open Sans" w:hAnsi="Open Sans" w:cs="Open Sans"/>
          <w:sz w:val="20"/>
        </w:rPr>
        <w:t>ese</w:t>
      </w:r>
      <w:r w:rsidRPr="005848B8">
        <w:rPr>
          <w:rFonts w:ascii="Open Sans" w:hAnsi="Open Sans" w:cs="Open Sans"/>
          <w:sz w:val="20"/>
        </w:rPr>
        <w:t xml:space="preserve"> disclosure requirements and the </w:t>
      </w:r>
      <w:r>
        <w:rPr>
          <w:rFonts w:ascii="Open Sans" w:hAnsi="Open Sans" w:cs="Open Sans"/>
          <w:sz w:val="20"/>
        </w:rPr>
        <w:t xml:space="preserve">fiduciary </w:t>
      </w:r>
      <w:r w:rsidRPr="005848B8">
        <w:rPr>
          <w:rFonts w:ascii="Open Sans" w:hAnsi="Open Sans" w:cs="Open Sans"/>
          <w:sz w:val="20"/>
        </w:rPr>
        <w:t xml:space="preserve">duty to act in the best interests of investors apply regardless of the underlying investments being made by a fund. Managers have a duty to achieve the most economic exposure to the investment strategies and risks described in the fund’s offering document. </w:t>
      </w:r>
      <w:r>
        <w:rPr>
          <w:rFonts w:ascii="Open Sans" w:hAnsi="Open Sans" w:cs="Open Sans"/>
          <w:sz w:val="20"/>
        </w:rPr>
        <w:t>Not allowing</w:t>
      </w:r>
      <w:r w:rsidRPr="005848B8">
        <w:rPr>
          <w:rFonts w:ascii="Open Sans" w:hAnsi="Open Sans" w:cs="Open Sans"/>
          <w:sz w:val="20"/>
        </w:rPr>
        <w:t xml:space="preserve"> certain types of </w:t>
      </w:r>
      <w:r>
        <w:rPr>
          <w:rFonts w:ascii="Open Sans" w:hAnsi="Open Sans" w:cs="Open Sans"/>
          <w:sz w:val="20"/>
        </w:rPr>
        <w:t>instruments to be held</w:t>
      </w:r>
      <w:r w:rsidRPr="005848B8">
        <w:rPr>
          <w:rFonts w:ascii="Open Sans" w:hAnsi="Open Sans" w:cs="Open Sans"/>
          <w:sz w:val="20"/>
        </w:rPr>
        <w:t>, such as direct investments in commodity derivatives, makes achieving these outcomes more expensive, without benefiting UCITS investors.</w:t>
      </w:r>
    </w:p>
    <w:p w14:paraId="5C2941DD" w14:textId="77777777" w:rsidR="00F70436" w:rsidRPr="005848B8" w:rsidRDefault="00F70436" w:rsidP="00E10D16">
      <w:pPr>
        <w:spacing w:after="200"/>
        <w:rPr>
          <w:rFonts w:ascii="Open Sans" w:hAnsi="Open Sans" w:cs="Open Sans"/>
          <w:sz w:val="20"/>
        </w:rPr>
      </w:pPr>
      <w:r w:rsidRPr="007E7E29">
        <w:rPr>
          <w:rFonts w:ascii="Open Sans" w:hAnsi="Open Sans" w:cs="Open Sans"/>
          <w:sz w:val="20"/>
        </w:rPr>
        <w:t xml:space="preserve">We note that the risk-return profile of many derivatives can </w:t>
      </w:r>
      <w:r>
        <w:rPr>
          <w:rFonts w:ascii="Open Sans" w:hAnsi="Open Sans" w:cs="Open Sans"/>
          <w:sz w:val="20"/>
        </w:rPr>
        <w:t xml:space="preserve">be </w:t>
      </w:r>
      <w:r w:rsidRPr="007E7E29">
        <w:rPr>
          <w:rFonts w:ascii="Open Sans" w:hAnsi="Open Sans" w:cs="Open Sans"/>
          <w:sz w:val="20"/>
        </w:rPr>
        <w:t xml:space="preserve">essentially reproduced by using simple building blocks such as </w:t>
      </w:r>
      <w:r>
        <w:rPr>
          <w:rFonts w:ascii="Open Sans" w:hAnsi="Open Sans" w:cs="Open Sans"/>
          <w:sz w:val="20"/>
        </w:rPr>
        <w:t xml:space="preserve">future </w:t>
      </w:r>
      <w:r w:rsidRPr="007E7E29">
        <w:rPr>
          <w:rFonts w:ascii="Open Sans" w:hAnsi="Open Sans" w:cs="Open Sans"/>
          <w:sz w:val="20"/>
        </w:rPr>
        <w:t>options, forwards or swaps and a combination of different underlying assets. Prohibiting the use of complex derivatives by UCITS would therefore not necessarily lead to any changes of risk exposure for the end investor. Indeed one could say that such changes would potentially result in greater complexity as the UCITS would end up having a more complex set of counterparty exposures and potentially less favourable collateral treatment, leading to a potential reduction of returns for investors.</w:t>
      </w:r>
    </w:p>
    <w:p w14:paraId="35D0B57F" w14:textId="77777777" w:rsidR="00F70436" w:rsidRPr="005848B8" w:rsidRDefault="00F70436" w:rsidP="00E10D16">
      <w:pPr>
        <w:spacing w:after="200"/>
        <w:rPr>
          <w:rFonts w:ascii="Open Sans" w:hAnsi="Open Sans" w:cs="Open Sans"/>
          <w:sz w:val="20"/>
        </w:rPr>
      </w:pPr>
      <w:r w:rsidRPr="005848B8">
        <w:rPr>
          <w:rFonts w:ascii="Open Sans" w:hAnsi="Open Sans" w:cs="Open Sans"/>
          <w:sz w:val="20"/>
        </w:rPr>
        <w:t xml:space="preserve">The list of eligible assets in Article 50 of the UCITS </w:t>
      </w:r>
      <w:r>
        <w:rPr>
          <w:rFonts w:ascii="Open Sans" w:hAnsi="Open Sans" w:cs="Open Sans"/>
          <w:sz w:val="20"/>
        </w:rPr>
        <w:t>D</w:t>
      </w:r>
      <w:r w:rsidRPr="005848B8">
        <w:rPr>
          <w:rFonts w:ascii="Open Sans" w:hAnsi="Open Sans" w:cs="Open Sans"/>
          <w:sz w:val="20"/>
        </w:rPr>
        <w:t xml:space="preserve">irective currently includes transferable securities, money market instruments, units of collective investment schemes, bank deposits and FDI. Derivatives on commodities were excluded from the references to liquid financial assets in Articles 1(2) and 19(1)(g) of Directive 85/611/EEC and by Article 8(5) of Directive 2007/16/EC. This treatment of commodity derivatives appears to be outdated and misaligned with market developments as single commodity futures and options are </w:t>
      </w:r>
      <w:r>
        <w:rPr>
          <w:rFonts w:ascii="Open Sans" w:hAnsi="Open Sans" w:cs="Open Sans"/>
          <w:sz w:val="20"/>
        </w:rPr>
        <w:t xml:space="preserve">now </w:t>
      </w:r>
      <w:r w:rsidRPr="005848B8">
        <w:rPr>
          <w:rFonts w:ascii="Open Sans" w:hAnsi="Open Sans" w:cs="Open Sans"/>
          <w:sz w:val="20"/>
        </w:rPr>
        <w:t xml:space="preserve">among the most liquid </w:t>
      </w:r>
      <w:r w:rsidRPr="005848B8">
        <w:rPr>
          <w:rFonts w:ascii="Open Sans" w:hAnsi="Open Sans" w:cs="Open Sans"/>
          <w:sz w:val="20"/>
        </w:rPr>
        <w:lastRenderedPageBreak/>
        <w:t>instruments traded in financial markets. They are much more liquid than a great majority of transferable securities such as corporate bonds or small cap shares.</w:t>
      </w:r>
    </w:p>
    <w:p w14:paraId="22CF866E" w14:textId="77777777" w:rsidR="00F70436" w:rsidRPr="005848B8" w:rsidRDefault="00F70436" w:rsidP="00E10D16">
      <w:pPr>
        <w:spacing w:after="200"/>
        <w:rPr>
          <w:rFonts w:ascii="Open Sans" w:hAnsi="Open Sans" w:cs="Open Sans"/>
          <w:sz w:val="20"/>
        </w:rPr>
      </w:pPr>
      <w:r w:rsidRPr="005848B8">
        <w:rPr>
          <w:rFonts w:ascii="Open Sans" w:hAnsi="Open Sans" w:cs="Open Sans"/>
          <w:sz w:val="20"/>
        </w:rPr>
        <w:t>In an era of volatile macro-economics and turbulent geopolitics, Europe’s investors need to have the flexibility of added exposure to commodity prices. If food and energy prices continue to fluctuate, the UCITS investor may not have adequate means to shelter his or her savings and investment against such shocks.</w:t>
      </w:r>
    </w:p>
    <w:p w14:paraId="0E64F3C5" w14:textId="77777777" w:rsidR="00F70436" w:rsidRPr="005848B8" w:rsidRDefault="00F70436" w:rsidP="00E10D16">
      <w:pPr>
        <w:spacing w:after="200"/>
        <w:rPr>
          <w:rFonts w:ascii="Open Sans" w:hAnsi="Open Sans" w:cs="Open Sans"/>
          <w:sz w:val="20"/>
        </w:rPr>
      </w:pPr>
      <w:r w:rsidRPr="005848B8">
        <w:rPr>
          <w:rFonts w:ascii="Open Sans" w:hAnsi="Open Sans" w:cs="Open Sans"/>
          <w:sz w:val="20"/>
        </w:rPr>
        <w:t xml:space="preserve">In the ESMA Market Report, EU Derivatives Markets 2023, it was noted that </w:t>
      </w:r>
      <w:r w:rsidRPr="005848B8">
        <w:rPr>
          <w:rFonts w:ascii="Open Sans" w:hAnsi="Open Sans" w:cs="Open Sans"/>
          <w:i/>
          <w:iCs/>
          <w:sz w:val="20"/>
        </w:rPr>
        <w:t xml:space="preserve">“Commodity derivative notional amounts grew 65% in the reporting period, to EUR 3.3tn in 4Q22 from about EUR 2tn in 4Q20. Growth was steady, peaking at 3Q22 at EUR 3.6tn, and was across the largest instruments: swaps, futures, and options. This was fuelled by the Russian invasion of Ukraine in February 2022 increasing commodity prices in 2022, particularly natural gas, and correspondingly increasing notional amounts of new contracts.” </w:t>
      </w:r>
      <w:r w:rsidRPr="005848B8">
        <w:rPr>
          <w:rFonts w:ascii="Open Sans" w:hAnsi="Open Sans" w:cs="Open Sans"/>
          <w:sz w:val="20"/>
        </w:rPr>
        <w:t>If UCITS investors had exposure to commodity derivatives then they could have benefited and been protected against the steep rise in prices</w:t>
      </w:r>
      <w:r>
        <w:rPr>
          <w:rFonts w:ascii="Open Sans" w:hAnsi="Open Sans" w:cs="Open Sans"/>
          <w:sz w:val="20"/>
        </w:rPr>
        <w:t>.</w:t>
      </w:r>
    </w:p>
    <w:p w14:paraId="51E87CD2" w14:textId="77777777" w:rsidR="00F70436" w:rsidRPr="005848B8" w:rsidRDefault="00F70436" w:rsidP="00E10D16">
      <w:pPr>
        <w:spacing w:after="200"/>
        <w:rPr>
          <w:rFonts w:ascii="Open Sans" w:hAnsi="Open Sans" w:cs="Open Sans"/>
          <w:sz w:val="20"/>
        </w:rPr>
      </w:pPr>
      <w:r w:rsidRPr="005848B8">
        <w:rPr>
          <w:rFonts w:ascii="Open Sans" w:hAnsi="Open Sans" w:cs="Open Sans"/>
          <w:sz w:val="20"/>
        </w:rPr>
        <w:t xml:space="preserve">Investment strategies pursued by CTAs and managed futures funds have proved to be popular when employed within the UCITS framework by using such tools as strategy indexes. However, it would be more transparent </w:t>
      </w:r>
      <w:r>
        <w:rPr>
          <w:rFonts w:ascii="Open Sans" w:hAnsi="Open Sans" w:cs="Open Sans"/>
          <w:sz w:val="20"/>
        </w:rPr>
        <w:t xml:space="preserve">and cost effective </w:t>
      </w:r>
      <w:r w:rsidRPr="005848B8">
        <w:rPr>
          <w:rFonts w:ascii="Open Sans" w:hAnsi="Open Sans" w:cs="Open Sans"/>
          <w:sz w:val="20"/>
        </w:rPr>
        <w:t>for the end investor if the CTAs were able to invest in the commodity derivatives directly as opposed to using a swap route based on a strategy index. Restricting UCITS to only diversified commodities indices does not offer investors the benefits of experienced active management of commodities.</w:t>
      </w:r>
      <w:r>
        <w:rPr>
          <w:rFonts w:ascii="Open Sans" w:hAnsi="Open Sans" w:cs="Open Sans"/>
          <w:sz w:val="20"/>
        </w:rPr>
        <w:t xml:space="preserve"> </w:t>
      </w:r>
      <w:r w:rsidRPr="007E7E29">
        <w:rPr>
          <w:rFonts w:ascii="Open Sans" w:hAnsi="Open Sans" w:cs="Open Sans"/>
          <w:sz w:val="20"/>
        </w:rPr>
        <w:t xml:space="preserve">Indirect exposure to commodities through wrapped delta one products or financial indices, as at present, </w:t>
      </w:r>
      <w:r>
        <w:rPr>
          <w:rFonts w:ascii="Open Sans" w:hAnsi="Open Sans" w:cs="Open Sans"/>
          <w:sz w:val="20"/>
        </w:rPr>
        <w:t>are</w:t>
      </w:r>
      <w:r w:rsidRPr="007E7E29">
        <w:rPr>
          <w:rFonts w:ascii="Open Sans" w:hAnsi="Open Sans" w:cs="Open Sans"/>
          <w:sz w:val="20"/>
        </w:rPr>
        <w:t xml:space="preserve"> more costly to UCITS (and therefore investors) than a more straightforward swap product.</w:t>
      </w:r>
      <w:r w:rsidRPr="005848B8">
        <w:rPr>
          <w:rFonts w:ascii="Open Sans" w:hAnsi="Open Sans" w:cs="Open Sans"/>
          <w:sz w:val="20"/>
        </w:rPr>
        <w:t xml:space="preserve"> CTAs saw significant benefits in 2008, 2021 and 2022 because of their commodity exposure and were some of the best performing strategies in those years.</w:t>
      </w:r>
    </w:p>
    <w:p w14:paraId="5F095D3A" w14:textId="77777777" w:rsidR="00F70436" w:rsidRPr="005848B8" w:rsidRDefault="00F70436" w:rsidP="00E10D16">
      <w:pPr>
        <w:spacing w:after="200"/>
        <w:rPr>
          <w:rFonts w:ascii="Open Sans" w:hAnsi="Open Sans" w:cs="Open Sans"/>
          <w:sz w:val="20"/>
        </w:rPr>
      </w:pPr>
      <w:r w:rsidRPr="005848B8">
        <w:rPr>
          <w:rFonts w:ascii="Open Sans" w:hAnsi="Open Sans" w:cs="Open Sans"/>
          <w:sz w:val="20"/>
        </w:rPr>
        <w:t>A UCITS should be permitted to invest in single commodity derivatives as part of its portfolio so long as the UCITS diversification requirements are met. Where a UCITS offers appropriate risk diversification, active management of a UCITS should permit the use of single commodity derivatives. Commodity indices would not need to be diversified with respect to the 20/35% limit, so long as the exposure of the UCITS to the individual indices complies with the 5/10/40% ratios and satisfy the other criteria in respect of the construction methodology, regular rebalancing and publication of the index, subject to some appropriate method of classifying commodities to better track concentration limits.</w:t>
      </w:r>
    </w:p>
    <w:p w14:paraId="054A6B37" w14:textId="77777777" w:rsidR="00F70436" w:rsidRPr="00695239" w:rsidRDefault="00F70436" w:rsidP="00E10D16">
      <w:pPr>
        <w:spacing w:after="200"/>
        <w:rPr>
          <w:rFonts w:ascii="Open Sans" w:hAnsi="Open Sans" w:cs="Open Sans"/>
          <w:sz w:val="20"/>
        </w:rPr>
      </w:pPr>
      <w:r w:rsidRPr="005848B8">
        <w:rPr>
          <w:rFonts w:ascii="Open Sans" w:hAnsi="Open Sans" w:cs="Open Sans"/>
          <w:sz w:val="20"/>
        </w:rPr>
        <w:t xml:space="preserve">In the event there are concerns about the liquidity and transparency of commodity derivatives, we would note that there are mandatory clearing requirements for derivatives and clearing, even </w:t>
      </w:r>
      <w:r w:rsidRPr="005848B8">
        <w:rPr>
          <w:rFonts w:ascii="Open Sans" w:hAnsi="Open Sans" w:cs="Open Sans"/>
          <w:sz w:val="20"/>
        </w:rPr>
        <w:lastRenderedPageBreak/>
        <w:t>where not mandatory, will be encouraged.</w:t>
      </w:r>
      <w:r>
        <w:rPr>
          <w:rStyle w:val="FootnoteReference"/>
          <w:rFonts w:ascii="Open Sans" w:hAnsi="Open Sans" w:cs="Open Sans"/>
          <w:sz w:val="20"/>
        </w:rPr>
        <w:footnoteReference w:id="3"/>
      </w:r>
      <w:r w:rsidRPr="005848B8">
        <w:rPr>
          <w:rFonts w:ascii="Open Sans" w:hAnsi="Open Sans" w:cs="Open Sans"/>
          <w:sz w:val="20"/>
        </w:rPr>
        <w:t xml:space="preserve"> It is a central characteristic of clearing that the instruments subject to it are sufficiently standardised, liquid and transparent. For example, Article 4 of the European Markets Infrastructure Regulation (‘EMIR’) when dealing with the criteria for central clearing refers to: (i) the degree of standardisation of the contractual terms and the operational process of the OTC derivative, (ii) the volume and liquidity of the relevant OTC derivative, and (iii) the availability of fair, reliable and generally accepted pricing information in relation to the relevant OTC derivative. Such requirements result in a reduction of risk posed by centrally cleared commodity derivative contracts which supports their inclusion within a UCITS portfolio.</w:t>
      </w:r>
      <w:r>
        <w:rPr>
          <w:rFonts w:ascii="Open Sans" w:hAnsi="Open Sans" w:cs="Open Sans"/>
          <w:sz w:val="20"/>
        </w:rPr>
        <w:t xml:space="preserve"> </w:t>
      </w:r>
      <w:r w:rsidRPr="00695239">
        <w:rPr>
          <w:rFonts w:ascii="Open Sans" w:hAnsi="Open Sans" w:cs="Open Sans"/>
          <w:sz w:val="20"/>
        </w:rPr>
        <w:t>A number of exchanges also impose position limits on commodity derivatives. These limits are applied for spot months and also overall exposure across all months.</w:t>
      </w:r>
    </w:p>
    <w:p w14:paraId="12FFDB19" w14:textId="77777777" w:rsidR="00F70436" w:rsidRPr="005848B8" w:rsidRDefault="00F70436" w:rsidP="00E10D16">
      <w:pPr>
        <w:spacing w:after="200"/>
        <w:rPr>
          <w:rFonts w:ascii="Open Sans" w:hAnsi="Open Sans" w:cs="Open Sans"/>
          <w:sz w:val="20"/>
        </w:rPr>
      </w:pPr>
      <w:r w:rsidRPr="005848B8">
        <w:rPr>
          <w:rFonts w:ascii="Open Sans" w:hAnsi="Open Sans" w:cs="Open Sans"/>
          <w:sz w:val="20"/>
        </w:rPr>
        <w:t xml:space="preserve">In respect of derivatives, we urge ESMA to recommend to the Commission to consider the benefits that funds run by CTAs and Global Macro </w:t>
      </w:r>
      <w:r>
        <w:rPr>
          <w:rFonts w:ascii="Open Sans" w:hAnsi="Open Sans" w:cs="Open Sans"/>
          <w:sz w:val="20"/>
        </w:rPr>
        <w:t xml:space="preserve">managers </w:t>
      </w:r>
      <w:r w:rsidRPr="005848B8">
        <w:rPr>
          <w:rFonts w:ascii="Open Sans" w:hAnsi="Open Sans" w:cs="Open Sans"/>
          <w:sz w:val="20"/>
        </w:rPr>
        <w:t>can offer, such as creating well-balanced, diversified investment portfolios that have the potential to deliver returns and limit risks in any market environment. CTAs and Global Macro are also among the most transparent and liquid investment options, providing investors with a valuable tool for diversifying the risk of their own portfolios. Eliminating or severely limiting the ability of UCITS to pursue the types of strategies pursued by these types of funds would deprive investors of an important tool for creating a well-diversified portfolio capable of withstanding a variety of macro-economic events.</w:t>
      </w:r>
    </w:p>
    <w:p w14:paraId="1E7C868E" w14:textId="0A1FEF5D" w:rsidR="00667FF6" w:rsidRDefault="00F70436" w:rsidP="00F70436">
      <w:r w:rsidRPr="005848B8">
        <w:rPr>
          <w:rFonts w:ascii="Open Sans" w:hAnsi="Open Sans" w:cs="Open Sans"/>
          <w:sz w:val="20"/>
        </w:rPr>
        <w:t xml:space="preserve">AIMA believes that appropriate fiduciary standards, enforcement and sanctions within the UCITS framework can address product diversity without stifling access to investment management products. UCITS is an important product for institutional and professional investors due </w:t>
      </w:r>
      <w:r w:rsidRPr="00252A17">
        <w:rPr>
          <w:rFonts w:ascii="Open Sans" w:hAnsi="Open Sans" w:cs="Open Sans"/>
          <w:sz w:val="20"/>
        </w:rPr>
        <w:t>to its standardised risk management requirements, liquidity, internal investment guidelines and the ability to make large investments without significantly affecting the total assets of a UCITS fund. Depriving UCITS of the potential to deliver more diversified products could be detrimental to investors.</w:t>
      </w:r>
    </w:p>
    <w:permEnd w:id="1975413025"/>
    <w:p w14:paraId="2A42AC36" w14:textId="77777777" w:rsidR="00667FF6" w:rsidRDefault="00667FF6" w:rsidP="00667FF6">
      <w:r>
        <w:t>&lt;ESMA_QUESTION_EADC_1&gt;</w:t>
      </w:r>
    </w:p>
    <w:p w14:paraId="5AD5570D" w14:textId="77777777" w:rsidR="00667FF6" w:rsidRDefault="00667FF6" w:rsidP="00667FF6"/>
    <w:p w14:paraId="457979D8" w14:textId="13EE4C5A" w:rsidR="00667FF6" w:rsidRDefault="00667FF6" w:rsidP="00DB686B">
      <w:pPr>
        <w:pStyle w:val="Questionstyle"/>
        <w:numPr>
          <w:ilvl w:val="0"/>
          <w:numId w:val="14"/>
        </w:numPr>
      </w:pPr>
      <w:r>
        <w:t xml:space="preserve">Have you experienced any recurring or significant issues with the interpretation or consistent application of UCITS EAD rules with respect to financial indices? If so, please describe any recurring or significant issues that you have experienced and how you would propose to amend the UCITS EAD to improve investor protection, clarity and supervisory convergence. Where relevant, please </w:t>
      </w:r>
      <w:r>
        <w:lastRenderedPageBreak/>
        <w:t xml:space="preserve">specify what indices this relates to and what were the specific characteristics of those indices that raised doubts or concerns. Where possible, please provide data to substantiate the materiality of the issue. </w:t>
      </w:r>
    </w:p>
    <w:p w14:paraId="6044316D" w14:textId="77777777" w:rsidR="00667FF6" w:rsidRDefault="00667FF6" w:rsidP="00667FF6">
      <w:r>
        <w:t>&lt;ESMA_QUESTION_EADC_2&gt;</w:t>
      </w:r>
    </w:p>
    <w:p w14:paraId="56CC841A" w14:textId="77777777" w:rsidR="00E46D24" w:rsidRPr="00252A17" w:rsidRDefault="00E46D24" w:rsidP="00E46D24">
      <w:pPr>
        <w:spacing w:after="200"/>
        <w:rPr>
          <w:rFonts w:ascii="Open Sans" w:hAnsi="Open Sans" w:cs="Open Sans"/>
          <w:sz w:val="20"/>
        </w:rPr>
      </w:pPr>
      <w:permStart w:id="85149166" w:edGrp="everyone"/>
      <w:r w:rsidRPr="00252A17">
        <w:rPr>
          <w:rFonts w:ascii="Open Sans" w:hAnsi="Open Sans" w:cs="Open Sans"/>
          <w:sz w:val="20"/>
        </w:rPr>
        <w:t xml:space="preserve">The requirement for UCITS funds to list </w:t>
      </w:r>
      <w:r>
        <w:rPr>
          <w:rFonts w:ascii="Open Sans" w:hAnsi="Open Sans" w:cs="Open Sans"/>
          <w:sz w:val="20"/>
        </w:rPr>
        <w:t xml:space="preserve">in the investment objective </w:t>
      </w:r>
      <w:r w:rsidRPr="00252A17">
        <w:rPr>
          <w:rFonts w:ascii="Open Sans" w:hAnsi="Open Sans" w:cs="Open Sans"/>
          <w:sz w:val="20"/>
        </w:rPr>
        <w:t xml:space="preserve">all financial indices they are exposed to </w:t>
      </w:r>
      <w:r>
        <w:rPr>
          <w:rFonts w:ascii="Open Sans" w:hAnsi="Open Sans" w:cs="Open Sans"/>
          <w:sz w:val="20"/>
        </w:rPr>
        <w:t>through investment in derivatives</w:t>
      </w:r>
      <w:r w:rsidRPr="00252A17">
        <w:rPr>
          <w:rFonts w:ascii="Open Sans" w:hAnsi="Open Sans" w:cs="Open Sans"/>
          <w:sz w:val="20"/>
        </w:rPr>
        <w:t xml:space="preserve"> is overly cumbersome. Instead, UCITS funds should be permitted to take exposures to diversified indices as allowed by regulations.</w:t>
      </w:r>
    </w:p>
    <w:p w14:paraId="7EF4AF3C" w14:textId="77777777" w:rsidR="00E46D24" w:rsidRDefault="00E46D24" w:rsidP="00E46D24">
      <w:pPr>
        <w:spacing w:after="200"/>
        <w:rPr>
          <w:rFonts w:ascii="Open Sans" w:hAnsi="Open Sans" w:cs="Open Sans"/>
          <w:sz w:val="20"/>
        </w:rPr>
      </w:pPr>
      <w:r w:rsidRPr="20C0B123">
        <w:rPr>
          <w:rFonts w:ascii="Open Sans" w:hAnsi="Open Sans" w:cs="Open Sans"/>
          <w:sz w:val="20"/>
        </w:rPr>
        <w:t xml:space="preserve">The requirement to ensure that financial indices are sufficiently diversified, and to notify the home regulator of the UCITS fund if they meet certain criteria is a burdensome, manual and inefficient process. It would be appreciated if ESMA could consider how this process could be made more streamlined and efficient. For example, </w:t>
      </w:r>
      <w:r>
        <w:rPr>
          <w:rFonts w:ascii="Open Sans" w:hAnsi="Open Sans" w:cs="Open Sans"/>
          <w:sz w:val="20"/>
        </w:rPr>
        <w:t>it</w:t>
      </w:r>
      <w:r w:rsidRPr="20C0B123">
        <w:rPr>
          <w:rFonts w:ascii="Open Sans" w:hAnsi="Open Sans" w:cs="Open Sans"/>
          <w:sz w:val="20"/>
        </w:rPr>
        <w:t xml:space="preserve"> may be helpful to update the rules on financial indices to reflect the developments that have taken place under the EU Benchmark Regulation (BMR), including in terms of representativeness of the market, appropriate publication and rebalancing. Certain aspects of the existing requirements might be able to be assumed where the administrator is subject to the BMR (or, e.g., where a third country administrator is recognised). </w:t>
      </w:r>
    </w:p>
    <w:p w14:paraId="33291A42" w14:textId="7212CC20" w:rsidR="00667FF6" w:rsidRDefault="00E46D24" w:rsidP="00E46D24">
      <w:r>
        <w:rPr>
          <w:rFonts w:ascii="Open Sans" w:hAnsi="Open Sans" w:cs="Open Sans"/>
          <w:sz w:val="20"/>
        </w:rPr>
        <w:t xml:space="preserve">The diversification and concentration requirements can also impact the eligibility of </w:t>
      </w:r>
      <w:r w:rsidRPr="002B2C4C">
        <w:rPr>
          <w:rFonts w:ascii="Open Sans" w:hAnsi="Open Sans" w:cs="Open Sans"/>
          <w:sz w:val="20"/>
        </w:rPr>
        <w:t>investing in certain indices</w:t>
      </w:r>
      <w:r>
        <w:rPr>
          <w:rFonts w:ascii="Open Sans" w:hAnsi="Open Sans" w:cs="Open Sans"/>
          <w:sz w:val="20"/>
        </w:rPr>
        <w:t>, particularly where a single issuer has a weighting above 10% in said index. This impacts the ability of index funds</w:t>
      </w:r>
      <w:r w:rsidRPr="00EF6D06">
        <w:rPr>
          <w:rFonts w:eastAsia="Times New Roman"/>
        </w:rPr>
        <w:t xml:space="preserve"> </w:t>
      </w:r>
      <w:r w:rsidRPr="00EF6D06">
        <w:rPr>
          <w:rFonts w:ascii="Open Sans" w:hAnsi="Open Sans" w:cs="Open Sans"/>
          <w:sz w:val="20"/>
        </w:rPr>
        <w:t>to optimise large indices but also continue to track their benchmarks</w:t>
      </w:r>
      <w:r>
        <w:rPr>
          <w:rFonts w:ascii="Open Sans" w:hAnsi="Open Sans" w:cs="Open Sans"/>
          <w:sz w:val="20"/>
        </w:rPr>
        <w:t xml:space="preserve">. To reflect the </w:t>
      </w:r>
      <w:r w:rsidRPr="00EF6D06">
        <w:rPr>
          <w:rFonts w:ascii="Open Sans" w:hAnsi="Open Sans" w:cs="Open Sans"/>
          <w:sz w:val="20"/>
        </w:rPr>
        <w:t>evolution of concentration over the past 10 years</w:t>
      </w:r>
      <w:r>
        <w:rPr>
          <w:rFonts w:ascii="Open Sans" w:hAnsi="Open Sans" w:cs="Open Sans"/>
          <w:sz w:val="20"/>
        </w:rPr>
        <w:t xml:space="preserve">, ESMA could consider further assessment of these rules, including potential exemptions for such optimising funds, to strike the right balance between </w:t>
      </w:r>
      <w:r w:rsidRPr="00EF6D06">
        <w:rPr>
          <w:rFonts w:ascii="Open Sans" w:hAnsi="Open Sans" w:cs="Open Sans"/>
          <w:sz w:val="20"/>
        </w:rPr>
        <w:t xml:space="preserve">avoiding excessive concentration </w:t>
      </w:r>
      <w:r>
        <w:rPr>
          <w:rFonts w:ascii="Open Sans" w:hAnsi="Open Sans" w:cs="Open Sans"/>
          <w:sz w:val="20"/>
        </w:rPr>
        <w:t>and</w:t>
      </w:r>
      <w:r w:rsidRPr="00EF6D06">
        <w:rPr>
          <w:rFonts w:ascii="Open Sans" w:hAnsi="Open Sans" w:cs="Open Sans"/>
          <w:sz w:val="20"/>
        </w:rPr>
        <w:t xml:space="preserve"> ensuring appropriate levels of diversification</w:t>
      </w:r>
      <w:r>
        <w:rPr>
          <w:rFonts w:ascii="Open Sans" w:hAnsi="Open Sans" w:cs="Open Sans"/>
          <w:sz w:val="20"/>
        </w:rPr>
        <w:t>.</w:t>
      </w:r>
    </w:p>
    <w:permEnd w:id="85149166"/>
    <w:p w14:paraId="4AE132E3" w14:textId="77777777" w:rsidR="00667FF6" w:rsidRDefault="00667FF6" w:rsidP="00667FF6">
      <w:r>
        <w:t>&lt;ESMA_QUESTION_EADC_2&gt;</w:t>
      </w:r>
    </w:p>
    <w:p w14:paraId="3C6A114C" w14:textId="77777777" w:rsidR="00667FF6" w:rsidRDefault="00667FF6" w:rsidP="00667FF6"/>
    <w:p w14:paraId="4C265A7D" w14:textId="0F8533C1" w:rsidR="00667FF6" w:rsidRDefault="00667FF6" w:rsidP="00DB686B">
      <w:pPr>
        <w:pStyle w:val="Questionstyle"/>
        <w:numPr>
          <w:ilvl w:val="0"/>
          <w:numId w:val="14"/>
        </w:numPr>
      </w:pPr>
      <w:r>
        <w:t>Have you experienced any recurring or significant issues with the interpretation or consistent application of UCITS EAD rules with respect to money market instruments? If so, please describe the issues you have experienced and how you would propose to amend the UCITS EAD to improve investor protection, clarity and supervisory convergence. Where relevant, please describe the specific characteristics of the money market instruments that raised doubts or concerns.</w:t>
      </w:r>
    </w:p>
    <w:p w14:paraId="766A4AFE" w14:textId="77777777" w:rsidR="00667FF6" w:rsidRDefault="00667FF6" w:rsidP="00667FF6">
      <w:r>
        <w:t>&lt;ESMA_QUESTION_EADC_3&gt;</w:t>
      </w:r>
    </w:p>
    <w:p w14:paraId="66CBED74" w14:textId="48D80D54" w:rsidR="00667FF6" w:rsidRDefault="009B7ED8" w:rsidP="00667FF6">
      <w:permStart w:id="1981048397" w:edGrp="everyone"/>
      <w:r w:rsidRPr="20C0B123">
        <w:rPr>
          <w:rFonts w:ascii="Open Sans" w:hAnsi="Open Sans" w:cs="Open Sans"/>
          <w:sz w:val="20"/>
        </w:rPr>
        <w:lastRenderedPageBreak/>
        <w:t xml:space="preserve">For many funds, the limitation of 10% </w:t>
      </w:r>
      <w:r>
        <w:rPr>
          <w:rFonts w:ascii="Open Sans" w:hAnsi="Open Sans" w:cs="Open Sans"/>
          <w:sz w:val="20"/>
        </w:rPr>
        <w:t xml:space="preserve">investment in </w:t>
      </w:r>
      <w:r w:rsidRPr="005B3610">
        <w:rPr>
          <w:rFonts w:ascii="Open Sans" w:hAnsi="Open Sans" w:cs="Open Sans"/>
          <w:sz w:val="20"/>
        </w:rPr>
        <w:t xml:space="preserve">money market instruments </w:t>
      </w:r>
      <w:r w:rsidRPr="20C0B123">
        <w:rPr>
          <w:rFonts w:ascii="Open Sans" w:hAnsi="Open Sans" w:cs="Open Sans"/>
          <w:sz w:val="20"/>
        </w:rPr>
        <w:t xml:space="preserve">has been a big issue and resulted in diminished yields for unutilised cash. Cash in custody accounts have been earning close to zero even in this higher rate environment where US and Gilt money funds have been earning </w:t>
      </w:r>
      <w:r>
        <w:rPr>
          <w:rFonts w:ascii="Open Sans" w:hAnsi="Open Sans" w:cs="Open Sans"/>
          <w:sz w:val="20"/>
        </w:rPr>
        <w:t xml:space="preserve">around </w:t>
      </w:r>
      <w:r w:rsidRPr="20C0B123">
        <w:rPr>
          <w:rFonts w:ascii="Open Sans" w:hAnsi="Open Sans" w:cs="Open Sans"/>
          <w:sz w:val="20"/>
        </w:rPr>
        <w:t>5%. Money market funds with T</w:t>
      </w:r>
      <w:r>
        <w:rPr>
          <w:rFonts w:ascii="Open Sans" w:hAnsi="Open Sans" w:cs="Open Sans"/>
          <w:sz w:val="20"/>
        </w:rPr>
        <w:t>+</w:t>
      </w:r>
      <w:r w:rsidRPr="20C0B123">
        <w:rPr>
          <w:rFonts w:ascii="Open Sans" w:hAnsi="Open Sans" w:cs="Open Sans"/>
          <w:sz w:val="20"/>
        </w:rPr>
        <w:t>0 liquidity are a useful tool for managing investor flows in and out of funds. With the 10% restriction it has meant that the main alternative is US T</w:t>
      </w:r>
      <w:r>
        <w:rPr>
          <w:rFonts w:ascii="Open Sans" w:hAnsi="Open Sans" w:cs="Open Sans"/>
          <w:sz w:val="20"/>
        </w:rPr>
        <w:t>-</w:t>
      </w:r>
      <w:r w:rsidRPr="20C0B123">
        <w:rPr>
          <w:rFonts w:ascii="Open Sans" w:hAnsi="Open Sans" w:cs="Open Sans"/>
          <w:sz w:val="20"/>
        </w:rPr>
        <w:t xml:space="preserve">bills which arguably increases concentration (e.g., US fiscal cliff concerns) but also given a fund is only allowed 100% exposure to any sovereign it can restrict the trading strategy because one cannot trade as many US bonds in a portfolio. For instance, a fund trading on derivatives may have 80-90% cash excess and so if they invest that cash in </w:t>
      </w:r>
      <w:proofErr w:type="gramStart"/>
      <w:r w:rsidRPr="20C0B123">
        <w:rPr>
          <w:rFonts w:ascii="Open Sans" w:hAnsi="Open Sans" w:cs="Open Sans"/>
          <w:sz w:val="20"/>
        </w:rPr>
        <w:t>T</w:t>
      </w:r>
      <w:r>
        <w:rPr>
          <w:rFonts w:ascii="Open Sans" w:hAnsi="Open Sans" w:cs="Open Sans"/>
          <w:sz w:val="20"/>
        </w:rPr>
        <w:t>-</w:t>
      </w:r>
      <w:r w:rsidRPr="20C0B123">
        <w:rPr>
          <w:rFonts w:ascii="Open Sans" w:hAnsi="Open Sans" w:cs="Open Sans"/>
          <w:sz w:val="20"/>
        </w:rPr>
        <w:t>bills</w:t>
      </w:r>
      <w:proofErr w:type="gramEnd"/>
      <w:r w:rsidRPr="20C0B123">
        <w:rPr>
          <w:rFonts w:ascii="Open Sans" w:hAnsi="Open Sans" w:cs="Open Sans"/>
          <w:sz w:val="20"/>
        </w:rPr>
        <w:t xml:space="preserve"> they may not be able to trade the longer bonds in their portfolio that they </w:t>
      </w:r>
      <w:r>
        <w:rPr>
          <w:rFonts w:ascii="Open Sans" w:hAnsi="Open Sans" w:cs="Open Sans"/>
          <w:sz w:val="20"/>
        </w:rPr>
        <w:t>trade</w:t>
      </w:r>
      <w:r w:rsidRPr="20C0B123">
        <w:rPr>
          <w:rFonts w:ascii="Open Sans" w:hAnsi="Open Sans" w:cs="Open Sans"/>
          <w:sz w:val="20"/>
        </w:rPr>
        <w:t xml:space="preserve"> in their </w:t>
      </w:r>
      <w:r>
        <w:rPr>
          <w:rFonts w:ascii="Open Sans" w:hAnsi="Open Sans" w:cs="Open Sans"/>
          <w:sz w:val="20"/>
        </w:rPr>
        <w:t xml:space="preserve">similar </w:t>
      </w:r>
      <w:r w:rsidRPr="20C0B123">
        <w:rPr>
          <w:rFonts w:ascii="Open Sans" w:hAnsi="Open Sans" w:cs="Open Sans"/>
          <w:sz w:val="20"/>
        </w:rPr>
        <w:t>offshore product.</w:t>
      </w:r>
    </w:p>
    <w:permEnd w:id="1981048397"/>
    <w:p w14:paraId="38616CA8" w14:textId="77777777" w:rsidR="00667FF6" w:rsidRDefault="00667FF6" w:rsidP="00667FF6">
      <w:r>
        <w:t>&lt;ESMA_QUESTION_EADC_3&gt;</w:t>
      </w:r>
    </w:p>
    <w:p w14:paraId="0C9249FE" w14:textId="77777777" w:rsidR="00667FF6" w:rsidRDefault="00667FF6" w:rsidP="00667FF6"/>
    <w:p w14:paraId="632D4A65" w14:textId="2A356142" w:rsidR="00667FF6" w:rsidRDefault="00667FF6" w:rsidP="00DB686B">
      <w:pPr>
        <w:pStyle w:val="Questionstyle"/>
        <w:numPr>
          <w:ilvl w:val="0"/>
          <w:numId w:val="14"/>
        </w:numPr>
      </w:pPr>
      <w:r>
        <w:t>Have you experienced any recurring or significant issues with the interpretation or consistent application of UCITS EAD provisions using the notions of « liquidity » or « liquid financial assets »? If so, please describe the issues you have experienced and how you would propose to amend the UCITS EAD to better specify these notions with a view to improving investor protection, clarity and supervisory convergence. Where relevant, please explain any differences to be made between the liquidity of different asset.</w:t>
      </w:r>
    </w:p>
    <w:p w14:paraId="5B8BFC93" w14:textId="77777777" w:rsidR="00667FF6" w:rsidRDefault="00667FF6" w:rsidP="00667FF6">
      <w:r>
        <w:t>&lt;ESMA_QUESTION_EADC_4&gt;</w:t>
      </w:r>
    </w:p>
    <w:p w14:paraId="2ABAF349" w14:textId="77777777" w:rsidR="005202F3" w:rsidRDefault="005202F3" w:rsidP="00667FF6">
      <w:pPr>
        <w:rPr>
          <w:rFonts w:ascii="Open Sans" w:hAnsi="Open Sans" w:cs="Open Sans"/>
          <w:sz w:val="20"/>
        </w:rPr>
      </w:pPr>
      <w:permStart w:id="1012351271" w:edGrp="everyone"/>
      <w:r w:rsidRPr="20C0B123">
        <w:rPr>
          <w:rFonts w:ascii="Open Sans" w:hAnsi="Open Sans" w:cs="Open Sans"/>
          <w:sz w:val="20"/>
        </w:rPr>
        <w:t xml:space="preserve">The notion of liquidity is difficult to define precisely, such that AIMA believes that further development of rules on the liquidity of eligible assets is impracticable. While market liquidity can be measured, an asset's liquidity is not absolute and can vary over time. </w:t>
      </w:r>
      <w:r>
        <w:rPr>
          <w:rFonts w:ascii="Open Sans" w:hAnsi="Open Sans" w:cs="Open Sans"/>
          <w:sz w:val="20"/>
        </w:rPr>
        <w:t>We believe t</w:t>
      </w:r>
      <w:r w:rsidRPr="20C0B123">
        <w:rPr>
          <w:rFonts w:ascii="Open Sans" w:hAnsi="Open Sans" w:cs="Open Sans"/>
          <w:sz w:val="20"/>
        </w:rPr>
        <w:t>he requirements set out in the UCITS Directive provide sufficient clarity. Designating a universe of inherently liquid assets through qualitative criteria or legal definitions is unfeasible and could have unintended systemic risk consequences.</w:t>
      </w:r>
    </w:p>
    <w:permEnd w:id="1012351271"/>
    <w:p w14:paraId="65B48BCF" w14:textId="3CE4A5D7" w:rsidR="00667FF6" w:rsidRDefault="00667FF6" w:rsidP="00667FF6">
      <w:r>
        <w:t>&lt;ESMA_QUESTION_EADC_4&gt;</w:t>
      </w:r>
    </w:p>
    <w:p w14:paraId="5A647590" w14:textId="77777777" w:rsidR="00667FF6" w:rsidRDefault="00667FF6" w:rsidP="00667FF6"/>
    <w:p w14:paraId="5AFF0EB2" w14:textId="77777777" w:rsidR="00667FF6" w:rsidRDefault="00667FF6" w:rsidP="00DB686B">
      <w:pPr>
        <w:pStyle w:val="Questionstyle"/>
        <w:numPr>
          <w:ilvl w:val="0"/>
          <w:numId w:val="14"/>
        </w:numPr>
      </w:pPr>
      <w:r>
        <w:t xml:space="preserve">The 2020 ESMA CSA on UCITS liquidity risk management identified issues with respect to the presumption of liquidity and negotiability set out in UCITS EAD. In light of the changed market conditions since 2007, do you consider such a presumption of liquidity and negotiability still appropriate? Where possible, </w:t>
      </w:r>
      <w:r>
        <w:lastRenderedPageBreak/>
        <w:t>please provide views, data or estimates on the possible impact of removing the presumption of liquidity and negotiability set out in the UCITS EAD.</w:t>
      </w:r>
    </w:p>
    <w:p w14:paraId="05E3A666" w14:textId="77777777" w:rsidR="00667FF6" w:rsidRDefault="00667FF6" w:rsidP="00667FF6">
      <w:r>
        <w:t>&lt;ESMA_QUESTION_EADC_5&gt;</w:t>
      </w:r>
    </w:p>
    <w:p w14:paraId="7E76A495" w14:textId="77777777" w:rsidR="00495921" w:rsidRDefault="00495921" w:rsidP="00495921">
      <w:pPr>
        <w:spacing w:after="200"/>
        <w:rPr>
          <w:rFonts w:ascii="Open Sans" w:hAnsi="Open Sans" w:cs="Open Sans"/>
          <w:sz w:val="20"/>
        </w:rPr>
      </w:pPr>
      <w:permStart w:id="1300367218" w:edGrp="everyone"/>
      <w:r>
        <w:rPr>
          <w:rFonts w:ascii="Open Sans" w:hAnsi="Open Sans" w:cs="Open Sans"/>
          <w:sz w:val="20"/>
        </w:rPr>
        <w:t>We consider that the rebuttable presumptions of liquidity and negotiability remain appropriate</w:t>
      </w:r>
      <w:r w:rsidRPr="00252A17">
        <w:rPr>
          <w:rFonts w:ascii="Open Sans" w:hAnsi="Open Sans" w:cs="Open Sans"/>
          <w:sz w:val="20"/>
        </w:rPr>
        <w:t xml:space="preserve">. This is especially the case for new primary issuance of bonds as there is no history of reliable trading data available directly for that bond for several days or weeks after it has been issued. In most cases it is possible to substantiate the presumption of liquidity and negotiability by using data from bonds already issued from the same issuer or bonds from different issuers with similar characteristics, however this is not always possible depending on the circumstances. Hence the presumption should remain. Limiting the ability for UCITS to take part in new primary issues by removing the </w:t>
      </w:r>
      <w:r>
        <w:rPr>
          <w:rFonts w:ascii="Open Sans" w:hAnsi="Open Sans" w:cs="Open Sans"/>
          <w:sz w:val="20"/>
        </w:rPr>
        <w:t xml:space="preserve">rebuttable presumptions </w:t>
      </w:r>
      <w:r w:rsidRPr="00252A17">
        <w:rPr>
          <w:rFonts w:ascii="Open Sans" w:hAnsi="Open Sans" w:cs="Open Sans"/>
          <w:sz w:val="20"/>
        </w:rPr>
        <w:t>of liquidity and negotiability would limit the returns provided to investors.</w:t>
      </w:r>
    </w:p>
    <w:p w14:paraId="09734178" w14:textId="1E4BF3FA" w:rsidR="00667FF6" w:rsidRDefault="00495921" w:rsidP="00495921">
      <w:r>
        <w:rPr>
          <w:rFonts w:ascii="Open Sans" w:hAnsi="Open Sans" w:cs="Open Sans"/>
          <w:sz w:val="20"/>
        </w:rPr>
        <w:t xml:space="preserve">Furthermore, ESMA has conducted much work on the </w:t>
      </w:r>
      <w:r w:rsidRPr="00FD2B60">
        <w:rPr>
          <w:rFonts w:ascii="Open Sans" w:hAnsi="Open Sans" w:cs="Open Sans"/>
          <w:sz w:val="20"/>
        </w:rPr>
        <w:t>liquidity risk management framework</w:t>
      </w:r>
      <w:r>
        <w:rPr>
          <w:rFonts w:ascii="Open Sans" w:hAnsi="Open Sans" w:cs="Open Sans"/>
          <w:sz w:val="20"/>
        </w:rPr>
        <w:t xml:space="preserve"> in recent years, which have sufficiently bolstered the presumptions of liquidity and negotiability. This includes the liquidity stress testing requirements UCITS have been subject to since 2020, which ensure that all liquidity risks are adequately assessed and captured on at least an annual basis, but typically more frequently; as well as the recently published changes to the UCITS Directive to broaden the availability of </w:t>
      </w:r>
      <w:r w:rsidRPr="00FD2B60">
        <w:rPr>
          <w:rFonts w:ascii="Open Sans" w:hAnsi="Open Sans" w:cs="Open Sans"/>
          <w:sz w:val="20"/>
        </w:rPr>
        <w:t xml:space="preserve">Liquidity Management Tools (LMTs) </w:t>
      </w:r>
      <w:r>
        <w:rPr>
          <w:rFonts w:ascii="Open Sans" w:hAnsi="Open Sans" w:cs="Open Sans"/>
          <w:sz w:val="20"/>
        </w:rPr>
        <w:t xml:space="preserve">used </w:t>
      </w:r>
      <w:r w:rsidRPr="00FD2B60">
        <w:rPr>
          <w:rFonts w:ascii="Open Sans" w:hAnsi="Open Sans" w:cs="Open Sans"/>
          <w:sz w:val="20"/>
        </w:rPr>
        <w:t>in UCITS funds</w:t>
      </w:r>
      <w:r>
        <w:rPr>
          <w:rFonts w:ascii="Open Sans" w:hAnsi="Open Sans" w:cs="Open Sans"/>
          <w:sz w:val="20"/>
        </w:rPr>
        <w:t>.</w:t>
      </w:r>
    </w:p>
    <w:permEnd w:id="1300367218"/>
    <w:p w14:paraId="25A344BA" w14:textId="77777777" w:rsidR="00667FF6" w:rsidRDefault="00667FF6" w:rsidP="00667FF6">
      <w:r>
        <w:t>&lt;ESMA_QUESTION_EADC_5&gt;</w:t>
      </w:r>
    </w:p>
    <w:p w14:paraId="03906CE4" w14:textId="77777777" w:rsidR="00667FF6" w:rsidRDefault="00667FF6" w:rsidP="00667FF6"/>
    <w:p w14:paraId="56AE07B8" w14:textId="3C764772" w:rsidR="00667FF6" w:rsidRDefault="00667FF6" w:rsidP="00DB686B">
      <w:pPr>
        <w:pStyle w:val="Questionstyle"/>
        <w:numPr>
          <w:ilvl w:val="0"/>
          <w:numId w:val="14"/>
        </w:numPr>
      </w:pPr>
      <w:r>
        <w:t>Please explain your understanding of the notion of ancillary liquid assets and any recurring or significant issues that you might have experienced in this context. Please clarify if these are held as bank deposits at sight and what else is used as ancillary liquid assets. Where relevant, please distinguish between ancillary liquid assets denominated in (1) the base currency of the fund and (2) foreign currencies.</w:t>
      </w:r>
    </w:p>
    <w:p w14:paraId="6D6B1414" w14:textId="77777777" w:rsidR="00667FF6" w:rsidRDefault="00667FF6" w:rsidP="00667FF6">
      <w:r>
        <w:t>&lt;ESMA_QUESTION_EADC_6&gt;</w:t>
      </w:r>
    </w:p>
    <w:p w14:paraId="33E6AA6B" w14:textId="77777777" w:rsidR="00AE39BC" w:rsidRDefault="00AE39BC" w:rsidP="00AE39BC">
      <w:pPr>
        <w:spacing w:after="200"/>
        <w:rPr>
          <w:rFonts w:ascii="Open Sans" w:hAnsi="Open Sans" w:cs="Open Sans"/>
          <w:sz w:val="20"/>
        </w:rPr>
      </w:pPr>
      <w:permStart w:id="974730357" w:edGrp="everyone"/>
      <w:r w:rsidRPr="00252A17">
        <w:rPr>
          <w:rFonts w:ascii="Open Sans" w:hAnsi="Open Sans" w:cs="Open Sans"/>
          <w:sz w:val="20"/>
        </w:rPr>
        <w:t xml:space="preserve">There has been some divergence of what ‘ancillary liquid assets’ are across Europe. It would be beneficial for a common </w:t>
      </w:r>
      <w:r>
        <w:rPr>
          <w:rFonts w:ascii="Open Sans" w:hAnsi="Open Sans" w:cs="Open Sans"/>
          <w:sz w:val="20"/>
        </w:rPr>
        <w:t>approach</w:t>
      </w:r>
      <w:r w:rsidRPr="00252A17">
        <w:rPr>
          <w:rFonts w:ascii="Open Sans" w:hAnsi="Open Sans" w:cs="Open Sans"/>
          <w:sz w:val="20"/>
        </w:rPr>
        <w:t xml:space="preserve"> to be used for all jurisdictions.</w:t>
      </w:r>
    </w:p>
    <w:p w14:paraId="30B803B8" w14:textId="77777777" w:rsidR="00AE39BC" w:rsidRDefault="00AE39BC" w:rsidP="00667FF6">
      <w:pPr>
        <w:rPr>
          <w:rFonts w:ascii="Open Sans" w:hAnsi="Open Sans" w:cs="Open Sans"/>
          <w:sz w:val="20"/>
        </w:rPr>
      </w:pPr>
      <w:r>
        <w:rPr>
          <w:rFonts w:ascii="Open Sans" w:hAnsi="Open Sans" w:cs="Open Sans"/>
          <w:sz w:val="20"/>
        </w:rPr>
        <w:t>We also note differences in the concentration thresholds applied to ancillary liquid assets across jurisdictions. In light of the move to shorter settlement cycles in the US raising the likelihood of s</w:t>
      </w:r>
      <w:r w:rsidRPr="00071CB1">
        <w:rPr>
          <w:rFonts w:ascii="Open Sans" w:hAnsi="Open Sans" w:cs="Open Sans"/>
          <w:sz w:val="20"/>
        </w:rPr>
        <w:t>ettlement mismatches between fund dealing cycles and the standard settlement cycle</w:t>
      </w:r>
      <w:r>
        <w:rPr>
          <w:rFonts w:ascii="Open Sans" w:hAnsi="Open Sans" w:cs="Open Sans"/>
          <w:sz w:val="20"/>
        </w:rPr>
        <w:t xml:space="preserve"> in Europe, </w:t>
      </w:r>
      <w:r>
        <w:rPr>
          <w:rFonts w:ascii="Open Sans" w:hAnsi="Open Sans" w:cs="Open Sans"/>
          <w:sz w:val="20"/>
        </w:rPr>
        <w:lastRenderedPageBreak/>
        <w:t xml:space="preserve">there is a higher risk of </w:t>
      </w:r>
      <w:r w:rsidRPr="00071CB1">
        <w:rPr>
          <w:rFonts w:ascii="Open Sans" w:hAnsi="Open Sans" w:cs="Open Sans"/>
          <w:sz w:val="20"/>
        </w:rPr>
        <w:t>potential breach</w:t>
      </w:r>
      <w:r>
        <w:rPr>
          <w:rFonts w:ascii="Open Sans" w:hAnsi="Open Sans" w:cs="Open Sans"/>
          <w:sz w:val="20"/>
        </w:rPr>
        <w:t xml:space="preserve"> of the varying limits. We recommend ESMA continue to coordinate with member NCAs on this issue, to drive regulatory convergence.</w:t>
      </w:r>
    </w:p>
    <w:permEnd w:id="974730357"/>
    <w:p w14:paraId="307CFCEA" w14:textId="06B03398" w:rsidR="00667FF6" w:rsidRDefault="00667FF6" w:rsidP="00667FF6">
      <w:r>
        <w:t>&lt;ESMA_QUESTION_EADC_6&gt;</w:t>
      </w:r>
    </w:p>
    <w:p w14:paraId="45FF66BD" w14:textId="77777777" w:rsidR="00667FF6" w:rsidRDefault="00667FF6" w:rsidP="00667FF6"/>
    <w:p w14:paraId="7215304E" w14:textId="40D71168" w:rsidR="00667FF6" w:rsidRDefault="00667FF6" w:rsidP="00DB686B">
      <w:pPr>
        <w:pStyle w:val="Questionstyle"/>
        <w:numPr>
          <w:ilvl w:val="0"/>
          <w:numId w:val="14"/>
        </w:numPr>
      </w:pPr>
      <w:r>
        <w:t>Beyond holding currency for liquidity purposes, do you think UCITS should be permitted to acquire or hold foreign currency also for investment purposes, taking into account the high volatility and devaluation/depreciation of some currencies? Where relevant, please distinguish between direct and indirect investments.</w:t>
      </w:r>
    </w:p>
    <w:p w14:paraId="31EB23C3" w14:textId="77777777" w:rsidR="00667FF6" w:rsidRDefault="00667FF6" w:rsidP="00667FF6">
      <w:r>
        <w:t>&lt;ESMA_QUESTION_EADC_7&gt;</w:t>
      </w:r>
    </w:p>
    <w:p w14:paraId="6BE06D34" w14:textId="77777777" w:rsidR="007855AE" w:rsidRDefault="007855AE" w:rsidP="00667FF6">
      <w:pPr>
        <w:rPr>
          <w:rFonts w:ascii="Open Sans" w:hAnsi="Open Sans" w:cs="Open Sans"/>
          <w:sz w:val="20"/>
        </w:rPr>
      </w:pPr>
      <w:permStart w:id="12191390" w:edGrp="everyone"/>
      <w:r w:rsidRPr="00252A17">
        <w:rPr>
          <w:rFonts w:ascii="Open Sans" w:hAnsi="Open Sans" w:cs="Open Sans"/>
          <w:sz w:val="20"/>
        </w:rPr>
        <w:t>We believe that UCITS should be permitted to acquire or hold foreign currency for investment purposes</w:t>
      </w:r>
      <w:r>
        <w:rPr>
          <w:rFonts w:ascii="Open Sans" w:hAnsi="Open Sans" w:cs="Open Sans"/>
          <w:sz w:val="20"/>
        </w:rPr>
        <w:t xml:space="preserve">, </w:t>
      </w:r>
      <w:r w:rsidRPr="0053187C">
        <w:rPr>
          <w:rFonts w:ascii="Open Sans" w:hAnsi="Open Sans" w:cs="Open Sans"/>
          <w:sz w:val="20"/>
        </w:rPr>
        <w:t>provided the associated risks are adequately disclosed and effectively managed in accordance with the same principles as for other asset</w:t>
      </w:r>
      <w:r>
        <w:rPr>
          <w:rFonts w:ascii="Open Sans" w:hAnsi="Open Sans" w:cs="Open Sans"/>
          <w:sz w:val="20"/>
        </w:rPr>
        <w:t>s</w:t>
      </w:r>
      <w:r w:rsidRPr="00252A17">
        <w:rPr>
          <w:rFonts w:ascii="Open Sans" w:hAnsi="Open Sans" w:cs="Open Sans"/>
          <w:sz w:val="20"/>
        </w:rPr>
        <w:t>. Holding foreign currencies opens opportunities for potential gains from favourable exchange rate movements, contributing to enhanced returns. Investment managers can leverage currency movements as part of their active management strategies, optimising performance through tactical positioning. In the main, currency volatility is much lower than equity volatility. Currently, equity volatility of most global indices is 3 times higher than most G10 and EM currencies. NASDAQ is 15% which is higher than both the Brazilian Real and the Chilean Peso. We believe that permitting access to foreign currencies supports a more robust and versatile investment strategy, thereby enabling investment managers to respond effectively to changing global market conditions and taking advantage of diverse investment opportunities.</w:t>
      </w:r>
    </w:p>
    <w:permEnd w:id="12191390"/>
    <w:p w14:paraId="1D468445" w14:textId="32D9E2D9" w:rsidR="00667FF6" w:rsidRDefault="00667FF6" w:rsidP="00667FF6">
      <w:r>
        <w:t>&lt;ESMA_QUESTION_EADC_7&gt;</w:t>
      </w:r>
    </w:p>
    <w:p w14:paraId="354CFACC" w14:textId="77777777" w:rsidR="00667FF6" w:rsidRDefault="00667FF6" w:rsidP="00667FF6"/>
    <w:p w14:paraId="653E32A2" w14:textId="77777777" w:rsidR="00667FF6" w:rsidRDefault="00667FF6" w:rsidP="00DB686B">
      <w:pPr>
        <w:pStyle w:val="Questionstyle"/>
        <w:numPr>
          <w:ilvl w:val="0"/>
          <w:numId w:val="14"/>
        </w:numPr>
      </w:pPr>
      <w:r>
        <w:t>Have you observed any recurring or significant issues with the interpretation or consistent application of the 10% limit set out in the UCITS Directive for investments in transferable securities and money market instruments other than those referred to in Article 50(1) of the UCITS Directive? If so, please explain the issues and how you would propose to address them in the UCITS EAD with a view to improving investor protection, clarity and supervisory convergence.</w:t>
      </w:r>
    </w:p>
    <w:p w14:paraId="1E29587B" w14:textId="77777777" w:rsidR="00667FF6" w:rsidRDefault="00667FF6" w:rsidP="00667FF6">
      <w:r>
        <w:t>&lt;ESMA_QUESTION_EADC_8&gt;</w:t>
      </w:r>
    </w:p>
    <w:p w14:paraId="07257B03" w14:textId="77777777" w:rsidR="00AD37A7" w:rsidRDefault="00AD37A7" w:rsidP="00667FF6">
      <w:pPr>
        <w:rPr>
          <w:rFonts w:ascii="Open Sans" w:hAnsi="Open Sans" w:cs="Open Sans"/>
          <w:sz w:val="20"/>
        </w:rPr>
      </w:pPr>
      <w:permStart w:id="1602386857" w:edGrp="everyone"/>
      <w:r w:rsidRPr="00252A17">
        <w:rPr>
          <w:rFonts w:ascii="Open Sans" w:hAnsi="Open Sans" w:cs="Open Sans"/>
          <w:sz w:val="20"/>
        </w:rPr>
        <w:lastRenderedPageBreak/>
        <w:t>We believe that there should be an increase to the limit for money market instruments and allowance for multiple allocations to different providers. As an example, 30% per provider up to a maximum of 80-90%.</w:t>
      </w:r>
    </w:p>
    <w:permEnd w:id="1602386857"/>
    <w:p w14:paraId="720FFABA" w14:textId="7DF3A59D" w:rsidR="00667FF6" w:rsidRDefault="00667FF6" w:rsidP="00667FF6">
      <w:r>
        <w:t>&lt;ESMA_QUESTION_EADC_8&gt;</w:t>
      </w:r>
    </w:p>
    <w:p w14:paraId="6A129E5D" w14:textId="77777777" w:rsidR="00667FF6" w:rsidRDefault="00667FF6" w:rsidP="00667FF6"/>
    <w:p w14:paraId="67524C18" w14:textId="0AFAC158" w:rsidR="00667FF6" w:rsidRDefault="00667FF6" w:rsidP="00DB686B">
      <w:pPr>
        <w:pStyle w:val="Questionstyle"/>
        <w:numPr>
          <w:ilvl w:val="0"/>
          <w:numId w:val="14"/>
        </w:numPr>
      </w:pPr>
      <w:r>
        <w:t>Are the ‘transferable security’ criteria set out in the UCITS EAD adequate and clear enough? If not, please describe any recurring or significant issues that you have observed and how you would propose to amend the UCITS EAD to improve investor protection, clarity and supervisory convergence.</w:t>
      </w:r>
    </w:p>
    <w:p w14:paraId="5B3E2DA7" w14:textId="77777777" w:rsidR="00667FF6" w:rsidRDefault="00667FF6" w:rsidP="00667FF6">
      <w:r>
        <w:t>&lt;ESMA_QUESTION_EADC_9&gt;</w:t>
      </w:r>
    </w:p>
    <w:p w14:paraId="0D6EE3C2" w14:textId="522F5205" w:rsidR="003307E3" w:rsidRDefault="003307E3" w:rsidP="003307E3">
      <w:pPr>
        <w:spacing w:after="200"/>
        <w:rPr>
          <w:rFonts w:ascii="Open Sans" w:hAnsi="Open Sans" w:cs="Open Sans"/>
          <w:sz w:val="20"/>
        </w:rPr>
      </w:pPr>
      <w:permStart w:id="1226657538" w:edGrp="everyone"/>
      <w:r w:rsidRPr="00124946">
        <w:rPr>
          <w:rFonts w:ascii="Open Sans" w:hAnsi="Open Sans" w:cs="Open Sans"/>
          <w:sz w:val="20"/>
        </w:rPr>
        <w:t xml:space="preserve">We </w:t>
      </w:r>
      <w:r>
        <w:rPr>
          <w:rFonts w:ascii="Open Sans" w:hAnsi="Open Sans" w:cs="Open Sans"/>
          <w:sz w:val="20"/>
        </w:rPr>
        <w:t>bel</w:t>
      </w:r>
      <w:r>
        <w:rPr>
          <w:rFonts w:ascii="Open Sans" w:hAnsi="Open Sans" w:cs="Open Sans"/>
          <w:sz w:val="20"/>
        </w:rPr>
        <w:t>i</w:t>
      </w:r>
      <w:r>
        <w:rPr>
          <w:rFonts w:ascii="Open Sans" w:hAnsi="Open Sans" w:cs="Open Sans"/>
          <w:sz w:val="20"/>
        </w:rPr>
        <w:t>eve the criteria are sufficiently clear.</w:t>
      </w:r>
    </w:p>
    <w:p w14:paraId="722439F4" w14:textId="77777777" w:rsidR="003307E3" w:rsidRDefault="003307E3" w:rsidP="003307E3">
      <w:pPr>
        <w:spacing w:after="200"/>
        <w:rPr>
          <w:rFonts w:ascii="Open Sans" w:hAnsi="Open Sans" w:cs="Open Sans"/>
          <w:sz w:val="20"/>
        </w:rPr>
      </w:pPr>
      <w:r>
        <w:rPr>
          <w:rFonts w:ascii="Open Sans" w:hAnsi="Open Sans" w:cs="Open Sans"/>
          <w:sz w:val="20"/>
        </w:rPr>
        <w:t>However, w</w:t>
      </w:r>
      <w:r w:rsidRPr="00252A17">
        <w:rPr>
          <w:rFonts w:ascii="Open Sans" w:hAnsi="Open Sans" w:cs="Open Sans"/>
          <w:sz w:val="20"/>
        </w:rPr>
        <w:t xml:space="preserve">e believe that the definition of </w:t>
      </w:r>
      <w:r>
        <w:rPr>
          <w:rFonts w:ascii="Open Sans" w:hAnsi="Open Sans" w:cs="Open Sans"/>
          <w:sz w:val="20"/>
        </w:rPr>
        <w:t>’</w:t>
      </w:r>
      <w:r w:rsidRPr="00252A17">
        <w:rPr>
          <w:rFonts w:ascii="Open Sans" w:hAnsi="Open Sans" w:cs="Open Sans"/>
          <w:sz w:val="20"/>
        </w:rPr>
        <w:t>transferable securities</w:t>
      </w:r>
      <w:r>
        <w:rPr>
          <w:rFonts w:ascii="Open Sans" w:hAnsi="Open Sans" w:cs="Open Sans"/>
          <w:sz w:val="20"/>
        </w:rPr>
        <w:t>‘</w:t>
      </w:r>
      <w:r w:rsidRPr="00252A17">
        <w:rPr>
          <w:rFonts w:ascii="Open Sans" w:hAnsi="Open Sans" w:cs="Open Sans"/>
          <w:sz w:val="20"/>
        </w:rPr>
        <w:t xml:space="preserve"> could be broadened </w:t>
      </w:r>
      <w:r>
        <w:rPr>
          <w:rFonts w:ascii="Open Sans" w:hAnsi="Open Sans" w:cs="Open Sans"/>
          <w:sz w:val="20"/>
        </w:rPr>
        <w:t xml:space="preserve">to </w:t>
      </w:r>
      <w:r w:rsidRPr="00252A17">
        <w:rPr>
          <w:rFonts w:ascii="Open Sans" w:hAnsi="Open Sans" w:cs="Open Sans"/>
          <w:sz w:val="20"/>
        </w:rPr>
        <w:t xml:space="preserve">allow for the investment by UCITS in all forms of tradeable financial assets. This should encompass financial assets that are both legally transferable and have some liquidity due to the existence of some form of regular market, even if it is not a </w:t>
      </w:r>
      <w:r>
        <w:rPr>
          <w:rFonts w:ascii="Open Sans" w:hAnsi="Open Sans" w:cs="Open Sans"/>
          <w:sz w:val="20"/>
        </w:rPr>
        <w:t>‘</w:t>
      </w:r>
      <w:r w:rsidRPr="00252A17">
        <w:rPr>
          <w:rFonts w:ascii="Open Sans" w:hAnsi="Open Sans" w:cs="Open Sans"/>
          <w:sz w:val="20"/>
        </w:rPr>
        <w:t>regulated market</w:t>
      </w:r>
      <w:r>
        <w:rPr>
          <w:rFonts w:ascii="Open Sans" w:hAnsi="Open Sans" w:cs="Open Sans"/>
          <w:sz w:val="20"/>
        </w:rPr>
        <w:t>’</w:t>
      </w:r>
      <w:r w:rsidRPr="00252A17">
        <w:rPr>
          <w:rFonts w:ascii="Open Sans" w:hAnsi="Open Sans" w:cs="Open Sans"/>
          <w:sz w:val="20"/>
        </w:rPr>
        <w:t xml:space="preserve"> as defined in MiFID.</w:t>
      </w:r>
      <w:r>
        <w:rPr>
          <w:rFonts w:ascii="Open Sans" w:hAnsi="Open Sans" w:cs="Open Sans"/>
          <w:sz w:val="20"/>
        </w:rPr>
        <w:t xml:space="preserve"> We also think it would be helpful for an </w:t>
      </w:r>
      <w:r w:rsidRPr="00C9657B">
        <w:rPr>
          <w:rFonts w:ascii="Open Sans" w:hAnsi="Open Sans" w:cs="Open Sans"/>
          <w:sz w:val="20"/>
        </w:rPr>
        <w:t xml:space="preserve">alignment of interpretation around what a </w:t>
      </w:r>
      <w:r>
        <w:rPr>
          <w:rFonts w:ascii="Open Sans" w:hAnsi="Open Sans" w:cs="Open Sans"/>
          <w:sz w:val="20"/>
        </w:rPr>
        <w:t>‘</w:t>
      </w:r>
      <w:r w:rsidRPr="00C9657B">
        <w:rPr>
          <w:rFonts w:ascii="Open Sans" w:hAnsi="Open Sans" w:cs="Open Sans"/>
          <w:sz w:val="20"/>
        </w:rPr>
        <w:t>regulated market</w:t>
      </w:r>
      <w:r>
        <w:rPr>
          <w:rFonts w:ascii="Open Sans" w:hAnsi="Open Sans" w:cs="Open Sans"/>
          <w:sz w:val="20"/>
        </w:rPr>
        <w:t>’</w:t>
      </w:r>
      <w:r w:rsidRPr="00C9657B">
        <w:rPr>
          <w:rFonts w:ascii="Open Sans" w:hAnsi="Open Sans" w:cs="Open Sans"/>
          <w:sz w:val="20"/>
        </w:rPr>
        <w:t xml:space="preserve"> is.</w:t>
      </w:r>
    </w:p>
    <w:p w14:paraId="72D0337C" w14:textId="77777777" w:rsidR="003307E3" w:rsidRDefault="003307E3" w:rsidP="003307E3">
      <w:pPr>
        <w:spacing w:after="200"/>
        <w:rPr>
          <w:rFonts w:ascii="Open Sans" w:hAnsi="Open Sans" w:cs="Open Sans"/>
          <w:sz w:val="20"/>
        </w:rPr>
      </w:pPr>
      <w:r>
        <w:rPr>
          <w:rFonts w:ascii="Open Sans" w:hAnsi="Open Sans" w:cs="Open Sans"/>
          <w:sz w:val="20"/>
        </w:rPr>
        <w:t xml:space="preserve">Regarding the requirement for a transferable security to be traded on a ‘regulated market’ as defined in MiFID, we consider that </w:t>
      </w:r>
      <w:r w:rsidRPr="00B23683">
        <w:rPr>
          <w:rFonts w:ascii="Open Sans" w:hAnsi="Open Sans" w:cs="Open Sans"/>
          <w:sz w:val="20"/>
        </w:rPr>
        <w:t xml:space="preserve">digital trading exchanges </w:t>
      </w:r>
      <w:r>
        <w:rPr>
          <w:rFonts w:ascii="Open Sans" w:hAnsi="Open Sans" w:cs="Open Sans"/>
          <w:sz w:val="20"/>
        </w:rPr>
        <w:t xml:space="preserve">also </w:t>
      </w:r>
      <w:r w:rsidRPr="00B23683">
        <w:rPr>
          <w:rFonts w:ascii="Open Sans" w:hAnsi="Open Sans" w:cs="Open Sans"/>
          <w:sz w:val="20"/>
        </w:rPr>
        <w:t>satisfy these criteria</w:t>
      </w:r>
      <w:r>
        <w:rPr>
          <w:rFonts w:ascii="Open Sans" w:hAnsi="Open Sans" w:cs="Open Sans"/>
          <w:sz w:val="20"/>
        </w:rPr>
        <w:t xml:space="preserve">, given </w:t>
      </w:r>
      <w:r w:rsidRPr="00B23683">
        <w:rPr>
          <w:rFonts w:ascii="Open Sans" w:hAnsi="Open Sans" w:cs="Open Sans"/>
          <w:sz w:val="20"/>
        </w:rPr>
        <w:t>they play a</w:t>
      </w:r>
      <w:r>
        <w:rPr>
          <w:rFonts w:ascii="Open Sans" w:hAnsi="Open Sans" w:cs="Open Sans"/>
          <w:sz w:val="20"/>
        </w:rPr>
        <w:t xml:space="preserve"> crucial</w:t>
      </w:r>
      <w:r w:rsidRPr="00B23683">
        <w:rPr>
          <w:rFonts w:ascii="Open Sans" w:hAnsi="Open Sans" w:cs="Open Sans"/>
          <w:sz w:val="20"/>
        </w:rPr>
        <w:t xml:space="preserve"> role in the price discovery process, </w:t>
      </w:r>
      <w:r>
        <w:rPr>
          <w:rFonts w:ascii="Open Sans" w:hAnsi="Open Sans" w:cs="Open Sans"/>
          <w:sz w:val="20"/>
        </w:rPr>
        <w:t xml:space="preserve">and </w:t>
      </w:r>
      <w:r w:rsidRPr="00B23683">
        <w:rPr>
          <w:rFonts w:ascii="Open Sans" w:hAnsi="Open Sans" w:cs="Open Sans"/>
          <w:sz w:val="20"/>
        </w:rPr>
        <w:t xml:space="preserve">provide a mechanism for trading and liquidity, </w:t>
      </w:r>
      <w:r>
        <w:rPr>
          <w:rFonts w:ascii="Open Sans" w:hAnsi="Open Sans" w:cs="Open Sans"/>
          <w:sz w:val="20"/>
        </w:rPr>
        <w:t xml:space="preserve">similar to existing regulated markets. These exchanges are also subject to regulatory oversight and control under </w:t>
      </w:r>
      <w:r w:rsidRPr="00B23683">
        <w:rPr>
          <w:rFonts w:ascii="Open Sans" w:hAnsi="Open Sans" w:cs="Open Sans"/>
          <w:sz w:val="20"/>
        </w:rPr>
        <w:t>the Markets in Crypto-assets Regulation (MiCA)</w:t>
      </w:r>
      <w:r>
        <w:rPr>
          <w:rFonts w:ascii="Open Sans" w:hAnsi="Open Sans" w:cs="Open Sans"/>
          <w:sz w:val="20"/>
        </w:rPr>
        <w:t>.</w:t>
      </w:r>
    </w:p>
    <w:p w14:paraId="6366C19F" w14:textId="77777777" w:rsidR="003307E3" w:rsidRDefault="003307E3" w:rsidP="00667FF6">
      <w:pPr>
        <w:rPr>
          <w:rFonts w:ascii="Open Sans" w:hAnsi="Open Sans" w:cs="Open Sans"/>
          <w:sz w:val="20"/>
        </w:rPr>
      </w:pPr>
      <w:r>
        <w:rPr>
          <w:rFonts w:ascii="Open Sans" w:hAnsi="Open Sans" w:cs="Open Sans"/>
          <w:sz w:val="20"/>
        </w:rPr>
        <w:t xml:space="preserve">In addition, </w:t>
      </w:r>
      <w:r w:rsidRPr="00DB01AB">
        <w:rPr>
          <w:rFonts w:ascii="Open Sans" w:hAnsi="Open Sans" w:cs="Open Sans"/>
          <w:sz w:val="20"/>
        </w:rPr>
        <w:t xml:space="preserve">the definition of a ‘financial instrument’ in MiFID, which includes ‘transferable securities’, </w:t>
      </w:r>
      <w:r>
        <w:rPr>
          <w:rFonts w:ascii="Open Sans" w:hAnsi="Open Sans" w:cs="Open Sans"/>
          <w:sz w:val="20"/>
        </w:rPr>
        <w:t>has been</w:t>
      </w:r>
      <w:r w:rsidRPr="00DB01AB">
        <w:rPr>
          <w:rFonts w:ascii="Open Sans" w:hAnsi="Open Sans" w:cs="Open Sans"/>
          <w:sz w:val="20"/>
        </w:rPr>
        <w:t xml:space="preserve"> expanded to include any traditional ‘financial instrument’ listed in Section C of Annex I of MiFID II which is issued via distributed ledger technology – </w:t>
      </w:r>
      <w:r>
        <w:rPr>
          <w:rFonts w:ascii="Open Sans" w:hAnsi="Open Sans" w:cs="Open Sans"/>
          <w:sz w:val="20"/>
        </w:rPr>
        <w:t xml:space="preserve">thus, </w:t>
      </w:r>
      <w:r w:rsidRPr="00DB01AB">
        <w:rPr>
          <w:rFonts w:ascii="Open Sans" w:hAnsi="Open Sans" w:cs="Open Sans"/>
          <w:sz w:val="20"/>
        </w:rPr>
        <w:t>for the purposes of legal certainty, guidance would be welcome clarifying that this revised definition should be extend</w:t>
      </w:r>
      <w:r>
        <w:rPr>
          <w:rFonts w:ascii="Open Sans" w:hAnsi="Open Sans" w:cs="Open Sans"/>
          <w:sz w:val="20"/>
        </w:rPr>
        <w:t>ed</w:t>
      </w:r>
      <w:r w:rsidRPr="00DB01AB">
        <w:rPr>
          <w:rFonts w:ascii="Open Sans" w:hAnsi="Open Sans" w:cs="Open Sans"/>
          <w:sz w:val="20"/>
        </w:rPr>
        <w:t xml:space="preserve"> to the </w:t>
      </w:r>
      <w:r>
        <w:rPr>
          <w:rFonts w:ascii="Open Sans" w:hAnsi="Open Sans" w:cs="Open Sans"/>
          <w:sz w:val="20"/>
        </w:rPr>
        <w:t xml:space="preserve">UCITS </w:t>
      </w:r>
      <w:r w:rsidRPr="00DB01AB">
        <w:rPr>
          <w:rFonts w:ascii="Open Sans" w:hAnsi="Open Sans" w:cs="Open Sans"/>
          <w:sz w:val="20"/>
        </w:rPr>
        <w:t xml:space="preserve">EAD. </w:t>
      </w:r>
      <w:r>
        <w:rPr>
          <w:rFonts w:ascii="Open Sans" w:hAnsi="Open Sans" w:cs="Open Sans"/>
          <w:sz w:val="20"/>
        </w:rPr>
        <w:t>T</w:t>
      </w:r>
      <w:r w:rsidRPr="00DB01AB">
        <w:rPr>
          <w:rFonts w:ascii="Open Sans" w:hAnsi="Open Sans" w:cs="Open Sans"/>
          <w:sz w:val="20"/>
        </w:rPr>
        <w:t xml:space="preserve">his clarification would be </w:t>
      </w:r>
      <w:r>
        <w:rPr>
          <w:rFonts w:ascii="Open Sans" w:hAnsi="Open Sans" w:cs="Open Sans"/>
          <w:sz w:val="20"/>
        </w:rPr>
        <w:t>helpful</w:t>
      </w:r>
      <w:r w:rsidRPr="00DB01AB">
        <w:rPr>
          <w:rFonts w:ascii="Open Sans" w:hAnsi="Open Sans" w:cs="Open Sans"/>
          <w:sz w:val="20"/>
        </w:rPr>
        <w:t xml:space="preserve"> </w:t>
      </w:r>
      <w:r>
        <w:rPr>
          <w:rFonts w:ascii="Open Sans" w:hAnsi="Open Sans" w:cs="Open Sans"/>
          <w:sz w:val="20"/>
        </w:rPr>
        <w:t>g</w:t>
      </w:r>
      <w:r w:rsidRPr="00DB01AB">
        <w:rPr>
          <w:rFonts w:ascii="Open Sans" w:hAnsi="Open Sans" w:cs="Open Sans"/>
          <w:sz w:val="20"/>
        </w:rPr>
        <w:t>iven the increasing u</w:t>
      </w:r>
      <w:r>
        <w:rPr>
          <w:rFonts w:ascii="Open Sans" w:hAnsi="Open Sans" w:cs="Open Sans"/>
          <w:sz w:val="20"/>
        </w:rPr>
        <w:t>tilisation</w:t>
      </w:r>
      <w:r w:rsidRPr="00DB01AB">
        <w:rPr>
          <w:rFonts w:ascii="Open Sans" w:hAnsi="Open Sans" w:cs="Open Sans"/>
          <w:sz w:val="20"/>
        </w:rPr>
        <w:t xml:space="preserve"> and </w:t>
      </w:r>
      <w:r>
        <w:rPr>
          <w:rFonts w:ascii="Open Sans" w:hAnsi="Open Sans" w:cs="Open Sans"/>
          <w:sz w:val="20"/>
        </w:rPr>
        <w:t xml:space="preserve">purported </w:t>
      </w:r>
      <w:r w:rsidRPr="00DB01AB">
        <w:rPr>
          <w:rFonts w:ascii="Open Sans" w:hAnsi="Open Sans" w:cs="Open Sans"/>
          <w:sz w:val="20"/>
        </w:rPr>
        <w:t>benefits of tokenised assets</w:t>
      </w:r>
      <w:r>
        <w:rPr>
          <w:rFonts w:ascii="Open Sans" w:hAnsi="Open Sans" w:cs="Open Sans"/>
          <w:sz w:val="20"/>
        </w:rPr>
        <w:t>.</w:t>
      </w:r>
    </w:p>
    <w:permEnd w:id="1226657538"/>
    <w:p w14:paraId="362436C7" w14:textId="53223C0E" w:rsidR="00667FF6" w:rsidRDefault="00667FF6" w:rsidP="00667FF6">
      <w:r>
        <w:t>&lt;ESMA_QUESTION_EADC_9&gt;</w:t>
      </w:r>
    </w:p>
    <w:p w14:paraId="2656408B" w14:textId="77777777" w:rsidR="00667FF6" w:rsidRDefault="00667FF6" w:rsidP="00667FF6"/>
    <w:p w14:paraId="55F6DC93" w14:textId="75E394F8" w:rsidR="00667FF6" w:rsidRDefault="00667FF6" w:rsidP="00DB686B">
      <w:pPr>
        <w:pStyle w:val="Questionstyle"/>
        <w:numPr>
          <w:ilvl w:val="0"/>
          <w:numId w:val="14"/>
        </w:numPr>
      </w:pPr>
      <w:r>
        <w:lastRenderedPageBreak/>
        <w:t>How are the valuation and risk management-related criteria set out in the UCITS EAD interpreted and applied in practice, in particular the need for (1) risks to be “adequately captured” by the risk management process and (2) having “reliable” valuation/prices. Please describe any recurring or significant issues that you have observed with the interpretation or consistent application of these criteria and how you would propose to amend the UCITS EAD to improve investor protection, clarity and supervisory convergence.</w:t>
      </w:r>
    </w:p>
    <w:p w14:paraId="7A78E990" w14:textId="77777777" w:rsidR="00667FF6" w:rsidRDefault="00667FF6" w:rsidP="00667FF6">
      <w:r>
        <w:t>&lt;ESMA_QUESTION_EADC_10&gt;</w:t>
      </w:r>
    </w:p>
    <w:p w14:paraId="19861397" w14:textId="77777777" w:rsidR="00C42828" w:rsidRDefault="00C42828" w:rsidP="00667FF6">
      <w:pPr>
        <w:rPr>
          <w:rFonts w:ascii="Open Sans" w:hAnsi="Open Sans" w:cs="Open Sans"/>
          <w:sz w:val="20"/>
        </w:rPr>
      </w:pPr>
      <w:permStart w:id="1286214635" w:edGrp="everyone"/>
      <w:r w:rsidRPr="00CE0B8D">
        <w:rPr>
          <w:rFonts w:ascii="Open Sans" w:hAnsi="Open Sans" w:cs="Open Sans"/>
          <w:sz w:val="20"/>
        </w:rPr>
        <w:t xml:space="preserve">We believe the criteria set out in the </w:t>
      </w:r>
      <w:r>
        <w:rPr>
          <w:rFonts w:ascii="Open Sans" w:hAnsi="Open Sans" w:cs="Open Sans"/>
          <w:sz w:val="20"/>
        </w:rPr>
        <w:t xml:space="preserve">UCITS </w:t>
      </w:r>
      <w:r w:rsidRPr="00CE0B8D">
        <w:rPr>
          <w:rFonts w:ascii="Open Sans" w:hAnsi="Open Sans" w:cs="Open Sans"/>
          <w:sz w:val="20"/>
        </w:rPr>
        <w:t>EAD are sufficiently clear. In our view the introduction of more detailed criteria is not possible given the range of eligible assets.</w:t>
      </w:r>
    </w:p>
    <w:permEnd w:id="1286214635"/>
    <w:p w14:paraId="596ED339" w14:textId="3C796E37" w:rsidR="00667FF6" w:rsidRDefault="00667FF6" w:rsidP="00667FF6">
      <w:r>
        <w:t>&lt;ESMA_QUESTION_EADC_10&gt;</w:t>
      </w:r>
    </w:p>
    <w:p w14:paraId="0BAA1A76" w14:textId="77777777" w:rsidR="00667FF6" w:rsidRDefault="00667FF6" w:rsidP="00667FF6"/>
    <w:p w14:paraId="17C5D1CC" w14:textId="6F44228F" w:rsidR="00667FF6" w:rsidRDefault="00667FF6" w:rsidP="00DB686B">
      <w:pPr>
        <w:pStyle w:val="Questionstyle"/>
        <w:numPr>
          <w:ilvl w:val="0"/>
          <w:numId w:val="14"/>
        </w:numPr>
      </w:pPr>
      <w:r>
        <w:t>Are the UCITS EAD provisions on investments in financial instruments backed by, or linked to the performance of assets other than those listed in Article 50(1) of the UCITS Directive adequate and clear enough? Please describe any recurring or significant issues that you have observed in this respect and how you would propose to amend the UCITS EAD to improve investor protection, clarity and supervisory convergence.</w:t>
      </w:r>
    </w:p>
    <w:p w14:paraId="1B0E4A0A" w14:textId="77777777" w:rsidR="00667FF6" w:rsidRDefault="00667FF6" w:rsidP="00667FF6">
      <w:r>
        <w:t>&lt;ESMA_QUESTION_EADC_11&gt;</w:t>
      </w:r>
    </w:p>
    <w:p w14:paraId="11938838" w14:textId="77777777" w:rsidR="00427C90" w:rsidRDefault="00427C90" w:rsidP="00667FF6">
      <w:pPr>
        <w:rPr>
          <w:rFonts w:ascii="Open Sans" w:hAnsi="Open Sans" w:cs="Open Sans"/>
          <w:sz w:val="20"/>
        </w:rPr>
      </w:pPr>
      <w:permStart w:id="704664972" w:edGrp="everyone"/>
      <w:r w:rsidRPr="003C6375">
        <w:rPr>
          <w:rFonts w:ascii="Open Sans" w:hAnsi="Open Sans" w:cs="Open Sans"/>
          <w:sz w:val="20"/>
        </w:rPr>
        <w:t>Yes, we consider these are sufficiently clear.</w:t>
      </w:r>
    </w:p>
    <w:permEnd w:id="704664972"/>
    <w:p w14:paraId="0F547A6E" w14:textId="304992DA" w:rsidR="00667FF6" w:rsidRDefault="00667FF6" w:rsidP="00667FF6">
      <w:r>
        <w:t>&lt;ESMA_QUESTION_EADC_11&gt;</w:t>
      </w:r>
    </w:p>
    <w:p w14:paraId="36E977FF" w14:textId="77777777" w:rsidR="00667FF6" w:rsidRDefault="00667FF6" w:rsidP="00667FF6"/>
    <w:p w14:paraId="35AD47A8" w14:textId="19BAFAEA" w:rsidR="00667FF6" w:rsidRDefault="00667FF6" w:rsidP="00DB686B">
      <w:pPr>
        <w:pStyle w:val="Questionstyle"/>
        <w:numPr>
          <w:ilvl w:val="0"/>
          <w:numId w:val="14"/>
        </w:numPr>
      </w:pPr>
      <w:r>
        <w:t>Is the concept of « embedded » derivatives set out in the UCITS EAD adequate and clear enough? Please describe any recurring or significant issues that you have observed with the interpretation or consistent application of this concept and how you would propose to amend UCITS EAD to improve investor protection, clarity and supervisory convergence.</w:t>
      </w:r>
    </w:p>
    <w:p w14:paraId="53A2BF96" w14:textId="77777777" w:rsidR="00667FF6" w:rsidRDefault="00667FF6" w:rsidP="00667FF6">
      <w:r>
        <w:t>&lt;ESMA_QUESTION_EADC_12&gt;</w:t>
      </w:r>
    </w:p>
    <w:p w14:paraId="3EA6CD47" w14:textId="77777777" w:rsidR="005E2B32" w:rsidRDefault="005E2B32" w:rsidP="005E2B32">
      <w:pPr>
        <w:spacing w:after="200"/>
        <w:rPr>
          <w:rFonts w:ascii="Open Sans" w:hAnsi="Open Sans" w:cs="Open Sans"/>
          <w:sz w:val="20"/>
        </w:rPr>
      </w:pPr>
      <w:permStart w:id="624035433" w:edGrp="everyone"/>
      <w:r w:rsidRPr="20C0B123">
        <w:rPr>
          <w:rFonts w:ascii="Open Sans" w:hAnsi="Open Sans" w:cs="Open Sans"/>
          <w:sz w:val="20"/>
        </w:rPr>
        <w:t xml:space="preserve">A recurring issue is the ambiguity surrounding what constitutes an </w:t>
      </w:r>
      <w:r>
        <w:rPr>
          <w:rFonts w:ascii="Open Sans" w:hAnsi="Open Sans" w:cs="Open Sans"/>
          <w:sz w:val="20"/>
        </w:rPr>
        <w:t>‘</w:t>
      </w:r>
      <w:r w:rsidRPr="20C0B123">
        <w:rPr>
          <w:rFonts w:ascii="Open Sans" w:hAnsi="Open Sans" w:cs="Open Sans"/>
          <w:sz w:val="20"/>
        </w:rPr>
        <w:t>embedded</w:t>
      </w:r>
      <w:r>
        <w:rPr>
          <w:rFonts w:ascii="Open Sans" w:hAnsi="Open Sans" w:cs="Open Sans"/>
          <w:sz w:val="20"/>
        </w:rPr>
        <w:t>’</w:t>
      </w:r>
      <w:r w:rsidRPr="20C0B123">
        <w:rPr>
          <w:rFonts w:ascii="Open Sans" w:hAnsi="Open Sans" w:cs="Open Sans"/>
          <w:sz w:val="20"/>
        </w:rPr>
        <w:t xml:space="preserve"> derivative, particularly in the context of structured products where the returns of the host contract are linked </w:t>
      </w:r>
      <w:r w:rsidRPr="20C0B123">
        <w:rPr>
          <w:rFonts w:ascii="Open Sans" w:hAnsi="Open Sans" w:cs="Open Sans"/>
          <w:sz w:val="20"/>
        </w:rPr>
        <w:lastRenderedPageBreak/>
        <w:t>to the performance of one or more underlying assets. The definition itself is difficult to apply where there is not a specific derivative instrument (e.g., an option) which when exercised materially changes the performance trajectory of the security and therefore can be measured separately.  It is important to note that transferable securities should always be limited recourse instruments, so the amount at risk is necessarily limited in a way which is not the case with a stand-alone derivative.  The blending of treatment of embedded derivatives and actual derivatives makes less sense in any event post the introduction of EMIR and the changes introduced through that regime.</w:t>
      </w:r>
    </w:p>
    <w:p w14:paraId="6D9A222A" w14:textId="77777777" w:rsidR="005E2B32" w:rsidRDefault="005E2B32" w:rsidP="00667FF6">
      <w:pPr>
        <w:rPr>
          <w:rFonts w:ascii="Open Sans" w:hAnsi="Open Sans" w:cs="Open Sans"/>
          <w:sz w:val="20"/>
        </w:rPr>
      </w:pPr>
      <w:r>
        <w:rPr>
          <w:rFonts w:ascii="Open Sans" w:hAnsi="Open Sans" w:cs="Open Sans"/>
          <w:sz w:val="20"/>
        </w:rPr>
        <w:t>We would suggest a simplification of the embedded derivative rules here, e.g., so that it applies to convertible bonds, callable/puttable bonds and similar instruments where the embedded derivative is in the hands of the investor/issuer, or where there is a derivative element which, on the occurrence of a relevant event (e.g., as in the context of a CLN) changes the economics materially. This should not, however, capture where the transferable security by its terms agrees to pay the return on an underlying asset(s), also taking into account the limited liability nature of such instruments.</w:t>
      </w:r>
    </w:p>
    <w:permEnd w:id="624035433"/>
    <w:p w14:paraId="0AE10AA5" w14:textId="6C5AAC8A" w:rsidR="00667FF6" w:rsidRDefault="00667FF6" w:rsidP="00667FF6">
      <w:r>
        <w:t>&lt;ESMA_QUESTION_EADC_12&gt;</w:t>
      </w:r>
    </w:p>
    <w:p w14:paraId="76621B7A" w14:textId="77777777" w:rsidR="00667FF6" w:rsidRDefault="00667FF6" w:rsidP="00667FF6"/>
    <w:p w14:paraId="2CC518B9" w14:textId="77777777" w:rsidR="00667FF6" w:rsidRDefault="00667FF6" w:rsidP="00DB686B">
      <w:pPr>
        <w:pStyle w:val="Questionstyle"/>
        <w:numPr>
          <w:ilvl w:val="0"/>
          <w:numId w:val="14"/>
        </w:numPr>
      </w:pPr>
      <w:r>
        <w:t>Linked to Q11 and Q12, ESMA is aware of diverging interpretations on the treatment of delta-one instruments under the EAD, taking into account that they might provide UCITS with exposures to asset classes that are not eligible for direct investment (see also Section 3.2). How would you propose to amend the UCITS EAD to improve investor protection, clarity and supervisory convergence? Please provide details on the assessment of the eligibility of different types of delta-one instruments, identify the issues per product and provide data to support the reasoning.</w:t>
      </w:r>
    </w:p>
    <w:p w14:paraId="20523F5C" w14:textId="77777777" w:rsidR="00667FF6" w:rsidRDefault="00667FF6" w:rsidP="00667FF6">
      <w:r>
        <w:t>&lt;ESMA_QUESTION_EADC_13&gt;</w:t>
      </w:r>
    </w:p>
    <w:p w14:paraId="620DB959" w14:textId="77777777" w:rsidR="0004700A" w:rsidRDefault="0004700A" w:rsidP="00667FF6">
      <w:pPr>
        <w:rPr>
          <w:rFonts w:ascii="Open Sans" w:hAnsi="Open Sans" w:cs="Open Sans"/>
          <w:sz w:val="20"/>
        </w:rPr>
      </w:pPr>
      <w:permStart w:id="1487874619" w:edGrp="everyone"/>
      <w:r>
        <w:rPr>
          <w:rFonts w:ascii="Open Sans" w:hAnsi="Open Sans" w:cs="Open Sans"/>
          <w:sz w:val="20"/>
        </w:rPr>
        <w:t>UCITS in a number of jurisdictions have used delta-one instruments without any significant risks having been introduced as a consequence. UCITS should continue to be able to invest in delta-one instruments, which can provide useful diversification, and it should be ensured that this is applied across all Member States. Subject to our response in question 12, we do not specifically consider that further changes are needed and that it is for the manager and relevant Member State regulator to ensure that clear disclosures are made regarding the types of investments that a UCITS can hold.</w:t>
      </w:r>
    </w:p>
    <w:permEnd w:id="1487874619"/>
    <w:p w14:paraId="7EE4CE59" w14:textId="71A50069" w:rsidR="00667FF6" w:rsidRDefault="00667FF6" w:rsidP="00667FF6">
      <w:r>
        <w:t>&lt;ESMA_QUESTION_EADC_13&gt;</w:t>
      </w:r>
    </w:p>
    <w:p w14:paraId="2ACD3334" w14:textId="77777777" w:rsidR="00667FF6" w:rsidRDefault="00667FF6" w:rsidP="00667FF6"/>
    <w:p w14:paraId="1D3229EF" w14:textId="5B55D227" w:rsidR="00667FF6" w:rsidRDefault="00667FF6" w:rsidP="00DB686B">
      <w:pPr>
        <w:pStyle w:val="Questionstyle"/>
        <w:numPr>
          <w:ilvl w:val="0"/>
          <w:numId w:val="14"/>
        </w:numPr>
      </w:pPr>
      <w:r>
        <w:t>Have you observed any recurring or significant issues with the interpretation or consistent application of the rules on UCITS investments in other UCITS and alternative investment funds (AIFs)? In this context, have you observed any issues in terms of the clarity, interaction and logical consistency between (1) the rules on investments in UCITS and other open-ended funds set out in the UCITS Directive and (2) the provisions on UCITS investments in closed ended funds set out in the UCITS EAD? Please describe any recurring or significant issues that you have observed in this respect and how you would propose to amend the relevant rules to improve investor protection, clarity and supervisory convergence. Where relevant, please distinguish between different types of AIFs (e.g. closed-ended, open-ended), investment strategies (real estate, hedge fund, private equity, venture capital etc.) and location (e.g. EU, non-EU, specific countries). In this context, please also share views on whether there is a need to update the legal wording used in the UCITS EAD and UCITS Directive given the fact that e.g. they refer to ‘open-ended’ and ‘closed ended funds’, whereas it might seem preferable to use the notion of ‘AIFs’ by now given the subsequent introduction of the AIFMD in 2011.</w:t>
      </w:r>
    </w:p>
    <w:p w14:paraId="287F79B6" w14:textId="77777777" w:rsidR="00667FF6" w:rsidRDefault="00667FF6" w:rsidP="00667FF6">
      <w:r>
        <w:t>&lt;ESMA_QUESTION_EADC_14&gt;</w:t>
      </w:r>
    </w:p>
    <w:p w14:paraId="6DE3E1B2" w14:textId="77777777" w:rsidR="002A443E" w:rsidRDefault="002A443E" w:rsidP="00667FF6">
      <w:pPr>
        <w:rPr>
          <w:rFonts w:ascii="Open Sans" w:hAnsi="Open Sans" w:cs="Open Sans"/>
          <w:sz w:val="20"/>
        </w:rPr>
      </w:pPr>
      <w:permStart w:id="1362129429" w:edGrp="everyone"/>
      <w:r>
        <w:rPr>
          <w:rFonts w:ascii="Open Sans" w:hAnsi="Open Sans" w:cs="Open Sans"/>
          <w:sz w:val="20"/>
        </w:rPr>
        <w:t xml:space="preserve">We acknowledge that investment in AIFs requires greater consideration and due diligence which practically restricts investment in AIFs. </w:t>
      </w:r>
      <w:r w:rsidRPr="00BF6FC5">
        <w:rPr>
          <w:rFonts w:ascii="Open Sans" w:hAnsi="Open Sans" w:cs="Open Sans"/>
          <w:sz w:val="20"/>
        </w:rPr>
        <w:t>The current rules regarding the eligibility for investment in a collective investment scheme (CIS) could be clarified (e.g., the meaning of the term “constitutional documents” of a CIS should be clear and applied consistently to both UCITS and non-UCITS). The current approach from ESMA and the national regulators with regards to the eligibility of a non-EU or non-UCITS CIS does not benefit investors as it makes UCITS less attractive as investments by limiting the universe of available CIS.</w:t>
      </w:r>
    </w:p>
    <w:permEnd w:id="1362129429"/>
    <w:p w14:paraId="1A4BA964" w14:textId="5B7335CD" w:rsidR="00667FF6" w:rsidRDefault="00667FF6" w:rsidP="00667FF6">
      <w:r>
        <w:t>&lt;ESMA_QUESTION_EADC_14&gt;</w:t>
      </w:r>
    </w:p>
    <w:p w14:paraId="63AE0E82" w14:textId="77777777" w:rsidR="00667FF6" w:rsidRDefault="00667FF6" w:rsidP="00667FF6"/>
    <w:p w14:paraId="276F7F5F" w14:textId="77777777" w:rsidR="00667FF6" w:rsidRDefault="00667FF6" w:rsidP="00DB686B">
      <w:pPr>
        <w:pStyle w:val="Questionstyle"/>
        <w:numPr>
          <w:ilvl w:val="0"/>
          <w:numId w:val="14"/>
        </w:numPr>
      </w:pPr>
      <w:r>
        <w:t>More specifically, have you observed any recurring or significant issues with the interpretation or consistent application of the rules on UCITS investments in (1) EU ETFs and (2) non-EU ETFs? Please describe any issues that you have observed in this respect and how you would propose to amend the relevant rules to improve investor protection, clarity and supervisory convergence.</w:t>
      </w:r>
    </w:p>
    <w:p w14:paraId="7B7639CC" w14:textId="77777777" w:rsidR="00667FF6" w:rsidRDefault="00667FF6" w:rsidP="00667FF6">
      <w:r>
        <w:lastRenderedPageBreak/>
        <w:t>&lt;ESMA_QUESTION_EADC_15&gt;</w:t>
      </w:r>
    </w:p>
    <w:p w14:paraId="224F0003" w14:textId="77777777" w:rsidR="0067140F" w:rsidRPr="0067140F" w:rsidRDefault="0067140F" w:rsidP="0067140F">
      <w:pPr>
        <w:spacing w:after="200"/>
        <w:rPr>
          <w:rFonts w:ascii="Open Sans" w:hAnsi="Open Sans" w:cs="Open Sans"/>
          <w:sz w:val="20"/>
        </w:rPr>
      </w:pPr>
      <w:permStart w:id="493775816" w:edGrp="everyone"/>
      <w:r w:rsidRPr="0067140F">
        <w:rPr>
          <w:rFonts w:ascii="Open Sans" w:hAnsi="Open Sans" w:cs="Open Sans"/>
          <w:sz w:val="20"/>
        </w:rPr>
        <w:t xml:space="preserve">EU ETFs tend to be EU UCITS, meaning investment in EU ETFs does not cause any issues. Additional guidance regarding the treatment of investments in ETFs established outside of the EU, and in particular US ETFs, would be helpful. </w:t>
      </w:r>
    </w:p>
    <w:p w14:paraId="3B3C4BA5" w14:textId="77777777" w:rsidR="0067140F" w:rsidRDefault="0067140F" w:rsidP="00667FF6">
      <w:pPr>
        <w:rPr>
          <w:rFonts w:ascii="Open Sans" w:hAnsi="Open Sans" w:cs="Open Sans"/>
          <w:sz w:val="20"/>
        </w:rPr>
      </w:pPr>
      <w:r w:rsidRPr="20C0B123">
        <w:rPr>
          <w:rFonts w:ascii="Open Sans" w:hAnsi="Open Sans" w:cs="Open Sans"/>
          <w:sz w:val="20"/>
        </w:rPr>
        <w:t xml:space="preserve">UCITS are unable to invest in a collective investment scheme that does not include an explicit statement in its fund rules or instruments of incorporation that it will not invest more than 10% of its assets in other collective investment schemes. This has restricted the ability for UCITS to invest in certain US ETFs as their fund rules omit this </w:t>
      </w:r>
      <w:r w:rsidRPr="00E10F12">
        <w:rPr>
          <w:rFonts w:ascii="Open Sans" w:hAnsi="Open Sans" w:cs="Open Sans"/>
          <w:sz w:val="20"/>
        </w:rPr>
        <w:t>statement, as US ETFs which are enrolled in securities lending programmes where cash collateral is mandated to be invested in US 2-a7 MMFs. This has resulted in a limitation of the potential investment</w:t>
      </w:r>
      <w:r w:rsidRPr="20C0B123">
        <w:rPr>
          <w:rFonts w:ascii="Open Sans" w:hAnsi="Open Sans" w:cs="Open Sans"/>
          <w:sz w:val="20"/>
        </w:rPr>
        <w:t xml:space="preserve"> universe available to UCITS as an equivalent EU ETF must be available. This is not always the case and as a result UCITS have lost efficient access to a particular asset class, market or theme.</w:t>
      </w:r>
      <w:r>
        <w:rPr>
          <w:rFonts w:ascii="Open Sans" w:hAnsi="Open Sans" w:cs="Open Sans"/>
          <w:sz w:val="20"/>
        </w:rPr>
        <w:t xml:space="preserve"> It is relevant to note here that, while the US Securities and Exchange Commission similarly restricts investments in </w:t>
      </w:r>
      <w:r w:rsidRPr="20C0B123">
        <w:rPr>
          <w:rFonts w:ascii="Open Sans" w:hAnsi="Open Sans" w:cs="Open Sans"/>
          <w:sz w:val="20"/>
        </w:rPr>
        <w:t>other collective investment schemes</w:t>
      </w:r>
      <w:r>
        <w:rPr>
          <w:rFonts w:ascii="Open Sans" w:hAnsi="Open Sans" w:cs="Open Sans"/>
          <w:sz w:val="20"/>
        </w:rPr>
        <w:t xml:space="preserve"> to 10% for open-ended funds registered under the US Investment Company Act of 1940. However, in these instances, the US Securities and Exchange Commission does not treat those US </w:t>
      </w:r>
      <w:r w:rsidRPr="00DF74AF">
        <w:rPr>
          <w:rFonts w:ascii="Open Sans" w:hAnsi="Open Sans" w:cs="Open Sans"/>
          <w:sz w:val="20"/>
        </w:rPr>
        <w:t xml:space="preserve">MMFs as </w:t>
      </w:r>
      <w:r w:rsidRPr="20C0B123">
        <w:rPr>
          <w:rFonts w:ascii="Open Sans" w:hAnsi="Open Sans" w:cs="Open Sans"/>
          <w:sz w:val="20"/>
        </w:rPr>
        <w:t>collective investment schemes</w:t>
      </w:r>
      <w:r>
        <w:rPr>
          <w:rFonts w:ascii="Open Sans" w:hAnsi="Open Sans" w:cs="Open Sans"/>
          <w:sz w:val="20"/>
        </w:rPr>
        <w:t xml:space="preserve"> </w:t>
      </w:r>
      <w:r w:rsidRPr="00DF74AF">
        <w:rPr>
          <w:rFonts w:ascii="Open Sans" w:hAnsi="Open Sans" w:cs="Open Sans"/>
          <w:sz w:val="20"/>
        </w:rPr>
        <w:t>for this purpose</w:t>
      </w:r>
      <w:r>
        <w:rPr>
          <w:rFonts w:ascii="Open Sans" w:hAnsi="Open Sans" w:cs="Open Sans"/>
          <w:sz w:val="20"/>
        </w:rPr>
        <w:t xml:space="preserve">. Where the </w:t>
      </w:r>
      <w:r w:rsidRPr="00DF74AF">
        <w:rPr>
          <w:rFonts w:ascii="Open Sans" w:hAnsi="Open Sans" w:cs="Open Sans"/>
          <w:sz w:val="20"/>
        </w:rPr>
        <w:t>investment universe is consistent with UCITS investment restrictions</w:t>
      </w:r>
      <w:r>
        <w:rPr>
          <w:rFonts w:ascii="Open Sans" w:hAnsi="Open Sans" w:cs="Open Sans"/>
          <w:sz w:val="20"/>
        </w:rPr>
        <w:t>, we believe these funds should be considered eligible.</w:t>
      </w:r>
      <w:r w:rsidRPr="20C0B123">
        <w:rPr>
          <w:rFonts w:ascii="Open Sans" w:hAnsi="Open Sans" w:cs="Open Sans"/>
          <w:sz w:val="20"/>
        </w:rPr>
        <w:t xml:space="preserve"> In cases where an equivalent is available, this may have led to increased costs to investors as the ongoing charge figure (OCF) on the EU ETF has been higher. Making available US ETFs that do not include the explicit statement but allowing UCITS managers to confirm by other means could lead to enhanced returns for investors with no reduction in investor protection.</w:t>
      </w:r>
    </w:p>
    <w:permEnd w:id="493775816"/>
    <w:p w14:paraId="2FCB81E2" w14:textId="2D47EC2D" w:rsidR="00667FF6" w:rsidRDefault="00667FF6" w:rsidP="00667FF6">
      <w:r>
        <w:t>&lt;ESMA_QUESTION_EADC_15&gt;</w:t>
      </w:r>
    </w:p>
    <w:p w14:paraId="2D428B94" w14:textId="77777777" w:rsidR="00667FF6" w:rsidRDefault="00667FF6" w:rsidP="00667FF6"/>
    <w:p w14:paraId="6CF16EE3" w14:textId="09BA8660" w:rsidR="00667FF6" w:rsidRDefault="00667FF6" w:rsidP="00DB686B">
      <w:pPr>
        <w:pStyle w:val="Questionstyle"/>
        <w:numPr>
          <w:ilvl w:val="0"/>
          <w:numId w:val="14"/>
        </w:numPr>
      </w:pPr>
      <w:r>
        <w:t>How would you propose to amend the UCITS EAD to improve investor protection, clarity and supervisory convergence with respect to the Efficient Portfolio Management (EPM)-related issues identified in the following ESMA reports: (1) Peer Review on the ESMA Guidelines on ETFs and other UCITS issues; (2) Follow-up Peer Review on the ETF Guidelines; and (3) CSA on costs and fees. In this context, ESMA is interested in also gathering evidence and views on how to best address the uneven market practices with respect to securities lending fees described in the aforementioned ESMA reports with a view to better protect investors from being overcharged.</w:t>
      </w:r>
    </w:p>
    <w:p w14:paraId="0537F2EA" w14:textId="77777777" w:rsidR="00667FF6" w:rsidRDefault="00667FF6" w:rsidP="00667FF6">
      <w:r>
        <w:t>&lt;ESMA_QUESTION_EADC_16&gt;</w:t>
      </w:r>
    </w:p>
    <w:p w14:paraId="10DC83B1" w14:textId="77777777" w:rsidR="002A0402" w:rsidRDefault="002A0402" w:rsidP="00667FF6">
      <w:pPr>
        <w:rPr>
          <w:rFonts w:ascii="Open Sans" w:hAnsi="Open Sans" w:cs="Open Sans"/>
          <w:sz w:val="20"/>
        </w:rPr>
      </w:pPr>
      <w:permStart w:id="1032210024" w:edGrp="everyone"/>
      <w:r w:rsidRPr="003973D6">
        <w:rPr>
          <w:rFonts w:ascii="Open Sans" w:hAnsi="Open Sans" w:cs="Open Sans"/>
          <w:sz w:val="20"/>
        </w:rPr>
        <w:lastRenderedPageBreak/>
        <w:t>We do not consider that changes at the level of the EAD are required in this respect.</w:t>
      </w:r>
    </w:p>
    <w:permEnd w:id="1032210024"/>
    <w:p w14:paraId="09F73C64" w14:textId="334C4AC0" w:rsidR="00667FF6" w:rsidRDefault="00667FF6" w:rsidP="00667FF6">
      <w:r>
        <w:t>&lt;ESMA_QUESTION_EADC_16&gt;</w:t>
      </w:r>
    </w:p>
    <w:p w14:paraId="6CD480E6" w14:textId="77777777" w:rsidR="00667FF6" w:rsidRDefault="00667FF6" w:rsidP="00667FF6"/>
    <w:p w14:paraId="2F61D6B7" w14:textId="43620DB9" w:rsidR="00667FF6" w:rsidRDefault="00667FF6" w:rsidP="00DB686B">
      <w:pPr>
        <w:pStyle w:val="Questionstyle"/>
        <w:numPr>
          <w:ilvl w:val="0"/>
          <w:numId w:val="14"/>
        </w:numPr>
      </w:pPr>
      <w:r>
        <w:t>Would you see merit in linking or replacing the notion of EPM techniques set out in the UCITS Directive and UCITS EAD with the notion of securities financing transaction (SFT) set out in the SFTR? Beyond the notions of EPM and SFT, are there any other notions or issues raising concerns in terms of transversal consistency between the UCITS and SFTR frameworks?</w:t>
      </w:r>
    </w:p>
    <w:p w14:paraId="5776F854" w14:textId="77777777" w:rsidR="00667FF6" w:rsidRDefault="00667FF6" w:rsidP="00667FF6">
      <w:r>
        <w:t>&lt;ESMA_QUESTION_EADC_17&gt;</w:t>
      </w:r>
    </w:p>
    <w:p w14:paraId="2279B4FB" w14:textId="77777777" w:rsidR="00976926" w:rsidRPr="00976926" w:rsidRDefault="00976926" w:rsidP="00976926">
      <w:pPr>
        <w:spacing w:after="200"/>
        <w:rPr>
          <w:rFonts w:ascii="Open Sans" w:hAnsi="Open Sans" w:cs="Open Sans"/>
          <w:sz w:val="20"/>
        </w:rPr>
      </w:pPr>
      <w:permStart w:id="589041498" w:edGrp="everyone"/>
      <w:r w:rsidRPr="00976926">
        <w:rPr>
          <w:rFonts w:ascii="Open Sans" w:hAnsi="Open Sans" w:cs="Open Sans"/>
          <w:sz w:val="20"/>
        </w:rPr>
        <w:t xml:space="preserve">There is an inconsistency generally in what instruments are covered by EPM techniques. In the UCITS rules, derivatives can be used for EPM, but for example, in the ESMA Guidelines on ETFs and other UCITS issues, EPM is used separately to FDI and more specifically with regard to rules on repo and stock lending. The lack of clear meaning makes prospectus drafting more complicated. It would not be possible to replace the notion of EPM technique in UCITS with that in SFTR without losing the derivatives piece entirely, which may not be problematic, although it is clearly useful in terms of letting investors know whether a particular UCITS can use derivatives for investment purposes or EPM only. However, there is less definitional clarity on what EPM means in the context of derivatives than is helpful. </w:t>
      </w:r>
    </w:p>
    <w:p w14:paraId="3220C2E6" w14:textId="77777777" w:rsidR="00976926" w:rsidRPr="00976926" w:rsidRDefault="00976926" w:rsidP="00976926">
      <w:pPr>
        <w:spacing w:after="200"/>
        <w:rPr>
          <w:rFonts w:ascii="Open Sans" w:hAnsi="Open Sans" w:cs="Open Sans"/>
          <w:sz w:val="20"/>
        </w:rPr>
      </w:pPr>
      <w:r w:rsidRPr="00976926">
        <w:rPr>
          <w:rFonts w:ascii="Open Sans" w:hAnsi="Open Sans" w:cs="Open Sans"/>
          <w:sz w:val="20"/>
        </w:rPr>
        <w:t xml:space="preserve">To the extent that the concept of EPM were narrowed to exclude derivatives, it might then be possible to link to the SFTR, although this definition goes beyond repo and stock loans on securities, but includes commodities (this may be helpful – see above), guaranteed rights and also margin lending transactions. </w:t>
      </w:r>
    </w:p>
    <w:p w14:paraId="37B23014" w14:textId="77777777" w:rsidR="00976926" w:rsidRDefault="00976926" w:rsidP="00667FF6">
      <w:pPr>
        <w:rPr>
          <w:rFonts w:ascii="Open Sans" w:hAnsi="Open Sans" w:cs="Open Sans"/>
          <w:sz w:val="20"/>
        </w:rPr>
      </w:pPr>
      <w:r w:rsidRPr="20C0B123">
        <w:rPr>
          <w:rFonts w:ascii="Open Sans" w:hAnsi="Open Sans" w:cs="Open Sans"/>
          <w:sz w:val="20"/>
        </w:rPr>
        <w:t>We can see that there may be a benefit (that of simplicity) in removing the reference to EPM techniques in the context of UCITS eligible SFTs and simply using the relevant terms from the SFTR, taking into account the prospectus and ongoing disclosures required to Investors as a result of that Regulation. We would then suggest maintaining the distinction of EPM versus Investment purposes for derivatives only, with more detail on what comprises the former.</w:t>
      </w:r>
    </w:p>
    <w:permEnd w:id="589041498"/>
    <w:p w14:paraId="47A34CC0" w14:textId="51C96EF3" w:rsidR="00667FF6" w:rsidRDefault="00667FF6" w:rsidP="00667FF6">
      <w:r>
        <w:t>&lt;ESMA_QUESTION_EADC_17&gt;</w:t>
      </w:r>
    </w:p>
    <w:p w14:paraId="5EC440C2" w14:textId="77777777" w:rsidR="00667FF6" w:rsidRDefault="00667FF6" w:rsidP="00667FF6"/>
    <w:p w14:paraId="29F5389B" w14:textId="7E9A699E" w:rsidR="00667FF6" w:rsidRDefault="00667FF6" w:rsidP="00DB686B">
      <w:pPr>
        <w:pStyle w:val="Questionstyle"/>
        <w:numPr>
          <w:ilvl w:val="0"/>
          <w:numId w:val="14"/>
        </w:numPr>
      </w:pPr>
      <w:r>
        <w:t xml:space="preserve">Apart from the definitions and concepts covered above, are there any other definitions, notions or concepts used in the UCITS EAD that may require </w:t>
      </w:r>
      <w:r>
        <w:lastRenderedPageBreak/>
        <w:t>updates, further clarification or better consistency with definitions and concepts used in other pieces of EU financial legislation, e.g. MiFID II, EMIR, Benchmark Regulation and MMFR? If so, please provide details on the issues you have observed and how you would propose to clarify or link the relevant definitions or concepts.</w:t>
      </w:r>
    </w:p>
    <w:p w14:paraId="3F895BE3" w14:textId="77777777" w:rsidR="00667FF6" w:rsidRDefault="00667FF6" w:rsidP="00667FF6">
      <w:r>
        <w:t>&lt;ESMA_QUESTION_EADC_18&gt;</w:t>
      </w:r>
    </w:p>
    <w:p w14:paraId="4C99580D" w14:textId="77777777" w:rsidR="0073459B" w:rsidRPr="0073459B" w:rsidRDefault="0073459B" w:rsidP="0073459B">
      <w:pPr>
        <w:spacing w:after="200"/>
        <w:rPr>
          <w:rFonts w:ascii="Open Sans" w:hAnsi="Open Sans" w:cs="Open Sans"/>
          <w:i/>
          <w:iCs/>
          <w:sz w:val="20"/>
        </w:rPr>
      </w:pPr>
      <w:permStart w:id="1158356501" w:edGrp="everyone"/>
      <w:r w:rsidRPr="0073459B">
        <w:rPr>
          <w:rFonts w:ascii="Open Sans" w:hAnsi="Open Sans" w:cs="Open Sans"/>
          <w:i/>
          <w:iCs/>
          <w:sz w:val="20"/>
        </w:rPr>
        <w:t>Investment limits rules</w:t>
      </w:r>
    </w:p>
    <w:p w14:paraId="31D3C59D" w14:textId="77777777" w:rsidR="0073459B" w:rsidRPr="0073459B" w:rsidRDefault="0073459B" w:rsidP="0073459B">
      <w:pPr>
        <w:spacing w:after="200"/>
        <w:rPr>
          <w:rFonts w:ascii="Open Sans" w:hAnsi="Open Sans" w:cs="Open Sans"/>
          <w:sz w:val="20"/>
        </w:rPr>
      </w:pPr>
      <w:r w:rsidRPr="0073459B">
        <w:rPr>
          <w:rFonts w:ascii="Open Sans" w:hAnsi="Open Sans" w:cs="Open Sans"/>
          <w:sz w:val="20"/>
        </w:rPr>
        <w:t xml:space="preserve">The current rules regarding investment limits, especially the “100% of NAV” rule for investments in transferable securities and money market instruments issued by governments or public authorities, could benefit from simplification and clarification. Specifically, if a UCITS invests through futures contracts, it should be clear that the 100% limit applies per member state. </w:t>
      </w:r>
    </w:p>
    <w:p w14:paraId="2450D82D" w14:textId="77777777" w:rsidR="0073459B" w:rsidRPr="0073459B" w:rsidRDefault="0073459B" w:rsidP="0073459B">
      <w:pPr>
        <w:spacing w:after="200"/>
        <w:rPr>
          <w:rFonts w:ascii="Open Sans" w:hAnsi="Open Sans" w:cs="Open Sans"/>
          <w:i/>
          <w:iCs/>
          <w:sz w:val="20"/>
        </w:rPr>
      </w:pPr>
      <w:r w:rsidRPr="0073459B">
        <w:rPr>
          <w:rFonts w:ascii="Open Sans" w:hAnsi="Open Sans" w:cs="Open Sans"/>
          <w:i/>
          <w:iCs/>
          <w:sz w:val="20"/>
        </w:rPr>
        <w:t>FDI exposures</w:t>
      </w:r>
    </w:p>
    <w:p w14:paraId="4C81FC68" w14:textId="77777777" w:rsidR="0073459B" w:rsidRPr="0073459B" w:rsidRDefault="0073459B" w:rsidP="0073459B">
      <w:pPr>
        <w:spacing w:after="200"/>
        <w:rPr>
          <w:rFonts w:ascii="Open Sans" w:hAnsi="Open Sans" w:cs="Open Sans"/>
          <w:sz w:val="20"/>
        </w:rPr>
      </w:pPr>
      <w:r w:rsidRPr="0073459B">
        <w:rPr>
          <w:rFonts w:ascii="Open Sans" w:hAnsi="Open Sans" w:cs="Open Sans"/>
          <w:sz w:val="20"/>
        </w:rPr>
        <w:t xml:space="preserve">Another area needing clarification is the treatment of FDI exposures that are centrally cleared. The rules should explicitly state that such exposures should not count against the exposure limits of a counterparty, as the UCITS is effectively facing the central clearer, which presents minimal risk, and not the counterparty. We note that this is anticipated in the EMIR 3.0 package, and is something that we fully support. We also consider that the requirement for daily valuation and verifiable valuation should be removed from the Directive as these are now largely covered by the valuation requirements under EMIR.  </w:t>
      </w:r>
    </w:p>
    <w:p w14:paraId="31BCF541" w14:textId="77777777" w:rsidR="0073459B" w:rsidRPr="0073459B" w:rsidRDefault="0073459B" w:rsidP="0073459B">
      <w:pPr>
        <w:keepNext/>
        <w:spacing w:after="200"/>
        <w:rPr>
          <w:rFonts w:ascii="Open Sans" w:hAnsi="Open Sans" w:cs="Open Sans"/>
          <w:i/>
          <w:iCs/>
          <w:sz w:val="20"/>
        </w:rPr>
      </w:pPr>
      <w:r w:rsidRPr="0073459B">
        <w:rPr>
          <w:rFonts w:ascii="Open Sans" w:hAnsi="Open Sans" w:cs="Open Sans"/>
          <w:i/>
          <w:iCs/>
          <w:sz w:val="20"/>
        </w:rPr>
        <w:t>Bank Holding Company Licences</w:t>
      </w:r>
    </w:p>
    <w:p w14:paraId="6450422D" w14:textId="77777777" w:rsidR="0073459B" w:rsidRDefault="0073459B" w:rsidP="0073459B">
      <w:pPr>
        <w:spacing w:after="200"/>
        <w:rPr>
          <w:rFonts w:ascii="Open Sans" w:hAnsi="Open Sans" w:cs="Open Sans"/>
          <w:sz w:val="20"/>
        </w:rPr>
      </w:pPr>
      <w:r w:rsidRPr="0073459B">
        <w:rPr>
          <w:rFonts w:ascii="Open Sans" w:hAnsi="Open Sans" w:cs="Open Sans"/>
          <w:sz w:val="20"/>
        </w:rPr>
        <w:t>Furthermore, there should be a definitive rule regarding entities holding a Bank Holding Company License from the Federal Reserve, including subsidiaries thereof. These entities should also be subject to a 10% counterparty exposure limit.</w:t>
      </w:r>
    </w:p>
    <w:p w14:paraId="49BF8F53" w14:textId="77777777" w:rsidR="0073459B" w:rsidRDefault="0073459B" w:rsidP="0073459B">
      <w:pPr>
        <w:spacing w:after="200"/>
        <w:rPr>
          <w:rFonts w:ascii="Open Sans" w:hAnsi="Open Sans" w:cs="Open Sans"/>
          <w:sz w:val="20"/>
        </w:rPr>
      </w:pPr>
      <w:r w:rsidRPr="00032C38">
        <w:rPr>
          <w:rFonts w:ascii="Open Sans" w:hAnsi="Open Sans" w:cs="Open Sans"/>
          <w:i/>
          <w:iCs/>
          <w:sz w:val="20"/>
        </w:rPr>
        <w:t>5%/10%/20% counterparty exposure limits</w:t>
      </w:r>
    </w:p>
    <w:p w14:paraId="3328BC79" w14:textId="7279E7D3" w:rsidR="0073459B" w:rsidRDefault="0073459B" w:rsidP="0073459B">
      <w:pPr>
        <w:spacing w:after="200"/>
        <w:rPr>
          <w:rFonts w:ascii="Open Sans" w:hAnsi="Open Sans" w:cs="Open Sans"/>
          <w:sz w:val="20"/>
        </w:rPr>
      </w:pPr>
      <w:r w:rsidRPr="00252A17">
        <w:rPr>
          <w:rFonts w:ascii="Open Sans" w:hAnsi="Open Sans" w:cs="Open Sans"/>
          <w:sz w:val="20"/>
        </w:rPr>
        <w:t xml:space="preserve">The 5%/10%/20% counterparty exposure limits, depending on the location and type of licence of the entity, need clearer definitions. </w:t>
      </w:r>
    </w:p>
    <w:p w14:paraId="3CD33224" w14:textId="77777777" w:rsidR="0073459B" w:rsidRPr="00032C38" w:rsidRDefault="0073459B" w:rsidP="0073459B">
      <w:pPr>
        <w:spacing w:after="200"/>
        <w:rPr>
          <w:rFonts w:ascii="Open Sans" w:hAnsi="Open Sans" w:cs="Open Sans"/>
          <w:i/>
          <w:iCs/>
          <w:sz w:val="20"/>
        </w:rPr>
      </w:pPr>
      <w:r w:rsidRPr="00032C38">
        <w:rPr>
          <w:rFonts w:ascii="Open Sans" w:hAnsi="Open Sans" w:cs="Open Sans"/>
          <w:i/>
          <w:iCs/>
          <w:sz w:val="20"/>
        </w:rPr>
        <w:t>Collateral held on exchanges</w:t>
      </w:r>
    </w:p>
    <w:p w14:paraId="1396FB8B" w14:textId="0D377429" w:rsidR="00667FF6" w:rsidRDefault="0073459B" w:rsidP="0073459B">
      <w:r w:rsidRPr="00252A17">
        <w:rPr>
          <w:rFonts w:ascii="Open Sans" w:hAnsi="Open Sans" w:cs="Open Sans"/>
          <w:sz w:val="20"/>
        </w:rPr>
        <w:t xml:space="preserve">There is ambiguity around whether collateral held on some exchanges is included in the exposure calculations. </w:t>
      </w:r>
      <w:r>
        <w:rPr>
          <w:rFonts w:ascii="Open Sans" w:hAnsi="Open Sans" w:cs="Open Sans"/>
          <w:sz w:val="20"/>
        </w:rPr>
        <w:t>We would welcome further clarification here.</w:t>
      </w:r>
    </w:p>
    <w:permEnd w:id="1158356501"/>
    <w:p w14:paraId="223CC270" w14:textId="77777777" w:rsidR="00667FF6" w:rsidRDefault="00667FF6" w:rsidP="00667FF6">
      <w:r>
        <w:t>&lt;ESMA_QUESTION_EADC_18&gt;</w:t>
      </w:r>
    </w:p>
    <w:p w14:paraId="0FFC0C58" w14:textId="77777777" w:rsidR="00667FF6" w:rsidRDefault="00667FF6" w:rsidP="00667FF6"/>
    <w:p w14:paraId="537254A6" w14:textId="77777777" w:rsidR="00667FF6" w:rsidRDefault="00667FF6" w:rsidP="00DB686B">
      <w:pPr>
        <w:pStyle w:val="Questionstyle"/>
        <w:numPr>
          <w:ilvl w:val="0"/>
          <w:numId w:val="14"/>
        </w:numPr>
      </w:pPr>
      <w:r>
        <w:t>Are there any national rules, guidance, definitions or concepts in national regulatory frameworks that go beyond (‘gold-plating’), diverge or are more detailed than what is set out in the UCITS EAD? If so, please elaborate whether these are causing any recurring or significant practical issues or challenges.</w:t>
      </w:r>
    </w:p>
    <w:p w14:paraId="6426457C" w14:textId="77777777" w:rsidR="00667FF6" w:rsidRDefault="00667FF6" w:rsidP="00667FF6">
      <w:r>
        <w:t>&lt;ESMA_QUESTION_EADC_19&gt;</w:t>
      </w:r>
    </w:p>
    <w:p w14:paraId="162E25C2" w14:textId="77777777" w:rsidR="00B13992" w:rsidRPr="00B13992" w:rsidRDefault="00B13992" w:rsidP="00B13992">
      <w:pPr>
        <w:spacing w:after="200"/>
        <w:rPr>
          <w:rFonts w:ascii="Open Sans" w:hAnsi="Open Sans" w:cs="Open Sans"/>
          <w:sz w:val="20"/>
        </w:rPr>
      </w:pPr>
      <w:permStart w:id="784558918" w:edGrp="everyone"/>
      <w:r w:rsidRPr="00B13992">
        <w:rPr>
          <w:rFonts w:ascii="Open Sans" w:hAnsi="Open Sans" w:cs="Open Sans"/>
          <w:sz w:val="20"/>
        </w:rPr>
        <w:t xml:space="preserve">It would be helpful that the guidance be clearer that indirect exposure to non-eligible assets for UCITS can be achieved via delta-one instruments within the updated guidance so there is uniformity across the EU. </w:t>
      </w:r>
    </w:p>
    <w:permEnd w:id="784558918"/>
    <w:p w14:paraId="014C3237" w14:textId="77777777" w:rsidR="00667FF6" w:rsidRDefault="00667FF6" w:rsidP="00667FF6">
      <w:r>
        <w:t>&lt;ESMA_QUESTION_EADC_19&gt;</w:t>
      </w:r>
    </w:p>
    <w:p w14:paraId="632F0E31" w14:textId="77777777" w:rsidR="00667FF6" w:rsidRDefault="00667FF6" w:rsidP="00667FF6"/>
    <w:p w14:paraId="1F406012" w14:textId="53EE10DD" w:rsidR="00DE0869" w:rsidRPr="00DE0869" w:rsidRDefault="00667FF6" w:rsidP="00DB686B">
      <w:pPr>
        <w:pStyle w:val="Questionstyle"/>
        <w:numPr>
          <w:ilvl w:val="0"/>
          <w:numId w:val="14"/>
        </w:numPr>
      </w:pPr>
      <w:r>
        <w:t xml:space="preserve">Please fill in the table </w:t>
      </w:r>
      <w:r w:rsidR="005A6012">
        <w:t xml:space="preserve">in </w:t>
      </w:r>
      <w:r w:rsidR="00A258F7">
        <w:t xml:space="preserve">the </w:t>
      </w:r>
      <w:r w:rsidR="005A6012">
        <w:t xml:space="preserve">Annex </w:t>
      </w:r>
      <w:r w:rsidR="00336C52">
        <w:t>to</w:t>
      </w:r>
      <w:r w:rsidR="001F768F">
        <w:t xml:space="preserve"> this</w:t>
      </w:r>
      <w:r w:rsidR="00DB686B">
        <w:t xml:space="preserve"> document </w:t>
      </w:r>
      <w:r>
        <w:t>on the merits of allowing direct or indirect UCITS exposures to the asset classes listed therein, taking into account the instructions provided in</w:t>
      </w:r>
      <w:r w:rsidR="00DB686B">
        <w:t xml:space="preserve"> </w:t>
      </w:r>
      <w:r w:rsidR="00A258F7">
        <w:t xml:space="preserve">the </w:t>
      </w:r>
      <w:r w:rsidR="00B1309C">
        <w:t xml:space="preserve">same </w:t>
      </w:r>
      <w:r w:rsidR="008B5F45">
        <w:t>Annex</w:t>
      </w:r>
      <w:r>
        <w:t>. Please assess and provide evidence on the merits of such exposures in light of their risks and benefits taking into account the characteristics of the underlying markets (e.g. availability of reliable valuation information, liquidity, safekeeping). To substantiate your position, please fill the table with any available data and evidence (e.g. on liquidity or valuation of the relevant asset classes and underlying markets). ESMA acknowledges that the availability of data on direct/indirect exposures to some of the asset classes listed in this table is limited and would welcome receiving any available data (whether on individual market participants and products or market-wide) and even rough estimates that help to understand the practical relevance of the relevant asset class for UCITS and the possible impact of any future policy measures.</w:t>
      </w:r>
    </w:p>
    <w:p w14:paraId="03B2518F" w14:textId="77777777" w:rsidR="00667FF6" w:rsidRDefault="00667FF6" w:rsidP="00667FF6">
      <w:r>
        <w:t>&lt;ESMA_QUESTION_EADC_20&gt;</w:t>
      </w:r>
    </w:p>
    <w:p w14:paraId="00CC80D2" w14:textId="2204A2C3" w:rsidR="009D165D" w:rsidRDefault="009D165D" w:rsidP="00667FF6">
      <w:permStart w:id="1828006997" w:edGrp="everyone"/>
      <w:r w:rsidRPr="00207385">
        <w:rPr>
          <w:rFonts w:ascii="Open Sans" w:hAnsi="Open Sans" w:cs="Open Sans"/>
          <w:sz w:val="20"/>
        </w:rPr>
        <w:t>We have provided our responses in the Annex which we have uploaded separately</w:t>
      </w:r>
      <w:r>
        <w:rPr>
          <w:rFonts w:ascii="Open Sans" w:hAnsi="Open Sans" w:cs="Open Sans"/>
          <w:sz w:val="20"/>
        </w:rPr>
        <w:t>.</w:t>
      </w:r>
    </w:p>
    <w:permEnd w:id="1828006997"/>
    <w:p w14:paraId="01D62D2E" w14:textId="0E3ACCB9" w:rsidR="00667FF6" w:rsidRDefault="00667FF6" w:rsidP="00667FF6">
      <w:r>
        <w:t>&lt;ESMA_QUESTION_EADC_20&gt;</w:t>
      </w:r>
    </w:p>
    <w:p w14:paraId="108FF8FC" w14:textId="77777777" w:rsidR="00667FF6" w:rsidRDefault="00667FF6" w:rsidP="00667FF6"/>
    <w:p w14:paraId="7E4F82A9" w14:textId="77777777" w:rsidR="00667FF6" w:rsidRDefault="00667FF6" w:rsidP="00DB686B">
      <w:pPr>
        <w:pStyle w:val="Questionstyle"/>
        <w:numPr>
          <w:ilvl w:val="0"/>
          <w:numId w:val="14"/>
        </w:numPr>
      </w:pPr>
      <w:r>
        <w:t xml:space="preserve">Please elaborate and provide evidence on how indirect exposures to the aforementioned asset classes (e.g. through delta-one instruments, ETNs, </w:t>
      </w:r>
      <w:r>
        <w:lastRenderedPageBreak/>
        <w:t>derivatives) increase or decrease costs and/or risks borne by UCITS and their investors compared to direct investments.</w:t>
      </w:r>
    </w:p>
    <w:p w14:paraId="4B547731" w14:textId="77777777" w:rsidR="00667FF6" w:rsidRDefault="00667FF6" w:rsidP="00667FF6">
      <w:r>
        <w:t>&lt;ESMA_QUESTION_EADC_21&gt;</w:t>
      </w:r>
    </w:p>
    <w:p w14:paraId="58B34F53" w14:textId="77777777" w:rsidR="004026FE" w:rsidRDefault="004026FE" w:rsidP="00667FF6">
      <w:pPr>
        <w:rPr>
          <w:rFonts w:ascii="Open Sans" w:hAnsi="Open Sans" w:cs="Open Sans"/>
          <w:sz w:val="20"/>
        </w:rPr>
      </w:pPr>
      <w:permStart w:id="199050040" w:edGrp="everyone"/>
      <w:r w:rsidRPr="00F215BD">
        <w:rPr>
          <w:rFonts w:ascii="Open Sans" w:hAnsi="Open Sans" w:cs="Open Sans"/>
          <w:sz w:val="20"/>
        </w:rPr>
        <w:t>Indirect exposures to asset classes through instruments like delta-one instruments, exchange-traded notes (ETNs), and derivatives can significantly impact the costs and risks borne by UCITS and their investors. Managing indirect exposures often requires more sophisticated strategies and expertise, leading to higher management fees.</w:t>
      </w:r>
      <w:r>
        <w:rPr>
          <w:rFonts w:ascii="Open Sans" w:hAnsi="Open Sans" w:cs="Open Sans"/>
          <w:sz w:val="20"/>
        </w:rPr>
        <w:t xml:space="preserve"> </w:t>
      </w:r>
      <w:r w:rsidRPr="20C0B123">
        <w:rPr>
          <w:rFonts w:ascii="Open Sans" w:hAnsi="Open Sans" w:cs="Open Sans"/>
          <w:sz w:val="20"/>
        </w:rPr>
        <w:t xml:space="preserve">ETNs may </w:t>
      </w:r>
      <w:r>
        <w:rPr>
          <w:rFonts w:ascii="Open Sans" w:hAnsi="Open Sans" w:cs="Open Sans"/>
          <w:sz w:val="20"/>
        </w:rPr>
        <w:t xml:space="preserve">also </w:t>
      </w:r>
      <w:r w:rsidRPr="20C0B123">
        <w:rPr>
          <w:rFonts w:ascii="Open Sans" w:hAnsi="Open Sans" w:cs="Open Sans"/>
          <w:sz w:val="20"/>
        </w:rPr>
        <w:t>require dedicated offshore vehicles to be set up and more service providers in the chain. There is more operational overhead to publish the unique prices and to rebalance the ETN.</w:t>
      </w:r>
      <w:r>
        <w:rPr>
          <w:rFonts w:ascii="Open Sans" w:hAnsi="Open Sans" w:cs="Open Sans"/>
          <w:sz w:val="20"/>
        </w:rPr>
        <w:t xml:space="preserve"> </w:t>
      </w:r>
      <w:r w:rsidRPr="20C0B123">
        <w:rPr>
          <w:rFonts w:ascii="Open Sans" w:hAnsi="Open Sans" w:cs="Open Sans"/>
          <w:sz w:val="20"/>
        </w:rPr>
        <w:t>Depending on the size of the fund it can add 20-200bps to the cost of running the equivalent strategy in direct futures.</w:t>
      </w:r>
      <w:r>
        <w:rPr>
          <w:rFonts w:ascii="Open Sans" w:hAnsi="Open Sans" w:cs="Open Sans"/>
          <w:sz w:val="20"/>
        </w:rPr>
        <w:t xml:space="preserve"> I</w:t>
      </w:r>
      <w:r w:rsidRPr="007652BE">
        <w:rPr>
          <w:rFonts w:ascii="Open Sans" w:hAnsi="Open Sans" w:cs="Open Sans"/>
          <w:sz w:val="20"/>
        </w:rPr>
        <w:t xml:space="preserve">nstruments through which indirect exposure can be obtained differ and it is the responsibility of the manager to select the most effective solution </w:t>
      </w:r>
      <w:r>
        <w:rPr>
          <w:rFonts w:ascii="Open Sans" w:hAnsi="Open Sans" w:cs="Open Sans"/>
          <w:sz w:val="20"/>
        </w:rPr>
        <w:t>to</w:t>
      </w:r>
      <w:r w:rsidRPr="007652BE">
        <w:rPr>
          <w:rFonts w:ascii="Open Sans" w:hAnsi="Open Sans" w:cs="Open Sans"/>
          <w:sz w:val="20"/>
        </w:rPr>
        <w:t xml:space="preserve"> the benefit of investo</w:t>
      </w:r>
      <w:r>
        <w:rPr>
          <w:rFonts w:ascii="Open Sans" w:hAnsi="Open Sans" w:cs="Open Sans"/>
          <w:sz w:val="20"/>
        </w:rPr>
        <w:t>rs.</w:t>
      </w:r>
    </w:p>
    <w:permEnd w:id="199050040"/>
    <w:p w14:paraId="3DAB01B2" w14:textId="2941B46C" w:rsidR="00667FF6" w:rsidRDefault="00667FF6" w:rsidP="00667FF6">
      <w:r>
        <w:t>&lt;ESMA_QUESTION_EADC_21&gt;</w:t>
      </w:r>
    </w:p>
    <w:p w14:paraId="646CDAF6" w14:textId="77777777" w:rsidR="00667FF6" w:rsidRDefault="00667FF6" w:rsidP="00667FF6"/>
    <w:p w14:paraId="3F190348" w14:textId="002D0356" w:rsidR="00667FF6" w:rsidRDefault="00667FF6" w:rsidP="00DB686B">
      <w:pPr>
        <w:pStyle w:val="Questionstyle"/>
        <w:numPr>
          <w:ilvl w:val="0"/>
          <w:numId w:val="14"/>
        </w:numPr>
      </w:pPr>
      <w:r>
        <w:t>Under the EAD, should a look-through approach be required to determine the eligibility of assets? Please explain your position taking into account the aforementioned risks and benefits of UCITS gaining exposures to asset classes that are not directly investible as well as the increased/decreased costs associated with such indirect investments. A look-through approach would aim to ensure that the list of eligible asset classes set out in the UCITS Level 1 Directive would be deemed exhaustive and reduce risk of circumvention by gaining indirect exposures to ineligible asset classes via instruments such as delta-one instruments, exchange-traded products or derivatives. Where possible, please provide views, data or estimates on the possible impact of such a possible policy measure.</w:t>
      </w:r>
    </w:p>
    <w:p w14:paraId="3D9FBAEC" w14:textId="77777777" w:rsidR="00667FF6" w:rsidRDefault="00667FF6" w:rsidP="00667FF6">
      <w:r>
        <w:t>&lt;ESMA_QUESTION_EADC_22&gt;</w:t>
      </w:r>
    </w:p>
    <w:p w14:paraId="7F3249E8" w14:textId="77777777" w:rsidR="00993BFD" w:rsidRPr="00252A17" w:rsidRDefault="00993BFD" w:rsidP="00993BFD">
      <w:pPr>
        <w:spacing w:after="200"/>
        <w:rPr>
          <w:rFonts w:ascii="Open Sans" w:hAnsi="Open Sans" w:cs="Open Sans"/>
          <w:sz w:val="20"/>
        </w:rPr>
      </w:pPr>
      <w:permStart w:id="1004748421" w:edGrp="everyone"/>
      <w:r>
        <w:rPr>
          <w:rFonts w:ascii="Open Sans" w:hAnsi="Open Sans" w:cs="Open Sans"/>
          <w:sz w:val="20"/>
        </w:rPr>
        <w:t>We do not consider that a look-through approach should be adopted.</w:t>
      </w:r>
    </w:p>
    <w:p w14:paraId="0D6C1EC9" w14:textId="77777777" w:rsidR="00993BFD" w:rsidRDefault="00993BFD" w:rsidP="00667FF6">
      <w:pPr>
        <w:rPr>
          <w:rFonts w:ascii="Open Sans" w:hAnsi="Open Sans" w:cs="Open Sans"/>
          <w:sz w:val="20"/>
        </w:rPr>
      </w:pPr>
      <w:r w:rsidRPr="00252A17">
        <w:rPr>
          <w:rFonts w:ascii="Open Sans" w:hAnsi="Open Sans" w:cs="Open Sans"/>
          <w:sz w:val="20"/>
        </w:rPr>
        <w:t xml:space="preserve">By focusing on clear risk assessment and communication rather than exhaustive look-through requirements, robust investor protection can be achieved without unnecessary complexity. This approach leverages the transparency improvements introduced since the initial UCITS EAD by regulations such as EMIR, SFTR and PRIIPs, which provide investors and regulators with a better understanding of portfolio risks. Consequently, ESMA should consider relaxing some of the more </w:t>
      </w:r>
      <w:r>
        <w:rPr>
          <w:rFonts w:ascii="Open Sans" w:hAnsi="Open Sans" w:cs="Open Sans"/>
          <w:sz w:val="20"/>
        </w:rPr>
        <w:lastRenderedPageBreak/>
        <w:t>restrictive</w:t>
      </w:r>
      <w:r w:rsidRPr="00252A17">
        <w:rPr>
          <w:rFonts w:ascii="Open Sans" w:hAnsi="Open Sans" w:cs="Open Sans"/>
          <w:sz w:val="20"/>
        </w:rPr>
        <w:t xml:space="preserve"> eligibility rules, as the enhanced transparency and reporting requirements already offer substantial insights into the risks associated with UCITS investments.</w:t>
      </w:r>
    </w:p>
    <w:permEnd w:id="1004748421"/>
    <w:p w14:paraId="36473833" w14:textId="3E6A41D3" w:rsidR="00667FF6" w:rsidRDefault="00667FF6" w:rsidP="00667FF6">
      <w:r>
        <w:t>&lt;ESMA_QUESTION_EADC_22&gt;</w:t>
      </w:r>
    </w:p>
    <w:p w14:paraId="6543CA60" w14:textId="77777777" w:rsidR="00667FF6" w:rsidRDefault="00667FF6" w:rsidP="00667FF6"/>
    <w:p w14:paraId="74B7BA82" w14:textId="77777777" w:rsidR="00667FF6" w:rsidRDefault="00667FF6" w:rsidP="00DB686B">
      <w:pPr>
        <w:pStyle w:val="Questionstyle"/>
        <w:numPr>
          <w:ilvl w:val="0"/>
          <w:numId w:val="14"/>
        </w:numPr>
      </w:pPr>
      <w:r>
        <w:t>What are the risks and benefits of UCITS investments in securities issued by securitisation vehicles? Please share evidence and experiences on current market practices and views on a possible need for legislative clarifications or amendments.</w:t>
      </w:r>
    </w:p>
    <w:p w14:paraId="477B142C" w14:textId="77777777" w:rsidR="00667FF6" w:rsidRDefault="00667FF6" w:rsidP="00667FF6">
      <w:r>
        <w:t>&lt;ESMA_QUESTION_EADC_23&gt;</w:t>
      </w:r>
    </w:p>
    <w:p w14:paraId="7BC44ADB" w14:textId="77777777" w:rsidR="00B941E0" w:rsidRDefault="00B941E0" w:rsidP="00B941E0">
      <w:pPr>
        <w:spacing w:after="200"/>
        <w:rPr>
          <w:rFonts w:ascii="Open Sans" w:hAnsi="Open Sans" w:cs="Open Sans"/>
          <w:sz w:val="20"/>
        </w:rPr>
      </w:pPr>
      <w:permStart w:id="1208368603" w:edGrp="everyone"/>
      <w:r>
        <w:rPr>
          <w:rFonts w:ascii="Open Sans" w:hAnsi="Open Sans" w:cs="Open Sans"/>
          <w:sz w:val="20"/>
        </w:rPr>
        <w:t>The current ability for UCITS to invest in securitisations is hampered by several burdensome administrative requirements.</w:t>
      </w:r>
    </w:p>
    <w:p w14:paraId="34789F7E" w14:textId="77777777" w:rsidR="00B941E0" w:rsidRDefault="00B941E0" w:rsidP="00B941E0">
      <w:pPr>
        <w:spacing w:after="200"/>
        <w:rPr>
          <w:rFonts w:ascii="Open Sans" w:hAnsi="Open Sans" w:cs="Open Sans"/>
          <w:sz w:val="20"/>
        </w:rPr>
      </w:pPr>
      <w:r w:rsidRPr="00D44547">
        <w:rPr>
          <w:rFonts w:ascii="Open Sans" w:hAnsi="Open Sans" w:cs="Open Sans"/>
          <w:sz w:val="20"/>
        </w:rPr>
        <w:t>Securitisation allows UCITS to gain exposure to a wide range of asset classes, enhancing portfolio diversification and potentially reducing overall risk. Also, it provides access to asset classes that might otherwise be difficult to invest in directly, such as mortgage-backed securities or asset-backed securities. Securitisation structures often include different tranches with varying risk levels, allowing UCITS to choose the tranche that best fits their risk tolerance and investment strategy.</w:t>
      </w:r>
    </w:p>
    <w:p w14:paraId="128B849C" w14:textId="77777777" w:rsidR="00B941E0" w:rsidRDefault="00B941E0" w:rsidP="00B941E0">
      <w:pPr>
        <w:spacing w:after="200"/>
        <w:rPr>
          <w:rFonts w:ascii="Open Sans" w:hAnsi="Open Sans" w:cs="Open Sans"/>
          <w:sz w:val="20"/>
        </w:rPr>
      </w:pPr>
      <w:r w:rsidRPr="00D44547">
        <w:rPr>
          <w:rFonts w:ascii="Open Sans" w:hAnsi="Open Sans" w:cs="Open Sans"/>
          <w:sz w:val="20"/>
        </w:rPr>
        <w:t>At present, there are many disincentives for both issuers and investors in this market, in part due to onerous due diligence requirements. While conducting</w:t>
      </w:r>
      <w:r w:rsidRPr="00CD649B">
        <w:t xml:space="preserve"> </w:t>
      </w:r>
      <w:r w:rsidRPr="00D44547">
        <w:rPr>
          <w:rFonts w:ascii="Open Sans" w:hAnsi="Open Sans" w:cs="Open Sans"/>
          <w:sz w:val="20"/>
        </w:rPr>
        <w:t>due diligence is indeed a crucial part of the risk assessment process for securitisations, we see opportunities for potential efficiencies in the process, such as simplifying the report process across Europe with a single template and considering limiting the level of detail required in these reports.</w:t>
      </w:r>
    </w:p>
    <w:p w14:paraId="57E0EF10" w14:textId="77777777" w:rsidR="00B941E0" w:rsidRDefault="00B941E0" w:rsidP="00667FF6">
      <w:pPr>
        <w:rPr>
          <w:rFonts w:ascii="Open Sans" w:hAnsi="Open Sans" w:cs="Open Sans"/>
          <w:sz w:val="20"/>
        </w:rPr>
      </w:pPr>
      <w:r w:rsidRPr="00D44547">
        <w:rPr>
          <w:rFonts w:ascii="Open Sans" w:hAnsi="Open Sans" w:cs="Open Sans"/>
          <w:sz w:val="20"/>
        </w:rPr>
        <w:t>AIMA acknowledges the multifaceted considerations to be taken into account regarding securitisation</w:t>
      </w:r>
      <w:r>
        <w:rPr>
          <w:rFonts w:ascii="Open Sans" w:hAnsi="Open Sans" w:cs="Open Sans"/>
          <w:sz w:val="20"/>
        </w:rPr>
        <w:t xml:space="preserve">, </w:t>
      </w:r>
      <w:r w:rsidRPr="00D44547">
        <w:rPr>
          <w:rFonts w:ascii="Open Sans" w:hAnsi="Open Sans" w:cs="Open Sans"/>
          <w:sz w:val="20"/>
        </w:rPr>
        <w:t xml:space="preserve">and look forward to a more detailed assessment of these issues in the European Commission’s upcoming </w:t>
      </w:r>
      <w:r>
        <w:rPr>
          <w:rFonts w:ascii="Open Sans" w:hAnsi="Open Sans" w:cs="Open Sans"/>
          <w:sz w:val="20"/>
        </w:rPr>
        <w:t xml:space="preserve">securitisation </w:t>
      </w:r>
      <w:r w:rsidRPr="00D44547">
        <w:rPr>
          <w:rFonts w:ascii="Open Sans" w:hAnsi="Open Sans" w:cs="Open Sans"/>
          <w:sz w:val="20"/>
        </w:rPr>
        <w:t>consultation later this year</w:t>
      </w:r>
      <w:r>
        <w:rPr>
          <w:rFonts w:ascii="Open Sans" w:hAnsi="Open Sans" w:cs="Open Sans"/>
          <w:sz w:val="20"/>
        </w:rPr>
        <w:t>.</w:t>
      </w:r>
    </w:p>
    <w:permEnd w:id="1208368603"/>
    <w:p w14:paraId="3E326846" w14:textId="1F06831F" w:rsidR="00667FF6" w:rsidRDefault="00667FF6" w:rsidP="00667FF6">
      <w:r>
        <w:t>&lt;ESMA_QUESTION_EADC_23&gt;</w:t>
      </w:r>
    </w:p>
    <w:p w14:paraId="2ED70AE4" w14:textId="77777777" w:rsidR="00667FF6" w:rsidRDefault="00667FF6" w:rsidP="00667FF6"/>
    <w:p w14:paraId="0AC98EEB" w14:textId="77777777" w:rsidR="00667FF6" w:rsidRDefault="00667FF6" w:rsidP="00DB686B">
      <w:pPr>
        <w:pStyle w:val="Questionstyle"/>
        <w:numPr>
          <w:ilvl w:val="0"/>
          <w:numId w:val="14"/>
        </w:numPr>
      </w:pPr>
      <w:r>
        <w:t>What are the risks and benefits of permitting UCITS to build up short positions through the use of (embedded) derivatives, delta-one instruments or other instruments/tools? Please share evidence and experiences on current market practice and views on a possible need for legislative clarifications or amendments.</w:t>
      </w:r>
    </w:p>
    <w:p w14:paraId="717C88C9" w14:textId="77777777" w:rsidR="00667FF6" w:rsidRDefault="00667FF6" w:rsidP="00667FF6">
      <w:r>
        <w:lastRenderedPageBreak/>
        <w:t>&lt;ESMA_QUESTION_EADC_24&gt;</w:t>
      </w:r>
    </w:p>
    <w:p w14:paraId="63865718" w14:textId="77777777" w:rsidR="00D837D7" w:rsidRDefault="00D837D7" w:rsidP="00D837D7">
      <w:pPr>
        <w:spacing w:after="200"/>
        <w:rPr>
          <w:rFonts w:ascii="Open Sans" w:hAnsi="Open Sans" w:cs="Open Sans"/>
          <w:sz w:val="20"/>
        </w:rPr>
      </w:pPr>
      <w:permStart w:id="160252285" w:edGrp="everyone"/>
      <w:r w:rsidRPr="005862C9">
        <w:rPr>
          <w:rFonts w:ascii="Open Sans" w:hAnsi="Open Sans" w:cs="Open Sans"/>
          <w:sz w:val="20"/>
        </w:rPr>
        <w:t xml:space="preserve">We </w:t>
      </w:r>
      <w:r>
        <w:rPr>
          <w:rFonts w:ascii="Open Sans" w:hAnsi="Open Sans" w:cs="Open Sans"/>
          <w:sz w:val="20"/>
        </w:rPr>
        <w:t>acknowledge</w:t>
      </w:r>
      <w:r w:rsidRPr="005862C9">
        <w:rPr>
          <w:rFonts w:ascii="Open Sans" w:hAnsi="Open Sans" w:cs="Open Sans"/>
          <w:sz w:val="20"/>
        </w:rPr>
        <w:t xml:space="preserve"> that it is already possible to build up </w:t>
      </w:r>
      <w:r>
        <w:rPr>
          <w:rFonts w:ascii="Open Sans" w:hAnsi="Open Sans" w:cs="Open Sans"/>
          <w:sz w:val="20"/>
        </w:rPr>
        <w:t xml:space="preserve">synthetic </w:t>
      </w:r>
      <w:r w:rsidRPr="005862C9">
        <w:rPr>
          <w:rFonts w:ascii="Open Sans" w:hAnsi="Open Sans" w:cs="Open Sans"/>
          <w:sz w:val="20"/>
        </w:rPr>
        <w:t>short positions under the existing legal framework, and we advocate to maintain this</w:t>
      </w:r>
      <w:r>
        <w:rPr>
          <w:rFonts w:ascii="Open Sans" w:hAnsi="Open Sans" w:cs="Open Sans"/>
          <w:sz w:val="20"/>
        </w:rPr>
        <w:t xml:space="preserve">. </w:t>
      </w:r>
      <w:r w:rsidRPr="00252A17">
        <w:rPr>
          <w:rFonts w:ascii="Open Sans" w:hAnsi="Open Sans" w:cs="Open Sans"/>
          <w:sz w:val="20"/>
        </w:rPr>
        <w:t>Short positions allow UCITS to provide capital protection to investors in times of wide market downturns or from idiosyncratic events depending on the type of short exposure taken. Some protection and simplification of clearing can be provided by the issuer of the delta-one instrument versus the direct exposure.</w:t>
      </w:r>
    </w:p>
    <w:p w14:paraId="25AD140A" w14:textId="77777777" w:rsidR="00D837D7" w:rsidRDefault="00D837D7" w:rsidP="00667FF6">
      <w:pPr>
        <w:rPr>
          <w:rFonts w:ascii="Open Sans" w:hAnsi="Open Sans" w:cs="Open Sans"/>
          <w:sz w:val="20"/>
          <w:lang w:val="en-IE"/>
        </w:rPr>
      </w:pPr>
      <w:r w:rsidRPr="00E87799">
        <w:rPr>
          <w:rFonts w:ascii="Open Sans" w:hAnsi="Open Sans" w:cs="Open Sans"/>
          <w:sz w:val="20"/>
          <w:lang w:val="en-IE"/>
        </w:rPr>
        <w:t>Short positions can be used to hedge against potential losses in other parts of the portfolio, providing a form of insurance against market downturns.</w:t>
      </w:r>
      <w:r>
        <w:rPr>
          <w:rFonts w:ascii="Open Sans" w:hAnsi="Open Sans" w:cs="Open Sans"/>
          <w:sz w:val="20"/>
          <w:lang w:val="en-IE"/>
        </w:rPr>
        <w:t xml:space="preserve"> </w:t>
      </w:r>
      <w:r w:rsidRPr="00E87799">
        <w:rPr>
          <w:rFonts w:ascii="Open Sans" w:hAnsi="Open Sans" w:cs="Open Sans"/>
          <w:sz w:val="20"/>
          <w:lang w:val="en-IE"/>
        </w:rPr>
        <w:t>By allowing short positions, UCITS can diversify their risk management strategies, potentially reducing overall portfolio risk.</w:t>
      </w:r>
      <w:r>
        <w:rPr>
          <w:rFonts w:ascii="Open Sans" w:hAnsi="Open Sans" w:cs="Open Sans"/>
          <w:sz w:val="20"/>
          <w:lang w:val="en-IE"/>
        </w:rPr>
        <w:t xml:space="preserve"> </w:t>
      </w:r>
      <w:r w:rsidRPr="00E87799">
        <w:rPr>
          <w:rFonts w:ascii="Open Sans" w:hAnsi="Open Sans" w:cs="Open Sans"/>
          <w:sz w:val="20"/>
          <w:lang w:val="en-IE"/>
        </w:rPr>
        <w:t>Short positions enable UCITS to profit from declines in the value of the underlying assets, providing opportunities for gains in bearish markets.</w:t>
      </w:r>
      <w:r>
        <w:rPr>
          <w:rFonts w:ascii="Open Sans" w:hAnsi="Open Sans" w:cs="Open Sans"/>
          <w:sz w:val="20"/>
          <w:lang w:val="en-IE"/>
        </w:rPr>
        <w:t xml:space="preserve"> </w:t>
      </w:r>
      <w:r w:rsidRPr="00E87799">
        <w:rPr>
          <w:rFonts w:ascii="Open Sans" w:hAnsi="Open Sans" w:cs="Open Sans"/>
          <w:sz w:val="20"/>
          <w:lang w:val="en-IE"/>
        </w:rPr>
        <w:t>The ability to take short positions offers greater strategic flexibility, allowing fund managers to implement more sophisticated investment strategies.</w:t>
      </w:r>
      <w:r>
        <w:rPr>
          <w:rFonts w:ascii="Open Sans" w:hAnsi="Open Sans" w:cs="Open Sans"/>
          <w:sz w:val="20"/>
          <w:lang w:val="en-IE"/>
        </w:rPr>
        <w:t xml:space="preserve"> </w:t>
      </w:r>
      <w:r w:rsidRPr="00E87799">
        <w:rPr>
          <w:rFonts w:ascii="Open Sans" w:hAnsi="Open Sans" w:cs="Open Sans"/>
          <w:sz w:val="20"/>
          <w:lang w:val="en-IE"/>
        </w:rPr>
        <w:t xml:space="preserve">Short sellers </w:t>
      </w:r>
      <w:r>
        <w:rPr>
          <w:rFonts w:ascii="Open Sans" w:hAnsi="Open Sans" w:cs="Open Sans"/>
          <w:sz w:val="20"/>
          <w:lang w:val="en-IE"/>
        </w:rPr>
        <w:t>also</w:t>
      </w:r>
      <w:r w:rsidRPr="00E87799">
        <w:rPr>
          <w:rFonts w:ascii="Open Sans" w:hAnsi="Open Sans" w:cs="Open Sans"/>
          <w:sz w:val="20"/>
          <w:lang w:val="en-IE"/>
        </w:rPr>
        <w:t xml:space="preserve"> provide additional liquidity to the markets.</w:t>
      </w:r>
    </w:p>
    <w:permEnd w:id="160252285"/>
    <w:p w14:paraId="63C4C4A9" w14:textId="596F80CD" w:rsidR="00667FF6" w:rsidRDefault="00667FF6" w:rsidP="00667FF6">
      <w:r>
        <w:t>&lt;ESMA_QUESTION_EADC_24&gt;</w:t>
      </w:r>
    </w:p>
    <w:p w14:paraId="0EB97D56" w14:textId="77777777" w:rsidR="00667FF6" w:rsidRDefault="00667FF6" w:rsidP="00667FF6"/>
    <w:p w14:paraId="7D09FBF8" w14:textId="77777777" w:rsidR="00667FF6" w:rsidRDefault="00667FF6" w:rsidP="00DB686B">
      <w:pPr>
        <w:pStyle w:val="Questionstyle"/>
        <w:numPr>
          <w:ilvl w:val="0"/>
          <w:numId w:val="14"/>
        </w:numPr>
      </w:pPr>
      <w:r>
        <w:t>Apart from the topics covered in the above sections, have you observed any other issues with respect to the interpretation or consistent application of the UCITS EAD? If so, please describe the issues and how you would propose to revise the UCITS EAD or UCITS Directive with a view to improve investor protection, clarity and supervisory convergence.</w:t>
      </w:r>
    </w:p>
    <w:p w14:paraId="03144DFC" w14:textId="77777777" w:rsidR="00667FF6" w:rsidRDefault="00667FF6" w:rsidP="00667FF6">
      <w:r>
        <w:t>&lt;ESMA_QUESTION_EADC_25&gt;</w:t>
      </w:r>
    </w:p>
    <w:p w14:paraId="610180F7" w14:textId="77777777" w:rsidR="00552ECB" w:rsidRPr="00252A17" w:rsidRDefault="00552ECB" w:rsidP="00552ECB">
      <w:pPr>
        <w:spacing w:after="200"/>
        <w:rPr>
          <w:rFonts w:ascii="Open Sans" w:hAnsi="Open Sans" w:cs="Open Sans"/>
          <w:sz w:val="20"/>
        </w:rPr>
      </w:pPr>
      <w:permStart w:id="478484191" w:edGrp="everyone"/>
      <w:r w:rsidRPr="00252A17">
        <w:rPr>
          <w:rFonts w:ascii="Open Sans" w:hAnsi="Open Sans" w:cs="Open Sans"/>
          <w:sz w:val="20"/>
        </w:rPr>
        <w:t>We would like to see NCAs commit to greater transparency and providing adequately reasoned decisions regarding the eligibility of various asset classes or instrument types. It should not be sufficient for an NCA to refuse the inclusion of an asset class or instrument type during a Fund’s authorisation process, and to revert to the applicant requiring the</w:t>
      </w:r>
      <w:r>
        <w:rPr>
          <w:rFonts w:ascii="Open Sans" w:hAnsi="Open Sans" w:cs="Open Sans"/>
          <w:sz w:val="20"/>
        </w:rPr>
        <w:t>m</w:t>
      </w:r>
      <w:r w:rsidRPr="00252A17">
        <w:rPr>
          <w:rFonts w:ascii="Open Sans" w:hAnsi="Open Sans" w:cs="Open Sans"/>
          <w:sz w:val="20"/>
        </w:rPr>
        <w:t xml:space="preserve"> to “state why it is considered appropriate that a particular asset class/instrument type is eligible for inclusion in a UCITS fund”.</w:t>
      </w:r>
      <w:r w:rsidRPr="00252A17">
        <w:rPr>
          <w:rFonts w:ascii="Times New Roman" w:hAnsi="Times New Roman" w:cs="Times New Roman"/>
          <w:sz w:val="20"/>
        </w:rPr>
        <w:t> </w:t>
      </w:r>
      <w:r w:rsidRPr="00252A17">
        <w:rPr>
          <w:rFonts w:ascii="Open Sans" w:hAnsi="Open Sans" w:cs="Open Sans"/>
          <w:sz w:val="20"/>
        </w:rPr>
        <w:t xml:space="preserve"> </w:t>
      </w:r>
      <w:r w:rsidRPr="00B74847">
        <w:rPr>
          <w:rFonts w:ascii="Times New Roman" w:hAnsi="Times New Roman" w:cs="Times New Roman"/>
          <w:sz w:val="20"/>
        </w:rPr>
        <w:t> </w:t>
      </w:r>
      <w:r w:rsidRPr="00B74847">
        <w:rPr>
          <w:rFonts w:ascii="Open Sans" w:hAnsi="Open Sans" w:cs="Open Sans"/>
          <w:sz w:val="20"/>
        </w:rPr>
        <w:t>While we agree that applicants should have the opportunity to rebut an initial authorisation refusal, such</w:t>
      </w:r>
      <w:r w:rsidRPr="00B74847" w:rsidDel="00B74847">
        <w:rPr>
          <w:rFonts w:ascii="Open Sans" w:hAnsi="Open Sans" w:cs="Open Sans"/>
          <w:sz w:val="20"/>
        </w:rPr>
        <w:t xml:space="preserve"> </w:t>
      </w:r>
      <w:r>
        <w:rPr>
          <w:rFonts w:ascii="Open Sans" w:hAnsi="Open Sans" w:cs="Open Sans"/>
          <w:sz w:val="20"/>
        </w:rPr>
        <w:t>r</w:t>
      </w:r>
      <w:r w:rsidRPr="00252A17">
        <w:rPr>
          <w:rFonts w:ascii="Open Sans" w:hAnsi="Open Sans" w:cs="Open Sans"/>
          <w:sz w:val="20"/>
        </w:rPr>
        <w:t>efusals should include properly reasoned decisions, referring to the UCITS regulations and publicised guidelines as to the regulations and their applicability and interpretation.</w:t>
      </w:r>
    </w:p>
    <w:permEnd w:id="478484191"/>
    <w:p w14:paraId="56E7500F" w14:textId="77777777" w:rsidR="00667FF6" w:rsidRDefault="00667FF6" w:rsidP="00667FF6">
      <w:r>
        <w:t>&lt;ESMA_QUESTION_EADC_25&gt;</w:t>
      </w:r>
    </w:p>
    <w:p w14:paraId="02F72279" w14:textId="77777777" w:rsidR="00667FF6" w:rsidRDefault="00667FF6" w:rsidP="00667FF6"/>
    <w:p w14:paraId="5DF23952" w14:textId="77777777" w:rsidR="00667FF6" w:rsidRDefault="00667FF6" w:rsidP="00667FF6"/>
    <w:p w14:paraId="30524E68" w14:textId="77777777" w:rsidR="00667FF6" w:rsidRPr="00667FF6" w:rsidRDefault="00667FF6" w:rsidP="00667FF6">
      <w:pPr>
        <w:rPr>
          <w:lang w:val="fr-BE"/>
        </w:rPr>
      </w:pPr>
    </w:p>
    <w:p w14:paraId="04595985" w14:textId="3EBFBF7B" w:rsidR="00B15C0B" w:rsidRPr="00C5469A" w:rsidRDefault="00B15C0B" w:rsidP="00B15C0B"/>
    <w:sectPr w:rsidR="00B15C0B" w:rsidRPr="00C5469A"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729C" w14:textId="77777777" w:rsidR="00462824" w:rsidRDefault="00462824" w:rsidP="007E7997">
      <w:pPr>
        <w:spacing w:line="240" w:lineRule="auto"/>
      </w:pPr>
      <w:r>
        <w:separator/>
      </w:r>
    </w:p>
  </w:endnote>
  <w:endnote w:type="continuationSeparator" w:id="0">
    <w:p w14:paraId="71848F05" w14:textId="77777777" w:rsidR="00462824" w:rsidRDefault="00462824" w:rsidP="007E7997">
      <w:pPr>
        <w:spacing w:line="240" w:lineRule="auto"/>
      </w:pPr>
      <w:r>
        <w:continuationSeparator/>
      </w:r>
    </w:p>
  </w:endnote>
  <w:endnote w:type="continuationNotice" w:id="1">
    <w:p w14:paraId="25F1FE12" w14:textId="77777777" w:rsidR="00462824" w:rsidRDefault="00462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0000500000000000000"/>
    <w:charset w:val="00"/>
    <w:family w:val="auto"/>
    <w:pitch w:val="variable"/>
    <w:sig w:usb0="20000A87" w:usb1="40000000"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DF5A9" w14:textId="77777777" w:rsidR="00462824" w:rsidRDefault="00462824" w:rsidP="007E7997">
      <w:pPr>
        <w:spacing w:line="240" w:lineRule="auto"/>
      </w:pPr>
      <w:r>
        <w:separator/>
      </w:r>
    </w:p>
  </w:footnote>
  <w:footnote w:type="continuationSeparator" w:id="0">
    <w:p w14:paraId="61C0E917" w14:textId="77777777" w:rsidR="00462824" w:rsidRDefault="00462824" w:rsidP="007E7997">
      <w:pPr>
        <w:spacing w:line="240" w:lineRule="auto"/>
      </w:pPr>
      <w:r>
        <w:continuationSeparator/>
      </w:r>
    </w:p>
  </w:footnote>
  <w:footnote w:type="continuationNotice" w:id="1">
    <w:p w14:paraId="61DA64BC" w14:textId="77777777" w:rsidR="00462824" w:rsidRDefault="00462824">
      <w:pPr>
        <w:spacing w:after="0" w:line="240" w:lineRule="auto"/>
      </w:pPr>
    </w:p>
  </w:footnote>
  <w:footnote w:id="2">
    <w:p w14:paraId="18EF5637" w14:textId="77777777" w:rsidR="00F70436" w:rsidRPr="0068229D" w:rsidRDefault="00F70436" w:rsidP="00F70436">
      <w:pPr>
        <w:pStyle w:val="FootnoteText"/>
        <w:ind w:left="357" w:hanging="357"/>
        <w:rPr>
          <w:rFonts w:ascii="Open Sans" w:hAnsi="Open Sans" w:cs="Open Sans"/>
          <w:szCs w:val="16"/>
        </w:rPr>
      </w:pPr>
      <w:r w:rsidRPr="0068229D">
        <w:rPr>
          <w:rStyle w:val="FootnoteReference"/>
          <w:rFonts w:ascii="Open Sans" w:hAnsi="Open Sans" w:cs="Open Sans"/>
          <w:szCs w:val="16"/>
        </w:rPr>
        <w:footnoteRef/>
      </w:r>
      <w:r w:rsidRPr="0068229D">
        <w:rPr>
          <w:rFonts w:ascii="Open Sans" w:hAnsi="Open Sans" w:cs="Open Sans"/>
          <w:szCs w:val="16"/>
        </w:rPr>
        <w:t xml:space="preserve"> </w:t>
      </w:r>
      <w:r w:rsidRPr="0068229D">
        <w:rPr>
          <w:rFonts w:ascii="Open Sans" w:hAnsi="Open Sans" w:cs="Open Sans"/>
          <w:szCs w:val="16"/>
        </w:rPr>
        <w:tab/>
      </w:r>
      <w:r w:rsidRPr="00D44547">
        <w:rPr>
          <w:rFonts w:ascii="Open Sans" w:hAnsi="Open Sans" w:cs="Open Sans"/>
          <w:i/>
          <w:iCs/>
          <w:szCs w:val="16"/>
        </w:rPr>
        <w:t>See</w:t>
      </w:r>
      <w:r w:rsidRPr="0068229D">
        <w:rPr>
          <w:rFonts w:ascii="Open Sans" w:hAnsi="Open Sans" w:cs="Open Sans"/>
          <w:szCs w:val="16"/>
        </w:rPr>
        <w:t xml:space="preserve">, </w:t>
      </w:r>
      <w:hyperlink r:id="rId1" w:history="1">
        <w:r w:rsidRPr="0068229D">
          <w:rPr>
            <w:rStyle w:val="Hyperlink"/>
            <w:rFonts w:ascii="Open Sans" w:hAnsi="Open Sans" w:cs="Open Sans"/>
            <w:szCs w:val="16"/>
          </w:rPr>
          <w:t>https://eur-lex.europa.eu/legal-content/EN/TXT/PDF/?uri=OJ:L_202400927</w:t>
        </w:r>
      </w:hyperlink>
      <w:r w:rsidRPr="0068229D">
        <w:rPr>
          <w:rFonts w:ascii="Open Sans" w:hAnsi="Open Sans" w:cs="Open Sans"/>
          <w:szCs w:val="16"/>
        </w:rPr>
        <w:t>.</w:t>
      </w:r>
    </w:p>
  </w:footnote>
  <w:footnote w:id="3">
    <w:p w14:paraId="30CB32C1" w14:textId="77777777" w:rsidR="00F70436" w:rsidRPr="009D539D" w:rsidRDefault="00F70436" w:rsidP="00F70436">
      <w:pPr>
        <w:pStyle w:val="FootnoteText"/>
        <w:ind w:left="340" w:hanging="340"/>
        <w:rPr>
          <w:rFonts w:ascii="Open Sans" w:hAnsi="Open Sans" w:cs="Open Sans"/>
          <w:szCs w:val="16"/>
        </w:rPr>
      </w:pPr>
      <w:r w:rsidRPr="009D539D">
        <w:rPr>
          <w:rStyle w:val="FootnoteReference"/>
          <w:rFonts w:ascii="Open Sans" w:hAnsi="Open Sans" w:cs="Open Sans"/>
          <w:szCs w:val="16"/>
        </w:rPr>
        <w:footnoteRef/>
      </w:r>
      <w:r w:rsidRPr="009D539D">
        <w:rPr>
          <w:rFonts w:ascii="Open Sans" w:hAnsi="Open Sans" w:cs="Open Sans"/>
          <w:szCs w:val="16"/>
        </w:rPr>
        <w:t xml:space="preserve"> </w:t>
      </w:r>
      <w:r>
        <w:rPr>
          <w:rFonts w:ascii="Open Sans" w:hAnsi="Open Sans" w:cs="Open Sans"/>
          <w:szCs w:val="16"/>
        </w:rPr>
        <w:tab/>
      </w:r>
      <w:r w:rsidRPr="009D539D">
        <w:rPr>
          <w:rFonts w:ascii="Open Sans" w:hAnsi="Open Sans" w:cs="Open Sans"/>
          <w:i/>
          <w:iCs/>
          <w:szCs w:val="16"/>
        </w:rPr>
        <w:t>See</w:t>
      </w:r>
      <w:r w:rsidRPr="009D539D">
        <w:rPr>
          <w:rFonts w:ascii="Open Sans" w:hAnsi="Open Sans" w:cs="Open Sans"/>
          <w:szCs w:val="16"/>
        </w:rPr>
        <w:t xml:space="preserve">, </w:t>
      </w:r>
      <w:hyperlink r:id="rId2" w:history="1">
        <w:r w:rsidRPr="005A5F91">
          <w:rPr>
            <w:rStyle w:val="Hyperlink"/>
            <w:rFonts w:ascii="Open Sans" w:hAnsi="Open Sans" w:cs="Open Sans"/>
            <w:szCs w:val="16"/>
          </w:rPr>
          <w:t>https://eur-lex.europa.eu/legal-content/EN/TXT/?uri=celex%3A32012R0648</w:t>
        </w:r>
      </w:hyperlink>
      <w:r w:rsidRPr="009D539D">
        <w:rPr>
          <w:rFonts w:ascii="Open Sans" w:hAnsi="Open Sans" w:cs="Open Sans"/>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0E930342"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50537857" name="Picture 5053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667FF6">
      <w:t xml:space="preserve">7 May </w:t>
    </w:r>
    <w:r w:rsidR="00282901">
      <w:t>202</w:t>
    </w:r>
    <w:r w:rsidR="00667FF6">
      <w:t>4</w:t>
    </w:r>
  </w:p>
  <w:p w14:paraId="471D4524" w14:textId="24711CA4" w:rsidR="004E5FF8" w:rsidRDefault="00B03969" w:rsidP="00BD20AC">
    <w:pPr>
      <w:pStyle w:val="Header"/>
    </w:pPr>
    <w:r w:rsidRPr="00B03969">
      <w:t>ESMA</w:t>
    </w:r>
    <w:r w:rsidR="00667FF6">
      <w:t xml:space="preserve"> </w:t>
    </w:r>
    <w:r w:rsidR="00667FF6" w:rsidRPr="00667FF6">
      <w:t>34-1270380148-103</w:t>
    </w:r>
    <w:r w:rsidR="00BD20AC">
      <w:t>3</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834037870" name="Picture 183403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53583267" name="Picture 175358326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1"/>
  </w:num>
  <w:num w:numId="2" w16cid:durableId="1144354351">
    <w:abstractNumId w:val="4"/>
  </w:num>
  <w:num w:numId="3" w16cid:durableId="1006909420">
    <w:abstractNumId w:val="9"/>
  </w:num>
  <w:num w:numId="4" w16cid:durableId="569996677">
    <w:abstractNumId w:val="3"/>
  </w:num>
  <w:num w:numId="5" w16cid:durableId="807014924">
    <w:abstractNumId w:val="0"/>
  </w:num>
  <w:num w:numId="6" w16cid:durableId="310985182">
    <w:abstractNumId w:val="5"/>
  </w:num>
  <w:num w:numId="7" w16cid:durableId="492061559">
    <w:abstractNumId w:val="12"/>
  </w:num>
  <w:num w:numId="8" w16cid:durableId="2063743978">
    <w:abstractNumId w:val="2"/>
  </w:num>
  <w:num w:numId="9" w16cid:durableId="1378703109">
    <w:abstractNumId w:val="10"/>
  </w:num>
  <w:num w:numId="10" w16cid:durableId="632100844">
    <w:abstractNumId w:val="8"/>
  </w:num>
  <w:num w:numId="11" w16cid:durableId="1573200029">
    <w:abstractNumId w:val="7"/>
  </w:num>
  <w:num w:numId="12" w16cid:durableId="1587836858">
    <w:abstractNumId w:val="7"/>
    <w:lvlOverride w:ilvl="0">
      <w:startOverride w:val="1"/>
    </w:lvlOverride>
  </w:num>
  <w:num w:numId="13" w16cid:durableId="1548224532">
    <w:abstractNumId w:val="1"/>
  </w:num>
  <w:num w:numId="14" w16cid:durableId="5014318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nnydkVRpkIDi1nG0yBaAOhsWlc5Ozk2cfGgI0xzGgw9B+9mjrsPky3NRq+3MmQN6fUOXcIDSYF4yl3c8YJZA==" w:salt="XLRoLlSEie4cU7yFeSZJ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00A"/>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402"/>
    <w:rsid w:val="002A051B"/>
    <w:rsid w:val="002A0658"/>
    <w:rsid w:val="002A0C3C"/>
    <w:rsid w:val="002A0E37"/>
    <w:rsid w:val="002A13F1"/>
    <w:rsid w:val="002A1657"/>
    <w:rsid w:val="002A1964"/>
    <w:rsid w:val="002A2D48"/>
    <w:rsid w:val="002A2D63"/>
    <w:rsid w:val="002A3076"/>
    <w:rsid w:val="002A32CD"/>
    <w:rsid w:val="002A443E"/>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7E3"/>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6FE"/>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27C90"/>
    <w:rsid w:val="00430270"/>
    <w:rsid w:val="004302ED"/>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5921"/>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2F3"/>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ECB"/>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B32"/>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40F"/>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7C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59B"/>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5AE"/>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926"/>
    <w:rsid w:val="00976C8F"/>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BFD"/>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D8"/>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65D"/>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7A7"/>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9BC"/>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3992"/>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1E0"/>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2828"/>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37D7"/>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5D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0D16"/>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6D24"/>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EBD"/>
    <w:rsid w:val="00F70436"/>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1A5"/>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4B9"/>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all-evidence-review-ucits-eligible-assets-directive" TargetMode="External"/><Relationship Id="rId20" Type="http://schemas.openxmlformats.org/officeDocument/2006/relationships/footer" Target="footer1.xml"/><Relationship Id="rId24"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12R0648" TargetMode="External"/><Relationship Id="rId1" Type="http://schemas.openxmlformats.org/officeDocument/2006/relationships/hyperlink" Target="https://eur-lex.europa.eu/legal-content/EN/TXT/PDF/?uri=OJ:L_2024009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0000500000000000000"/>
    <w:charset w:val="00"/>
    <w:family w:val="auto"/>
    <w:pitch w:val="variable"/>
    <w:sig w:usb0="20000A87" w:usb1="40000000" w:usb2="00000000" w:usb3="00000000" w:csb0="000001B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171343"/>
    <w:rsid w:val="002826FB"/>
    <w:rsid w:val="002F71C9"/>
    <w:rsid w:val="003C3A27"/>
    <w:rsid w:val="003E2607"/>
    <w:rsid w:val="004E4CF9"/>
    <w:rsid w:val="006A17C8"/>
    <w:rsid w:val="00747575"/>
    <w:rsid w:val="00813189"/>
    <w:rsid w:val="008222A0"/>
    <w:rsid w:val="00836D47"/>
    <w:rsid w:val="0087748B"/>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CITS Document" ma:contentTypeID="0x0101000ED1C6BF2ECFE74585EFFEA9E6E27962010B006EE2F6F0923B8D47B938E8456CAF7C4C" ma:contentTypeVersion="24" ma:contentTypeDescription="" ma:contentTypeScope="" ma:versionID="bb69f40d48060915a746d88e25b3ce6c">
  <xsd:schema xmlns:xsd="http://www.w3.org/2001/XMLSchema" xmlns:xs="http://www.w3.org/2001/XMLSchema" xmlns:p="http://schemas.microsoft.com/office/2006/metadata/properties" xmlns:ns2="d0fb0f98-34f9-4d57-9559-eb8efd17aa5e" xmlns:ns3="6992b194-ece9-4b26-973e-e25c2ee2cdcd" targetNamespace="http://schemas.microsoft.com/office/2006/metadata/properties" ma:root="true" ma:fieldsID="d393c18af9c87e7948f2665729661357" ns2:_="" ns3:_="">
    <xsd:import namespace="d0fb0f98-34f9-4d57-9559-eb8efd17aa5e"/>
    <xsd:import namespace="6992b194-ece9-4b26-973e-e25c2ee2cdcd"/>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UCITS|a853cb80-aed9-44bd-ac2a-0e80b5a444d7"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d513acc8-7dbc-449c-a6a2-9c4e1874ec8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2b194-ece9-4b26-973e-e25c2ee2cdc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A9C8E1C550046A338A91C668A8EF1" ma:contentTypeVersion="18" ma:contentTypeDescription="Create a new document." ma:contentTypeScope="" ma:versionID="7856fa038712a0ec4de4c6073cb6b75b">
  <xsd:schema xmlns:xsd="http://www.w3.org/2001/XMLSchema" xmlns:xs="http://www.w3.org/2001/XMLSchema" xmlns:p="http://schemas.microsoft.com/office/2006/metadata/properties" xmlns:ns2="be561825-94c0-4c62-a85c-c77844bc56d9" xmlns:ns3="070258fd-6908-4ba7-80b1-ffadf41f6455" targetNamespace="http://schemas.microsoft.com/office/2006/metadata/properties" ma:root="true" ma:fieldsID="60779e7777009015ef220e798b1adfed" ns2:_="" ns3:_="">
    <xsd:import namespace="be561825-94c0-4c62-a85c-c77844bc56d9"/>
    <xsd:import namespace="070258fd-6908-4ba7-80b1-ffadf41f64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61825-94c0-4c62-a85c-c77844bc56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b440d0-4992-4e57-aa46-2cdef7ecbbaf}" ma:internalName="TaxCatchAll" ma:showField="CatchAllData" ma:web="be561825-94c0-4c62-a85c-c77844bc56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258fd-6908-4ba7-80b1-ffadf41f64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50ef45-74aa-4e9b-ad44-a9c7108860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be561825-94c0-4c62-a85c-c77844bc56d9">
      <Value>254</Value>
      <Value>5</Value>
      <Value>33</Value>
      <Value>6</Value>
      <Value>345</Value>
      <Value>54</Value>
    </TaxCatchAll>
    <SharedWithUsers xmlns="be561825-94c0-4c62-a85c-c77844bc56d9">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lcf76f155ced4ddcb4097134ff3c332f xmlns="070258fd-6908-4ba7-80b1-ffadf41f6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48F54A-A86B-41B6-A72A-7F928FC2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992b194-ece9-4b26-973e-e25c2ee2c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D3DE661F-0B65-46CF-9E47-718B4098A95B}"/>
</file>

<file path=customXml/itemProps4.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6992b194-ece9-4b26-973e-e25c2ee2cdcd"/>
    <ds:schemaRef ds:uri="http://schemas.openxmlformats.org/package/2006/metadata/core-properties"/>
    <ds:schemaRef ds:uri="http://purl.org/dc/elements/1.1/"/>
    <ds:schemaRef ds:uri="http://www.w3.org/XML/1998/namespace"/>
    <ds:schemaRef ds:uri="d0fb0f98-34f9-4d57-9559-eb8efd17aa5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7545</Words>
  <Characters>43012</Characters>
  <Application>Microsoft Office Word</Application>
  <DocSecurity>8</DocSecurity>
  <Lines>358</Lines>
  <Paragraphs>100</Paragraphs>
  <ScaleCrop>false</ScaleCrop>
  <Company/>
  <LinksUpToDate>false</LinksUpToDate>
  <CharactersWithSpaces>50457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James Delaney</cp:lastModifiedBy>
  <cp:revision>29</cp:revision>
  <cp:lastPrinted>2023-09-09T09:53:00Z</cp:lastPrinted>
  <dcterms:created xsi:type="dcterms:W3CDTF">2024-08-07T16:38:00Z</dcterms:created>
  <dcterms:modified xsi:type="dcterms:W3CDTF">2024-08-07T16:46:00Z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0x0101000A4A9C8E1C550046A338A91C668A8EF1</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8f87ab28-9cc0-4a5f-bef3-0462a96fe99e</vt:lpwstr>
  </property>
  <property fmtid="{D5CDD505-2E9C-101B-9397-08002B2CF9AE}" pid="8" name="EsmaAudience">
    <vt:lpwstr>345;#Post-Trading Standing Committee|b4466ad1-2610-4bb4-b77e-13cd08e75663</vt:lpwstr>
  </property>
  <property fmtid="{D5CDD505-2E9C-101B-9397-08002B2CF9AE}" pid="9" name="Topic">
    <vt:lpwstr>254</vt:lpwstr>
  </property>
  <property fmtid="{D5CDD505-2E9C-101B-9397-08002B2CF9AE}" pid="10" name="ConfidentialityLevel">
    <vt:lpwstr>6;#Regular|07f1e362-856b-423d-bea6-a14079762141</vt:lpwstr>
  </property>
  <property fmtid="{D5CDD505-2E9C-101B-9397-08002B2CF9AE}" pid="11" name="DocumentType">
    <vt:lpwstr>54;#Call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5</vt:lpwstr>
  </property>
  <property fmtid="{D5CDD505-2E9C-101B-9397-08002B2CF9AE}" pid="15" name="SubTopic">
    <vt:lpwstr>323;#CSDR General - T + 1|a5a376d4-84eb-4354-ab81-b0766b380093</vt:lpwstr>
  </property>
  <property fmtid="{D5CDD505-2E9C-101B-9397-08002B2CF9AE}" pid="16" name="TeamTopic">
    <vt:lpwstr>33;#UCITS|a853cb80-aed9-44bd-ac2a-0e80b5a444d7</vt:lpwstr>
  </property>
</Properties>
</file>